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031793" w:rsidRPr="000C48DE" w:rsidP="00DA069B">
      <w:pPr>
        <w:autoSpaceDE w:val="0"/>
        <w:autoSpaceDN w:val="0"/>
        <w:adjustRightInd w:val="0"/>
        <w:rPr>
          <w:b/>
          <w:bCs/>
          <w:szCs w:val="22"/>
          <w:u w:val="single"/>
          <w:lang w:eastAsia="en-AU"/>
        </w:rPr>
      </w:pPr>
      <w:r w:rsidRPr="000C48DE">
        <w:rPr>
          <w:b/>
          <w:bCs/>
          <w:szCs w:val="22"/>
          <w:u w:val="single"/>
          <w:lang w:eastAsia="en-AU"/>
        </w:rPr>
        <w:t>Question 1</w:t>
      </w:r>
    </w:p>
    <w:p w:rsidR="00031793" w:rsidRPr="000C48DE" w:rsidP="00DA069B">
      <w:pPr>
        <w:autoSpaceDE w:val="0"/>
        <w:autoSpaceDN w:val="0"/>
        <w:adjustRightInd w:val="0"/>
        <w:rPr>
          <w:b/>
          <w:bCs/>
          <w:szCs w:val="22"/>
          <w:lang w:eastAsia="en-AU"/>
        </w:rPr>
      </w:pPr>
    </w:p>
    <w:p w:rsidR="00031793" w:rsidRPr="000C48DE" w:rsidP="00DA069B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Outcome 1</w:t>
      </w:r>
      <w:r w:rsidRPr="000C48DE" w:rsidR="000C48DE">
        <w:rPr>
          <w:bCs/>
          <w:szCs w:val="22"/>
          <w:lang w:eastAsia="en-AU"/>
        </w:rPr>
        <w:t>,</w:t>
      </w:r>
      <w:r w:rsidRPr="000C48DE">
        <w:rPr>
          <w:bCs/>
          <w:szCs w:val="22"/>
          <w:lang w:eastAsia="en-AU"/>
        </w:rPr>
        <w:t xml:space="preserve"> </w:t>
      </w:r>
      <w:r w:rsidRPr="000C48DE" w:rsidR="000C48DE">
        <w:rPr>
          <w:bCs/>
          <w:szCs w:val="22"/>
          <w:lang w:eastAsia="en-AU"/>
        </w:rPr>
        <w:t>p</w:t>
      </w:r>
      <w:r w:rsidRPr="000C48DE">
        <w:rPr>
          <w:bCs/>
          <w:szCs w:val="22"/>
          <w:lang w:eastAsia="en-AU"/>
        </w:rPr>
        <w:t>rogram 1.2</w:t>
      </w:r>
    </w:p>
    <w:p w:rsidR="00031793" w:rsidRPr="000C48DE" w:rsidP="00DA069B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Topic: Export Market Development Grant Scheme</w:t>
      </w:r>
    </w:p>
    <w:p w:rsidR="00031793" w:rsidRPr="000C48DE" w:rsidP="00031793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Hansard, 22Oct09, Page 113</w:t>
      </w:r>
    </w:p>
    <w:p w:rsidR="00031793" w:rsidRPr="000C48DE" w:rsidP="00DA069B">
      <w:pPr>
        <w:autoSpaceDE w:val="0"/>
        <w:autoSpaceDN w:val="0"/>
        <w:adjustRightInd w:val="0"/>
        <w:rPr>
          <w:b/>
          <w:bCs/>
          <w:szCs w:val="22"/>
          <w:lang w:eastAsia="en-AU"/>
        </w:rPr>
      </w:pPr>
    </w:p>
    <w:p w:rsidR="000C48DE" w:rsidRPr="000C48DE" w:rsidP="00DA069B">
      <w:pPr>
        <w:autoSpaceDE w:val="0"/>
        <w:autoSpaceDN w:val="0"/>
        <w:adjustRightInd w:val="0"/>
        <w:rPr>
          <w:b/>
          <w:bCs/>
          <w:szCs w:val="22"/>
          <w:lang w:eastAsia="en-AU"/>
        </w:rPr>
      </w:pP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Senator TROOD</w:t>
      </w:r>
      <w:r w:rsidRPr="000C48DE">
        <w:rPr>
          <w:szCs w:val="22"/>
        </w:rPr>
        <w:t>—</w:t>
      </w:r>
      <w:r w:rsidRPr="000C48DE">
        <w:rPr>
          <w:szCs w:val="22"/>
        </w:rPr>
        <w:t>That</w:t>
      </w:r>
      <w:r w:rsidRPr="000C48DE">
        <w:rPr>
          <w:szCs w:val="22"/>
        </w:rPr>
        <w:t xml:space="preserve"> is a correct understanding of the situation? Okay. Just quickly, and categories might be satisfactory: what categories is the administration usually spent on? I mean categories of expenditure.</w:t>
      </w: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Mr Chesterfield</w:t>
      </w:r>
      <w:r w:rsidRPr="000C48DE">
        <w:rPr>
          <w:szCs w:val="22"/>
        </w:rPr>
        <w:t>—About 75 per cent of the expenditure is staffing. Then, obviously, there are things that are related to staffing, like office accommodation. There is a small amount of travel—about $300,000 of the total expenditure—and that is to travel largely to visit claims in Australia and perhaps one overseas trip a year to check out claims overseas.</w:t>
      </w: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Senator TROOD</w:t>
      </w:r>
      <w:r w:rsidRPr="000C48DE">
        <w:rPr>
          <w:szCs w:val="22"/>
        </w:rPr>
        <w:t>—They are spread across the agency. Is that right?</w:t>
      </w: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Mr Chesterfield</w:t>
      </w:r>
      <w:r w:rsidRPr="000C48DE">
        <w:rPr>
          <w:szCs w:val="22"/>
        </w:rPr>
        <w:t>—No. That is specific to staff that work with me on the EMDG scheme.</w:t>
      </w: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Senator TROOD</w:t>
      </w:r>
      <w:r w:rsidRPr="000C48DE">
        <w:rPr>
          <w:szCs w:val="22"/>
        </w:rPr>
        <w:t>—I see. How many staff is that?</w:t>
      </w:r>
    </w:p>
    <w:p w:rsidR="00031793" w:rsidRPr="000C48DE" w:rsidP="00031793">
      <w:pPr>
        <w:spacing w:after="120"/>
        <w:rPr>
          <w:szCs w:val="22"/>
        </w:rPr>
      </w:pPr>
      <w:r w:rsidRPr="000C48DE">
        <w:rPr>
          <w:b/>
          <w:bCs/>
          <w:szCs w:val="22"/>
        </w:rPr>
        <w:t>Mr Chesterfield</w:t>
      </w:r>
      <w:r w:rsidRPr="000C48DE">
        <w:rPr>
          <w:szCs w:val="22"/>
        </w:rPr>
        <w:t>—I would have to check that precisely, but I think it is around about 60 at the moment.</w:t>
      </w:r>
    </w:p>
    <w:p w:rsidR="00031793" w:rsidRPr="000C48DE" w:rsidP="00031793">
      <w:pPr>
        <w:rPr>
          <w:szCs w:val="22"/>
        </w:rPr>
      </w:pPr>
    </w:p>
    <w:p w:rsidR="00031793" w:rsidRPr="000C48DE" w:rsidP="00031793">
      <w:pPr>
        <w:outlineLvl w:val="0"/>
        <w:rPr>
          <w:b/>
          <w:bCs/>
          <w:szCs w:val="22"/>
          <w:u w:val="single"/>
        </w:rPr>
      </w:pPr>
      <w:r w:rsidRPr="000C48DE">
        <w:rPr>
          <w:b/>
          <w:bCs/>
          <w:szCs w:val="22"/>
          <w:u w:val="single"/>
        </w:rPr>
        <w:t>Answer</w:t>
      </w:r>
    </w:p>
    <w:p w:rsidR="00031793" w:rsidRPr="000C48DE" w:rsidP="00031793">
      <w:pPr>
        <w:rPr>
          <w:szCs w:val="22"/>
        </w:rPr>
      </w:pPr>
    </w:p>
    <w:p w:rsidR="00031793" w:rsidRPr="000C48DE" w:rsidP="00031793">
      <w:pPr>
        <w:rPr>
          <w:szCs w:val="22"/>
        </w:rPr>
      </w:pPr>
      <w:r w:rsidRPr="000C48DE">
        <w:rPr>
          <w:szCs w:val="22"/>
        </w:rPr>
        <w:t>As at 31 October 2009 EMDG staff numbers were:</w:t>
      </w:r>
    </w:p>
    <w:p w:rsidR="00031793" w:rsidRPr="000C48DE" w:rsidP="00031793">
      <w:pPr>
        <w:numPr>
          <w:ilvl w:val="0"/>
          <w:numId w:val="1"/>
        </w:numPr>
        <w:rPr>
          <w:szCs w:val="22"/>
        </w:rPr>
      </w:pPr>
      <w:r w:rsidRPr="000C48DE">
        <w:rPr>
          <w:szCs w:val="22"/>
        </w:rPr>
        <w:t>56.68 full-time equivalent staff (ongoing)</w:t>
      </w:r>
    </w:p>
    <w:p w:rsidR="00031793" w:rsidRPr="000C48DE" w:rsidP="00031793">
      <w:pPr>
        <w:numPr>
          <w:ilvl w:val="0"/>
          <w:numId w:val="1"/>
        </w:numPr>
        <w:rPr>
          <w:szCs w:val="22"/>
        </w:rPr>
      </w:pPr>
      <w:r w:rsidRPr="000C48DE">
        <w:rPr>
          <w:szCs w:val="22"/>
        </w:rPr>
        <w:t>10.4 non-ongoing staff (specified task)</w:t>
      </w:r>
    </w:p>
    <w:p w:rsidR="00031793" w:rsidRPr="000C48DE" w:rsidP="00031793">
      <w:pPr>
        <w:numPr>
          <w:ilvl w:val="0"/>
          <w:numId w:val="1"/>
        </w:numPr>
        <w:rPr>
          <w:szCs w:val="22"/>
        </w:rPr>
      </w:pPr>
      <w:r w:rsidRPr="000C48DE">
        <w:rPr>
          <w:szCs w:val="22"/>
        </w:rPr>
        <w:t>3 non-ongoing staff (specified term)</w:t>
      </w:r>
      <w:r w:rsidR="00B64378">
        <w:rPr>
          <w:szCs w:val="22"/>
        </w:rPr>
        <w:t>.</w:t>
      </w:r>
    </w:p>
    <w:p w:rsidR="00031793" w:rsidRPr="000C48DE" w:rsidP="00031793">
      <w:pPr>
        <w:rPr>
          <w:szCs w:val="22"/>
        </w:rPr>
      </w:pPr>
    </w:p>
    <w:p w:rsidR="00031793" w:rsidRPr="000C48DE" w:rsidP="00031793">
      <w:pPr>
        <w:rPr>
          <w:szCs w:val="22"/>
        </w:rPr>
      </w:pPr>
    </w:p>
    <w:p w:rsidR="00031793" w:rsidRPr="000C48DE" w:rsidP="00031793">
      <w:pPr>
        <w:autoSpaceDE w:val="0"/>
        <w:autoSpaceDN w:val="0"/>
        <w:adjustRightInd w:val="0"/>
        <w:rPr>
          <w:b/>
          <w:bCs/>
          <w:szCs w:val="22"/>
          <w:u w:val="single"/>
          <w:lang w:eastAsia="en-AU"/>
        </w:rPr>
      </w:pPr>
      <w:r w:rsidRPr="000C48DE">
        <w:rPr>
          <w:b/>
          <w:bCs/>
          <w:szCs w:val="22"/>
          <w:u w:val="single"/>
          <w:lang w:eastAsia="en-AU"/>
        </w:rPr>
        <w:t>Question 2</w:t>
      </w:r>
    </w:p>
    <w:p w:rsidR="00031793" w:rsidRPr="000C48DE" w:rsidP="00031793">
      <w:pPr>
        <w:autoSpaceDE w:val="0"/>
        <w:autoSpaceDN w:val="0"/>
        <w:adjustRightInd w:val="0"/>
        <w:rPr>
          <w:b/>
          <w:bCs/>
          <w:szCs w:val="22"/>
          <w:lang w:eastAsia="en-AU"/>
        </w:rPr>
      </w:pPr>
    </w:p>
    <w:p w:rsidR="00031793" w:rsidRPr="000C48DE" w:rsidP="00031793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Outcome 1</w:t>
      </w:r>
      <w:r w:rsidRPr="000C48DE" w:rsidR="000C48DE">
        <w:rPr>
          <w:bCs/>
          <w:szCs w:val="22"/>
          <w:lang w:eastAsia="en-AU"/>
        </w:rPr>
        <w:t>,</w:t>
      </w:r>
      <w:r w:rsidRPr="000C48DE">
        <w:rPr>
          <w:bCs/>
          <w:szCs w:val="22"/>
          <w:lang w:eastAsia="en-AU"/>
        </w:rPr>
        <w:t xml:space="preserve"> </w:t>
      </w:r>
      <w:r w:rsidRPr="000C48DE" w:rsidR="000C48DE">
        <w:rPr>
          <w:bCs/>
          <w:szCs w:val="22"/>
          <w:lang w:eastAsia="en-AU"/>
        </w:rPr>
        <w:t>p</w:t>
      </w:r>
      <w:r w:rsidRPr="000C48DE">
        <w:rPr>
          <w:bCs/>
          <w:szCs w:val="22"/>
          <w:lang w:eastAsia="en-AU"/>
        </w:rPr>
        <w:t>rogram 1.1</w:t>
      </w:r>
    </w:p>
    <w:p w:rsidR="00031793" w:rsidRPr="000C48DE" w:rsidP="00031793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Topic: Cutler Review of the national innovation system</w:t>
      </w:r>
    </w:p>
    <w:p w:rsidR="00031793" w:rsidRPr="000C48DE" w:rsidP="00031793">
      <w:pPr>
        <w:autoSpaceDE w:val="0"/>
        <w:autoSpaceDN w:val="0"/>
        <w:adjustRightInd w:val="0"/>
        <w:rPr>
          <w:bCs/>
          <w:szCs w:val="22"/>
          <w:lang w:eastAsia="en-AU"/>
        </w:rPr>
      </w:pPr>
      <w:r w:rsidRPr="000C48DE">
        <w:rPr>
          <w:bCs/>
          <w:szCs w:val="22"/>
          <w:lang w:eastAsia="en-AU"/>
        </w:rPr>
        <w:t>Hansard, 22Oct09, Page 114</w:t>
      </w:r>
    </w:p>
    <w:p w:rsidR="00031793" w:rsidRPr="000C48DE" w:rsidP="00DA069B">
      <w:pPr>
        <w:autoSpaceDE w:val="0"/>
        <w:autoSpaceDN w:val="0"/>
        <w:adjustRightInd w:val="0"/>
        <w:rPr>
          <w:b/>
          <w:bCs/>
          <w:szCs w:val="22"/>
          <w:lang w:eastAsia="en-AU"/>
        </w:rPr>
      </w:pP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Senator ABETZ</w:t>
      </w:r>
      <w:r w:rsidRPr="000C48DE">
        <w:rPr>
          <w:szCs w:val="22"/>
          <w:lang w:eastAsia="en-AU"/>
        </w:rPr>
        <w:t>—</w:t>
      </w:r>
      <w:bookmarkStart w:id="0" w:name="OLE_LINK3"/>
      <w:r w:rsidRPr="000C48DE">
        <w:rPr>
          <w:szCs w:val="22"/>
          <w:lang w:eastAsia="en-AU"/>
        </w:rPr>
        <w:t xml:space="preserve">I understand Austrade made a submission </w:t>
      </w:r>
      <w:bookmarkEnd w:id="0"/>
      <w:r w:rsidRPr="000C48DE">
        <w:rPr>
          <w:szCs w:val="22"/>
          <w:lang w:eastAsia="en-AU"/>
        </w:rPr>
        <w:t>to the review of the national innovation</w:t>
      </w:r>
      <w:r w:rsidRPr="000C48DE" w:rsidR="00E749E3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system. Is that correct?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Mr Yuile</w:t>
      </w:r>
      <w:r w:rsidRPr="000C48DE">
        <w:rPr>
          <w:szCs w:val="22"/>
          <w:lang w:eastAsia="en-AU"/>
        </w:rPr>
        <w:t>—I would need to check that.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Senator ABETZ</w:t>
      </w:r>
      <w:r w:rsidRPr="000C48DE">
        <w:rPr>
          <w:szCs w:val="22"/>
          <w:lang w:eastAsia="en-AU"/>
        </w:rPr>
        <w:t>—Nobody can help us? It is a fairly discrete and special area, so I am not critical if there is</w:t>
      </w:r>
      <w:r w:rsidRPr="000C48DE" w:rsidR="00833FDD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nobody to help in this area.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Mr Yuile</w:t>
      </w:r>
      <w:r w:rsidRPr="000C48DE">
        <w:rPr>
          <w:szCs w:val="22"/>
          <w:lang w:eastAsia="en-AU"/>
        </w:rPr>
        <w:t>—I am sorry: I do not recall, Senator. But I can take that on notice.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Senator ABETZ</w:t>
      </w:r>
      <w:r w:rsidRPr="000C48DE">
        <w:rPr>
          <w:szCs w:val="22"/>
          <w:lang w:eastAsia="en-AU"/>
        </w:rPr>
        <w:t>—All right. In that case, if we do not have anybody here, I will rattle off a few quick</w:t>
      </w:r>
      <w:r w:rsidRPr="000C48DE" w:rsidR="00833FDD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questions. One, did Austrade make a submission to the review of the national innovation system? Dr Terry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 xml:space="preserve">Cutler reported and that report was entitled </w:t>
      </w:r>
      <w:r w:rsidRPr="000C48DE">
        <w:rPr>
          <w:i/>
          <w:iCs/>
          <w:szCs w:val="22"/>
          <w:lang w:eastAsia="en-AU"/>
        </w:rPr>
        <w:t>Venturous Australia</w:t>
      </w:r>
      <w:r w:rsidRPr="000C48DE">
        <w:rPr>
          <w:szCs w:val="22"/>
          <w:lang w:eastAsia="en-AU"/>
        </w:rPr>
        <w:t xml:space="preserve">. </w:t>
      </w:r>
      <w:r w:rsidRPr="000C48DE">
        <w:rPr>
          <w:szCs w:val="22"/>
          <w:lang w:eastAsia="en-AU"/>
        </w:rPr>
        <w:t>Recommendation 9.1 stated certain matters,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which I will not detail at the moment. I understand Austrade put in a response to that recommendation and it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related to the competitive innovation grants program. The Austrade response was that Austrade supported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recommendation 9.1 of the report on the review of the national innovation system. I was wondering if you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could confirm that. Then could you confirm whether Austrade gave reasoning and rationale further and beyond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that as to why it supported, if it indeed did, recommendation 9.1 of the report on the review of the national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innovation system? Could you confirm whether, in their support of that, they were supportive of the former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Commercial Ready program, which was instrumental for many companies to obtain the necessary matching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funds so as to secure longer term equity investments? Did Austrade also reference a company called Prima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BioMed, which is a company that I think Dr Ian Frazer is involved with and that is responsible for developing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a ovarian cancer vaccine? Did it then have to scrap that as a result of the abolition of Commercial Ready at the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time? That gives you a flavour. If you could come back to me on notice, given nobody is here—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Mr Yuile</w:t>
      </w:r>
      <w:r w:rsidRPr="000C48DE">
        <w:rPr>
          <w:szCs w:val="22"/>
          <w:lang w:eastAsia="en-AU"/>
        </w:rPr>
        <w:t>—Senator, thank you. I am certainly aware of the Cutler review and of the conclusion of the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Commercial Ready scheme. I think the recent announcement of a replacement scheme or a scheme relating to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innovation—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Senator ABETZ</w:t>
      </w:r>
      <w:r w:rsidRPr="000C48DE">
        <w:rPr>
          <w:szCs w:val="22"/>
          <w:lang w:eastAsia="en-AU"/>
        </w:rPr>
        <w:t>—I was going to say hardly a replacement, but I accept that nuancing.</w:t>
      </w:r>
    </w:p>
    <w:p w:rsidR="00867365" w:rsidRPr="000C48DE" w:rsidP="00833FDD">
      <w:pPr>
        <w:autoSpaceDE w:val="0"/>
        <w:autoSpaceDN w:val="0"/>
        <w:adjustRightInd w:val="0"/>
        <w:spacing w:after="12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Mr Yuile</w:t>
      </w:r>
      <w:r w:rsidRPr="000C48DE">
        <w:rPr>
          <w:szCs w:val="22"/>
          <w:lang w:eastAsia="en-AU"/>
        </w:rPr>
        <w:t>—Sorry, a new program. I was not aware of this line of questioning, so I am apologising that we</w:t>
      </w:r>
      <w:r w:rsidRPr="000C48DE" w:rsidR="00DA069B">
        <w:rPr>
          <w:szCs w:val="22"/>
          <w:lang w:eastAsia="en-AU"/>
        </w:rPr>
        <w:t xml:space="preserve"> </w:t>
      </w:r>
      <w:r w:rsidRPr="000C48DE">
        <w:rPr>
          <w:szCs w:val="22"/>
          <w:lang w:eastAsia="en-AU"/>
        </w:rPr>
        <w:t>do not have that very specific detail, but we will follow that up.</w:t>
      </w:r>
    </w:p>
    <w:p w:rsidR="00867365" w:rsidRPr="000C48DE" w:rsidP="00867365">
      <w:pPr>
        <w:autoSpaceDE w:val="0"/>
        <w:autoSpaceDN w:val="0"/>
        <w:adjustRightInd w:val="0"/>
        <w:rPr>
          <w:szCs w:val="22"/>
          <w:lang w:eastAsia="en-AU"/>
        </w:rPr>
      </w:pPr>
      <w:r w:rsidRPr="000C48DE">
        <w:rPr>
          <w:b/>
          <w:bCs/>
          <w:szCs w:val="22"/>
          <w:lang w:eastAsia="en-AU"/>
        </w:rPr>
        <w:t>Senator ABETZ</w:t>
      </w:r>
      <w:r w:rsidRPr="000C48DE">
        <w:rPr>
          <w:szCs w:val="22"/>
          <w:lang w:eastAsia="en-AU"/>
        </w:rPr>
        <w:t>—I accept that and I look forward to the answers. Thank you.</w:t>
      </w:r>
    </w:p>
    <w:p w:rsidR="00B20CB6" w:rsidRPr="000C48DE" w:rsidP="00B20CB6">
      <w:pPr>
        <w:rPr>
          <w:sz w:val="28"/>
        </w:rPr>
      </w:pPr>
    </w:p>
    <w:p w:rsidR="00DA069B" w:rsidRPr="000C48DE" w:rsidP="00DA069B">
      <w:pPr>
        <w:outlineLvl w:val="0"/>
        <w:rPr>
          <w:b/>
          <w:bCs/>
          <w:szCs w:val="22"/>
          <w:u w:val="single"/>
        </w:rPr>
      </w:pPr>
      <w:r w:rsidRPr="000C48DE">
        <w:rPr>
          <w:b/>
          <w:bCs/>
          <w:szCs w:val="22"/>
          <w:u w:val="single"/>
        </w:rPr>
        <w:t>Answer</w:t>
      </w:r>
    </w:p>
    <w:p w:rsidR="00DA069B" w:rsidRPr="000C48DE" w:rsidP="00B20CB6">
      <w:pPr>
        <w:rPr>
          <w:sz w:val="28"/>
        </w:rPr>
      </w:pPr>
    </w:p>
    <w:p w:rsidR="00B56FA3" w:rsidRPr="000C48DE" w:rsidP="00B56FA3">
      <w:pPr>
        <w:rPr>
          <w:szCs w:val="22"/>
        </w:rPr>
      </w:pPr>
      <w:r w:rsidRPr="000C48DE">
        <w:rPr>
          <w:szCs w:val="22"/>
        </w:rPr>
        <w:t>Austrade did not make a submission to the review of the national innovation system.</w:t>
      </w:r>
    </w:p>
    <w:p w:rsidR="00B56FA3" w:rsidRPr="000C48DE" w:rsidP="00B56FA3">
      <w:pPr>
        <w:rPr>
          <w:szCs w:val="22"/>
        </w:rPr>
      </w:pPr>
    </w:p>
    <w:p w:rsidR="00B56FA3" w:rsidRPr="000C48DE" w:rsidP="00B56FA3">
      <w:pPr>
        <w:rPr>
          <w:szCs w:val="22"/>
        </w:rPr>
      </w:pPr>
      <w:r w:rsidRPr="000C48DE">
        <w:rPr>
          <w:szCs w:val="22"/>
        </w:rPr>
        <w:t xml:space="preserve">In regard to the report, </w:t>
      </w:r>
      <w:r w:rsidRPr="000C48DE">
        <w:rPr>
          <w:i/>
          <w:szCs w:val="22"/>
        </w:rPr>
        <w:t>Venturous Australia</w:t>
      </w:r>
      <w:r w:rsidRPr="000C48DE">
        <w:rPr>
          <w:szCs w:val="22"/>
        </w:rPr>
        <w:t>, Austrade provided comments on recommendation 9.1 to the Department of Innovation, Industry, Science and Research (DIISR).</w:t>
      </w:r>
    </w:p>
    <w:p w:rsidR="00B56FA3" w:rsidRPr="000C48DE" w:rsidP="00B56FA3">
      <w:pPr>
        <w:rPr>
          <w:szCs w:val="22"/>
        </w:rPr>
      </w:pPr>
    </w:p>
    <w:p w:rsidR="00B56FA3" w:rsidRPr="000C48DE" w:rsidP="00B56FA3">
      <w:pPr>
        <w:rPr>
          <w:szCs w:val="22"/>
        </w:rPr>
      </w:pPr>
      <w:r w:rsidRPr="000C48DE">
        <w:rPr>
          <w:szCs w:val="22"/>
        </w:rPr>
        <w:t xml:space="preserve">Austrade did see advantage in a competitive innovation grants program as reflected in recommendation 9.1 and as established through the new </w:t>
      </w:r>
      <w:bookmarkStart w:id="1" w:name="OLE_LINK1"/>
      <w:bookmarkStart w:id="2" w:name="OLE_LINK2"/>
      <w:r w:rsidRPr="000C48DE">
        <w:rPr>
          <w:szCs w:val="22"/>
        </w:rPr>
        <w:t xml:space="preserve">Commercialisation Australia </w:t>
      </w:r>
      <w:bookmarkEnd w:id="1"/>
      <w:bookmarkEnd w:id="2"/>
      <w:r w:rsidRPr="000C48DE">
        <w:rPr>
          <w:szCs w:val="22"/>
        </w:rPr>
        <w:t>program.  Austrade also passed to DIISR case study material based on information provided by certain companies, including Prima Biomed.</w:t>
      </w:r>
    </w:p>
    <w:sectPr w:rsidSect="00F17C94">
      <w:headerReference w:type="default" r:id="rId4"/>
      <w:footerReference w:type="default" r:id="rId5"/>
      <w:pgSz w:w="11906" w:h="16838" w:code="9"/>
      <w:pgMar w:top="1440" w:right="1304" w:bottom="1440" w:left="1531" w:header="720" w:footer="720" w:gutter="0"/>
      <w:pgNumType w:start="7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78</w:t>
    </w:r>
    <w:r>
      <w:rPr>
        <w:noProof/>
      </w:rPr>
      <w:fldChar w:fldCharType="end"/>
    </w:r>
  </w:p>
  <w:p w:rsidR="00D36B5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9B2" w:rsidRPr="00C46C90" w:rsidP="00DA069B">
    <w:pPr>
      <w:tabs>
        <w:tab w:val="left" w:pos="720"/>
      </w:tabs>
      <w:jc w:val="center"/>
      <w:rPr>
        <w:b/>
      </w:rPr>
    </w:pPr>
    <w:r w:rsidRPr="00C46C90">
      <w:rPr>
        <w:b/>
      </w:rPr>
      <w:t>Senate Foreign Affairs, Defence and Trade Legislation Committee</w:t>
    </w:r>
  </w:p>
  <w:p w:rsidR="001D59B2" w:rsidRPr="00C46C90" w:rsidP="00DA069B">
    <w:pPr>
      <w:pStyle w:val="Header"/>
      <w:jc w:val="center"/>
    </w:pPr>
    <w:r w:rsidRPr="00C46C90">
      <w:t>Budget</w:t>
    </w:r>
    <w:r>
      <w:t xml:space="preserve"> </w:t>
    </w:r>
    <w:r w:rsidRPr="00F17C94">
      <w:rPr>
        <w:u w:val="single"/>
      </w:rPr>
      <w:t>s</w:t>
    </w:r>
    <w:r w:rsidRPr="00F17C94">
      <w:rPr>
        <w:u w:val="single"/>
      </w:rPr>
      <w:t>upplementary</w:t>
    </w:r>
    <w:r>
      <w:t xml:space="preserve"> </w:t>
    </w:r>
    <w:r>
      <w:t>e</w:t>
    </w:r>
    <w:r w:rsidRPr="00C46C90">
      <w:t xml:space="preserve">stimates 2009-2010; </w:t>
    </w:r>
    <w:r>
      <w:t>22 October</w:t>
    </w:r>
    <w:r w:rsidRPr="00C46C90">
      <w:t xml:space="preserve"> 2009</w:t>
    </w:r>
  </w:p>
  <w:p w:rsidR="001D59B2" w:rsidRPr="00C46C90" w:rsidP="00DA069B">
    <w:pPr>
      <w:pStyle w:val="Header"/>
      <w:jc w:val="center"/>
    </w:pPr>
    <w:r>
      <w:t>Answers to q</w:t>
    </w:r>
    <w:r w:rsidRPr="00C46C90">
      <w:t xml:space="preserve">uestions on </w:t>
    </w:r>
    <w:r>
      <w:t>n</w:t>
    </w:r>
    <w:r w:rsidRPr="00C46C90">
      <w:t xml:space="preserve">otice </w:t>
    </w:r>
    <w:r>
      <w:t xml:space="preserve">from </w:t>
    </w:r>
    <w:r>
      <w:rPr>
        <w:u w:val="single"/>
      </w:rPr>
      <w:t>Austrade</w:t>
    </w:r>
  </w:p>
  <w:p w:rsidR="001D59B2">
    <w:pPr>
      <w:pStyle w:val="Header"/>
    </w:pPr>
  </w:p>
  <w:p w:rsidR="000C4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659E"/>
    <w:multiLevelType w:val="hybridMultilevel"/>
    <w:tmpl w:val="6538A5D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7B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B07B0"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B07B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B07B0"/>
    <w:pPr>
      <w:keepNext/>
      <w:outlineLvl w:val="2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07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B07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DA069B"/>
    <w:rPr>
      <w:sz w:val="24"/>
      <w:lang w:val="en-AU" w:eastAsia="en-US" w:bidi="ar-SA"/>
    </w:rPr>
  </w:style>
  <w:style w:type="paragraph" w:styleId="BalloonText">
    <w:name w:val="Balloon Text"/>
    <w:basedOn w:val="Normal"/>
    <w:semiHidden/>
    <w:rsid w:val="00311D0A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B56FA3"/>
    <w:pPr>
      <w:spacing w:after="160" w:line="240" w:lineRule="exact"/>
    </w:pPr>
    <w:rPr>
      <w:rFonts w:ascii="Verdana" w:hAnsi="Verdana"/>
      <w:sz w:val="20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6B58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711</Words>
  <Characters>3527</Characters>
  <Application>Microsoft Office Word</Application>
  <DocSecurity>0</DocSecurity>
  <Lines>83</Lines>
  <Paragraphs>31</Paragraphs>
  <ScaleCrop>false</ScaleCrop>
  <Company>Australian Trade Commission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Affairs and Trade portfolio: Budget supplementary estimates 2009-2010 — October 2009</dc:title>
  <dc:subject>Budget supplementary estimates: 2009-2010 — October 2009</dc:subject>
  <cp:lastModifiedBy>corriganp</cp:lastModifiedBy>
  <cp:revision>6</cp:revision>
  <cp:lastPrinted>2009-11-20T01:06:00Z</cp:lastPrinted>
  <dcterms:created xsi:type="dcterms:W3CDTF">2009-12-15T05:38:00Z</dcterms:created>
  <dcterms:modified xsi:type="dcterms:W3CDTF">2010-01-12T04:34:00Z</dcterms:modified>
</cp:coreProperties>
</file>