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5.xml" ContentType="application/vnd.openxmlformats-officedocument.wordprocessingml.header+xml"/>
  <Override PartName="/word/footer57.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4.xml" ContentType="application/vnd.openxmlformats-officedocument.wordprocessingml.header+xml"/>
  <Override PartName="/word/footer66.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7.xml" ContentType="application/vnd.openxmlformats-officedocument.wordprocessingml.header+xml"/>
  <Override PartName="/word/footer6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0.xml" ContentType="application/vnd.openxmlformats-officedocument.wordprocessingml.header+xml"/>
  <Override PartName="/word/footer72.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3.xml" ContentType="application/vnd.openxmlformats-officedocument.wordprocessingml.header+xml"/>
  <Override PartName="/word/footer75.xml" ContentType="application/vnd.openxmlformats-officedocument.wordprocessingml.footer+xml"/>
  <Override PartName="/word/header74.xml" ContentType="application/vnd.openxmlformats-officedocument.wordprocessingml.header+xml"/>
  <Override PartName="/word/footer76.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7.xml" ContentType="application/vnd.openxmlformats-officedocument.wordprocessingml.header+xml"/>
  <Override PartName="/word/footer79.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0.xml" ContentType="application/vnd.openxmlformats-officedocument.wordprocessingml.header+xml"/>
  <Override PartName="/word/footer82.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3.xml" ContentType="application/vnd.openxmlformats-officedocument.wordprocessingml.header+xml"/>
  <Override PartName="/word/footer85.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6.xml" ContentType="application/vnd.openxmlformats-officedocument.wordprocessingml.header+xml"/>
  <Override PartName="/word/footer88.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89.xml" ContentType="application/vnd.openxmlformats-officedocument.wordprocessingml.header+xml"/>
  <Override PartName="/word/footer91.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2.xml" ContentType="application/vnd.openxmlformats-officedocument.wordprocessingml.header+xml"/>
  <Override PartName="/word/footer94.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5.xml" ContentType="application/vnd.openxmlformats-officedocument.wordprocessingml.header+xml"/>
  <Override PartName="/word/footer97.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98.xml" ContentType="application/vnd.openxmlformats-officedocument.wordprocessingml.header+xml"/>
  <Override PartName="/word/footer100.xml" ContentType="application/vnd.openxmlformats-officedocument.wordprocessingml.footer+xml"/>
  <Override PartName="/word/header99.xml" ContentType="application/vnd.openxmlformats-officedocument.wordprocessingml.header+xml"/>
  <Override PartName="/word/footer101.xml" ContentType="application/vnd.openxmlformats-officedocument.wordprocessingml.footer+xml"/>
  <Override PartName="/word/header100.xml" ContentType="application/vnd.openxmlformats-officedocument.wordprocessingml.header+xml"/>
  <Override PartName="/word/footer102.xml" ContentType="application/vnd.openxmlformats-officedocument.wordprocessingml.footer+xml"/>
  <Override PartName="/word/header101.xml" ContentType="application/vnd.openxmlformats-officedocument.wordprocessingml.header+xml"/>
  <Override PartName="/word/footer103.xml" ContentType="application/vnd.openxmlformats-officedocument.wordprocessingml.footer+xml"/>
  <Override PartName="/word/header102.xml" ContentType="application/vnd.openxmlformats-officedocument.wordprocessingml.header+xml"/>
  <Override PartName="/word/footer10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99" w:rsidRPr="005D122F" w:rsidRDefault="00C46699" w:rsidP="00C46699">
      <w:pPr>
        <w:pStyle w:val="Level3"/>
        <w:numPr>
          <w:ilvl w:val="0"/>
          <w:numId w:val="0"/>
        </w:numPr>
      </w:pPr>
      <w:bookmarkStart w:id="0" w:name="_Toc498509230"/>
    </w:p>
    <w:p w:rsidR="00C46699" w:rsidRPr="005D122F" w:rsidRDefault="00C46699" w:rsidP="00C46699">
      <w:pPr>
        <w:ind w:left="1920"/>
        <w:rPr>
          <w:sz w:val="36"/>
        </w:rPr>
      </w:pPr>
      <w:r w:rsidRPr="005D122F">
        <w:rPr>
          <w:sz w:val="36"/>
        </w:rPr>
        <w:t>The Senate</w:t>
      </w:r>
    </w:p>
    <w:p w:rsidR="00C46699" w:rsidRPr="005D122F" w:rsidRDefault="00C46699" w:rsidP="00C46699">
      <w:pPr>
        <w:pStyle w:val="Level3"/>
        <w:numPr>
          <w:ilvl w:val="0"/>
          <w:numId w:val="0"/>
        </w:numPr>
      </w:pPr>
    </w:p>
    <w:p w:rsidR="00C46699" w:rsidRPr="005D122F" w:rsidRDefault="00C46699" w:rsidP="00C46699">
      <w:pPr>
        <w:pStyle w:val="Level3"/>
        <w:numPr>
          <w:ilvl w:val="0"/>
          <w:numId w:val="0"/>
        </w:numPr>
      </w:pPr>
    </w:p>
    <w:p w:rsidR="00C46699" w:rsidRPr="005D122F" w:rsidRDefault="00C46699" w:rsidP="00C46699">
      <w:pPr>
        <w:pStyle w:val="Level3"/>
        <w:numPr>
          <w:ilvl w:val="0"/>
          <w:numId w:val="0"/>
        </w:numPr>
      </w:pPr>
    </w:p>
    <w:p w:rsidR="00C46699" w:rsidRPr="005D122F" w:rsidRDefault="00C46699" w:rsidP="00C46699">
      <w:pPr>
        <w:pStyle w:val="Level3"/>
        <w:numPr>
          <w:ilvl w:val="0"/>
          <w:numId w:val="0"/>
        </w:numPr>
      </w:pPr>
    </w:p>
    <w:p w:rsidR="00C46699" w:rsidRPr="005D122F" w:rsidRDefault="00C46699" w:rsidP="00C46699">
      <w:pPr>
        <w:pStyle w:val="Level3"/>
        <w:numPr>
          <w:ilvl w:val="0"/>
          <w:numId w:val="0"/>
        </w:numPr>
        <w:tabs>
          <w:tab w:val="left" w:pos="1920"/>
        </w:tabs>
        <w:ind w:right="866"/>
        <w:jc w:val="left"/>
      </w:pPr>
    </w:p>
    <w:p w:rsidR="00C46699" w:rsidRPr="005D122F" w:rsidRDefault="00C46699" w:rsidP="00C46699">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C46699" w:rsidRPr="005D122F" w:rsidRDefault="00C46699" w:rsidP="00C46699">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C46699" w:rsidRPr="005D122F" w:rsidRDefault="00C46699" w:rsidP="00C46699">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13</w:t>
      </w:r>
      <w:r w:rsidRPr="005D122F">
        <w:rPr>
          <w:sz w:val="36"/>
          <w:szCs w:val="36"/>
        </w:rPr>
        <w:t xml:space="preserve"> of 2017</w:t>
      </w:r>
    </w:p>
    <w:p w:rsidR="00C46699" w:rsidRPr="005D122F" w:rsidRDefault="00C46699" w:rsidP="00C46699">
      <w:pPr>
        <w:tabs>
          <w:tab w:val="left" w:pos="8789"/>
        </w:tabs>
        <w:spacing w:before="600" w:after="0" w:line="480" w:lineRule="exact"/>
        <w:ind w:left="1922" w:right="237"/>
        <w:jc w:val="left"/>
        <w:rPr>
          <w:sz w:val="24"/>
          <w:szCs w:val="24"/>
        </w:rPr>
      </w:pPr>
    </w:p>
    <w:p w:rsidR="00C46699" w:rsidRPr="005D122F" w:rsidRDefault="00C46699" w:rsidP="00C46699">
      <w:pPr>
        <w:tabs>
          <w:tab w:val="left" w:pos="8789"/>
        </w:tabs>
        <w:spacing w:before="600" w:after="0" w:line="240" w:lineRule="exact"/>
        <w:ind w:left="1922" w:right="238"/>
        <w:jc w:val="left"/>
        <w:rPr>
          <w:sz w:val="24"/>
          <w:szCs w:val="24"/>
        </w:rPr>
      </w:pPr>
    </w:p>
    <w:p w:rsidR="00C46699" w:rsidRPr="005D122F" w:rsidRDefault="00C46699" w:rsidP="00C46699">
      <w:pPr>
        <w:tabs>
          <w:tab w:val="left" w:pos="8789"/>
        </w:tabs>
        <w:spacing w:after="0" w:line="240" w:lineRule="exact"/>
        <w:ind w:left="1922" w:right="238"/>
        <w:jc w:val="left"/>
        <w:rPr>
          <w:sz w:val="24"/>
          <w:szCs w:val="24"/>
        </w:rPr>
      </w:pPr>
    </w:p>
    <w:p w:rsidR="00C46699" w:rsidRPr="005D122F" w:rsidRDefault="00C46699" w:rsidP="00C46699">
      <w:pPr>
        <w:rPr>
          <w:sz w:val="18"/>
        </w:rPr>
      </w:pPr>
    </w:p>
    <w:p w:rsidR="00C46699" w:rsidRPr="005D122F" w:rsidRDefault="00C46699" w:rsidP="00C46699">
      <w:pPr>
        <w:rPr>
          <w:sz w:val="18"/>
        </w:rPr>
      </w:pPr>
    </w:p>
    <w:p w:rsidR="00C46699" w:rsidRPr="005D122F" w:rsidRDefault="00C46699" w:rsidP="00C46699">
      <w:pPr>
        <w:rPr>
          <w:sz w:val="18"/>
        </w:rPr>
      </w:pPr>
    </w:p>
    <w:p w:rsidR="00C46699" w:rsidRPr="005D122F" w:rsidRDefault="00C46699" w:rsidP="00C46699">
      <w:pPr>
        <w:rPr>
          <w:sz w:val="18"/>
        </w:rPr>
      </w:pPr>
    </w:p>
    <w:p w:rsidR="00C46699" w:rsidRPr="005D122F" w:rsidRDefault="00C46699" w:rsidP="00C46699">
      <w:pPr>
        <w:rPr>
          <w:sz w:val="18"/>
        </w:rPr>
      </w:pPr>
    </w:p>
    <w:p w:rsidR="00C46699" w:rsidRPr="005D122F" w:rsidRDefault="00C46699" w:rsidP="00C46699">
      <w:pPr>
        <w:rPr>
          <w:sz w:val="18"/>
        </w:rPr>
      </w:pPr>
    </w:p>
    <w:p w:rsidR="00C46699" w:rsidRPr="005D122F" w:rsidRDefault="00C46699" w:rsidP="00C46699">
      <w:pPr>
        <w:tabs>
          <w:tab w:val="right" w:pos="8789"/>
        </w:tabs>
        <w:spacing w:after="0"/>
        <w:jc w:val="left"/>
        <w:rPr>
          <w:rFonts w:cs="Calibri"/>
          <w:sz w:val="28"/>
        </w:rPr>
      </w:pPr>
      <w:r w:rsidRPr="005D122F">
        <w:rPr>
          <w:sz w:val="28"/>
        </w:rPr>
        <w:tab/>
      </w:r>
      <w:r>
        <w:rPr>
          <w:sz w:val="28"/>
        </w:rPr>
        <w:t>15</w:t>
      </w:r>
      <w:r w:rsidRPr="005D122F">
        <w:rPr>
          <w:sz w:val="28"/>
        </w:rPr>
        <w:t xml:space="preserve"> </w:t>
      </w:r>
      <w:r>
        <w:rPr>
          <w:sz w:val="28"/>
        </w:rPr>
        <w:t>November</w:t>
      </w:r>
      <w:r w:rsidRPr="005D122F">
        <w:rPr>
          <w:sz w:val="28"/>
        </w:rPr>
        <w:t xml:space="preserve"> </w:t>
      </w:r>
      <w:r w:rsidRPr="005D122F">
        <w:rPr>
          <w:rFonts w:cs="Calibri"/>
          <w:sz w:val="28"/>
        </w:rPr>
        <w:t>2017</w:t>
      </w:r>
    </w:p>
    <w:p w:rsidR="00C46699" w:rsidRPr="005D122F" w:rsidRDefault="00C46699" w:rsidP="00C46699">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C46699" w:rsidRPr="005D122F" w:rsidRDefault="00C46699" w:rsidP="00C46699">
      <w:pPr>
        <w:suppressAutoHyphens/>
        <w:spacing w:after="0"/>
        <w:rPr>
          <w:spacing w:val="-3"/>
          <w:sz w:val="24"/>
          <w:szCs w:val="24"/>
        </w:rPr>
      </w:pPr>
    </w:p>
    <w:p w:rsidR="00C46699" w:rsidRPr="005D122F" w:rsidRDefault="00C46699" w:rsidP="00C46699">
      <w:pPr>
        <w:spacing w:after="0"/>
        <w:outlineLvl w:val="0"/>
        <w:rPr>
          <w:spacing w:val="-3"/>
          <w:sz w:val="24"/>
          <w:szCs w:val="24"/>
        </w:rPr>
      </w:pPr>
      <w:r w:rsidRPr="005D122F">
        <w:rPr>
          <w:spacing w:val="-3"/>
          <w:sz w:val="24"/>
          <w:szCs w:val="24"/>
        </w:rPr>
        <w:t>ISSN 2207-2004 (print)</w:t>
      </w:r>
    </w:p>
    <w:p w:rsidR="00C46699" w:rsidRPr="005D122F" w:rsidRDefault="00C46699" w:rsidP="00C46699">
      <w:pPr>
        <w:spacing w:after="0"/>
        <w:outlineLvl w:val="0"/>
        <w:rPr>
          <w:spacing w:val="-3"/>
          <w:sz w:val="24"/>
          <w:szCs w:val="24"/>
        </w:rPr>
      </w:pPr>
      <w:r w:rsidRPr="005D122F">
        <w:rPr>
          <w:spacing w:val="-3"/>
          <w:sz w:val="24"/>
          <w:szCs w:val="24"/>
        </w:rPr>
        <w:t>ISSN 2207-2012 (online)</w:t>
      </w: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rPr>
      </w:pPr>
    </w:p>
    <w:p w:rsidR="00C46699" w:rsidRPr="005D122F" w:rsidRDefault="00C46699" w:rsidP="00C46699">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C46699" w:rsidRPr="005D122F" w:rsidRDefault="00C46699" w:rsidP="00C46699"/>
    <w:p w:rsidR="00C46699" w:rsidRDefault="00C46699" w:rsidP="00C46699">
      <w:pPr>
        <w:jc w:val="center"/>
        <w:rPr>
          <w:b/>
          <w:sz w:val="40"/>
          <w:szCs w:val="40"/>
        </w:rPr>
        <w:sectPr w:rsidR="00C46699" w:rsidSect="00C46699">
          <w:footerReference w:type="first" r:id="rId9"/>
          <w:pgSz w:w="11906" w:h="16838" w:code="9"/>
          <w:pgMar w:top="1440" w:right="1440" w:bottom="1202" w:left="1440" w:header="1134" w:footer="720" w:gutter="0"/>
          <w:pgNumType w:fmt="lowerRoman" w:start="7"/>
          <w:cols w:space="720"/>
          <w:titlePg/>
        </w:sectPr>
      </w:pPr>
    </w:p>
    <w:p w:rsidR="00C46699" w:rsidRPr="001B5C19" w:rsidRDefault="00C46699" w:rsidP="00C46699">
      <w:pPr>
        <w:jc w:val="center"/>
        <w:rPr>
          <w:b/>
          <w:sz w:val="40"/>
          <w:szCs w:val="40"/>
        </w:rPr>
      </w:pPr>
      <w:r w:rsidRPr="001B5C19">
        <w:rPr>
          <w:b/>
          <w:sz w:val="40"/>
          <w:szCs w:val="40"/>
        </w:rPr>
        <w:lastRenderedPageBreak/>
        <w:t>Members o the Committee</w:t>
      </w:r>
    </w:p>
    <w:p w:rsidR="00C46699" w:rsidRDefault="00C46699" w:rsidP="00C46699">
      <w:pPr>
        <w:spacing w:after="240"/>
        <w:rPr>
          <w:b/>
        </w:rPr>
      </w:pPr>
    </w:p>
    <w:p w:rsidR="00C46699" w:rsidRPr="00AD06CF" w:rsidRDefault="00C46699" w:rsidP="00C46699">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C46699" w:rsidRPr="00AD06CF" w:rsidTr="00A62517">
        <w:tc>
          <w:tcPr>
            <w:tcW w:w="4786" w:type="dxa"/>
          </w:tcPr>
          <w:p w:rsidR="00C46699" w:rsidRPr="00AD06CF" w:rsidRDefault="00C46699" w:rsidP="00A62517">
            <w:r w:rsidRPr="00AD06CF">
              <w:t>Senator Helen Polley (Chair)</w:t>
            </w:r>
          </w:p>
        </w:tc>
        <w:tc>
          <w:tcPr>
            <w:tcW w:w="3827" w:type="dxa"/>
          </w:tcPr>
          <w:p w:rsidR="00C46699" w:rsidRPr="00AD06CF" w:rsidRDefault="00C46699" w:rsidP="00A62517">
            <w:r w:rsidRPr="00AD06CF">
              <w:t>ALP, Tasmania</w:t>
            </w:r>
          </w:p>
        </w:tc>
      </w:tr>
      <w:tr w:rsidR="00C46699" w:rsidRPr="00AD06CF" w:rsidTr="00A62517">
        <w:tc>
          <w:tcPr>
            <w:tcW w:w="4786" w:type="dxa"/>
          </w:tcPr>
          <w:p w:rsidR="00C46699" w:rsidRPr="00AD06CF" w:rsidRDefault="00C46699" w:rsidP="00A62517">
            <w:r w:rsidRPr="00AD06CF">
              <w:t>Senator John Williams (Deputy Chair)</w:t>
            </w:r>
          </w:p>
        </w:tc>
        <w:tc>
          <w:tcPr>
            <w:tcW w:w="3827" w:type="dxa"/>
          </w:tcPr>
          <w:p w:rsidR="00C46699" w:rsidRPr="00AD06CF" w:rsidRDefault="00C46699" w:rsidP="00A62517">
            <w:r w:rsidRPr="00AD06CF">
              <w:t>NATS, New South Wales</w:t>
            </w:r>
          </w:p>
        </w:tc>
      </w:tr>
      <w:tr w:rsidR="00C46699" w:rsidRPr="00AD06CF" w:rsidTr="00A62517">
        <w:tc>
          <w:tcPr>
            <w:tcW w:w="4786" w:type="dxa"/>
          </w:tcPr>
          <w:p w:rsidR="00C46699" w:rsidRPr="00AD06CF" w:rsidRDefault="00C46699" w:rsidP="00A62517">
            <w:r w:rsidRPr="00AD06CF">
              <w:t>Senator Jonathon Duniam</w:t>
            </w:r>
          </w:p>
        </w:tc>
        <w:tc>
          <w:tcPr>
            <w:tcW w:w="3827" w:type="dxa"/>
          </w:tcPr>
          <w:p w:rsidR="00C46699" w:rsidRPr="00AD06CF" w:rsidRDefault="00C46699" w:rsidP="00A62517">
            <w:r w:rsidRPr="00AD06CF">
              <w:t>LP, Tasmania</w:t>
            </w:r>
          </w:p>
        </w:tc>
      </w:tr>
      <w:tr w:rsidR="00C46699" w:rsidRPr="00AD06CF" w:rsidTr="00A62517">
        <w:tc>
          <w:tcPr>
            <w:tcW w:w="4786" w:type="dxa"/>
          </w:tcPr>
          <w:p w:rsidR="00C46699" w:rsidRPr="00AD06CF" w:rsidRDefault="00C46699" w:rsidP="00A62517">
            <w:r>
              <w:t>Senator Jane Hume</w:t>
            </w:r>
          </w:p>
        </w:tc>
        <w:tc>
          <w:tcPr>
            <w:tcW w:w="3827" w:type="dxa"/>
          </w:tcPr>
          <w:p w:rsidR="00C46699" w:rsidRPr="00AD06CF" w:rsidRDefault="00C46699" w:rsidP="00A62517">
            <w:r>
              <w:t>LP, Victoria</w:t>
            </w:r>
          </w:p>
        </w:tc>
      </w:tr>
      <w:tr w:rsidR="00C46699" w:rsidRPr="00AD06CF" w:rsidTr="00A62517">
        <w:tc>
          <w:tcPr>
            <w:tcW w:w="4786" w:type="dxa"/>
          </w:tcPr>
          <w:p w:rsidR="00C46699" w:rsidRPr="00AD06CF" w:rsidRDefault="00C46699" w:rsidP="00A62517">
            <w:r w:rsidRPr="00AD06CF">
              <w:t>Senator Janet Rice</w:t>
            </w:r>
          </w:p>
        </w:tc>
        <w:tc>
          <w:tcPr>
            <w:tcW w:w="3827" w:type="dxa"/>
          </w:tcPr>
          <w:p w:rsidR="00C46699" w:rsidRPr="00AD06CF" w:rsidRDefault="00C46699" w:rsidP="00A62517">
            <w:r w:rsidRPr="00AD06CF">
              <w:t>AG, Victoria</w:t>
            </w:r>
          </w:p>
        </w:tc>
      </w:tr>
      <w:tr w:rsidR="00C46699" w:rsidRPr="00AD06CF" w:rsidTr="00A62517">
        <w:tc>
          <w:tcPr>
            <w:tcW w:w="4786" w:type="dxa"/>
          </w:tcPr>
          <w:p w:rsidR="00C46699" w:rsidRPr="00AD06CF" w:rsidRDefault="00C46699" w:rsidP="00A62517">
            <w:r w:rsidRPr="00AD06CF">
              <w:t>Senator Murray Watt</w:t>
            </w:r>
          </w:p>
        </w:tc>
        <w:tc>
          <w:tcPr>
            <w:tcW w:w="3827" w:type="dxa"/>
          </w:tcPr>
          <w:p w:rsidR="00C46699" w:rsidRPr="00AD06CF" w:rsidRDefault="00C46699" w:rsidP="00A62517">
            <w:r w:rsidRPr="00AD06CF">
              <w:t>ALP, Queensland</w:t>
            </w:r>
          </w:p>
        </w:tc>
      </w:tr>
    </w:tbl>
    <w:p w:rsidR="00C46699" w:rsidRPr="00AD06CF" w:rsidRDefault="00C46699" w:rsidP="00C46699">
      <w:pPr>
        <w:spacing w:after="0"/>
      </w:pPr>
    </w:p>
    <w:p w:rsidR="00C46699" w:rsidRPr="00AD06CF" w:rsidRDefault="00C46699" w:rsidP="00C46699">
      <w:pPr>
        <w:spacing w:after="0"/>
      </w:pPr>
    </w:p>
    <w:p w:rsidR="00C46699" w:rsidRPr="00AD06CF" w:rsidRDefault="00C46699" w:rsidP="00C46699">
      <w:pPr>
        <w:rPr>
          <w:b/>
        </w:rPr>
      </w:pPr>
      <w:r w:rsidRPr="00AD06CF">
        <w:rPr>
          <w:b/>
        </w:rPr>
        <w:t>Secretariat</w:t>
      </w:r>
    </w:p>
    <w:p w:rsidR="00C46699" w:rsidRPr="00AD06CF" w:rsidRDefault="00C46699" w:rsidP="00C46699">
      <w:pPr>
        <w:spacing w:before="0" w:line="276" w:lineRule="auto"/>
      </w:pPr>
      <w:r w:rsidRPr="00AD06CF">
        <w:t>Ms Anita Coles, Secretary</w:t>
      </w:r>
    </w:p>
    <w:p w:rsidR="00C46699" w:rsidRPr="00AD06CF" w:rsidRDefault="00C46699" w:rsidP="00C46699">
      <w:pPr>
        <w:spacing w:before="0" w:line="276" w:lineRule="auto"/>
      </w:pPr>
      <w:r w:rsidRPr="00AD06CF">
        <w:t>Mr</w:t>
      </w:r>
      <w:r>
        <w:t xml:space="preserve"> Michael Sloane</w:t>
      </w:r>
      <w:r w:rsidRPr="00AD06CF">
        <w:t>, Principal Research Officer</w:t>
      </w:r>
    </w:p>
    <w:p w:rsidR="00C46699" w:rsidRPr="00AD06CF" w:rsidRDefault="00C46699" w:rsidP="00C46699">
      <w:pPr>
        <w:spacing w:before="0" w:line="276" w:lineRule="auto"/>
      </w:pPr>
      <w:r w:rsidRPr="00AD06CF">
        <w:t>Ms Ingrid Zappe, Legislative Research Officer</w:t>
      </w:r>
    </w:p>
    <w:p w:rsidR="00C46699" w:rsidRDefault="00C46699" w:rsidP="00C46699">
      <w:pPr>
        <w:spacing w:after="0"/>
      </w:pPr>
    </w:p>
    <w:p w:rsidR="00C46699" w:rsidRPr="00AD06CF" w:rsidRDefault="00C46699" w:rsidP="00C46699">
      <w:pPr>
        <w:spacing w:after="0"/>
      </w:pPr>
    </w:p>
    <w:p w:rsidR="00C46699" w:rsidRPr="00AD06CF" w:rsidRDefault="00C46699" w:rsidP="00C46699">
      <w:pPr>
        <w:rPr>
          <w:b/>
        </w:rPr>
      </w:pPr>
      <w:r w:rsidRPr="00AD06CF">
        <w:rPr>
          <w:b/>
        </w:rPr>
        <w:t>Committee legal adviser</w:t>
      </w:r>
    </w:p>
    <w:p w:rsidR="00C46699" w:rsidRPr="00AD06CF" w:rsidRDefault="00C46699" w:rsidP="00C46699">
      <w:pPr>
        <w:spacing w:before="0" w:line="276" w:lineRule="auto"/>
      </w:pPr>
      <w:r w:rsidRPr="00AD06CF">
        <w:t>Associate Professor Leighton McDonald</w:t>
      </w:r>
    </w:p>
    <w:p w:rsidR="00C46699" w:rsidRPr="00AD06CF" w:rsidRDefault="00C46699" w:rsidP="00C46699">
      <w:pPr>
        <w:spacing w:after="0"/>
      </w:pPr>
    </w:p>
    <w:p w:rsidR="00C46699" w:rsidRPr="00AD06CF" w:rsidRDefault="00C46699" w:rsidP="00C46699">
      <w:pPr>
        <w:spacing w:after="0"/>
      </w:pPr>
    </w:p>
    <w:p w:rsidR="00C46699" w:rsidRPr="00AD06CF" w:rsidRDefault="00C46699" w:rsidP="00C46699">
      <w:pPr>
        <w:rPr>
          <w:b/>
        </w:rPr>
      </w:pPr>
      <w:r w:rsidRPr="00AD06CF">
        <w:rPr>
          <w:b/>
        </w:rPr>
        <w:t>Committee contacts</w:t>
      </w:r>
    </w:p>
    <w:p w:rsidR="00C46699" w:rsidRPr="00AD06CF" w:rsidRDefault="00C46699" w:rsidP="00C46699">
      <w:pPr>
        <w:spacing w:before="0" w:after="0" w:line="276" w:lineRule="auto"/>
      </w:pPr>
      <w:r>
        <w:t>PO Box 6100</w:t>
      </w:r>
    </w:p>
    <w:p w:rsidR="00C46699" w:rsidRPr="00AD06CF" w:rsidRDefault="00C46699" w:rsidP="00C46699">
      <w:pPr>
        <w:spacing w:before="0" w:after="0" w:line="276" w:lineRule="auto"/>
      </w:pPr>
      <w:r w:rsidRPr="00AD06CF">
        <w:t>Parliament House</w:t>
      </w:r>
    </w:p>
    <w:p w:rsidR="00C46699" w:rsidRPr="00AD06CF" w:rsidRDefault="00C46699" w:rsidP="00C46699">
      <w:pPr>
        <w:spacing w:before="0" w:after="0" w:line="276" w:lineRule="auto"/>
      </w:pPr>
      <w:r w:rsidRPr="00AD06CF">
        <w:t>Canberra  ACT  2600</w:t>
      </w:r>
    </w:p>
    <w:p w:rsidR="00C46699" w:rsidRPr="00AD06CF" w:rsidRDefault="00C46699" w:rsidP="00C46699">
      <w:pPr>
        <w:spacing w:after="0" w:line="276" w:lineRule="auto"/>
      </w:pPr>
      <w:r w:rsidRPr="00AD06CF">
        <w:t>Phone: 02 6277 3050</w:t>
      </w:r>
    </w:p>
    <w:p w:rsidR="00C46699" w:rsidRPr="00AD06CF" w:rsidRDefault="00C46699" w:rsidP="00C46699">
      <w:pPr>
        <w:spacing w:after="0" w:line="276" w:lineRule="auto"/>
      </w:pPr>
      <w:r w:rsidRPr="00AD06CF">
        <w:t>Email:  scrutiny.sen@aph.gov.au</w:t>
      </w:r>
    </w:p>
    <w:p w:rsidR="00C46699" w:rsidRPr="0081525A" w:rsidRDefault="00C46699" w:rsidP="00C46699">
      <w:pPr>
        <w:spacing w:after="0" w:line="276" w:lineRule="auto"/>
      </w:pPr>
      <w:r w:rsidRPr="00AD06CF">
        <w:t>Website:  http://www.aph.gov.au/senate_scrutiny</w:t>
      </w:r>
    </w:p>
    <w:p w:rsidR="005E31FE" w:rsidRDefault="005E31FE" w:rsidP="00C46699">
      <w:pPr>
        <w:sectPr w:rsidR="005E31FE" w:rsidSect="00C46699">
          <w:headerReference w:type="even" r:id="rId10"/>
          <w:footerReference w:type="even" r:id="rId11"/>
          <w:footerReference w:type="default" r:id="rId12"/>
          <w:pgSz w:w="11906" w:h="16838" w:code="9"/>
          <w:pgMar w:top="1440" w:right="1440" w:bottom="1202" w:left="1440" w:header="1134" w:footer="720" w:gutter="0"/>
          <w:pgNumType w:fmt="lowerRoman" w:start="7"/>
          <w:cols w:space="720"/>
          <w:titlePg/>
        </w:sectPr>
      </w:pPr>
    </w:p>
    <w:p w:rsidR="00C46699" w:rsidRPr="000B5E88" w:rsidRDefault="00C46699" w:rsidP="00C46699"/>
    <w:p w:rsidR="00C46699" w:rsidRDefault="00C46699" w:rsidP="00C46699">
      <w:pPr>
        <w:pStyle w:val="Heading1"/>
        <w:spacing w:after="240"/>
        <w:rPr>
          <w:szCs w:val="40"/>
        </w:rPr>
        <w:sectPr w:rsidR="00C46699" w:rsidSect="00C46699">
          <w:pgSz w:w="11906" w:h="16838" w:code="9"/>
          <w:pgMar w:top="1440" w:right="1440" w:bottom="1202" w:left="1440" w:header="1134" w:footer="720" w:gutter="0"/>
          <w:pgNumType w:fmt="lowerRoman" w:start="7"/>
          <w:cols w:space="720"/>
          <w:titlePg/>
        </w:sectPr>
      </w:pPr>
    </w:p>
    <w:p w:rsidR="00C46699" w:rsidRPr="00102BCE" w:rsidRDefault="00C46699" w:rsidP="00C46699">
      <w:pPr>
        <w:pStyle w:val="Heading1"/>
        <w:spacing w:after="240"/>
        <w:rPr>
          <w:szCs w:val="40"/>
        </w:rPr>
      </w:pPr>
      <w:r w:rsidRPr="00102BCE">
        <w:rPr>
          <w:szCs w:val="40"/>
        </w:rPr>
        <w:lastRenderedPageBreak/>
        <w:t>TABLE OF CONTENTS</w:t>
      </w:r>
      <w:bookmarkEnd w:id="0"/>
    </w:p>
    <w:p w:rsidR="00C46699" w:rsidRPr="003E5292" w:rsidRDefault="00C46699" w:rsidP="00C46699">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C46699" w:rsidRPr="003E5292" w:rsidRDefault="00C46699" w:rsidP="00C46699">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r>
      <w:r w:rsidRPr="000D647E">
        <w:rPr>
          <w:rFonts w:ascii="Calibri" w:hAnsi="Calibri"/>
          <w:noProof/>
        </w:rPr>
        <w:t>v</w:t>
      </w:r>
      <w:r>
        <w:rPr>
          <w:rFonts w:ascii="Calibri" w:hAnsi="Calibri"/>
          <w:noProof/>
        </w:rPr>
        <w:t>ii</w:t>
      </w:r>
    </w:p>
    <w:p w:rsidR="00C46699" w:rsidRPr="003E5292" w:rsidRDefault="00C46699" w:rsidP="00C46699">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ix</w:t>
      </w:r>
    </w:p>
    <w:p w:rsidR="00C46699" w:rsidRPr="004E70B2" w:rsidRDefault="00C46699" w:rsidP="00C46699">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C46699" w:rsidRPr="004E70B2" w:rsidRDefault="00C46699" w:rsidP="00C46699">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Agricultural and Veterinary Chemicals Legislation Amendment</w:t>
      </w:r>
      <w:r>
        <w:rPr>
          <w:rFonts w:asciiTheme="minorHAnsi" w:hAnsiTheme="minorHAnsi"/>
          <w:noProof/>
        </w:rPr>
        <w:br/>
      </w:r>
      <w:r w:rsidRPr="00B76D49">
        <w:rPr>
          <w:rFonts w:asciiTheme="minorHAnsi" w:hAnsiTheme="minorHAnsi"/>
          <w:noProof/>
        </w:rPr>
        <w:t>(Ope</w:t>
      </w:r>
      <w:r>
        <w:rPr>
          <w:rFonts w:asciiTheme="minorHAnsi" w:hAnsiTheme="minorHAnsi"/>
          <w:noProof/>
        </w:rPr>
        <w:t>rational Efficiency) Bill 2017</w:t>
      </w:r>
      <w:r>
        <w:rPr>
          <w:rFonts w:asciiTheme="minorHAnsi" w:hAnsiTheme="minorHAnsi"/>
          <w:noProof/>
        </w:rPr>
        <w:tab/>
        <w:t>1</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Australian Broadcasting Corporation Amendment (Fair and Balanced)</w:t>
      </w:r>
      <w:r>
        <w:rPr>
          <w:rFonts w:asciiTheme="minorHAnsi" w:hAnsiTheme="minorHAnsi"/>
          <w:noProof/>
        </w:rPr>
        <w:br/>
        <w:t>Bill 2017</w:t>
      </w:r>
      <w:r>
        <w:rPr>
          <w:rFonts w:asciiTheme="minorHAnsi" w:hAnsiTheme="minorHAnsi"/>
          <w:noProof/>
        </w:rPr>
        <w:tab/>
        <w:t>2</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Australian Broadcasting Corporation Amendment (Rural and Regional</w:t>
      </w:r>
      <w:r>
        <w:rPr>
          <w:rFonts w:asciiTheme="minorHAnsi" w:hAnsiTheme="minorHAnsi"/>
          <w:noProof/>
        </w:rPr>
        <w:br/>
        <w:t>Measures) Bill 2017</w:t>
      </w:r>
      <w:r>
        <w:rPr>
          <w:rFonts w:asciiTheme="minorHAnsi" w:hAnsiTheme="minorHAnsi"/>
          <w:noProof/>
        </w:rPr>
        <w:tab/>
        <w:t>3</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t>Bankruptcy Amendment (Enterprise Incentives) Bill 2017</w:t>
      </w:r>
      <w:r w:rsidRPr="00B76D49">
        <w:rPr>
          <w:rFonts w:asciiTheme="minorHAnsi" w:hAnsiTheme="minorHAnsi"/>
          <w:noProof/>
        </w:rPr>
        <w:tab/>
        <w:t>4</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t>Coal-Fired Power Funding Prohibition Bill 2017</w:t>
      </w:r>
      <w:r w:rsidRPr="00B76D49">
        <w:rPr>
          <w:rFonts w:asciiTheme="minorHAnsi" w:hAnsiTheme="minorHAnsi"/>
          <w:noProof/>
        </w:rPr>
        <w:tab/>
        <w:t>6</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t>Coal-Fired Power Funding Prohibition Bill 2017 [No. 2]</w:t>
      </w:r>
      <w:r w:rsidRPr="00B76D49">
        <w:rPr>
          <w:rFonts w:asciiTheme="minorHAnsi" w:hAnsiTheme="minorHAnsi"/>
          <w:noProof/>
        </w:rPr>
        <w:tab/>
        <w:t>7</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Commonwealth Redress Scheme for Institutional Child Sexual Abuse</w:t>
      </w:r>
      <w:r>
        <w:rPr>
          <w:rFonts w:asciiTheme="minorHAnsi" w:hAnsiTheme="minorHAnsi"/>
          <w:noProof/>
        </w:rPr>
        <w:br/>
      </w:r>
      <w:r w:rsidRPr="00B76D49">
        <w:rPr>
          <w:rFonts w:asciiTheme="minorHAnsi" w:hAnsiTheme="minorHAnsi"/>
          <w:noProof/>
        </w:rPr>
        <w:t>Bill 2017</w:t>
      </w:r>
      <w:r w:rsidRPr="00B76D49">
        <w:rPr>
          <w:rFonts w:asciiTheme="minorHAnsi" w:hAnsiTheme="minorHAnsi"/>
          <w:noProof/>
        </w:rPr>
        <w:tab/>
        <w:t>8</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Commonwealth Redress Scheme for Institutional Child Sexual Abuse (Consequential Amendments) Bill 2017</w:t>
      </w:r>
      <w:r w:rsidRPr="00B76D49">
        <w:rPr>
          <w:rFonts w:asciiTheme="minorHAnsi" w:hAnsiTheme="minorHAnsi"/>
          <w:noProof/>
        </w:rPr>
        <w:tab/>
        <w:t>20</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t>Fair Work Laws Amendment (Proper Use of Worker Benefits) Bill 2017</w:t>
      </w:r>
      <w:r w:rsidRPr="00B76D49">
        <w:rPr>
          <w:rFonts w:asciiTheme="minorHAnsi" w:hAnsiTheme="minorHAnsi"/>
          <w:noProof/>
        </w:rPr>
        <w:tab/>
        <w:t>22</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Financial Sector Legislation Amendment (Crisis Resolution Powers and</w:t>
      </w:r>
      <w:r>
        <w:rPr>
          <w:rFonts w:asciiTheme="minorHAnsi" w:hAnsiTheme="minorHAnsi"/>
          <w:noProof/>
        </w:rPr>
        <w:br/>
      </w:r>
      <w:r w:rsidRPr="00B76D49">
        <w:rPr>
          <w:rFonts w:asciiTheme="minorHAnsi" w:hAnsiTheme="minorHAnsi"/>
          <w:noProof/>
        </w:rPr>
        <w:t>Other Measures) Bill 2017</w:t>
      </w:r>
      <w:r w:rsidRPr="00B76D49">
        <w:rPr>
          <w:rFonts w:asciiTheme="minorHAnsi" w:hAnsiTheme="minorHAnsi"/>
          <w:noProof/>
        </w:rPr>
        <w:tab/>
        <w:t>28</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t>Imported Food Control Amendment (Country of Origin) Bill 2017</w:t>
      </w:r>
      <w:r w:rsidRPr="00B76D49">
        <w:rPr>
          <w:rFonts w:asciiTheme="minorHAnsi" w:hAnsiTheme="minorHAnsi"/>
          <w:noProof/>
        </w:rPr>
        <w:tab/>
        <w:t>33</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t>Migration Amendment (Skilling Australians Fund) Bill 2017</w:t>
      </w:r>
      <w:r w:rsidRPr="00B76D49">
        <w:rPr>
          <w:rFonts w:asciiTheme="minorHAnsi" w:hAnsiTheme="minorHAnsi"/>
          <w:noProof/>
        </w:rPr>
        <w:tab/>
        <w:t>34</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t>Migration (Skilling Australians Fund) Charges Bill 2017</w:t>
      </w:r>
      <w:r w:rsidRPr="00B76D49">
        <w:rPr>
          <w:rFonts w:asciiTheme="minorHAnsi" w:hAnsiTheme="minorHAnsi"/>
          <w:noProof/>
        </w:rPr>
        <w:tab/>
        <w:t>35</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National Health Amendment (Pharmaceutical Benefits—Budget and Other Measures) Bill 2017</w:t>
      </w:r>
      <w:r w:rsidRPr="00B76D49">
        <w:rPr>
          <w:rFonts w:asciiTheme="minorHAnsi" w:hAnsiTheme="minorHAnsi"/>
          <w:noProof/>
        </w:rPr>
        <w:tab/>
        <w:t>36</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t>National Integrity Commission Bill 2017</w:t>
      </w:r>
      <w:r w:rsidRPr="00B76D49">
        <w:rPr>
          <w:rFonts w:asciiTheme="minorHAnsi" w:hAnsiTheme="minorHAnsi"/>
          <w:noProof/>
        </w:rPr>
        <w:tab/>
        <w:t>38</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t>Proceeds of Crime Amendment (Proceeds and Other Matters) Bill 2017</w:t>
      </w:r>
      <w:r w:rsidRPr="00B76D49">
        <w:rPr>
          <w:rFonts w:asciiTheme="minorHAnsi" w:hAnsiTheme="minorHAnsi"/>
          <w:noProof/>
        </w:rPr>
        <w:tab/>
        <w:t>46</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Renewable Energy Legislation Amendment (Supporting Renewable</w:t>
      </w:r>
      <w:r>
        <w:rPr>
          <w:rFonts w:asciiTheme="minorHAnsi" w:hAnsiTheme="minorHAnsi"/>
          <w:noProof/>
        </w:rPr>
        <w:br/>
      </w:r>
      <w:r w:rsidRPr="00B76D49">
        <w:rPr>
          <w:rFonts w:asciiTheme="minorHAnsi" w:hAnsiTheme="minorHAnsi"/>
          <w:noProof/>
        </w:rPr>
        <w:t>Communities) Bill 2017</w:t>
      </w:r>
      <w:r w:rsidRPr="00B76D49">
        <w:rPr>
          <w:rFonts w:asciiTheme="minorHAnsi" w:hAnsiTheme="minorHAnsi"/>
          <w:noProof/>
        </w:rPr>
        <w:tab/>
        <w:t>49</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Treasury Laws Amendment (Banking Executive Accountability and</w:t>
      </w:r>
      <w:r>
        <w:rPr>
          <w:rFonts w:asciiTheme="minorHAnsi" w:hAnsiTheme="minorHAnsi"/>
          <w:noProof/>
        </w:rPr>
        <w:br/>
      </w:r>
      <w:r w:rsidRPr="00B76D49">
        <w:rPr>
          <w:rFonts w:asciiTheme="minorHAnsi" w:hAnsiTheme="minorHAnsi"/>
          <w:noProof/>
        </w:rPr>
        <w:t>Related Measures) Bill 2017</w:t>
      </w:r>
      <w:r w:rsidRPr="00B76D49">
        <w:rPr>
          <w:rFonts w:asciiTheme="minorHAnsi" w:hAnsiTheme="minorHAnsi"/>
          <w:noProof/>
        </w:rPr>
        <w:tab/>
        <w:t>50</w:t>
      </w:r>
    </w:p>
    <w:p w:rsidR="00C46699" w:rsidRPr="00B76D49" w:rsidRDefault="00C46699" w:rsidP="00C46699">
      <w:pPr>
        <w:pStyle w:val="TOC3"/>
        <w:tabs>
          <w:tab w:val="right" w:leader="dot" w:pos="9016"/>
        </w:tabs>
        <w:ind w:left="426"/>
        <w:rPr>
          <w:rFonts w:asciiTheme="minorHAnsi" w:eastAsiaTheme="minorEastAsia" w:hAnsiTheme="minorHAnsi" w:cstheme="minorBidi"/>
          <w:noProof/>
          <w:sz w:val="22"/>
          <w:szCs w:val="22"/>
        </w:rPr>
      </w:pPr>
      <w:r w:rsidRPr="00B76D49">
        <w:rPr>
          <w:rFonts w:asciiTheme="minorHAnsi" w:hAnsiTheme="minorHAnsi"/>
          <w:noProof/>
        </w:rPr>
        <w:lastRenderedPageBreak/>
        <w:t>Treasury Laws Amendment (Banking Measures No. 1) Bill 2017</w:t>
      </w:r>
      <w:r w:rsidRPr="00B76D49">
        <w:rPr>
          <w:rFonts w:asciiTheme="minorHAnsi" w:hAnsiTheme="minorHAnsi"/>
          <w:noProof/>
        </w:rPr>
        <w:tab/>
        <w:t>56</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bookmarkStart w:id="1" w:name="_GoBack"/>
      <w:bookmarkEnd w:id="1"/>
      <w:r w:rsidRPr="00B76D49">
        <w:rPr>
          <w:rFonts w:asciiTheme="minorHAnsi" w:hAnsiTheme="minorHAnsi"/>
          <w:noProof/>
        </w:rPr>
        <w:t>Treasury Laws Amendment (Enterprise Tax Plan Base Rate Entities)</w:t>
      </w:r>
      <w:r>
        <w:rPr>
          <w:rFonts w:asciiTheme="minorHAnsi" w:hAnsiTheme="minorHAnsi"/>
          <w:noProof/>
        </w:rPr>
        <w:br/>
      </w:r>
      <w:r w:rsidRPr="00B76D49">
        <w:rPr>
          <w:rFonts w:asciiTheme="minorHAnsi" w:hAnsiTheme="minorHAnsi"/>
          <w:noProof/>
        </w:rPr>
        <w:t>Bill 2017</w:t>
      </w:r>
      <w:r w:rsidRPr="00B76D49">
        <w:rPr>
          <w:rFonts w:asciiTheme="minorHAnsi" w:hAnsiTheme="minorHAnsi"/>
          <w:noProof/>
        </w:rPr>
        <w:tab/>
        <w:t>59</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Treasury Laws Amendment (Junior Minerals Exploration Incentive)</w:t>
      </w:r>
      <w:r>
        <w:rPr>
          <w:rFonts w:asciiTheme="minorHAnsi" w:hAnsiTheme="minorHAnsi"/>
          <w:noProof/>
        </w:rPr>
        <w:br/>
      </w:r>
      <w:r w:rsidRPr="00B76D49">
        <w:rPr>
          <w:rFonts w:asciiTheme="minorHAnsi" w:hAnsiTheme="minorHAnsi"/>
          <w:noProof/>
        </w:rPr>
        <w:t>Bill 2017</w:t>
      </w:r>
      <w:r w:rsidRPr="00B76D49">
        <w:rPr>
          <w:rFonts w:asciiTheme="minorHAnsi" w:hAnsiTheme="minorHAnsi"/>
          <w:noProof/>
        </w:rPr>
        <w:tab/>
        <w:t>60</w:t>
      </w:r>
    </w:p>
    <w:p w:rsidR="00C46699" w:rsidRPr="00B76D49" w:rsidRDefault="00C46699" w:rsidP="00C46699">
      <w:pPr>
        <w:pStyle w:val="TOC3"/>
        <w:tabs>
          <w:tab w:val="right" w:leader="dot" w:pos="9016"/>
        </w:tabs>
        <w:ind w:left="426"/>
        <w:jc w:val="left"/>
        <w:rPr>
          <w:rFonts w:asciiTheme="minorHAnsi" w:eastAsiaTheme="minorEastAsia" w:hAnsiTheme="minorHAnsi" w:cstheme="minorBidi"/>
          <w:noProof/>
          <w:sz w:val="22"/>
          <w:szCs w:val="22"/>
        </w:rPr>
      </w:pPr>
      <w:r w:rsidRPr="00B76D49">
        <w:rPr>
          <w:rFonts w:asciiTheme="minorHAnsi" w:hAnsiTheme="minorHAnsi"/>
          <w:noProof/>
        </w:rPr>
        <w:t>Treasury Laws Amendment (National Housing and Homelessness</w:t>
      </w:r>
      <w:r>
        <w:rPr>
          <w:rFonts w:asciiTheme="minorHAnsi" w:hAnsiTheme="minorHAnsi"/>
          <w:noProof/>
        </w:rPr>
        <w:br/>
      </w:r>
      <w:r w:rsidRPr="00B76D49">
        <w:rPr>
          <w:rFonts w:asciiTheme="minorHAnsi" w:hAnsiTheme="minorHAnsi"/>
          <w:noProof/>
        </w:rPr>
        <w:t>Agreement) Bill 2017</w:t>
      </w:r>
      <w:r w:rsidRPr="00B76D49">
        <w:rPr>
          <w:rFonts w:asciiTheme="minorHAnsi" w:hAnsiTheme="minorHAnsi"/>
          <w:noProof/>
        </w:rPr>
        <w:tab/>
        <w:t>61</w:t>
      </w:r>
    </w:p>
    <w:p w:rsidR="00C46699" w:rsidRPr="004E70B2" w:rsidRDefault="00C46699" w:rsidP="00C46699">
      <w:pPr>
        <w:tabs>
          <w:tab w:val="right" w:pos="8222"/>
        </w:tabs>
        <w:spacing w:after="60"/>
        <w:ind w:left="567" w:hanging="141"/>
        <w:rPr>
          <w:b/>
          <w:noProof/>
        </w:rPr>
      </w:pPr>
      <w:r w:rsidRPr="004E70B2">
        <w:rPr>
          <w:b/>
          <w:noProof/>
        </w:rPr>
        <w:t>Commentary on amendments and explanatory materials</w:t>
      </w:r>
    </w:p>
    <w:p w:rsidR="00C46699" w:rsidRDefault="00C46699" w:rsidP="00C46699">
      <w:pPr>
        <w:pStyle w:val="TOC3"/>
        <w:tabs>
          <w:tab w:val="right" w:leader="dot" w:pos="9072"/>
        </w:tabs>
        <w:ind w:left="426"/>
        <w:jc w:val="left"/>
        <w:rPr>
          <w:rFonts w:asciiTheme="minorHAnsi" w:hAnsiTheme="minorHAnsi"/>
          <w:noProof/>
        </w:rPr>
      </w:pPr>
      <w:r w:rsidRPr="00CF1374">
        <w:rPr>
          <w:rFonts w:asciiTheme="minorHAnsi" w:hAnsiTheme="minorHAnsi"/>
        </w:rPr>
        <w:t>Criminal Code Amendment (Firearms Trafficking) Bill 2017</w:t>
      </w:r>
      <w:r>
        <w:rPr>
          <w:rFonts w:asciiTheme="minorHAnsi" w:hAnsiTheme="minorHAnsi"/>
          <w:noProof/>
        </w:rPr>
        <w:tab/>
        <w:t>64</w:t>
      </w:r>
    </w:p>
    <w:p w:rsidR="00C46699" w:rsidRPr="00CF1374" w:rsidRDefault="00C46699" w:rsidP="00C46699">
      <w:pPr>
        <w:pStyle w:val="TOC3"/>
        <w:tabs>
          <w:tab w:val="right" w:leader="dot" w:pos="9072"/>
        </w:tabs>
        <w:ind w:left="426"/>
        <w:jc w:val="left"/>
        <w:rPr>
          <w:rFonts w:asciiTheme="minorHAnsi" w:hAnsiTheme="minorHAnsi"/>
          <w:noProof/>
        </w:rPr>
      </w:pPr>
      <w:r w:rsidRPr="00CF1374">
        <w:rPr>
          <w:rFonts w:asciiTheme="minorHAnsi" w:hAnsiTheme="minorHAnsi"/>
        </w:rPr>
        <w:t>Industrial Chemicals Bill 2017 and related bills</w:t>
      </w:r>
      <w:r w:rsidRPr="00CF1374">
        <w:rPr>
          <w:rFonts w:asciiTheme="minorHAnsi" w:hAnsiTheme="minorHAnsi"/>
          <w:noProof/>
        </w:rPr>
        <w:tab/>
      </w:r>
      <w:r>
        <w:rPr>
          <w:rFonts w:asciiTheme="minorHAnsi" w:hAnsiTheme="minorHAnsi"/>
          <w:noProof/>
        </w:rPr>
        <w:t>64</w:t>
      </w:r>
    </w:p>
    <w:p w:rsidR="00C46699" w:rsidRPr="00CF1374" w:rsidRDefault="00C46699" w:rsidP="00C46699">
      <w:pPr>
        <w:pStyle w:val="TOC3"/>
        <w:tabs>
          <w:tab w:val="right" w:leader="dot" w:pos="9072"/>
        </w:tabs>
        <w:ind w:left="426"/>
        <w:jc w:val="left"/>
        <w:rPr>
          <w:rFonts w:asciiTheme="minorHAnsi" w:hAnsiTheme="minorHAnsi"/>
          <w:noProof/>
        </w:rPr>
      </w:pPr>
      <w:r w:rsidRPr="00CF1374">
        <w:rPr>
          <w:rFonts w:asciiTheme="minorHAnsi" w:hAnsiTheme="minorHAnsi"/>
        </w:rPr>
        <w:t>National Disability Insurance Scheme Amendment (Quality and Safeguards Commission and Other Measures) Bill 2017</w:t>
      </w:r>
      <w:r w:rsidRPr="00CF1374">
        <w:rPr>
          <w:rFonts w:asciiTheme="minorHAnsi" w:hAnsiTheme="minorHAnsi"/>
          <w:noProof/>
        </w:rPr>
        <w:tab/>
      </w:r>
      <w:r>
        <w:rPr>
          <w:rFonts w:asciiTheme="minorHAnsi" w:hAnsiTheme="minorHAnsi"/>
          <w:noProof/>
        </w:rPr>
        <w:t>65</w:t>
      </w:r>
    </w:p>
    <w:p w:rsidR="00C46699" w:rsidRPr="00CF1374" w:rsidRDefault="00C46699" w:rsidP="00C46699">
      <w:pPr>
        <w:pStyle w:val="TOC3"/>
        <w:tabs>
          <w:tab w:val="right" w:leader="dot" w:pos="9072"/>
        </w:tabs>
        <w:ind w:left="426"/>
        <w:jc w:val="left"/>
        <w:rPr>
          <w:rFonts w:asciiTheme="minorHAnsi" w:hAnsiTheme="minorHAnsi"/>
          <w:noProof/>
        </w:rPr>
      </w:pPr>
      <w:r w:rsidRPr="00CF1374">
        <w:rPr>
          <w:rFonts w:asciiTheme="minorHAnsi" w:hAnsiTheme="minorHAnsi"/>
        </w:rPr>
        <w:t>Veterans' Affairs Legislation Amendment (Omnibus) Bill 2017</w:t>
      </w:r>
      <w:r w:rsidRPr="00CF1374">
        <w:rPr>
          <w:rFonts w:asciiTheme="minorHAnsi" w:hAnsiTheme="minorHAnsi"/>
          <w:noProof/>
        </w:rPr>
        <w:tab/>
      </w:r>
      <w:r>
        <w:rPr>
          <w:rFonts w:asciiTheme="minorHAnsi" w:hAnsiTheme="minorHAnsi"/>
          <w:noProof/>
        </w:rPr>
        <w:t>65</w:t>
      </w:r>
    </w:p>
    <w:p w:rsidR="00C46699" w:rsidRPr="004E70B2" w:rsidRDefault="00C46699" w:rsidP="00C46699">
      <w:pPr>
        <w:tabs>
          <w:tab w:val="right" w:pos="8222"/>
        </w:tabs>
        <w:ind w:left="567" w:right="537" w:hanging="425"/>
        <w:rPr>
          <w:b/>
          <w:noProof/>
          <w:sz w:val="28"/>
          <w:szCs w:val="28"/>
        </w:rPr>
      </w:pPr>
      <w:r w:rsidRPr="004E70B2">
        <w:rPr>
          <w:b/>
          <w:noProof/>
          <w:sz w:val="28"/>
          <w:szCs w:val="28"/>
        </w:rPr>
        <w:t xml:space="preserve">Chapter 2 – </w:t>
      </w:r>
      <w:r>
        <w:rPr>
          <w:b/>
          <w:noProof/>
          <w:sz w:val="28"/>
          <w:szCs w:val="28"/>
        </w:rPr>
        <w:t xml:space="preserve">Commentary on </w:t>
      </w:r>
      <w:r w:rsidRPr="004E70B2">
        <w:rPr>
          <w:b/>
          <w:noProof/>
          <w:sz w:val="28"/>
          <w:szCs w:val="28"/>
        </w:rPr>
        <w:t>Ministerial responses</w:t>
      </w:r>
    </w:p>
    <w:p w:rsidR="00C46699" w:rsidRPr="007D20BC" w:rsidRDefault="00C46699" w:rsidP="00C46699">
      <w:pPr>
        <w:pStyle w:val="TOC3"/>
        <w:tabs>
          <w:tab w:val="right" w:leader="dot" w:pos="9072"/>
        </w:tabs>
        <w:ind w:left="426"/>
        <w:jc w:val="left"/>
        <w:rPr>
          <w:rFonts w:asciiTheme="minorHAnsi" w:eastAsiaTheme="minorEastAsia" w:hAnsiTheme="minorHAnsi" w:cstheme="minorBidi"/>
          <w:noProof/>
          <w:sz w:val="22"/>
          <w:szCs w:val="22"/>
        </w:rPr>
      </w:pPr>
      <w:r w:rsidRPr="007D20BC">
        <w:rPr>
          <w:rFonts w:asciiTheme="minorHAnsi" w:hAnsiTheme="minorHAnsi" w:cs="Arial"/>
          <w:noProof/>
        </w:rPr>
        <w:t>Crimes Legislation Amendment (Sexual Crimes Against Children and</w:t>
      </w:r>
      <w:r w:rsidRPr="007D20BC">
        <w:rPr>
          <w:rFonts w:asciiTheme="minorHAnsi" w:hAnsiTheme="minorHAnsi" w:cs="Arial"/>
          <w:noProof/>
        </w:rPr>
        <w:br/>
        <w:t>Community Protection Measures) Bill 2017</w:t>
      </w:r>
      <w:r w:rsidRPr="007D20BC">
        <w:rPr>
          <w:rFonts w:asciiTheme="minorHAnsi" w:hAnsiTheme="minorHAnsi"/>
          <w:noProof/>
        </w:rPr>
        <w:tab/>
        <w:t>67</w:t>
      </w:r>
    </w:p>
    <w:p w:rsidR="00C46699" w:rsidRPr="007D20BC" w:rsidRDefault="00C46699" w:rsidP="00C46699">
      <w:pPr>
        <w:pStyle w:val="TOC3"/>
        <w:tabs>
          <w:tab w:val="right" w:leader="dot" w:pos="9072"/>
        </w:tabs>
        <w:ind w:left="426"/>
        <w:rPr>
          <w:rFonts w:asciiTheme="minorHAnsi" w:eastAsiaTheme="minorEastAsia" w:hAnsiTheme="minorHAnsi" w:cstheme="minorBidi"/>
          <w:noProof/>
          <w:sz w:val="22"/>
          <w:szCs w:val="22"/>
        </w:rPr>
      </w:pPr>
      <w:r w:rsidRPr="007D20BC">
        <w:rPr>
          <w:rFonts w:asciiTheme="minorHAnsi" w:hAnsiTheme="minorHAnsi"/>
          <w:noProof/>
        </w:rPr>
        <w:t>Defence Legislation Amendment (Instrument Making) Bill 2017</w:t>
      </w:r>
      <w:r w:rsidRPr="007D20BC">
        <w:rPr>
          <w:rFonts w:asciiTheme="minorHAnsi" w:hAnsiTheme="minorHAnsi"/>
          <w:noProof/>
        </w:rPr>
        <w:tab/>
        <w:t>89</w:t>
      </w:r>
    </w:p>
    <w:p w:rsidR="00C46699" w:rsidRPr="007D20BC" w:rsidRDefault="00C46699" w:rsidP="00C46699">
      <w:pPr>
        <w:pStyle w:val="TOC3"/>
        <w:tabs>
          <w:tab w:val="right" w:leader="dot" w:pos="9072"/>
        </w:tabs>
        <w:ind w:left="426"/>
        <w:jc w:val="left"/>
        <w:rPr>
          <w:rFonts w:asciiTheme="minorHAnsi" w:eastAsiaTheme="minorEastAsia" w:hAnsiTheme="minorHAnsi" w:cstheme="minorBidi"/>
          <w:noProof/>
          <w:sz w:val="22"/>
          <w:szCs w:val="22"/>
        </w:rPr>
      </w:pPr>
      <w:r w:rsidRPr="007D20BC">
        <w:rPr>
          <w:rFonts w:asciiTheme="minorHAnsi" w:hAnsiTheme="minorHAnsi" w:cs="Arial"/>
          <w:noProof/>
        </w:rPr>
        <w:t>Family Ass</w:t>
      </w:r>
      <w:r w:rsidRPr="007D20BC">
        <w:rPr>
          <w:rFonts w:asciiTheme="minorHAnsi" w:hAnsiTheme="minorHAnsi"/>
          <w:noProof/>
        </w:rPr>
        <w:t>i</w:t>
      </w:r>
      <w:r w:rsidRPr="007D20BC">
        <w:rPr>
          <w:rFonts w:asciiTheme="minorHAnsi" w:hAnsiTheme="minorHAnsi" w:cs="Arial"/>
          <w:noProof/>
        </w:rPr>
        <w:t>stance and Child Support Legislation Amendment (Protecting Children) Bill 2017</w:t>
      </w:r>
      <w:r w:rsidRPr="007D20BC">
        <w:rPr>
          <w:rFonts w:asciiTheme="minorHAnsi" w:hAnsiTheme="minorHAnsi"/>
          <w:noProof/>
        </w:rPr>
        <w:tab/>
        <w:t>98</w:t>
      </w:r>
    </w:p>
    <w:p w:rsidR="00C46699" w:rsidRPr="007D20BC" w:rsidRDefault="00C46699" w:rsidP="00C46699">
      <w:pPr>
        <w:pStyle w:val="TOC3"/>
        <w:tabs>
          <w:tab w:val="right" w:leader="dot" w:pos="9072"/>
        </w:tabs>
        <w:ind w:left="426"/>
        <w:rPr>
          <w:rFonts w:asciiTheme="minorHAnsi" w:eastAsiaTheme="minorEastAsia" w:hAnsiTheme="minorHAnsi" w:cstheme="minorBidi"/>
          <w:noProof/>
          <w:sz w:val="22"/>
          <w:szCs w:val="22"/>
        </w:rPr>
      </w:pPr>
      <w:r w:rsidRPr="007D20BC">
        <w:rPr>
          <w:rFonts w:asciiTheme="minorHAnsi" w:hAnsiTheme="minorHAnsi" w:cs="Arial"/>
          <w:noProof/>
        </w:rPr>
        <w:t>Investigation and Prosecution Measures Bill 2017</w:t>
      </w:r>
      <w:r w:rsidRPr="007D20BC">
        <w:rPr>
          <w:rFonts w:asciiTheme="minorHAnsi" w:hAnsiTheme="minorHAnsi"/>
          <w:noProof/>
        </w:rPr>
        <w:tab/>
        <w:t>106</w:t>
      </w:r>
    </w:p>
    <w:p w:rsidR="00C46699" w:rsidRPr="007D20BC" w:rsidRDefault="00C46699" w:rsidP="00C46699">
      <w:pPr>
        <w:pStyle w:val="TOC3"/>
        <w:tabs>
          <w:tab w:val="right" w:leader="dot" w:pos="9072"/>
        </w:tabs>
        <w:ind w:left="426"/>
        <w:jc w:val="left"/>
        <w:rPr>
          <w:rFonts w:asciiTheme="minorHAnsi" w:eastAsiaTheme="minorEastAsia" w:hAnsiTheme="minorHAnsi" w:cstheme="minorBidi"/>
          <w:noProof/>
          <w:sz w:val="22"/>
          <w:szCs w:val="22"/>
        </w:rPr>
      </w:pPr>
      <w:r w:rsidRPr="007D20BC">
        <w:rPr>
          <w:rFonts w:asciiTheme="minorHAnsi" w:hAnsiTheme="minorHAnsi" w:cs="Arial"/>
          <w:noProof/>
        </w:rPr>
        <w:t>Migration Amendment (Prohibiting Items in Immigration Detention</w:t>
      </w:r>
      <w:r w:rsidRPr="007D20BC">
        <w:rPr>
          <w:rFonts w:asciiTheme="minorHAnsi" w:hAnsiTheme="minorHAnsi" w:cs="Arial"/>
          <w:noProof/>
        </w:rPr>
        <w:br/>
        <w:t>Facilities) Bill 2017</w:t>
      </w:r>
      <w:r w:rsidRPr="007D20BC">
        <w:rPr>
          <w:rFonts w:asciiTheme="minorHAnsi" w:hAnsiTheme="minorHAnsi"/>
          <w:noProof/>
        </w:rPr>
        <w:tab/>
        <w:t>110</w:t>
      </w:r>
    </w:p>
    <w:p w:rsidR="00C46699" w:rsidRPr="007D20BC" w:rsidRDefault="00C46699" w:rsidP="00C46699">
      <w:pPr>
        <w:pStyle w:val="TOC3"/>
        <w:tabs>
          <w:tab w:val="right" w:leader="dot" w:pos="9072"/>
        </w:tabs>
        <w:ind w:left="426"/>
        <w:rPr>
          <w:rFonts w:asciiTheme="minorHAnsi" w:eastAsiaTheme="minorEastAsia" w:hAnsiTheme="minorHAnsi" w:cstheme="minorBidi"/>
          <w:noProof/>
          <w:sz w:val="22"/>
          <w:szCs w:val="22"/>
        </w:rPr>
      </w:pPr>
      <w:r w:rsidRPr="007D20BC">
        <w:rPr>
          <w:rFonts w:asciiTheme="minorHAnsi" w:hAnsiTheme="minorHAnsi" w:cs="Arial"/>
          <w:noProof/>
        </w:rPr>
        <w:t>Therapeutic Goods (Charges) Amendment Bill 2017</w:t>
      </w:r>
      <w:r w:rsidRPr="007D20BC">
        <w:rPr>
          <w:rFonts w:asciiTheme="minorHAnsi" w:hAnsiTheme="minorHAnsi"/>
          <w:noProof/>
        </w:rPr>
        <w:tab/>
        <w:t>124</w:t>
      </w:r>
    </w:p>
    <w:p w:rsidR="00C46699" w:rsidRPr="007D20BC" w:rsidRDefault="00C46699" w:rsidP="00C46699">
      <w:pPr>
        <w:pStyle w:val="TOC3"/>
        <w:tabs>
          <w:tab w:val="right" w:leader="dot" w:pos="9072"/>
        </w:tabs>
        <w:ind w:left="426"/>
        <w:rPr>
          <w:rFonts w:asciiTheme="minorHAnsi" w:eastAsiaTheme="minorEastAsia" w:hAnsiTheme="minorHAnsi" w:cstheme="minorBidi"/>
          <w:noProof/>
          <w:sz w:val="22"/>
          <w:szCs w:val="22"/>
        </w:rPr>
      </w:pPr>
      <w:r w:rsidRPr="007D20BC">
        <w:rPr>
          <w:rFonts w:asciiTheme="minorHAnsi" w:hAnsiTheme="minorHAnsi" w:cs="Arial"/>
          <w:noProof/>
        </w:rPr>
        <w:t>Therapeutic Goods Amendment (2017 Measures No. 1) Bill 2017</w:t>
      </w:r>
      <w:r w:rsidRPr="007D20BC">
        <w:rPr>
          <w:rFonts w:asciiTheme="minorHAnsi" w:hAnsiTheme="minorHAnsi"/>
          <w:noProof/>
        </w:rPr>
        <w:tab/>
        <w:t>128</w:t>
      </w:r>
    </w:p>
    <w:p w:rsidR="00C46699" w:rsidRPr="007D20BC" w:rsidRDefault="00C46699" w:rsidP="00C46699">
      <w:pPr>
        <w:pStyle w:val="TOC3"/>
        <w:tabs>
          <w:tab w:val="right" w:leader="dot" w:pos="9072"/>
        </w:tabs>
        <w:ind w:left="426"/>
        <w:jc w:val="left"/>
        <w:rPr>
          <w:rFonts w:asciiTheme="minorHAnsi" w:eastAsiaTheme="minorEastAsia" w:hAnsiTheme="minorHAnsi" w:cstheme="minorBidi"/>
          <w:noProof/>
          <w:sz w:val="22"/>
          <w:szCs w:val="22"/>
        </w:rPr>
      </w:pPr>
      <w:r w:rsidRPr="007D20BC">
        <w:rPr>
          <w:rFonts w:asciiTheme="minorHAnsi" w:hAnsiTheme="minorHAnsi" w:cs="Arial"/>
          <w:noProof/>
        </w:rPr>
        <w:t>Treasury Laws Amendment (Improving Accountability and Member</w:t>
      </w:r>
      <w:r w:rsidRPr="007D20BC">
        <w:rPr>
          <w:rFonts w:asciiTheme="minorHAnsi" w:hAnsiTheme="minorHAnsi" w:cs="Arial"/>
          <w:noProof/>
        </w:rPr>
        <w:br/>
        <w:t>Outcomes in Superannuation Measures No. 1) Bill 2017</w:t>
      </w:r>
      <w:r w:rsidRPr="007D20BC">
        <w:rPr>
          <w:rFonts w:asciiTheme="minorHAnsi" w:hAnsiTheme="minorHAnsi"/>
          <w:noProof/>
        </w:rPr>
        <w:tab/>
        <w:t>135</w:t>
      </w:r>
    </w:p>
    <w:p w:rsidR="00C46699" w:rsidRPr="007D20BC" w:rsidRDefault="00C46699" w:rsidP="00C46699">
      <w:pPr>
        <w:pStyle w:val="TOC3"/>
        <w:tabs>
          <w:tab w:val="right" w:leader="dot" w:pos="9072"/>
        </w:tabs>
        <w:ind w:left="426"/>
        <w:jc w:val="left"/>
        <w:rPr>
          <w:rFonts w:asciiTheme="minorHAnsi" w:eastAsiaTheme="minorEastAsia" w:hAnsiTheme="minorHAnsi" w:cstheme="minorBidi"/>
          <w:noProof/>
          <w:sz w:val="22"/>
          <w:szCs w:val="22"/>
        </w:rPr>
      </w:pPr>
      <w:r w:rsidRPr="007D20BC">
        <w:rPr>
          <w:rFonts w:asciiTheme="minorHAnsi" w:hAnsiTheme="minorHAnsi" w:cs="Arial"/>
          <w:noProof/>
        </w:rPr>
        <w:t>Treasury Laws Amendment (Putting Consumers First—Establishment</w:t>
      </w:r>
      <w:r w:rsidRPr="007D20BC">
        <w:rPr>
          <w:rFonts w:asciiTheme="minorHAnsi" w:hAnsiTheme="minorHAnsi" w:cs="Arial"/>
          <w:noProof/>
        </w:rPr>
        <w:br/>
        <w:t>of the Australian Financial Complaints Authority) Bill 2017</w:t>
      </w:r>
      <w:r w:rsidRPr="007D20BC">
        <w:rPr>
          <w:rFonts w:asciiTheme="minorHAnsi" w:hAnsiTheme="minorHAnsi"/>
          <w:noProof/>
        </w:rPr>
        <w:tab/>
        <w:t>144</w:t>
      </w:r>
    </w:p>
    <w:p w:rsidR="00C46699" w:rsidRPr="00196A82" w:rsidRDefault="00C46699" w:rsidP="00C46699">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161</w:t>
      </w:r>
    </w:p>
    <w:p w:rsidR="00C46699" w:rsidRPr="00196A82" w:rsidRDefault="00C46699" w:rsidP="00C46699">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w:t>
      </w:r>
      <w:r>
        <w:rPr>
          <w:rFonts w:asciiTheme="minorHAnsi" w:hAnsiTheme="minorHAnsi"/>
          <w:b/>
          <w:noProof/>
          <w:sz w:val="28"/>
          <w:szCs w:val="28"/>
        </w:rPr>
        <w:t>4</w:t>
      </w:r>
      <w:r w:rsidRPr="004E70B2">
        <w:rPr>
          <w:rFonts w:asciiTheme="minorHAnsi" w:hAnsiTheme="minorHAnsi"/>
          <w:b/>
          <w:noProof/>
          <w:sz w:val="28"/>
          <w:szCs w:val="28"/>
        </w:rPr>
        <w:t xml:space="preserve"> –</w:t>
      </w:r>
      <w:r>
        <w:rPr>
          <w:rFonts w:asciiTheme="minorHAnsi" w:hAnsiTheme="minorHAnsi"/>
          <w:b/>
          <w:noProof/>
          <w:sz w:val="28"/>
          <w:szCs w:val="28"/>
        </w:rPr>
        <w:t xml:space="preserve"> Proposed amendment to standing order 24</w:t>
      </w:r>
      <w:r>
        <w:rPr>
          <w:rFonts w:ascii="Calibri" w:hAnsi="Calibri"/>
          <w:noProof/>
        </w:rPr>
        <w:tab/>
        <w:t>163</w:t>
      </w:r>
    </w:p>
    <w:p w:rsidR="00C46699" w:rsidRDefault="00C46699" w:rsidP="00C46699">
      <w:pPr>
        <w:tabs>
          <w:tab w:val="left" w:pos="1170"/>
        </w:tabs>
        <w:jc w:val="left"/>
        <w:rPr>
          <w:sz w:val="20"/>
        </w:rPr>
      </w:pPr>
    </w:p>
    <w:p w:rsidR="00C46699" w:rsidRPr="00B76D49" w:rsidRDefault="00C46699" w:rsidP="00C46699">
      <w:pPr>
        <w:rPr>
          <w:sz w:val="20"/>
        </w:rPr>
      </w:pPr>
    </w:p>
    <w:p w:rsidR="00C46699" w:rsidRDefault="00C46699" w:rsidP="00C46699">
      <w:pPr>
        <w:jc w:val="center"/>
        <w:rPr>
          <w:b/>
          <w:sz w:val="32"/>
          <w:szCs w:val="32"/>
        </w:rPr>
        <w:sectPr w:rsidR="00C46699" w:rsidSect="00C46699">
          <w:footerReference w:type="even" r:id="rId13"/>
          <w:headerReference w:type="first" r:id="rId14"/>
          <w:footerReference w:type="first" r:id="rId15"/>
          <w:pgSz w:w="11906" w:h="16838" w:code="9"/>
          <w:pgMar w:top="1440" w:right="1440" w:bottom="1202" w:left="1440" w:header="1134" w:footer="720" w:gutter="0"/>
          <w:pgNumType w:fmt="lowerRoman" w:start="7"/>
          <w:cols w:space="720"/>
          <w:titlePg/>
        </w:sectPr>
      </w:pPr>
    </w:p>
    <w:p w:rsidR="00C46699" w:rsidRDefault="00C46699" w:rsidP="00C46699">
      <w:pPr>
        <w:jc w:val="center"/>
        <w:rPr>
          <w:b/>
          <w:sz w:val="32"/>
          <w:szCs w:val="32"/>
        </w:rPr>
      </w:pPr>
    </w:p>
    <w:p w:rsidR="00C46699" w:rsidRPr="00C34142" w:rsidRDefault="00C46699" w:rsidP="00C46699">
      <w:pPr>
        <w:pStyle w:val="Heading1"/>
      </w:pPr>
      <w:r w:rsidRPr="00C34142">
        <w:t>Terms of Reference</w:t>
      </w:r>
    </w:p>
    <w:p w:rsidR="00C46699" w:rsidRPr="009D2828" w:rsidRDefault="00C46699" w:rsidP="00C46699">
      <w:pPr>
        <w:spacing w:after="360"/>
        <w:jc w:val="center"/>
      </w:pPr>
    </w:p>
    <w:p w:rsidR="00C46699" w:rsidRPr="00F516A3" w:rsidRDefault="00C46699" w:rsidP="00C46699">
      <w:pPr>
        <w:spacing w:after="360"/>
        <w:jc w:val="center"/>
        <w:rPr>
          <w:sz w:val="28"/>
          <w:szCs w:val="28"/>
        </w:rPr>
      </w:pPr>
      <w:r w:rsidRPr="00F516A3">
        <w:rPr>
          <w:sz w:val="28"/>
          <w:szCs w:val="28"/>
        </w:rPr>
        <w:t xml:space="preserve">Extract from </w:t>
      </w:r>
      <w:r w:rsidRPr="00F516A3">
        <w:rPr>
          <w:b/>
          <w:sz w:val="28"/>
          <w:szCs w:val="28"/>
        </w:rPr>
        <w:t>Standing Order 24</w:t>
      </w:r>
    </w:p>
    <w:p w:rsidR="00C46699" w:rsidRPr="009D2828" w:rsidRDefault="00C46699" w:rsidP="00C46699">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C46699" w:rsidRPr="009D2828" w:rsidRDefault="00C46699" w:rsidP="00C46699">
      <w:pPr>
        <w:tabs>
          <w:tab w:val="left" w:pos="8576"/>
        </w:tabs>
        <w:ind w:left="1701" w:hanging="567"/>
      </w:pPr>
      <w:r w:rsidRPr="009D2828">
        <w:t>(i)</w:t>
      </w:r>
      <w:r w:rsidRPr="009D2828">
        <w:tab/>
        <w:t>trespass unduly on personal rights and liberties;</w:t>
      </w:r>
    </w:p>
    <w:p w:rsidR="00C46699" w:rsidRPr="009D2828" w:rsidRDefault="00C46699" w:rsidP="00C46699">
      <w:pPr>
        <w:tabs>
          <w:tab w:val="left" w:pos="8576"/>
        </w:tabs>
        <w:ind w:left="1701" w:hanging="567"/>
      </w:pPr>
      <w:r w:rsidRPr="009D2828">
        <w:t>(ii)</w:t>
      </w:r>
      <w:r w:rsidRPr="009D2828">
        <w:tab/>
        <w:t>make rights, liberties or obligations unduly dependent upon insufficiently defined administrative powers;</w:t>
      </w:r>
    </w:p>
    <w:p w:rsidR="00C46699" w:rsidRPr="009D2828" w:rsidRDefault="00C46699" w:rsidP="00C46699">
      <w:pPr>
        <w:tabs>
          <w:tab w:val="left" w:pos="8576"/>
        </w:tabs>
        <w:ind w:left="1701" w:hanging="567"/>
      </w:pPr>
      <w:r w:rsidRPr="009D2828">
        <w:t>(iii)</w:t>
      </w:r>
      <w:r w:rsidRPr="009D2828">
        <w:tab/>
        <w:t>make rights, liberties or obligations unduly dependent upon non-reviewable decisions;</w:t>
      </w:r>
    </w:p>
    <w:p w:rsidR="00C46699" w:rsidRPr="009D2828" w:rsidRDefault="00C46699" w:rsidP="00C46699">
      <w:pPr>
        <w:tabs>
          <w:tab w:val="left" w:pos="8576"/>
        </w:tabs>
        <w:ind w:left="1701" w:hanging="567"/>
      </w:pPr>
      <w:r w:rsidRPr="009D2828">
        <w:t>(iv)</w:t>
      </w:r>
      <w:r w:rsidRPr="009D2828">
        <w:tab/>
        <w:t>inappropriately delegate legislative powers; or</w:t>
      </w:r>
    </w:p>
    <w:p w:rsidR="00C46699" w:rsidRPr="009D2828" w:rsidRDefault="00C46699" w:rsidP="00C46699">
      <w:pPr>
        <w:tabs>
          <w:tab w:val="left" w:pos="8576"/>
        </w:tabs>
        <w:spacing w:after="240"/>
        <w:ind w:left="1701" w:hanging="567"/>
      </w:pPr>
      <w:r w:rsidRPr="009D2828">
        <w:t>(v)</w:t>
      </w:r>
      <w:r w:rsidRPr="009D2828">
        <w:tab/>
        <w:t>insufficiently subject the exercise of legislative power to parliamentary scrutiny.</w:t>
      </w:r>
    </w:p>
    <w:p w:rsidR="00C46699" w:rsidRPr="009D2828" w:rsidRDefault="00C46699" w:rsidP="00C46699">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C46699" w:rsidRPr="009D2828" w:rsidRDefault="00C46699" w:rsidP="00C46699">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C46699" w:rsidRPr="009D2828" w:rsidRDefault="00C46699" w:rsidP="00C46699">
      <w:pPr>
        <w:tabs>
          <w:tab w:val="left" w:pos="426"/>
          <w:tab w:val="left" w:pos="1134"/>
          <w:tab w:val="left" w:pos="1701"/>
        </w:tabs>
        <w:spacing w:after="180"/>
        <w:ind w:left="1134" w:hanging="1134"/>
        <w:rPr>
          <w:szCs w:val="26"/>
        </w:rPr>
      </w:pPr>
    </w:p>
    <w:p w:rsidR="00C46699" w:rsidRPr="00520991" w:rsidRDefault="00C46699" w:rsidP="00C46699">
      <w:r>
        <w:br w:type="page"/>
      </w:r>
    </w:p>
    <w:p w:rsidR="00C46699" w:rsidRDefault="00C46699" w:rsidP="00C46699">
      <w:pPr>
        <w:pStyle w:val="Heading1"/>
        <w:spacing w:after="240"/>
        <w:rPr>
          <w:szCs w:val="40"/>
        </w:rPr>
        <w:sectPr w:rsidR="00C46699" w:rsidSect="00C46699">
          <w:headerReference w:type="first" r:id="rId16"/>
          <w:footerReference w:type="first" r:id="rId17"/>
          <w:pgSz w:w="11906" w:h="16838" w:code="9"/>
          <w:pgMar w:top="1440" w:right="1440" w:bottom="1202" w:left="1440" w:header="1134" w:footer="720" w:gutter="0"/>
          <w:pgNumType w:fmt="lowerRoman" w:start="7"/>
          <w:cols w:space="720"/>
          <w:titlePg/>
        </w:sectPr>
      </w:pPr>
    </w:p>
    <w:p w:rsidR="00C46699" w:rsidRDefault="00C46699" w:rsidP="00C46699">
      <w:pPr>
        <w:pStyle w:val="Heading1"/>
        <w:spacing w:after="240"/>
        <w:rPr>
          <w:szCs w:val="40"/>
        </w:rPr>
        <w:sectPr w:rsidR="00C46699" w:rsidSect="00C46699">
          <w:headerReference w:type="first" r:id="rId18"/>
          <w:footerReference w:type="first" r:id="rId19"/>
          <w:pgSz w:w="11906" w:h="16838" w:code="9"/>
          <w:pgMar w:top="1440" w:right="1440" w:bottom="1202" w:left="1440" w:header="1134" w:footer="720" w:gutter="0"/>
          <w:pgNumType w:fmt="lowerRoman" w:start="9"/>
          <w:cols w:space="720"/>
          <w:titlePg/>
        </w:sectPr>
      </w:pPr>
    </w:p>
    <w:p w:rsidR="00C46699" w:rsidRPr="00097996" w:rsidRDefault="00C46699" w:rsidP="00C46699">
      <w:pPr>
        <w:pStyle w:val="Heading1"/>
        <w:spacing w:after="240"/>
        <w:rPr>
          <w:szCs w:val="40"/>
        </w:rPr>
      </w:pPr>
      <w:r w:rsidRPr="00097996">
        <w:rPr>
          <w:szCs w:val="40"/>
        </w:rPr>
        <w:lastRenderedPageBreak/>
        <w:t>Introduction</w:t>
      </w:r>
    </w:p>
    <w:p w:rsidR="00C46699" w:rsidRPr="007D3360" w:rsidRDefault="00C46699" w:rsidP="00C46699">
      <w:pPr>
        <w:pStyle w:val="Heading3"/>
        <w:spacing w:before="0"/>
      </w:pPr>
      <w:r w:rsidRPr="007D3360">
        <w:t>Terms of reference</w:t>
      </w:r>
    </w:p>
    <w:p w:rsidR="00C46699" w:rsidRPr="007D3360" w:rsidRDefault="00C46699" w:rsidP="00C46699">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C46699" w:rsidRPr="007D3360" w:rsidRDefault="00C46699" w:rsidP="00C46699">
      <w:pPr>
        <w:pStyle w:val="Bullet1"/>
        <w:rPr>
          <w:rFonts w:ascii="Calibri" w:hAnsi="Calibri"/>
        </w:rPr>
      </w:pPr>
      <w:r>
        <w:rPr>
          <w:rFonts w:ascii="Calibri" w:hAnsi="Calibri"/>
        </w:rPr>
        <w:t>whether it unduly</w:t>
      </w:r>
      <w:r w:rsidRPr="007D3360">
        <w:rPr>
          <w:rFonts w:ascii="Calibri" w:hAnsi="Calibri"/>
        </w:rPr>
        <w:t xml:space="preserve"> trespass</w:t>
      </w:r>
      <w:r>
        <w:rPr>
          <w:rFonts w:ascii="Calibri" w:hAnsi="Calibri"/>
        </w:rPr>
        <w:t>es</w:t>
      </w:r>
      <w:r w:rsidRPr="007D3360">
        <w:rPr>
          <w:rFonts w:ascii="Calibri" w:hAnsi="Calibri"/>
        </w:rPr>
        <w:t xml:space="preserve"> on personal rights and liberties;</w:t>
      </w:r>
    </w:p>
    <w:p w:rsidR="00C46699" w:rsidRPr="007D3360" w:rsidRDefault="00C46699" w:rsidP="00C46699">
      <w:pPr>
        <w:pStyle w:val="Bullet1"/>
        <w:rPr>
          <w:rFonts w:ascii="Calibri" w:hAnsi="Calibri"/>
        </w:rPr>
      </w:pPr>
      <w:r w:rsidRPr="007D3360">
        <w:rPr>
          <w:rFonts w:ascii="Calibri" w:hAnsi="Calibri"/>
        </w:rPr>
        <w:t>whether administrative powers are described with sufficient precision;</w:t>
      </w:r>
    </w:p>
    <w:p w:rsidR="00C46699" w:rsidRPr="007D3360" w:rsidRDefault="00C46699" w:rsidP="00C46699">
      <w:pPr>
        <w:pStyle w:val="Bullet1"/>
        <w:rPr>
          <w:rFonts w:ascii="Calibri" w:hAnsi="Calibri"/>
        </w:rPr>
      </w:pPr>
      <w:r w:rsidRPr="007D3360">
        <w:rPr>
          <w:rFonts w:ascii="Calibri" w:hAnsi="Calibri"/>
        </w:rPr>
        <w:t>whether appropriate review of decisions is available;</w:t>
      </w:r>
    </w:p>
    <w:p w:rsidR="00C46699" w:rsidRPr="007D3360" w:rsidRDefault="00C46699" w:rsidP="00C46699">
      <w:pPr>
        <w:pStyle w:val="Bullet1"/>
        <w:rPr>
          <w:rFonts w:ascii="Calibri" w:hAnsi="Calibri"/>
        </w:rPr>
      </w:pPr>
      <w:r w:rsidRPr="007D3360">
        <w:rPr>
          <w:rFonts w:ascii="Calibri" w:hAnsi="Calibri"/>
        </w:rPr>
        <w:t>whether any delegation of legislative powers is appropriate; and</w:t>
      </w:r>
    </w:p>
    <w:p w:rsidR="00C46699" w:rsidRPr="007D3360" w:rsidRDefault="00C46699" w:rsidP="00C46699">
      <w:pPr>
        <w:pStyle w:val="Bullet1"/>
        <w:rPr>
          <w:rFonts w:ascii="Calibri" w:hAnsi="Calibri"/>
        </w:rPr>
      </w:pPr>
      <w:r w:rsidRPr="007D3360">
        <w:rPr>
          <w:rFonts w:ascii="Calibri" w:hAnsi="Calibri"/>
        </w:rPr>
        <w:t>whether the exercise of legislative powers is subject to sufficient parliamentary scrutiny.</w:t>
      </w:r>
    </w:p>
    <w:p w:rsidR="00C46699" w:rsidRPr="007D3360" w:rsidRDefault="00C46699" w:rsidP="00C46699">
      <w:pPr>
        <w:pStyle w:val="Heading3"/>
        <w:spacing w:before="0"/>
      </w:pPr>
      <w:r w:rsidRPr="007D3360">
        <w:t>Nature of the committee's scrutiny</w:t>
      </w:r>
    </w:p>
    <w:p w:rsidR="00C46699" w:rsidRPr="007D3360" w:rsidRDefault="00C46699" w:rsidP="00C46699">
      <w:pPr>
        <w:pStyle w:val="Level1"/>
        <w:numPr>
          <w:ilvl w:val="0"/>
          <w:numId w:val="0"/>
        </w:numPr>
        <w:spacing w:before="0"/>
        <w:rPr>
          <w:rFonts w:ascii="Calibri" w:hAnsi="Calibri"/>
        </w:rPr>
      </w:pPr>
      <w:r w:rsidRPr="007D3360">
        <w:rPr>
          <w:rFonts w:ascii="Calibri" w:hAnsi="Calibri"/>
        </w:rPr>
        <w:t>The committee's long-standing approach is that</w:t>
      </w:r>
      <w:r>
        <w:rPr>
          <w:rFonts w:ascii="Calibri" w:hAnsi="Calibri"/>
        </w:rPr>
        <w:t xml:space="preserve"> it operates on a non</w:t>
      </w:r>
      <w:r>
        <w:rPr>
          <w:rFonts w:ascii="Calibri" w:hAnsi="Calibri"/>
        </w:rPr>
        <w:noBreakHyphen/>
        <w:t xml:space="preserve">partisan </w:t>
      </w:r>
      <w:r w:rsidRPr="007D3360">
        <w:rPr>
          <w:rFonts w:ascii="Calibri" w:hAnsi="Calibri"/>
        </w:rPr>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C46699" w:rsidRPr="007D3360" w:rsidRDefault="00C46699" w:rsidP="00C46699">
      <w:pPr>
        <w:pStyle w:val="Heading3"/>
        <w:spacing w:before="0"/>
      </w:pPr>
      <w:r w:rsidRPr="007D3360">
        <w:t>Publications</w:t>
      </w:r>
    </w:p>
    <w:p w:rsidR="00C46699" w:rsidRPr="007D3360" w:rsidRDefault="00C46699" w:rsidP="00C46699">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C46699" w:rsidRPr="007D3360" w:rsidRDefault="00C46699" w:rsidP="00C46699">
      <w:pPr>
        <w:pStyle w:val="Heading3"/>
        <w:spacing w:before="0"/>
      </w:pPr>
      <w:r w:rsidRPr="007D3360">
        <w:t>General information</w:t>
      </w:r>
    </w:p>
    <w:p w:rsidR="00C46699" w:rsidRPr="007D3360" w:rsidRDefault="00C46699" w:rsidP="00C46699">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C46699" w:rsidRPr="00520991" w:rsidRDefault="00C46699" w:rsidP="00C46699"/>
    <w:p w:rsidR="00C46699" w:rsidRDefault="00C46699" w:rsidP="000E264E">
      <w:pPr>
        <w:pStyle w:val="Heading1"/>
        <w:sectPr w:rsidR="00C46699" w:rsidSect="00C46699">
          <w:headerReference w:type="even" r:id="rId20"/>
          <w:headerReference w:type="first" r:id="rId21"/>
          <w:footerReference w:type="first" r:id="rId22"/>
          <w:pgSz w:w="11906" w:h="16838" w:code="9"/>
          <w:pgMar w:top="1440" w:right="1440" w:bottom="1202" w:left="1440" w:header="1134" w:footer="720" w:gutter="0"/>
          <w:pgNumType w:fmt="lowerRoman" w:start="9"/>
          <w:cols w:space="720"/>
          <w:titlePg/>
        </w:sectPr>
      </w:pPr>
    </w:p>
    <w:p w:rsidR="000E264E" w:rsidRDefault="000E264E" w:rsidP="000E264E">
      <w:pPr>
        <w:pStyle w:val="Heading1"/>
      </w:pPr>
      <w:r>
        <w:lastRenderedPageBreak/>
        <w:t>Chapter 1</w:t>
      </w:r>
    </w:p>
    <w:p w:rsidR="000E264E" w:rsidRDefault="000E264E" w:rsidP="000E264E">
      <w:pPr>
        <w:pStyle w:val="Heading2"/>
        <w:spacing w:after="240"/>
        <w:rPr>
          <w:sz w:val="40"/>
          <w:szCs w:val="40"/>
        </w:rPr>
      </w:pPr>
      <w:r w:rsidRPr="00687415">
        <w:rPr>
          <w:sz w:val="40"/>
          <w:szCs w:val="40"/>
        </w:rPr>
        <w:t>Commentary on Bills</w:t>
      </w:r>
    </w:p>
    <w:p w:rsidR="000E264E" w:rsidRDefault="000E264E" w:rsidP="000E264E">
      <w:pPr>
        <w:pStyle w:val="Level1"/>
        <w:numPr>
          <w:ilvl w:val="0"/>
          <w:numId w:val="21"/>
        </w:numPr>
      </w:pPr>
      <w:r>
        <w:t>The committee seeks a response or further information from the relevant minister or sponsor of the bill with respect to the following bills.</w:t>
      </w:r>
    </w:p>
    <w:p w:rsidR="000E264E" w:rsidRPr="009B6A8A" w:rsidRDefault="000E264E" w:rsidP="000E264E">
      <w:pPr>
        <w:pStyle w:val="Heading1"/>
        <w:spacing w:before="120" w:after="240"/>
        <w:jc w:val="both"/>
      </w:pPr>
      <w:r w:rsidRPr="009B6A8A">
        <w:rPr>
          <w:rFonts w:asciiTheme="minorHAnsi" w:hAnsiTheme="minorHAnsi"/>
        </w:rPr>
        <w:t>Agricultural and Veterinary Chemicals Legislation Amendment (Operational Efficiency)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Default="000E264E" w:rsidP="000E264E">
            <w:pPr>
              <w:spacing w:after="60"/>
              <w:rPr>
                <w:sz w:val="24"/>
                <w:szCs w:val="24"/>
              </w:rPr>
            </w:pPr>
            <w:r w:rsidRPr="00B847FE">
              <w:rPr>
                <w:sz w:val="24"/>
                <w:szCs w:val="24"/>
              </w:rPr>
              <w:t>This bill seeks to amend</w:t>
            </w:r>
            <w:r>
              <w:rPr>
                <w:sz w:val="24"/>
                <w:szCs w:val="24"/>
              </w:rPr>
              <w:t xml:space="preserve"> a number of Acts in relation to agricultural and veterinary chemicals to:</w:t>
            </w:r>
          </w:p>
          <w:p w:rsidR="000E264E" w:rsidRPr="009B6A8A" w:rsidRDefault="000E264E" w:rsidP="000E264E">
            <w:pPr>
              <w:pStyle w:val="Bullet1"/>
              <w:tabs>
                <w:tab w:val="clear" w:pos="851"/>
                <w:tab w:val="left" w:pos="459"/>
              </w:tabs>
              <w:spacing w:after="60"/>
              <w:ind w:left="459" w:hanging="459"/>
            </w:pPr>
            <w:r>
              <w:rPr>
                <w:sz w:val="24"/>
                <w:szCs w:val="24"/>
              </w:rPr>
              <w:t>simplify</w:t>
            </w:r>
            <w:r w:rsidRPr="009B6A8A">
              <w:rPr>
                <w:sz w:val="24"/>
                <w:szCs w:val="24"/>
              </w:rPr>
              <w:t xml:space="preserve"> reporting requirements for annual returns;</w:t>
            </w:r>
          </w:p>
          <w:p w:rsidR="000E264E" w:rsidRPr="009B6A8A" w:rsidRDefault="000E264E" w:rsidP="000E264E">
            <w:pPr>
              <w:pStyle w:val="Bullet1"/>
              <w:tabs>
                <w:tab w:val="clear" w:pos="851"/>
                <w:tab w:val="left" w:pos="459"/>
              </w:tabs>
              <w:spacing w:after="60"/>
              <w:ind w:left="459" w:hanging="459"/>
            </w:pPr>
            <w:r>
              <w:rPr>
                <w:sz w:val="24"/>
                <w:szCs w:val="24"/>
              </w:rPr>
              <w:t xml:space="preserve">increase the ability of the Australian Pesticides and Veterinary Medicines Authority (the </w:t>
            </w:r>
            <w:r w:rsidRPr="009B6A8A">
              <w:rPr>
                <w:sz w:val="24"/>
                <w:szCs w:val="24"/>
              </w:rPr>
              <w:t>APVMA</w:t>
            </w:r>
            <w:r>
              <w:rPr>
                <w:sz w:val="24"/>
                <w:szCs w:val="24"/>
              </w:rPr>
              <w:t>)</w:t>
            </w:r>
            <w:r w:rsidRPr="009B6A8A">
              <w:rPr>
                <w:sz w:val="24"/>
                <w:szCs w:val="24"/>
              </w:rPr>
              <w:t xml:space="preserve"> to manage errors in an application at the preliminary assessment stage;</w:t>
            </w:r>
          </w:p>
          <w:p w:rsidR="000E264E" w:rsidRPr="009B6A8A" w:rsidRDefault="000E264E" w:rsidP="000E264E">
            <w:pPr>
              <w:pStyle w:val="Bullet1"/>
              <w:tabs>
                <w:tab w:val="clear" w:pos="851"/>
                <w:tab w:val="left" w:pos="459"/>
              </w:tabs>
              <w:spacing w:after="60"/>
              <w:ind w:left="459" w:hanging="459"/>
            </w:pPr>
            <w:r>
              <w:rPr>
                <w:sz w:val="24"/>
                <w:szCs w:val="24"/>
              </w:rPr>
              <w:t>enable</w:t>
            </w:r>
            <w:r w:rsidRPr="009B6A8A">
              <w:rPr>
                <w:sz w:val="24"/>
                <w:szCs w:val="24"/>
              </w:rPr>
              <w:t xml:space="preserve"> the APVMA to grant part of a variation application under section 27 of the Schedule to the </w:t>
            </w:r>
            <w:r>
              <w:rPr>
                <w:i/>
                <w:sz w:val="24"/>
                <w:szCs w:val="24"/>
              </w:rPr>
              <w:t xml:space="preserve">Agricultural and Veterinary Chemicals </w:t>
            </w:r>
            <w:r w:rsidRPr="009B6A8A">
              <w:rPr>
                <w:i/>
                <w:sz w:val="24"/>
                <w:szCs w:val="24"/>
              </w:rPr>
              <w:t>Code Act</w:t>
            </w:r>
            <w:r w:rsidRPr="009B6A8A">
              <w:rPr>
                <w:sz w:val="24"/>
                <w:szCs w:val="24"/>
              </w:rPr>
              <w:t xml:space="preserve"> </w:t>
            </w:r>
            <w:r w:rsidRPr="009B6A8A">
              <w:rPr>
                <w:i/>
                <w:sz w:val="24"/>
                <w:szCs w:val="24"/>
              </w:rPr>
              <w:t>1994</w:t>
            </w:r>
            <w:r>
              <w:rPr>
                <w:sz w:val="24"/>
                <w:szCs w:val="24"/>
              </w:rPr>
              <w:t xml:space="preserve"> </w:t>
            </w:r>
            <w:r w:rsidRPr="009B6A8A">
              <w:rPr>
                <w:sz w:val="24"/>
                <w:szCs w:val="24"/>
              </w:rPr>
              <w:t>(the Agvet Code);</w:t>
            </w:r>
          </w:p>
          <w:p w:rsidR="000E264E" w:rsidRPr="009B6A8A" w:rsidRDefault="000E264E" w:rsidP="000E264E">
            <w:pPr>
              <w:pStyle w:val="Bullet1"/>
              <w:tabs>
                <w:tab w:val="clear" w:pos="851"/>
                <w:tab w:val="left" w:pos="459"/>
              </w:tabs>
              <w:spacing w:after="60"/>
              <w:ind w:left="459" w:hanging="425"/>
              <w:rPr>
                <w:sz w:val="24"/>
                <w:szCs w:val="24"/>
              </w:rPr>
            </w:pPr>
            <w:r w:rsidRPr="009B6A8A">
              <w:rPr>
                <w:sz w:val="24"/>
                <w:szCs w:val="24"/>
              </w:rPr>
              <w:t>enable a person to apply to vary the relevant particulars or conditions of a label approval that is suspended, to the extent that the variation relates to the grounds for suspension;</w:t>
            </w:r>
          </w:p>
          <w:p w:rsidR="000E264E" w:rsidRPr="009B6A8A" w:rsidRDefault="000E264E" w:rsidP="000E264E">
            <w:pPr>
              <w:pStyle w:val="Bullet1"/>
              <w:tabs>
                <w:tab w:val="clear" w:pos="851"/>
                <w:tab w:val="left" w:pos="459"/>
              </w:tabs>
              <w:spacing w:after="60"/>
              <w:ind w:left="459" w:hanging="459"/>
            </w:pPr>
            <w:r w:rsidRPr="009B6A8A">
              <w:rPr>
                <w:sz w:val="24"/>
                <w:szCs w:val="24"/>
              </w:rPr>
              <w:t>enable a person to apply to vary the relevant particulars or conditions of a label approval that is suspended, to the extent that the variation relates to the grounds for suspension;</w:t>
            </w:r>
          </w:p>
          <w:p w:rsidR="000E264E" w:rsidRPr="009B6A8A" w:rsidRDefault="000E264E" w:rsidP="000E264E">
            <w:pPr>
              <w:pStyle w:val="Bullet1"/>
              <w:tabs>
                <w:tab w:val="clear" w:pos="851"/>
                <w:tab w:val="left" w:pos="459"/>
              </w:tabs>
              <w:spacing w:after="60"/>
              <w:ind w:left="459" w:hanging="459"/>
            </w:pPr>
            <w:r w:rsidRPr="009B6A8A">
              <w:rPr>
                <w:sz w:val="24"/>
                <w:szCs w:val="24"/>
              </w:rPr>
              <w:t>establish civil pecuniary penalties for contraventions of provisions relating to providing false or misleading information</w:t>
            </w:r>
            <w:r>
              <w:rPr>
                <w:sz w:val="24"/>
                <w:szCs w:val="24"/>
              </w:rPr>
              <w:t>;</w:t>
            </w:r>
          </w:p>
          <w:p w:rsidR="000E264E" w:rsidRPr="009B6A8A" w:rsidRDefault="000E264E" w:rsidP="000E264E">
            <w:pPr>
              <w:pStyle w:val="Bullet1"/>
              <w:tabs>
                <w:tab w:val="clear" w:pos="851"/>
                <w:tab w:val="left" w:pos="459"/>
              </w:tabs>
              <w:spacing w:after="60"/>
              <w:ind w:left="459" w:hanging="459"/>
            </w:pPr>
            <w:r w:rsidRPr="009B6A8A">
              <w:rPr>
                <w:sz w:val="24"/>
                <w:szCs w:val="24"/>
              </w:rPr>
              <w:t>amend the notification requirements in section 8E of the Agvet Code</w:t>
            </w:r>
          </w:p>
          <w:p w:rsidR="000E264E" w:rsidRPr="009B6A8A" w:rsidRDefault="000E264E" w:rsidP="000E264E">
            <w:pPr>
              <w:pStyle w:val="Bullet1"/>
              <w:tabs>
                <w:tab w:val="clear" w:pos="851"/>
                <w:tab w:val="left" w:pos="459"/>
              </w:tabs>
              <w:spacing w:after="60"/>
              <w:ind w:left="459" w:hanging="459"/>
            </w:pPr>
            <w:r w:rsidRPr="009B6A8A">
              <w:rPr>
                <w:sz w:val="24"/>
                <w:szCs w:val="24"/>
              </w:rPr>
              <w:t xml:space="preserve">amend the definition of </w:t>
            </w:r>
            <w:r>
              <w:rPr>
                <w:i/>
                <w:sz w:val="24"/>
                <w:szCs w:val="24"/>
              </w:rPr>
              <w:t>'</w:t>
            </w:r>
            <w:r w:rsidRPr="009B6A8A">
              <w:rPr>
                <w:i/>
                <w:sz w:val="24"/>
                <w:szCs w:val="24"/>
              </w:rPr>
              <w:t>expiry date</w:t>
            </w:r>
            <w:r>
              <w:rPr>
                <w:i/>
                <w:sz w:val="24"/>
                <w:szCs w:val="24"/>
              </w:rPr>
              <w:t>'</w:t>
            </w:r>
            <w:r w:rsidRPr="009B6A8A">
              <w:rPr>
                <w:sz w:val="24"/>
                <w:szCs w:val="24"/>
              </w:rPr>
              <w:t xml:space="preserve"> in the Agvet Code to mean the date after which a chemical </w:t>
            </w:r>
            <w:r>
              <w:rPr>
                <w:sz w:val="24"/>
                <w:szCs w:val="24"/>
              </w:rPr>
              <w:t>product 'must not'</w:t>
            </w:r>
            <w:r w:rsidRPr="009B6A8A">
              <w:rPr>
                <w:sz w:val="24"/>
                <w:szCs w:val="24"/>
              </w:rPr>
              <w:t xml:space="preserve"> be used; and</w:t>
            </w:r>
          </w:p>
          <w:p w:rsidR="000E264E" w:rsidRPr="00B847FE" w:rsidRDefault="000E264E" w:rsidP="000E264E">
            <w:pPr>
              <w:pStyle w:val="Bullet1"/>
              <w:tabs>
                <w:tab w:val="clear" w:pos="851"/>
                <w:tab w:val="left" w:pos="459"/>
              </w:tabs>
              <w:ind w:left="459" w:hanging="459"/>
            </w:pPr>
            <w:r>
              <w:rPr>
                <w:sz w:val="24"/>
                <w:szCs w:val="24"/>
              </w:rPr>
              <w:t>make minor and technical amendments including the repeal of redundant provisions</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Agriculture and Water Resources</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House of Representatives on 25 October 2017</w:t>
            </w:r>
          </w:p>
        </w:tc>
      </w:tr>
    </w:tbl>
    <w:p w:rsidR="000E264E" w:rsidRDefault="000E264E" w:rsidP="000E264E">
      <w:pPr>
        <w:pStyle w:val="Level13"/>
        <w:tabs>
          <w:tab w:val="clear" w:pos="850"/>
        </w:tabs>
        <w:spacing w:before="240"/>
        <w:jc w:val="center"/>
        <w:rPr>
          <w:i/>
        </w:rPr>
        <w:sectPr w:rsidR="000E264E" w:rsidSect="00C46699">
          <w:headerReference w:type="first" r:id="rId23"/>
          <w:footerReference w:type="first" r:id="rId24"/>
          <w:pgSz w:w="11906" w:h="16838" w:code="9"/>
          <w:pgMar w:top="1440" w:right="1440" w:bottom="1202" w:left="1440" w:header="1134" w:footer="720" w:gutter="0"/>
          <w:pgNumType w:start="1"/>
          <w:cols w:space="720"/>
          <w:titlePg/>
        </w:sectPr>
      </w:pPr>
      <w:r>
        <w:rPr>
          <w:i/>
        </w:rPr>
        <w:t>The committee has no comment on this bill.</w:t>
      </w: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left"/>
      </w:pPr>
      <w:r w:rsidRPr="0039566B">
        <w:lastRenderedPageBreak/>
        <w:t>Australian Broadcasting Corporation Amendment (Fair and Balanced)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B4756B" w:rsidRDefault="000E264E" w:rsidP="000E264E">
            <w:pPr>
              <w:spacing w:after="60"/>
              <w:rPr>
                <w:i/>
                <w:sz w:val="24"/>
                <w:szCs w:val="24"/>
              </w:rPr>
            </w:pPr>
            <w:r w:rsidRPr="00B847FE">
              <w:rPr>
                <w:sz w:val="24"/>
                <w:szCs w:val="24"/>
              </w:rPr>
              <w:t>This bill seeks to amend</w:t>
            </w:r>
            <w:r>
              <w:rPr>
                <w:sz w:val="24"/>
                <w:szCs w:val="24"/>
              </w:rPr>
              <w:t xml:space="preserve"> the Australian Broadcasting Corporation's Charter, as set out in the </w:t>
            </w:r>
            <w:r>
              <w:rPr>
                <w:i/>
                <w:sz w:val="24"/>
                <w:szCs w:val="24"/>
              </w:rPr>
              <w:t xml:space="preserve">Australian Broadcasting Corporation Act 1983, </w:t>
            </w:r>
            <w:r w:rsidRPr="00B4756B">
              <w:rPr>
                <w:sz w:val="24"/>
                <w:szCs w:val="24"/>
              </w:rPr>
              <w:t xml:space="preserve">to require </w:t>
            </w:r>
            <w:r>
              <w:rPr>
                <w:sz w:val="24"/>
                <w:szCs w:val="24"/>
              </w:rPr>
              <w:t>gathering and presentation of news and information to be 'fair' and 'balanced' according to the recognised standards of objective journalism</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Communications and the Arts</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Senate on 18 October 2017</w:t>
            </w:r>
          </w:p>
        </w:tc>
      </w:tr>
    </w:tbl>
    <w:p w:rsidR="000E264E" w:rsidRDefault="000E264E" w:rsidP="000E264E"/>
    <w:p w:rsidR="000E264E" w:rsidRPr="00827B73" w:rsidRDefault="000E264E" w:rsidP="000E264E">
      <w:pPr>
        <w:pStyle w:val="Level11"/>
        <w:tabs>
          <w:tab w:val="clear" w:pos="850"/>
        </w:tabs>
        <w:jc w:val="center"/>
        <w:rPr>
          <w:i/>
        </w:rPr>
      </w:pPr>
      <w:r>
        <w:rPr>
          <w:i/>
        </w:rPr>
        <w:t>The committee has no comment on this bill.</w:t>
      </w:r>
    </w:p>
    <w:p w:rsidR="000E264E" w:rsidRDefault="000E264E" w:rsidP="000E264E">
      <w:pPr>
        <w:pStyle w:val="Level11"/>
        <w:tabs>
          <w:tab w:val="clear" w:pos="850"/>
        </w:tabs>
        <w:sectPr w:rsidR="000E264E" w:rsidSect="00194588">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4D2C5C">
        <w:rPr>
          <w:rFonts w:asciiTheme="minorHAnsi" w:hAnsiTheme="minorHAnsi"/>
          <w:szCs w:val="26"/>
        </w:rPr>
        <w:lastRenderedPageBreak/>
        <w:t>Australian Broadcasting Corporation Amendment (Rural and Regional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Default="000E264E" w:rsidP="000E264E">
            <w:pPr>
              <w:spacing w:after="60"/>
              <w:rPr>
                <w:sz w:val="24"/>
                <w:szCs w:val="24"/>
              </w:rPr>
            </w:pPr>
            <w:r w:rsidRPr="00B847FE">
              <w:rPr>
                <w:sz w:val="24"/>
                <w:szCs w:val="24"/>
              </w:rPr>
              <w:t>This bill seeks to amend</w:t>
            </w:r>
            <w:r>
              <w:rPr>
                <w:sz w:val="24"/>
                <w:szCs w:val="24"/>
              </w:rPr>
              <w:t xml:space="preserve"> the </w:t>
            </w:r>
            <w:r>
              <w:rPr>
                <w:i/>
                <w:sz w:val="24"/>
                <w:szCs w:val="24"/>
              </w:rPr>
              <w:t xml:space="preserve">Australian Broadcasting Corporation Act 1983 </w:t>
            </w:r>
            <w:r>
              <w:rPr>
                <w:sz w:val="24"/>
                <w:szCs w:val="24"/>
              </w:rPr>
              <w:t>to:</w:t>
            </w:r>
          </w:p>
          <w:p w:rsidR="000E264E" w:rsidRDefault="000E264E" w:rsidP="000E264E">
            <w:pPr>
              <w:pStyle w:val="Bullet1"/>
              <w:tabs>
                <w:tab w:val="clear" w:pos="851"/>
                <w:tab w:val="left" w:pos="459"/>
              </w:tabs>
              <w:ind w:left="459" w:hanging="459"/>
              <w:rPr>
                <w:sz w:val="24"/>
                <w:szCs w:val="24"/>
              </w:rPr>
            </w:pPr>
            <w:r w:rsidRPr="00155294">
              <w:rPr>
                <w:sz w:val="24"/>
                <w:szCs w:val="24"/>
              </w:rPr>
              <w:t xml:space="preserve">amend the </w:t>
            </w:r>
            <w:r>
              <w:rPr>
                <w:sz w:val="24"/>
                <w:szCs w:val="24"/>
              </w:rPr>
              <w:t>Australian Broadcasting Corporation's (ABC) Charter in relation to the delivery of services</w:t>
            </w:r>
          </w:p>
          <w:p w:rsidR="000E264E" w:rsidRDefault="000E264E" w:rsidP="000E264E">
            <w:pPr>
              <w:pStyle w:val="Bullet1"/>
              <w:tabs>
                <w:tab w:val="clear" w:pos="851"/>
                <w:tab w:val="left" w:pos="459"/>
              </w:tabs>
              <w:ind w:left="459" w:hanging="459"/>
              <w:rPr>
                <w:sz w:val="24"/>
                <w:szCs w:val="24"/>
              </w:rPr>
            </w:pPr>
            <w:r>
              <w:rPr>
                <w:sz w:val="24"/>
                <w:szCs w:val="24"/>
              </w:rPr>
              <w:t>require the ABC Board to establish a Regional Advisory Council within a specified timeframe;</w:t>
            </w:r>
          </w:p>
          <w:p w:rsidR="000E264E" w:rsidRDefault="000E264E" w:rsidP="000E264E">
            <w:pPr>
              <w:pStyle w:val="Bullet1"/>
              <w:tabs>
                <w:tab w:val="clear" w:pos="851"/>
                <w:tab w:val="left" w:pos="459"/>
              </w:tabs>
              <w:ind w:left="459" w:hanging="459"/>
              <w:rPr>
                <w:sz w:val="24"/>
                <w:szCs w:val="24"/>
              </w:rPr>
            </w:pPr>
            <w:r>
              <w:rPr>
                <w:sz w:val="24"/>
                <w:szCs w:val="24"/>
              </w:rPr>
              <w:t>ensure a minimum level of representation by individuals with an understanding of rural and regional communities on the ABC Board;</w:t>
            </w:r>
          </w:p>
          <w:p w:rsidR="000E264E" w:rsidRDefault="000E264E" w:rsidP="000E264E">
            <w:pPr>
              <w:pStyle w:val="Bullet1"/>
              <w:tabs>
                <w:tab w:val="clear" w:pos="851"/>
                <w:tab w:val="left" w:pos="459"/>
              </w:tabs>
              <w:ind w:left="459" w:hanging="459"/>
              <w:rPr>
                <w:sz w:val="24"/>
                <w:szCs w:val="24"/>
              </w:rPr>
            </w:pPr>
            <w:r>
              <w:rPr>
                <w:sz w:val="24"/>
                <w:szCs w:val="24"/>
              </w:rPr>
              <w:t>require the Minister (in relation to non-executive directors) or the Prime Minister (in relation to the ABC Chair) to table a statement in each House of the Parliament outlining a person's substantial connection or experience in a regional community; and</w:t>
            </w:r>
          </w:p>
          <w:p w:rsidR="000E264E" w:rsidRPr="00155294" w:rsidRDefault="000E264E" w:rsidP="000E264E">
            <w:pPr>
              <w:pStyle w:val="Bullet1"/>
              <w:tabs>
                <w:tab w:val="clear" w:pos="851"/>
                <w:tab w:val="left" w:pos="459"/>
              </w:tabs>
              <w:ind w:left="459" w:hanging="459"/>
              <w:rPr>
                <w:sz w:val="24"/>
                <w:szCs w:val="24"/>
              </w:rPr>
            </w:pPr>
            <w:r>
              <w:rPr>
                <w:sz w:val="24"/>
                <w:szCs w:val="24"/>
              </w:rPr>
              <w:t>introduce a number of additional annual obligations</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Communications and the Arts</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Senate on 18 October 2017</w:t>
            </w:r>
          </w:p>
        </w:tc>
      </w:tr>
    </w:tbl>
    <w:p w:rsidR="000E264E" w:rsidRDefault="000E264E" w:rsidP="000E264E"/>
    <w:p w:rsidR="000E264E" w:rsidRDefault="000E264E" w:rsidP="000E264E">
      <w:pPr>
        <w:pStyle w:val="Level12"/>
        <w:tabs>
          <w:tab w:val="clear" w:pos="850"/>
        </w:tabs>
        <w:jc w:val="center"/>
        <w:rPr>
          <w:i/>
        </w:rPr>
        <w:sectPr w:rsidR="000E264E" w:rsidSect="00194588">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cols w:space="720"/>
          <w:titlePg/>
        </w:sectPr>
      </w:pPr>
      <w:r>
        <w:rPr>
          <w:i/>
        </w:rPr>
        <w:t>The committee has no comment on this bill.</w:t>
      </w: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4D719B">
        <w:lastRenderedPageBreak/>
        <w:t>Bankruptcy Amendme</w:t>
      </w:r>
      <w:r>
        <w:t>nt (Enterprise Incentives) Bill </w:t>
      </w:r>
      <w:r w:rsidRPr="004D719B">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Default="000E264E" w:rsidP="000E264E">
            <w:pPr>
              <w:spacing w:after="60"/>
              <w:rPr>
                <w:sz w:val="24"/>
                <w:szCs w:val="24"/>
              </w:rPr>
            </w:pPr>
            <w:r w:rsidRPr="00B847FE">
              <w:rPr>
                <w:sz w:val="24"/>
                <w:szCs w:val="24"/>
              </w:rPr>
              <w:t>This bill seeks to amend</w:t>
            </w:r>
            <w:r>
              <w:rPr>
                <w:sz w:val="24"/>
                <w:szCs w:val="24"/>
              </w:rPr>
              <w:t xml:space="preserve"> the </w:t>
            </w:r>
            <w:r>
              <w:rPr>
                <w:i/>
                <w:sz w:val="24"/>
                <w:szCs w:val="24"/>
              </w:rPr>
              <w:t>Bankruptcy Act 1966</w:t>
            </w:r>
            <w:r>
              <w:rPr>
                <w:sz w:val="24"/>
                <w:szCs w:val="24"/>
              </w:rPr>
              <w:t xml:space="preserve"> to:</w:t>
            </w:r>
          </w:p>
          <w:p w:rsidR="000E264E" w:rsidRPr="006A4216" w:rsidRDefault="000E264E" w:rsidP="000E264E">
            <w:pPr>
              <w:pStyle w:val="Bullet1"/>
              <w:tabs>
                <w:tab w:val="clear" w:pos="851"/>
                <w:tab w:val="left" w:pos="459"/>
              </w:tabs>
              <w:spacing w:after="60"/>
              <w:ind w:left="459" w:hanging="459"/>
              <w:rPr>
                <w:sz w:val="24"/>
                <w:szCs w:val="24"/>
              </w:rPr>
            </w:pPr>
            <w:r w:rsidRPr="006A4216">
              <w:rPr>
                <w:sz w:val="24"/>
                <w:szCs w:val="24"/>
              </w:rPr>
              <w:t>reduce the default period of bankruptcy from three years to one year;</w:t>
            </w:r>
            <w:r>
              <w:rPr>
                <w:sz w:val="24"/>
                <w:szCs w:val="24"/>
              </w:rPr>
              <w:t xml:space="preserve"> and</w:t>
            </w:r>
          </w:p>
          <w:p w:rsidR="000E264E" w:rsidRPr="006A4216" w:rsidRDefault="000E264E" w:rsidP="000E264E">
            <w:pPr>
              <w:pStyle w:val="Bullet1"/>
              <w:tabs>
                <w:tab w:val="clear" w:pos="851"/>
                <w:tab w:val="left" w:pos="459"/>
              </w:tabs>
              <w:ind w:left="459" w:hanging="459"/>
              <w:rPr>
                <w:sz w:val="24"/>
                <w:szCs w:val="24"/>
              </w:rPr>
            </w:pPr>
            <w:r w:rsidRPr="006A4216">
              <w:rPr>
                <w:sz w:val="24"/>
                <w:szCs w:val="24"/>
              </w:rPr>
              <w:t>extend income contribution obligations for discharged bankrupts for a minimum period of two years following discharge or, in the event that a bankruptcy is extended due to non-compliance, for five to eight years</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Attorney-General</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Senate on 19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w:t>
            </w:r>
          </w:p>
        </w:tc>
        <w:tc>
          <w:tcPr>
            <w:tcW w:w="6582" w:type="dxa"/>
            <w:tcBorders>
              <w:left w:val="single" w:sz="12" w:space="0" w:color="auto"/>
              <w:bottom w:val="single" w:sz="12" w:space="0" w:color="auto"/>
            </w:tcBorders>
          </w:tcPr>
          <w:p w:rsidR="000E264E" w:rsidRDefault="000E264E" w:rsidP="000E264E">
            <w:pPr>
              <w:rPr>
                <w:sz w:val="24"/>
                <w:szCs w:val="24"/>
              </w:rPr>
            </w:pPr>
            <w:r>
              <w:rPr>
                <w:sz w:val="24"/>
                <w:szCs w:val="24"/>
              </w:rPr>
              <w:t>Standing order 24(1)(a)(i)</w:t>
            </w:r>
          </w:p>
        </w:tc>
      </w:tr>
    </w:tbl>
    <w:p w:rsidR="000E264E" w:rsidRDefault="000E264E" w:rsidP="000E264E">
      <w:pPr>
        <w:pStyle w:val="Heading3"/>
        <w:spacing w:before="240"/>
      </w:pPr>
      <w:r>
        <w:t>Strict liability offences</w:t>
      </w:r>
      <w:r w:rsidRPr="00FB5E6F">
        <w:rPr>
          <w:rStyle w:val="FootnoteReference"/>
          <w:b w:val="0"/>
        </w:rPr>
        <w:footnoteReference w:id="1"/>
      </w:r>
    </w:p>
    <w:p w:rsidR="000E264E" w:rsidRDefault="000E264E" w:rsidP="000E264E">
      <w:pPr>
        <w:pStyle w:val="Level14"/>
        <w:numPr>
          <w:ilvl w:val="0"/>
          <w:numId w:val="21"/>
        </w:numPr>
      </w:pPr>
      <w:r>
        <w:t xml:space="preserve">Subsection 80(1) of the </w:t>
      </w:r>
      <w:r w:rsidRPr="00B4250D">
        <w:rPr>
          <w:i/>
        </w:rPr>
        <w:t>Bankruptcy Act 1966</w:t>
      </w:r>
      <w:r>
        <w:t xml:space="preserve"> currently requires bankrupts to 'immediately' inform the trustee in writing of a change to their name or their principal place of residence that occurs during their bankruptcy. Item 4 seeks to repeal this subsection and substitute a new subsection that would require bankrupts to tell the trustee 'within 10 business days' of a change to their name, principal place of residence or telephone number and to do so in a 'manner determined or approved by the trustee'.</w:t>
      </w:r>
    </w:p>
    <w:p w:rsidR="000E264E" w:rsidRDefault="000E264E" w:rsidP="000E264E">
      <w:pPr>
        <w:pStyle w:val="Level14"/>
        <w:numPr>
          <w:ilvl w:val="0"/>
          <w:numId w:val="21"/>
        </w:numPr>
      </w:pPr>
      <w:r>
        <w:t>Both the existing subsection and the proposed new subsection makes breach of this requirement an offence which is subject to up to 6 months imprisonment. Subsection 80(1A) of the Act currently specifies that the offence in subsection (1) is an offence of strict liability, and the proposed new offence would therefore also be a strict liability offence.</w:t>
      </w:r>
    </w:p>
    <w:p w:rsidR="000E264E" w:rsidRDefault="000E264E" w:rsidP="000E264E">
      <w:pPr>
        <w:pStyle w:val="Level14"/>
        <w:numPr>
          <w:ilvl w:val="0"/>
          <w:numId w:val="21"/>
        </w:numPr>
      </w:pPr>
      <w:r>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w:t>
      </w:r>
      <w:r>
        <w:lastRenderedPageBreak/>
        <w:t xml:space="preserve">liability undermines fundamental criminal law principles, the committee expects the explanatory memorandum to provide a clear justification for any imposition of strict liability (including, in this case, the remaking of an offence which is subject to strict liability), including outlining whether the approach is consistent with the </w:t>
      </w:r>
      <w:r w:rsidRPr="007B0D42">
        <w:rPr>
          <w:i/>
        </w:rPr>
        <w:t>Guide to Framing Commonwealth Offences.</w:t>
      </w:r>
      <w:r>
        <w:rPr>
          <w:rStyle w:val="FootnoteReference"/>
          <w:i/>
        </w:rPr>
        <w:footnoteReference w:id="2"/>
      </w:r>
    </w:p>
    <w:p w:rsidR="000E264E" w:rsidRDefault="000E264E" w:rsidP="000E264E">
      <w:pPr>
        <w:pStyle w:val="Level14"/>
        <w:numPr>
          <w:ilvl w:val="0"/>
          <w:numId w:val="21"/>
        </w:numPr>
      </w:pPr>
      <w:r>
        <w:t xml:space="preserve">The </w:t>
      </w:r>
      <w:r w:rsidRPr="00AC2A4A">
        <w:rPr>
          <w:i/>
        </w:rPr>
        <w:t>Guide to Framing Commonwealth Offences</w:t>
      </w:r>
      <w:r>
        <w:t xml:space="preserve"> states that the application of strict liability is only considered appropriate where the offence is not punishable by imprisonment and only punishable by a fine of up to 60 penalty units for an individual.</w:t>
      </w:r>
      <w:r>
        <w:rPr>
          <w:rStyle w:val="FootnoteReference"/>
        </w:rPr>
        <w:footnoteReference w:id="3"/>
      </w:r>
      <w:r>
        <w:t xml:space="preserve"> In this instance, the bill proposes an offence that is subject to imprisonment for up to 6 months, to which strict liability then applies. The committee reiterates its long-standing scrutiny view that it is inappropriate that strict liability is applied in circumstances where a period of imprisonment may be imposed.</w:t>
      </w:r>
    </w:p>
    <w:p w:rsidR="000E264E" w:rsidRDefault="000E264E" w:rsidP="000E264E">
      <w:pPr>
        <w:pStyle w:val="Level14"/>
        <w:numPr>
          <w:ilvl w:val="0"/>
          <w:numId w:val="21"/>
        </w:numPr>
      </w:pPr>
      <w:r>
        <w:t>In this instance, the explanatory memorandum does not explain that this offence is subject to strict liability, and so does not address the appropriateness of making the offence subject to up to six months imprisonment in circumstances where strict liability applies to the offence.</w:t>
      </w:r>
    </w:p>
    <w:p w:rsidR="000E264E" w:rsidRDefault="000E264E" w:rsidP="000E264E">
      <w:pPr>
        <w:pStyle w:val="Level14"/>
        <w:numPr>
          <w:ilvl w:val="0"/>
          <w:numId w:val="21"/>
        </w:numPr>
        <w:rPr>
          <w:b/>
        </w:rPr>
      </w:pPr>
      <w:r w:rsidRPr="008377F8">
        <w:rPr>
          <w:b/>
        </w:rPr>
        <w:t xml:space="preserve">The committee therefore requests the Minister's advice as to </w:t>
      </w:r>
      <w:r>
        <w:rPr>
          <w:b/>
        </w:rPr>
        <w:t>the appropriateness of making an offence (for a bankrupt failing to notify of a change in contact details) subject to up to six months imprisonment where strict liability applies to the offence.</w:t>
      </w:r>
    </w:p>
    <w:p w:rsidR="000E264E" w:rsidRDefault="000E264E" w:rsidP="000E264E">
      <w:pPr>
        <w:pStyle w:val="Level14"/>
        <w:numPr>
          <w:ilvl w:val="0"/>
          <w:numId w:val="21"/>
        </w:numPr>
        <w:rPr>
          <w:b/>
        </w:rPr>
        <w:sectPr w:rsidR="000E264E" w:rsidSect="00194588">
          <w:headerReference w:type="even" r:id="rId37"/>
          <w:headerReference w:type="default" r:id="rId38"/>
          <w:footerReference w:type="even" r:id="rId39"/>
          <w:footerReference w:type="default" r:id="rId40"/>
          <w:headerReference w:type="first" r:id="rId41"/>
          <w:footerReference w:type="first" r:id="rId42"/>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left"/>
      </w:pPr>
      <w:r w:rsidRPr="00D340C5">
        <w:rPr>
          <w:szCs w:val="26"/>
        </w:rPr>
        <w:lastRenderedPageBreak/>
        <w:t>Coal-Fired Power Funding Prohibition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B847FE" w:rsidRDefault="000E264E" w:rsidP="000E264E">
            <w:pPr>
              <w:spacing w:after="60"/>
              <w:rPr>
                <w:sz w:val="24"/>
                <w:szCs w:val="24"/>
              </w:rPr>
            </w:pPr>
            <w:r>
              <w:rPr>
                <w:sz w:val="24"/>
                <w:szCs w:val="24"/>
              </w:rPr>
              <w:t>This bill seeks to</w:t>
            </w:r>
            <w:r w:rsidRPr="00FB18D4">
              <w:rPr>
                <w:sz w:val="24"/>
                <w:szCs w:val="24"/>
              </w:rPr>
              <w:t xml:space="preserve"> prohibit the Commonwealth government or its agencies from funding the refurbishment, building, purchasing or assisting in the transfer of ownership of, a coal-fired power station</w:t>
            </w:r>
            <w:r>
              <w:rPr>
                <w:sz w:val="24"/>
                <w:szCs w:val="24"/>
              </w:rPr>
              <w:t xml:space="preserve"> </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Sponsor</w:t>
            </w:r>
          </w:p>
        </w:tc>
        <w:tc>
          <w:tcPr>
            <w:tcW w:w="6582" w:type="dxa"/>
            <w:tcBorders>
              <w:left w:val="single" w:sz="12" w:space="0" w:color="auto"/>
            </w:tcBorders>
          </w:tcPr>
          <w:p w:rsidR="000E264E" w:rsidRPr="00B847FE" w:rsidRDefault="000E264E" w:rsidP="000E264E">
            <w:pPr>
              <w:rPr>
                <w:sz w:val="24"/>
                <w:szCs w:val="24"/>
              </w:rPr>
            </w:pPr>
            <w:r>
              <w:rPr>
                <w:sz w:val="24"/>
                <w:szCs w:val="24"/>
              </w:rPr>
              <w:t>Senator Richard Di Natale</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Senate on 17 October 2017</w:t>
            </w:r>
          </w:p>
        </w:tc>
      </w:tr>
    </w:tbl>
    <w:p w:rsidR="000E264E" w:rsidRDefault="000E264E" w:rsidP="000E264E"/>
    <w:p w:rsidR="000E264E" w:rsidRDefault="000E264E" w:rsidP="000E264E">
      <w:pPr>
        <w:jc w:val="center"/>
        <w:rPr>
          <w:i/>
        </w:rPr>
        <w:sectPr w:rsidR="000E264E" w:rsidSect="00194588">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cols w:space="720"/>
          <w:titlePg/>
        </w:sectPr>
      </w:pPr>
      <w:r>
        <w:rPr>
          <w:i/>
        </w:rPr>
        <w:t>The committee has no comment on this bill.</w:t>
      </w: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left"/>
      </w:pPr>
      <w:r w:rsidRPr="00D340C5">
        <w:rPr>
          <w:szCs w:val="26"/>
        </w:rPr>
        <w:lastRenderedPageBreak/>
        <w:t>Coal-Fired Power Funding Prohibition Bill 2017</w:t>
      </w:r>
      <w:r>
        <w:rPr>
          <w:szCs w:val="26"/>
        </w:rPr>
        <w:t xml:space="preserve"> [No.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B847FE" w:rsidRDefault="000E264E" w:rsidP="000E264E">
            <w:pPr>
              <w:spacing w:after="60"/>
              <w:rPr>
                <w:sz w:val="24"/>
                <w:szCs w:val="24"/>
              </w:rPr>
            </w:pPr>
            <w:r>
              <w:rPr>
                <w:sz w:val="24"/>
                <w:szCs w:val="24"/>
              </w:rPr>
              <w:t>This bill seeks to</w:t>
            </w:r>
            <w:r w:rsidRPr="00FB18D4">
              <w:rPr>
                <w:sz w:val="24"/>
                <w:szCs w:val="24"/>
              </w:rPr>
              <w:t xml:space="preserve"> prohibit the Commonwealth government or its agencies from funding the refurbishment, building, purchasing or assisting in the transfer of ownership of, a coal-fired power station</w:t>
            </w:r>
            <w:r>
              <w:rPr>
                <w:sz w:val="24"/>
                <w:szCs w:val="24"/>
              </w:rPr>
              <w:t xml:space="preserve"> </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Sponsor</w:t>
            </w:r>
          </w:p>
        </w:tc>
        <w:tc>
          <w:tcPr>
            <w:tcW w:w="6582" w:type="dxa"/>
            <w:tcBorders>
              <w:left w:val="single" w:sz="12" w:space="0" w:color="auto"/>
            </w:tcBorders>
          </w:tcPr>
          <w:p w:rsidR="000E264E" w:rsidRPr="00B847FE" w:rsidRDefault="000E264E" w:rsidP="000E264E">
            <w:pPr>
              <w:rPr>
                <w:sz w:val="24"/>
                <w:szCs w:val="24"/>
              </w:rPr>
            </w:pPr>
            <w:r>
              <w:rPr>
                <w:sz w:val="24"/>
                <w:szCs w:val="24"/>
              </w:rPr>
              <w:t>Mr Adam Bandt MP</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House of Representatives on 23 October 2017</w:t>
            </w:r>
          </w:p>
        </w:tc>
      </w:tr>
    </w:tbl>
    <w:p w:rsidR="000E264E" w:rsidRDefault="000E264E" w:rsidP="000E264E"/>
    <w:p w:rsidR="000E264E" w:rsidRDefault="000E264E" w:rsidP="000E264E">
      <w:pPr>
        <w:jc w:val="center"/>
        <w:rPr>
          <w:i/>
        </w:rPr>
        <w:sectPr w:rsidR="000E264E" w:rsidSect="00194588">
          <w:headerReference w:type="even" r:id="rId49"/>
          <w:headerReference w:type="default" r:id="rId50"/>
          <w:footerReference w:type="even" r:id="rId51"/>
          <w:footerReference w:type="default" r:id="rId52"/>
          <w:headerReference w:type="first" r:id="rId53"/>
          <w:footerReference w:type="first" r:id="rId54"/>
          <w:pgSz w:w="11906" w:h="16838" w:code="9"/>
          <w:pgMar w:top="1440" w:right="1440" w:bottom="1202" w:left="1440" w:header="1134" w:footer="720" w:gutter="0"/>
          <w:cols w:space="720"/>
          <w:titlePg/>
        </w:sectPr>
      </w:pPr>
      <w:r>
        <w:rPr>
          <w:i/>
        </w:rPr>
        <w:t>The committee has no comment on this bill.</w:t>
      </w: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765D7F">
        <w:lastRenderedPageBreak/>
        <w:t>Commonwealth Redress Scheme for Institutional Child Sexual Abuse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B847FE" w:rsidRDefault="000E264E" w:rsidP="000E264E">
            <w:pPr>
              <w:pStyle w:val="Level15"/>
              <w:tabs>
                <w:tab w:val="clear" w:pos="850"/>
              </w:tabs>
              <w:rPr>
                <w:sz w:val="24"/>
                <w:szCs w:val="24"/>
              </w:rPr>
            </w:pPr>
            <w:r w:rsidRPr="00B847FE">
              <w:rPr>
                <w:sz w:val="24"/>
                <w:szCs w:val="24"/>
              </w:rPr>
              <w:t xml:space="preserve">This bill seeks to </w:t>
            </w:r>
            <w:r w:rsidRPr="00E00C27">
              <w:rPr>
                <w:rFonts w:ascii="Calibri" w:hAnsi="Calibri"/>
                <w:sz w:val="24"/>
                <w:szCs w:val="24"/>
              </w:rPr>
              <w:t>establish a Commonwealth Redress Scheme for Survivors of Institutional Child Sexual Abuse</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Social Services</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26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principles</w:t>
            </w:r>
          </w:p>
        </w:tc>
        <w:tc>
          <w:tcPr>
            <w:tcW w:w="6582" w:type="dxa"/>
            <w:tcBorders>
              <w:left w:val="single" w:sz="12" w:space="0" w:color="auto"/>
              <w:bottom w:val="single" w:sz="12" w:space="0" w:color="auto"/>
            </w:tcBorders>
          </w:tcPr>
          <w:p w:rsidR="000E264E" w:rsidRDefault="000E264E" w:rsidP="000E264E">
            <w:pPr>
              <w:rPr>
                <w:sz w:val="24"/>
                <w:szCs w:val="24"/>
              </w:rPr>
            </w:pPr>
            <w:r>
              <w:rPr>
                <w:sz w:val="24"/>
                <w:szCs w:val="24"/>
              </w:rPr>
              <w:t>Standing Order 24(1)(a)(i), (ii), (iii), (iv) and (v)</w:t>
            </w:r>
          </w:p>
        </w:tc>
      </w:tr>
    </w:tbl>
    <w:p w:rsidR="000E264E" w:rsidRDefault="000E264E" w:rsidP="000E264E">
      <w:pPr>
        <w:pStyle w:val="Heading3"/>
        <w:spacing w:before="240"/>
      </w:pPr>
      <w:r>
        <w:t>Significant matters in delegated legislation</w:t>
      </w:r>
      <w:r w:rsidRPr="004474CF">
        <w:rPr>
          <w:rStyle w:val="FootnoteReference"/>
          <w:b w:val="0"/>
        </w:rPr>
        <w:footnoteReference w:id="4"/>
      </w:r>
    </w:p>
    <w:p w:rsidR="000E264E" w:rsidRDefault="000E264E" w:rsidP="000E264E">
      <w:pPr>
        <w:pStyle w:val="Level15"/>
        <w:numPr>
          <w:ilvl w:val="0"/>
          <w:numId w:val="21"/>
        </w:numPr>
      </w:pPr>
      <w:r>
        <w:t xml:space="preserve">The bill seeks to establish a redress scheme for survivors of institutional child sex abuse. A number of important elements of the scheme are proposed to be left to delegated legislation to determine. In particular, clause 16 sets out when a person is eligible for redress. It provides that person is eligible for redress if the person was sexually abused, the sexual abuse is within the scope of the scheme and the person is an Australian citizen or permanent resident at the time they apply for redress. However, subclause 16(2) provides that the rules may prescribe that a person is eligible for redress on other grounds and subclause 16(3) provides that the rules may prescribe circumstances when a person is </w:t>
      </w:r>
      <w:r w:rsidRPr="00084838">
        <w:rPr>
          <w:i/>
        </w:rPr>
        <w:t>not</w:t>
      </w:r>
      <w:r>
        <w:t xml:space="preserve"> eligible for redress. </w:t>
      </w:r>
    </w:p>
    <w:p w:rsidR="000E264E" w:rsidRDefault="000E264E" w:rsidP="000E264E">
      <w:pPr>
        <w:pStyle w:val="Level15"/>
        <w:numPr>
          <w:ilvl w:val="0"/>
          <w:numId w:val="21"/>
        </w:numPr>
      </w:pPr>
      <w:r w:rsidRPr="001748EA">
        <w:t>The committee</w:t>
      </w:r>
      <w:r>
        <w:t>'</w:t>
      </w:r>
      <w:r w:rsidRPr="001748EA">
        <w:t xml:space="preserve">s view is that </w:t>
      </w:r>
      <w:r>
        <w:t>significant</w:t>
      </w:r>
      <w:r w:rsidRPr="001748EA">
        <w:t xml:space="preserve"> matters, such as </w:t>
      </w:r>
      <w:r>
        <w:t>who is or is not eligible under the redress scheme</w:t>
      </w:r>
      <w:r w:rsidRPr="001748EA">
        <w:t>, should be included in primary legislation unless a sound justification for the use of delegated legislation is provided.</w:t>
      </w:r>
      <w:r>
        <w:t xml:space="preserve"> In this instance, the explanatory memorandum provides no explanation as to why it is necessary to allow the rules to prescribe persons who are or are not eligible under the scheme. It merely restates the effect of the provision and notes that it is intended that rules will be made to prescribe three categories of persons that are eligible: child migrants who are non-citizens and non-permanent residents; non-citizens and non-permanent resident currently living in Australia and former Australian citizens and permanent residents.</w:t>
      </w:r>
      <w:r>
        <w:rPr>
          <w:rStyle w:val="FootnoteReference"/>
        </w:rPr>
        <w:footnoteReference w:id="5"/>
      </w:r>
      <w:r>
        <w:t xml:space="preserve"> If the intention is that these categories of persons should be eligible for redress, it is not clear to the committee why these have not been included in the primary legislation.</w:t>
      </w:r>
    </w:p>
    <w:p w:rsidR="000E264E" w:rsidRDefault="000E264E" w:rsidP="000E264E">
      <w:pPr>
        <w:pStyle w:val="Level15"/>
        <w:numPr>
          <w:ilvl w:val="0"/>
          <w:numId w:val="21"/>
        </w:numPr>
      </w:pPr>
      <w:r>
        <w:t xml:space="preserve">In addition, clause 21 sets out when a participating institution will be considered responsible for the abuse of a person. Subclause 21(7) provides that </w:t>
      </w:r>
      <w:r>
        <w:lastRenderedPageBreak/>
        <w:t>despite provisions setting out when an institution will be held responsible, a participating institution will not be responsible if it occurs in circumstances prescribed by the rules. The explanatory memorandum provides that this is intended to ensure that institutions are not found responsible for abuse that occurred in circumstances where it would be unreasonable to hold the institution responsible.</w:t>
      </w:r>
      <w:r>
        <w:rPr>
          <w:rStyle w:val="FootnoteReference"/>
        </w:rPr>
        <w:footnoteReference w:id="6"/>
      </w:r>
      <w:r>
        <w:t xml:space="preserve"> However, it is not clear to the committee why such circumstances should be left to the rules to determine rather than setting out the relevant criteria as to when it is considered that it would be unreasonable to hold an institution responsible in the primary legislation.</w:t>
      </w:r>
    </w:p>
    <w:p w:rsidR="000E264E" w:rsidRDefault="000E264E" w:rsidP="000E264E">
      <w:pPr>
        <w:pStyle w:val="Level15"/>
        <w:numPr>
          <w:ilvl w:val="0"/>
          <w:numId w:val="21"/>
        </w:numPr>
      </w:pPr>
      <w:r>
        <w:t>Furthermore, clause 22 defines what is a participating institution (and so captured by the redress scheme), but paragraphs 23(2)(c) and 25(2)(b) and subclause 26(3) provide that an institution will not be considered to be a participating institution if the rules so prescribe. This therefore excludes the institution from the scheme, and a survivor of child sexual abuse would not be able to seek redress under the scheme in relation to abuse occurring in such an institution. The explanatory memorandum states that the power in paragraphs 23(2)(c) and 25(2)(b) is intended to be used to exclude an institution where it is more appropriate for that institution to pay redress to a person (rather than the Commonwealth or a Territory), which would presumably mean the person would need to pursue their own civil litigation.</w:t>
      </w:r>
      <w:r>
        <w:rPr>
          <w:rStyle w:val="FootnoteReference"/>
        </w:rPr>
        <w:footnoteReference w:id="7"/>
      </w:r>
      <w:r>
        <w:t xml:space="preserve"> In relation to subclause 26(3) the explanatory memorandum explains that this subclause covers the case where an institution was established in a Territory but not at the time the abuse occurred. The committee notes that these provisions would allow rules to be made reducing the scope of the application of the scheme, which would appear to have significant policy implications.</w:t>
      </w:r>
    </w:p>
    <w:p w:rsidR="000E264E" w:rsidRDefault="000E264E" w:rsidP="000E264E">
      <w:pPr>
        <w:pStyle w:val="Level15"/>
        <w:numPr>
          <w:ilvl w:val="0"/>
          <w:numId w:val="21"/>
        </w:numPr>
      </w:pPr>
      <w:r>
        <w:t>The committee also notes that clause 34 gives the Minister the power to declare a method, or matters to take into account, for working out the amount of redress payment for a person. The committee notes that t</w:t>
      </w:r>
      <w:r w:rsidRPr="0055542A">
        <w:t>his issue is of central importance to the scheme, given that it will determine the amount of redress which may be payable to a person under the scheme. The explanatory memorandum provides no exp</w:t>
      </w:r>
      <w:r>
        <w:t>lanation as to</w:t>
      </w:r>
      <w:r w:rsidRPr="0055542A">
        <w:t xml:space="preserve"> why this matter cannot be determined in the primary legislation so that Parliament may consider its appropriateness. Notably subclause</w:t>
      </w:r>
      <w:r>
        <w:t> </w:t>
      </w:r>
      <w:r w:rsidRPr="0055542A">
        <w:t xml:space="preserve">34(3) provides that the declaration is exempt from section 42 disallowance under the </w:t>
      </w:r>
      <w:r w:rsidRPr="0055542A">
        <w:rPr>
          <w:i/>
        </w:rPr>
        <w:t>Legislation Act 2003</w:t>
      </w:r>
      <w:r w:rsidRPr="0055542A">
        <w:t xml:space="preserve">. According </w:t>
      </w:r>
      <w:r>
        <w:t xml:space="preserve">to </w:t>
      </w:r>
      <w:r w:rsidRPr="0055542A">
        <w:t xml:space="preserve">the </w:t>
      </w:r>
      <w:r>
        <w:t>explanatory memorandum,</w:t>
      </w:r>
      <w:r w:rsidRPr="0055542A">
        <w:t xml:space="preserve"> this is appropriate so the amount</w:t>
      </w:r>
      <w:r>
        <w:t>s</w:t>
      </w:r>
      <w:r w:rsidRPr="0055542A">
        <w:t xml:space="preserve"> of redress payments are certain for applicants and decision-makers.</w:t>
      </w:r>
      <w:r>
        <w:rPr>
          <w:rStyle w:val="FootnoteReference"/>
        </w:rPr>
        <w:footnoteReference w:id="8"/>
      </w:r>
      <w:r w:rsidRPr="0055542A">
        <w:t xml:space="preserve"> </w:t>
      </w:r>
      <w:r>
        <w:t>However, the committee notes that s</w:t>
      </w:r>
      <w:r w:rsidRPr="0055542A">
        <w:t xml:space="preserve">uch certainty could also be achieved if these matters were included in the primary legislation. The </w:t>
      </w:r>
      <w:r>
        <w:t xml:space="preserve">explanatory memorandum </w:t>
      </w:r>
      <w:r w:rsidRPr="0055542A">
        <w:t xml:space="preserve">also states that these declarations would ordinarily be of an </w:t>
      </w:r>
      <w:r w:rsidRPr="0055542A">
        <w:lastRenderedPageBreak/>
        <w:t xml:space="preserve">administrative character and they have been made legislative instruments to ensure certainty and transparency. However, it is not clear </w:t>
      </w:r>
      <w:r>
        <w:t xml:space="preserve">to the committee </w:t>
      </w:r>
      <w:r w:rsidRPr="0055542A">
        <w:t>why such declarations should not be characterised as having a legislative character</w:t>
      </w:r>
      <w:r>
        <w:t>, as t</w:t>
      </w:r>
      <w:r w:rsidRPr="0055542A">
        <w:t xml:space="preserve">hey change the law to be applied in working out the amount of redress payable in each successful application. </w:t>
      </w:r>
    </w:p>
    <w:p w:rsidR="000E264E" w:rsidRDefault="000E264E" w:rsidP="000E264E">
      <w:pPr>
        <w:pStyle w:val="Level15"/>
        <w:numPr>
          <w:ilvl w:val="0"/>
          <w:numId w:val="21"/>
        </w:numPr>
      </w:pPr>
      <w:r>
        <w:t xml:space="preserve">In addition, the committee also notes that these significant matters are to be included in 'rules' rather than in 'regulations'. The issue of the appropriateness of providing for significant matters in legislative rules (as distinct from regulations) is discussed in the committee's </w:t>
      </w:r>
      <w:r>
        <w:rPr>
          <w:i/>
        </w:rPr>
        <w:t>First Report of 2015</w:t>
      </w:r>
      <w:r>
        <w:t>.</w:t>
      </w:r>
      <w:r>
        <w:rPr>
          <w:rStyle w:val="FootnoteReference"/>
        </w:rPr>
        <w:footnoteReference w:id="9"/>
      </w:r>
      <w:r>
        <w:t xml:space="preserve"> In relation to this matter, the committee has noted that regulations are subject to a higher level of executive scrutiny than other instruments as regulations must be approved by the Federal Executive Council and must also be drafted by the Office of Parliamentary Counsel (OPC). Therefore, if significant matters are to be provided for in delegated legislation (rather than primary legislation) the committee considers they should at least be provided for in regulations, rather than other forms of delegated legislation which are subject to a lower level of executive scrutiny.</w:t>
      </w:r>
      <w:r>
        <w:rPr>
          <w:rStyle w:val="FootnoteReference"/>
        </w:rPr>
        <w:footnoteReference w:id="10"/>
      </w:r>
      <w:r>
        <w:t xml:space="preserve"> </w:t>
      </w:r>
    </w:p>
    <w:p w:rsidR="000E264E" w:rsidRDefault="000E264E" w:rsidP="000E264E">
      <w:pPr>
        <w:pStyle w:val="Level15"/>
        <w:numPr>
          <w:ilvl w:val="0"/>
          <w:numId w:val="21"/>
        </w:numPr>
      </w:pPr>
      <w:r>
        <w:t xml:space="preserve">Finally, where the Parliament delegates its legislative power in relation to significant schemes the committee considers that it is appropriate that specific consultation obligations (beyond those in section 17 of the </w:t>
      </w:r>
      <w:r>
        <w:rPr>
          <w:i/>
        </w:rPr>
        <w:t>Legislation Act </w:t>
      </w:r>
      <w:r w:rsidRPr="00F870B0">
        <w:rPr>
          <w:i/>
        </w:rPr>
        <w:t>2003</w:t>
      </w:r>
      <w:r>
        <w:t xml:space="preserve">) are included in the bill and that compliance with these obligations is a condition of the validity of the legislative instrument. </w:t>
      </w:r>
      <w:r>
        <w:rPr>
          <w:lang w:eastAsia="en-AU"/>
        </w:rPr>
        <w:t xml:space="preserve">The committee notes that section 17 of the </w:t>
      </w:r>
      <w:r w:rsidRPr="00EE45D1">
        <w:rPr>
          <w:i/>
          <w:lang w:eastAsia="en-AU"/>
        </w:rPr>
        <w:t>Legislation Act 2003</w:t>
      </w:r>
      <w:r>
        <w:rPr>
          <w:lang w:eastAsia="en-AU"/>
        </w:rPr>
        <w:t xml:space="preserve"> sets out the consultation to be undertaken before making a legislative instrument. However, section 17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EE45D1">
        <w:rPr>
          <w:i/>
          <w:lang w:eastAsia="en-AU"/>
        </w:rPr>
        <w:t>Legislation Act 2003</w:t>
      </w:r>
      <w:r>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Pr>
          <w:rStyle w:val="FootnoteReference"/>
          <w:lang w:eastAsia="en-AU"/>
        </w:rPr>
        <w:footnoteReference w:id="11"/>
      </w:r>
    </w:p>
    <w:p w:rsidR="000E264E" w:rsidRPr="004A5A46" w:rsidRDefault="000E264E" w:rsidP="000E264E">
      <w:pPr>
        <w:pStyle w:val="Level15"/>
        <w:numPr>
          <w:ilvl w:val="0"/>
          <w:numId w:val="21"/>
        </w:numPr>
        <w:rPr>
          <w:b/>
        </w:rPr>
      </w:pPr>
      <w:r>
        <w:rPr>
          <w:b/>
        </w:rPr>
        <w:t>The committee'</w:t>
      </w:r>
      <w:r w:rsidRPr="004A5A46">
        <w:rPr>
          <w:b/>
        </w:rPr>
        <w:t xml:space="preserve">s view is that significant matters, such as </w:t>
      </w:r>
      <w:r>
        <w:rPr>
          <w:b/>
        </w:rPr>
        <w:t>who is eligible for redress and what institutions are captured by the scheme</w:t>
      </w:r>
      <w:r w:rsidRPr="004A5A46">
        <w:rPr>
          <w:b/>
        </w:rPr>
        <w:t>, should be included in primary legislation unless a sound justification for the use of delegated legislation is provided. In this regard, the committee requests the Minister</w:t>
      </w:r>
      <w:r>
        <w:rPr>
          <w:b/>
        </w:rPr>
        <w:t>'</w:t>
      </w:r>
      <w:r w:rsidRPr="004A5A46">
        <w:rPr>
          <w:b/>
        </w:rPr>
        <w:t>s detailed advice as to:</w:t>
      </w:r>
    </w:p>
    <w:p w:rsidR="000E264E" w:rsidRDefault="000E264E" w:rsidP="000E264E">
      <w:pPr>
        <w:pStyle w:val="Bullet1"/>
        <w:rPr>
          <w:b/>
        </w:rPr>
      </w:pPr>
      <w:r w:rsidRPr="004A5A46">
        <w:rPr>
          <w:b/>
        </w:rPr>
        <w:lastRenderedPageBreak/>
        <w:t>why it is considered necessary and appropriate to leave the elements of this new schem</w:t>
      </w:r>
      <w:r>
        <w:rPr>
          <w:b/>
        </w:rPr>
        <w:t xml:space="preserve">e, as described above, </w:t>
      </w:r>
      <w:r w:rsidRPr="004A5A46">
        <w:rPr>
          <w:b/>
        </w:rPr>
        <w:t>to delegated legislation;</w:t>
      </w:r>
    </w:p>
    <w:p w:rsidR="000E264E" w:rsidRDefault="000E264E" w:rsidP="000E264E">
      <w:pPr>
        <w:pStyle w:val="Bullet1"/>
        <w:rPr>
          <w:b/>
        </w:rPr>
      </w:pPr>
      <w:r>
        <w:rPr>
          <w:b/>
        </w:rPr>
        <w:t>what type of institutions may be prescribed as not constituting a Commonwealth institution or Territory institution;</w:t>
      </w:r>
    </w:p>
    <w:p w:rsidR="000E264E" w:rsidRPr="004A5A46" w:rsidRDefault="000E264E" w:rsidP="000E264E">
      <w:pPr>
        <w:pStyle w:val="Bullet1"/>
        <w:rPr>
          <w:b/>
        </w:rPr>
      </w:pPr>
      <w:r>
        <w:rPr>
          <w:b/>
        </w:rPr>
        <w:t>the appropriateness of exempting from disallowance a Ministerial declaration regarding the method or matters to take into account for working out the amount of redress payments, in light of the above comments;</w:t>
      </w:r>
    </w:p>
    <w:p w:rsidR="000E264E" w:rsidRPr="004A5A46" w:rsidRDefault="000E264E" w:rsidP="000E264E">
      <w:pPr>
        <w:pStyle w:val="Bullet1"/>
        <w:rPr>
          <w:b/>
        </w:rPr>
      </w:pPr>
      <w:r w:rsidRPr="004A5A46">
        <w:rPr>
          <w:b/>
        </w:rPr>
        <w:t>if significant matters are to be included in delegated legislation, why it is appropriate to include these in rules rather than regulations;</w:t>
      </w:r>
      <w:r>
        <w:rPr>
          <w:b/>
        </w:rPr>
        <w:t xml:space="preserve"> and</w:t>
      </w:r>
    </w:p>
    <w:p w:rsidR="000E264E" w:rsidRPr="004A5A46" w:rsidRDefault="000E264E" w:rsidP="000E264E">
      <w:pPr>
        <w:pStyle w:val="Bullet1"/>
        <w:rPr>
          <w:b/>
        </w:rPr>
      </w:pPr>
      <w:r w:rsidRPr="004A5A46">
        <w:rPr>
          <w:b/>
        </w:rPr>
        <w:t xml:space="preserve">the type of consultation that is envisaged will be conducted prior to the making of </w:t>
      </w:r>
      <w:r>
        <w:rPr>
          <w:b/>
        </w:rPr>
        <w:t>the rules</w:t>
      </w:r>
      <w:r w:rsidRPr="004A5A46">
        <w:rPr>
          <w:b/>
        </w:rPr>
        <w:t xml:space="preserve"> and whether specific consultation obligations (beyond those in section 17 of the </w:t>
      </w:r>
      <w:r w:rsidRPr="004A5A46">
        <w:rPr>
          <w:b/>
          <w:i/>
        </w:rPr>
        <w:t>Legislation Act 2003</w:t>
      </w:r>
      <w:r w:rsidRPr="004A5A46">
        <w:rPr>
          <w:b/>
        </w:rPr>
        <w:t xml:space="preserve">) can be included in the legislation (with compliance with such obligations a condition of the validity of </w:t>
      </w:r>
      <w:r>
        <w:rPr>
          <w:b/>
        </w:rPr>
        <w:t>the legislative instrument).</w:t>
      </w:r>
    </w:p>
    <w:p w:rsidR="000E264E" w:rsidRPr="00C20AE1" w:rsidRDefault="000E264E" w:rsidP="000E264E">
      <w:pPr>
        <w:spacing w:after="240"/>
        <w:ind w:left="2268" w:right="2223"/>
      </w:pPr>
      <w:r>
        <w:pict>
          <v:rect id="_x0000_i1063" style="width:0;height:1.5pt" o:hralign="center" o:hrstd="t" o:hr="t" fillcolor="#a0a0a0" stroked="f"/>
        </w:pict>
      </w:r>
    </w:p>
    <w:p w:rsidR="000E264E" w:rsidRPr="007851A1" w:rsidRDefault="000E264E" w:rsidP="000E264E">
      <w:pPr>
        <w:pStyle w:val="Heading3"/>
        <w:rPr>
          <w:b w:val="0"/>
        </w:rPr>
      </w:pPr>
      <w:r>
        <w:t>Standing appropriation</w:t>
      </w:r>
      <w:r w:rsidRPr="007851A1">
        <w:rPr>
          <w:rStyle w:val="FootnoteReference"/>
          <w:b w:val="0"/>
        </w:rPr>
        <w:footnoteReference w:id="12"/>
      </w:r>
    </w:p>
    <w:p w:rsidR="000E264E" w:rsidRDefault="000E264E" w:rsidP="000E264E">
      <w:pPr>
        <w:pStyle w:val="Level15"/>
        <w:numPr>
          <w:ilvl w:val="0"/>
          <w:numId w:val="21"/>
        </w:numPr>
      </w:pPr>
      <w:r>
        <w:t>Clause 54 provides that the Consolidated Revenue Fund is appropriated for the purposes of paying or discharging the costs incurred by the Commonwealth in providing redress payments, counselling and psychological services.</w:t>
      </w:r>
    </w:p>
    <w:p w:rsidR="000E264E" w:rsidRDefault="000E264E" w:rsidP="000E264E">
      <w:pPr>
        <w:pStyle w:val="Level15"/>
        <w:numPr>
          <w:ilvl w:val="0"/>
          <w:numId w:val="21"/>
        </w:numPr>
      </w:pPr>
      <w:r>
        <w:t>As set out in Chapter 3 of this Digest, standing appropriations enable entities to spend money from the Consolidated Revenue Fund on an ongoing basis. Their significance from an accountability perspective is that, once they have been enacted, the expenditure they involve does not require regular parliamentary approval and therefore escapes parliamentary control. They are not subject to approval through the standard annual appropriations process.</w:t>
      </w:r>
    </w:p>
    <w:p w:rsidR="000E264E" w:rsidRDefault="000E264E" w:rsidP="000E264E">
      <w:pPr>
        <w:pStyle w:val="Level15"/>
        <w:numPr>
          <w:ilvl w:val="0"/>
          <w:numId w:val="21"/>
        </w:numPr>
      </w:pPr>
      <w:r>
        <w:t>By allowing the executive government to spend unspecified amounts of money for an indefinite time into the future, provisions which establish standing appropriations may, depending on the circumstances of the legislation, infringe on the committee's terms of reference relating to the delegation and exercise of legislative power.</w:t>
      </w:r>
    </w:p>
    <w:p w:rsidR="000E264E" w:rsidRDefault="000E264E" w:rsidP="000E264E">
      <w:pPr>
        <w:pStyle w:val="Level15"/>
        <w:numPr>
          <w:ilvl w:val="0"/>
          <w:numId w:val="21"/>
        </w:numPr>
      </w:pPr>
      <w:r>
        <w:t>The c</w:t>
      </w:r>
      <w:r w:rsidRPr="007851A1">
        <w:t>ommittee</w:t>
      </w:r>
      <w:r>
        <w:t xml:space="preserve">'s long-standing expectation is </w:t>
      </w:r>
      <w:r w:rsidRPr="007851A1">
        <w:t>that the explanatory memorandum to a bill establishing a standing appropriation will include an explanation of the reason the standing appropriation was considered necessary</w:t>
      </w:r>
      <w:r>
        <w:t>. In this instance, t</w:t>
      </w:r>
      <w:r w:rsidRPr="003A5036">
        <w:t>he</w:t>
      </w:r>
      <w:r>
        <w:t xml:space="preserve"> explanatory memorandum provides no explanation of the reason </w:t>
      </w:r>
      <w:r>
        <w:lastRenderedPageBreak/>
        <w:t>for this standing appropriation. However, the committee notes that the scheme has a sunset date of 10 years after the scheme commences (although this can be extended by the rules).</w:t>
      </w:r>
      <w:r>
        <w:rPr>
          <w:rStyle w:val="FootnoteReference"/>
        </w:rPr>
        <w:footnoteReference w:id="13"/>
      </w:r>
    </w:p>
    <w:p w:rsidR="000E264E" w:rsidRDefault="000E264E" w:rsidP="000E264E">
      <w:pPr>
        <w:pStyle w:val="Level15"/>
        <w:numPr>
          <w:ilvl w:val="0"/>
          <w:numId w:val="21"/>
        </w:numPr>
        <w:rPr>
          <w:b/>
        </w:rPr>
      </w:pPr>
      <w:r w:rsidRPr="000F18ED">
        <w:rPr>
          <w:b/>
        </w:rPr>
        <w:t>The committee draws this standing appropriation to the attention of the Senate.</w:t>
      </w:r>
    </w:p>
    <w:p w:rsidR="000E264E" w:rsidRPr="00C20AE1" w:rsidRDefault="000E264E" w:rsidP="000E264E">
      <w:pPr>
        <w:spacing w:after="240"/>
        <w:ind w:left="2268" w:right="2223"/>
      </w:pPr>
      <w:r>
        <w:pict>
          <v:rect id="_x0000_i1064" style="width:0;height:1.5pt" o:hralign="center" o:hrstd="t" o:hr="t" fillcolor="#a0a0a0" stroked="f"/>
        </w:pict>
      </w:r>
    </w:p>
    <w:p w:rsidR="000E264E" w:rsidRDefault="000E264E" w:rsidP="000E264E">
      <w:pPr>
        <w:pStyle w:val="Level15"/>
        <w:tabs>
          <w:tab w:val="clear" w:pos="850"/>
        </w:tabs>
        <w:rPr>
          <w:b/>
        </w:rPr>
      </w:pPr>
      <w:r>
        <w:rPr>
          <w:b/>
        </w:rPr>
        <w:t>Civil penalty</w:t>
      </w:r>
      <w:r w:rsidRPr="000F18ED">
        <w:rPr>
          <w:rStyle w:val="FootnoteReference"/>
        </w:rPr>
        <w:footnoteReference w:id="14"/>
      </w:r>
    </w:p>
    <w:p w:rsidR="000E264E" w:rsidRDefault="000E264E" w:rsidP="000E264E">
      <w:pPr>
        <w:pStyle w:val="Level15"/>
        <w:numPr>
          <w:ilvl w:val="0"/>
          <w:numId w:val="21"/>
        </w:numPr>
      </w:pPr>
      <w:r>
        <w:t>Sub clause 71(1) of the bill states that a participating institution or person must not refuse or fail to comply with a requirement under section 70. The provision is then stated to constitute a civil penalty of a maximum of 100 penalty units. Subclause (2) states that subsection (1) does not apply if the institution or person has a reasonable excuse. The note at the end of subclause (2) states that a defendant bears an evidential burden in relation to this matter under subsection 13.3(3) of the Criminal Code. The explanatory memorandum states that the note alerts the reader that the burden of proof is on the defendant by virtue of the Criminal Code.</w:t>
      </w:r>
      <w:r>
        <w:rPr>
          <w:rStyle w:val="FootnoteReference"/>
        </w:rPr>
        <w:footnoteReference w:id="15"/>
      </w:r>
      <w:r>
        <w:t xml:space="preserve"> However, subsection 13.3(3) of the Criminal Code applies to reverse the evidential burden of proof in relation to provisions that create 'offences'. In this case the provision does not create an offence but imposes a civil penalty for a failure to comply with the relevant requirements.</w:t>
      </w:r>
    </w:p>
    <w:p w:rsidR="000E264E" w:rsidRDefault="000E264E" w:rsidP="000E264E">
      <w:pPr>
        <w:pStyle w:val="Level15"/>
        <w:numPr>
          <w:ilvl w:val="0"/>
          <w:numId w:val="21"/>
        </w:numPr>
        <w:rPr>
          <w:b/>
        </w:rPr>
      </w:pPr>
      <w:r w:rsidRPr="008645FF">
        <w:rPr>
          <w:b/>
        </w:rPr>
        <w:t>The committee seeks the Minister's advice as to whether it is the intention that subclause 71(1) be subject to a civil, rather than</w:t>
      </w:r>
      <w:r>
        <w:rPr>
          <w:b/>
        </w:rPr>
        <w:t xml:space="preserve"> a</w:t>
      </w:r>
      <w:r w:rsidRPr="008645FF">
        <w:rPr>
          <w:b/>
        </w:rPr>
        <w:t xml:space="preserve"> criminal penalty, and why the note at the end of subclause 71(2) alerts readers to provisions of the Criminal Code when the penalty is civil rather than criminal in nature.</w:t>
      </w:r>
    </w:p>
    <w:p w:rsidR="000E264E" w:rsidRPr="00C20AE1" w:rsidRDefault="000E264E" w:rsidP="000E264E">
      <w:pPr>
        <w:spacing w:after="240"/>
        <w:ind w:left="2268" w:right="2223"/>
      </w:pPr>
      <w:r>
        <w:pict>
          <v:rect id="_x0000_i1065" style="width:0;height:1.5pt" o:hralign="center" o:hrstd="t" o:hr="t" fillcolor="#a0a0a0" stroked="f"/>
        </w:pict>
      </w:r>
    </w:p>
    <w:p w:rsidR="000E264E" w:rsidRDefault="000E264E" w:rsidP="000E264E">
      <w:pPr>
        <w:pStyle w:val="Heading3"/>
      </w:pPr>
      <w:r>
        <w:t>Broad discretionary power</w:t>
      </w:r>
      <w:r w:rsidRPr="00445790">
        <w:rPr>
          <w:rStyle w:val="FootnoteReference"/>
          <w:b w:val="0"/>
        </w:rPr>
        <w:footnoteReference w:id="16"/>
      </w:r>
    </w:p>
    <w:p w:rsidR="000E264E" w:rsidRDefault="000E264E" w:rsidP="000E264E">
      <w:pPr>
        <w:pStyle w:val="Level15"/>
        <w:numPr>
          <w:ilvl w:val="0"/>
          <w:numId w:val="21"/>
        </w:numPr>
      </w:pPr>
      <w:r>
        <w:t>Clause 77 provides that the Commonwealth Redress Scheme Operator (the Operator)</w:t>
      </w:r>
      <w:r>
        <w:rPr>
          <w:rStyle w:val="FootnoteReference"/>
        </w:rPr>
        <w:footnoteReference w:id="17"/>
      </w:r>
      <w:r>
        <w:t xml:space="preserve"> may disclose protected information acquired by an officer in the performance of their functions or duties, or in the exercise of their powers under the bill. 'Protected information' is information about a person that is or was held in the </w:t>
      </w:r>
      <w:r>
        <w:lastRenderedPageBreak/>
        <w:t>records of the relevant government departments.</w:t>
      </w:r>
      <w:r>
        <w:rPr>
          <w:rStyle w:val="FootnoteReference"/>
        </w:rPr>
        <w:footnoteReference w:id="18"/>
      </w:r>
      <w:r>
        <w:t xml:space="preserve"> Paragraph 77(1)(a) provides that the Operator can disclose such protected information if the Operator certifies that the disclosure is necessary in the public interest to do so, and the disclosure is to 'such persons and for such purposes as the Operator determines'. Subclause 77(2) provides that in making such a certification the Operator must act in accordance with 'any rules' made for this purpose (although subclause 77(3) does not require that any rules be made, rather it states that rules 'may' be made). The explanatory memorandum gives no reason as to why this provision is necessary, only giving a short example of the types of matters that may be subject to certification as where 'it is necessary for the investigation of a criminal offence or to locate a missing person'.</w:t>
      </w:r>
      <w:r>
        <w:rPr>
          <w:rStyle w:val="FootnoteReference"/>
        </w:rPr>
        <w:footnoteReference w:id="19"/>
      </w:r>
      <w:r>
        <w:t xml:space="preserve"> However, the committee notes that clause 78 specifically provides that the Operator may disclose information to specified enforcement or protection agencies if the disclosure is reasonably necessary for the enforcement of the criminal law or for the purposes of child protection.</w:t>
      </w:r>
    </w:p>
    <w:p w:rsidR="000E264E" w:rsidRDefault="000E264E" w:rsidP="000E264E">
      <w:pPr>
        <w:pStyle w:val="Level15"/>
        <w:numPr>
          <w:ilvl w:val="0"/>
          <w:numId w:val="21"/>
        </w:numPr>
      </w:pPr>
      <w:r>
        <w:t xml:space="preserve">The committee notes that the proposed power in paragraph 77(1)(a) gives an extremely broad basis on which the Operator can disclose protected information (which would likely include highly sensitive allegations regarding child sexual abuse) to </w:t>
      </w:r>
      <w:r w:rsidRPr="003A100E">
        <w:rPr>
          <w:i/>
        </w:rPr>
        <w:t>any</w:t>
      </w:r>
      <w:r>
        <w:t xml:space="preserve"> person and for </w:t>
      </w:r>
      <w:r w:rsidRPr="003A100E">
        <w:rPr>
          <w:i/>
        </w:rPr>
        <w:t>any</w:t>
      </w:r>
      <w:r>
        <w:t xml:space="preserve"> reason, so long as the person seeking to disclose the information considers it necessary in the public interest to do so. The committee notes that unlike disclosures made to specified agencies in clause 78, the Operator is not required to have regard to the impact the disclosure might have on the person.</w:t>
      </w:r>
      <w:r>
        <w:rPr>
          <w:rStyle w:val="FootnoteReference"/>
        </w:rPr>
        <w:footnoteReference w:id="20"/>
      </w:r>
      <w:r w:rsidRPr="0063446F">
        <w:t xml:space="preserve"> </w:t>
      </w:r>
      <w:r>
        <w:t>There is also no requirement that rules be made in relation to the Operator's power to disclose the information and no information on the face of the primary legislation as to the circumstances in which the power can be exercised (other than that the Operator must be satisfied that it is in the public interest to make the disclosure). There is also no requirement that before disclosing personal information about a person, the Operator must notify the person, give the person a reasonable opportunity to make written comments on the proposed disclosure and consider any written comments made by the person.</w:t>
      </w:r>
    </w:p>
    <w:p w:rsidR="000E264E" w:rsidRPr="0063446F" w:rsidRDefault="000E264E" w:rsidP="000E264E">
      <w:pPr>
        <w:pStyle w:val="Level15"/>
        <w:numPr>
          <w:ilvl w:val="0"/>
          <w:numId w:val="21"/>
        </w:numPr>
        <w:rPr>
          <w:b/>
        </w:rPr>
      </w:pPr>
      <w:r w:rsidRPr="0063446F">
        <w:rPr>
          <w:b/>
        </w:rPr>
        <w:t>The committee therefore requests the Minister's advice as to:</w:t>
      </w:r>
    </w:p>
    <w:p w:rsidR="000E264E" w:rsidRDefault="000E264E" w:rsidP="000E264E">
      <w:pPr>
        <w:pStyle w:val="Bullet1"/>
        <w:rPr>
          <w:b/>
        </w:rPr>
      </w:pPr>
      <w:r w:rsidRPr="0063446F">
        <w:rPr>
          <w:b/>
        </w:rPr>
        <w:t>why (at least high-level) rules or guidance about the exercise of the Operator's disclosure power cannot be included in the primary legislation;</w:t>
      </w:r>
    </w:p>
    <w:p w:rsidR="000E264E" w:rsidRPr="008815BA" w:rsidRDefault="000E264E" w:rsidP="000E264E">
      <w:pPr>
        <w:pStyle w:val="Bullet1"/>
        <w:rPr>
          <w:b/>
        </w:rPr>
      </w:pPr>
      <w:r>
        <w:rPr>
          <w:b/>
        </w:rPr>
        <w:t xml:space="preserve">what circumstances are envisaged might necessitate the use of this power noting the provisions of clause 78, which already proposes allowing </w:t>
      </w:r>
      <w:r w:rsidRPr="008815BA">
        <w:rPr>
          <w:b/>
        </w:rPr>
        <w:t>disclosure for the</w:t>
      </w:r>
      <w:r>
        <w:rPr>
          <w:b/>
        </w:rPr>
        <w:t xml:space="preserve"> enforcement of the criminal law or for the purposes of child protection;</w:t>
      </w:r>
      <w:r w:rsidRPr="008815BA">
        <w:rPr>
          <w:b/>
        </w:rPr>
        <w:t xml:space="preserve"> and</w:t>
      </w:r>
    </w:p>
    <w:p w:rsidR="000E264E" w:rsidRDefault="000E264E" w:rsidP="000E264E">
      <w:pPr>
        <w:pStyle w:val="Bullet1"/>
        <w:rPr>
          <w:b/>
        </w:rPr>
      </w:pPr>
      <w:r w:rsidRPr="0063446F">
        <w:rPr>
          <w:b/>
        </w:rPr>
        <w:lastRenderedPageBreak/>
        <w:t>why there is no positive requirement that rules must be made regulating the exercise of the Operator's power (i.e. the committee requests advice as to why the proposed subsections have b</w:t>
      </w:r>
      <w:r>
        <w:rPr>
          <w:b/>
        </w:rPr>
        <w:t xml:space="preserve">een drafted to provide that the Operator act in accordance with 'any </w:t>
      </w:r>
      <w:r w:rsidRPr="0063446F">
        <w:rPr>
          <w:b/>
        </w:rPr>
        <w:t>rules</w:t>
      </w:r>
      <w:r>
        <w:rPr>
          <w:b/>
        </w:rPr>
        <w:t>' made and that rules 'may'</w:t>
      </w:r>
      <w:r w:rsidRPr="0063446F">
        <w:rPr>
          <w:b/>
        </w:rPr>
        <w:t xml:space="preserve"> make provision for such matters, rather than requiring that the rules must make provision to guide the exercise of this significant power).</w:t>
      </w:r>
    </w:p>
    <w:p w:rsidR="000E264E" w:rsidRPr="00C20AE1" w:rsidRDefault="000E264E" w:rsidP="000E264E">
      <w:pPr>
        <w:spacing w:after="240"/>
        <w:ind w:left="2268" w:right="2223"/>
      </w:pPr>
      <w:r>
        <w:pict>
          <v:rect id="_x0000_i1066" style="width:0;height:1.5pt" o:hralign="center" o:hrstd="t" o:hr="t" fillcolor="#a0a0a0" stroked="f"/>
        </w:pict>
      </w:r>
    </w:p>
    <w:p w:rsidR="000E264E" w:rsidRDefault="000E264E" w:rsidP="000E264E">
      <w:pPr>
        <w:pStyle w:val="Heading3"/>
      </w:pPr>
      <w:bookmarkStart w:id="2" w:name="_Toc498000344"/>
      <w:r w:rsidRPr="00826EB9">
        <w:t>Reversal of evidential burden of proof</w:t>
      </w:r>
      <w:bookmarkEnd w:id="2"/>
    </w:p>
    <w:p w:rsidR="000E264E" w:rsidRPr="00826EB9" w:rsidRDefault="000E264E" w:rsidP="000E264E">
      <w:pPr>
        <w:pStyle w:val="Heading3"/>
      </w:pPr>
      <w:r>
        <w:t>Strict liability offence</w:t>
      </w:r>
      <w:r w:rsidRPr="00A14E08">
        <w:rPr>
          <w:rStyle w:val="FootnoteReference"/>
          <w:b w:val="0"/>
        </w:rPr>
        <w:footnoteReference w:id="21"/>
      </w:r>
    </w:p>
    <w:p w:rsidR="000E264E" w:rsidRPr="006E33DF" w:rsidRDefault="000E264E" w:rsidP="000E264E">
      <w:pPr>
        <w:pStyle w:val="Level15"/>
        <w:numPr>
          <w:ilvl w:val="0"/>
          <w:numId w:val="21"/>
        </w:numPr>
        <w:rPr>
          <w:rFonts w:eastAsiaTheme="minorHAnsi"/>
        </w:rPr>
      </w:pPr>
      <w:r>
        <w:rPr>
          <w:rFonts w:eastAsiaTheme="minorHAnsi"/>
        </w:rPr>
        <w:t>Clause</w:t>
      </w:r>
      <w:r w:rsidRPr="006E33DF">
        <w:rPr>
          <w:rFonts w:eastAsiaTheme="minorHAnsi"/>
        </w:rPr>
        <w:t xml:space="preserve"> </w:t>
      </w:r>
      <w:r>
        <w:rPr>
          <w:rFonts w:eastAsiaTheme="minorHAnsi"/>
        </w:rPr>
        <w:t>84</w:t>
      </w:r>
      <w:r w:rsidRPr="006E33DF">
        <w:rPr>
          <w:rFonts w:eastAsiaTheme="minorHAnsi"/>
        </w:rPr>
        <w:t xml:space="preserve"> makes it an offence to </w:t>
      </w:r>
      <w:r>
        <w:rPr>
          <w:rFonts w:eastAsiaTheme="minorHAnsi"/>
        </w:rPr>
        <w:t>offer to supply protected information about another person, or for a person to hold themselves out as being able to supply such information</w:t>
      </w:r>
      <w:r w:rsidRPr="006E33DF">
        <w:rPr>
          <w:rFonts w:eastAsiaTheme="minorHAnsi"/>
        </w:rPr>
        <w:t xml:space="preserve">. </w:t>
      </w:r>
      <w:r>
        <w:rPr>
          <w:rFonts w:eastAsiaTheme="minorHAnsi"/>
        </w:rPr>
        <w:t>Clause</w:t>
      </w:r>
      <w:r w:rsidRPr="006E33DF">
        <w:rPr>
          <w:rFonts w:eastAsiaTheme="minorHAnsi"/>
        </w:rPr>
        <w:t xml:space="preserve"> </w:t>
      </w:r>
      <w:r>
        <w:rPr>
          <w:rFonts w:eastAsiaTheme="minorHAnsi"/>
        </w:rPr>
        <w:t>84</w:t>
      </w:r>
      <w:r w:rsidRPr="006E33DF">
        <w:rPr>
          <w:rFonts w:eastAsiaTheme="minorHAnsi"/>
        </w:rPr>
        <w:t>(</w:t>
      </w:r>
      <w:r>
        <w:rPr>
          <w:rFonts w:eastAsiaTheme="minorHAnsi"/>
        </w:rPr>
        <w:t>3</w:t>
      </w:r>
      <w:r w:rsidRPr="006E33DF">
        <w:rPr>
          <w:rFonts w:eastAsiaTheme="minorHAnsi"/>
        </w:rPr>
        <w:t>)</w:t>
      </w:r>
      <w:r>
        <w:rPr>
          <w:rFonts w:eastAsiaTheme="minorHAnsi"/>
        </w:rPr>
        <w:t xml:space="preserve"> provides an exception (offence-</w:t>
      </w:r>
      <w:r w:rsidRPr="006E33DF">
        <w:rPr>
          <w:rFonts w:eastAsiaTheme="minorHAnsi"/>
        </w:rPr>
        <w:t xml:space="preserve">specific defence) to this offence, stating that the offence does not apply </w:t>
      </w:r>
      <w:r>
        <w:rPr>
          <w:rFonts w:eastAsiaTheme="minorHAnsi"/>
        </w:rPr>
        <w:t>to an officer acting in the performance or exercise of his or her powers, duties or functions under the Act</w:t>
      </w:r>
      <w:r w:rsidRPr="006E33DF">
        <w:rPr>
          <w:rFonts w:eastAsiaTheme="minorHAnsi"/>
        </w:rPr>
        <w:t>.</w:t>
      </w:r>
      <w:r>
        <w:rPr>
          <w:rFonts w:eastAsiaTheme="minorHAnsi"/>
        </w:rPr>
        <w:t xml:space="preserve"> In addition, subclause 100(6) provides that a person commits an offence if a person is a nominee and refuses or fails to comply with a relevant notice. Clause 100(7) provides an exception (offence-specific defence) to this offence if the person has a reasonable excuse. </w:t>
      </w:r>
    </w:p>
    <w:p w:rsidR="000E264E" w:rsidRDefault="000E264E" w:rsidP="000E264E">
      <w:pPr>
        <w:pStyle w:val="Level15"/>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0E264E" w:rsidRDefault="000E264E" w:rsidP="000E264E">
      <w:pPr>
        <w:pStyle w:val="Level15"/>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0E264E" w:rsidRDefault="000E264E" w:rsidP="000E264E">
      <w:pPr>
        <w:pStyle w:val="Level15"/>
        <w:numPr>
          <w:ilvl w:val="0"/>
          <w:numId w:val="21"/>
        </w:numPr>
        <w:rPr>
          <w:rFonts w:eastAsiaTheme="minorHAnsi"/>
        </w:rPr>
      </w:pPr>
      <w:r w:rsidRPr="006E33DF">
        <w:rPr>
          <w:rFonts w:eastAsiaTheme="minorHAnsi"/>
        </w:rPr>
        <w:t xml:space="preserve">While </w:t>
      </w:r>
      <w:r>
        <w:rPr>
          <w:rFonts w:eastAsiaTheme="minorHAnsi"/>
        </w:rPr>
        <w:t xml:space="preserve">in these instances </w:t>
      </w:r>
      <w:r w:rsidRPr="006E33DF">
        <w:rPr>
          <w:rFonts w:eastAsiaTheme="minorHAnsi"/>
        </w:rPr>
        <w:t xml:space="preserve">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 of the evidential burden of proof in </w:t>
      </w:r>
      <w:r>
        <w:rPr>
          <w:rFonts w:eastAsiaTheme="minorHAnsi"/>
        </w:rPr>
        <w:t>subclauses</w:t>
      </w:r>
      <w:r w:rsidRPr="006E33DF">
        <w:rPr>
          <w:rFonts w:eastAsiaTheme="minorHAnsi"/>
        </w:rPr>
        <w:t xml:space="preserve"> </w:t>
      </w:r>
      <w:r>
        <w:rPr>
          <w:rFonts w:eastAsiaTheme="minorHAnsi"/>
        </w:rPr>
        <w:t xml:space="preserve">84(3) and 100(7) </w:t>
      </w:r>
      <w:r w:rsidRPr="006E33DF">
        <w:rPr>
          <w:rFonts w:eastAsiaTheme="minorHAnsi"/>
        </w:rPr>
        <w:t>ha</w:t>
      </w:r>
      <w:r>
        <w:rPr>
          <w:rFonts w:eastAsiaTheme="minorHAnsi"/>
        </w:rPr>
        <w:t xml:space="preserve">s </w:t>
      </w:r>
      <w:r w:rsidRPr="006E33DF">
        <w:rPr>
          <w:rFonts w:eastAsiaTheme="minorHAnsi"/>
        </w:rPr>
        <w:t xml:space="preserve">not been </w:t>
      </w:r>
      <w:r w:rsidRPr="00ED4C2F">
        <w:rPr>
          <w:rFonts w:eastAsiaTheme="minorHAnsi"/>
        </w:rPr>
        <w:t>addressed in the explanatory materials.</w:t>
      </w:r>
    </w:p>
    <w:p w:rsidR="000E264E" w:rsidRDefault="000E264E" w:rsidP="000E264E">
      <w:pPr>
        <w:pStyle w:val="Level15"/>
        <w:numPr>
          <w:ilvl w:val="0"/>
          <w:numId w:val="21"/>
        </w:numPr>
      </w:pPr>
      <w:r>
        <w:t xml:space="preserve">The committee notes that the </w:t>
      </w:r>
      <w:r w:rsidRPr="00ED4C2F">
        <w:rPr>
          <w:i/>
        </w:rPr>
        <w:t>Guide to Framing Commonwealth Offences</w:t>
      </w:r>
      <w:r>
        <w:rPr>
          <w:rStyle w:val="FootnoteReference"/>
        </w:rPr>
        <w:footnoteReference w:id="22"/>
      </w:r>
      <w:r>
        <w:t xml:space="preserve"> provides that a matter should only be included in an offence-specific defence (as opposed to being specified as an element of the offence), where:</w:t>
      </w:r>
    </w:p>
    <w:p w:rsidR="000E264E" w:rsidRDefault="000E264E" w:rsidP="000E264E">
      <w:pPr>
        <w:pStyle w:val="Bullet1"/>
      </w:pPr>
      <w:r>
        <w:lastRenderedPageBreak/>
        <w:t>it is peculiarly within the knowledge of the defendant; and</w:t>
      </w:r>
    </w:p>
    <w:p w:rsidR="000E264E" w:rsidRPr="00ED4C2F" w:rsidRDefault="000E264E" w:rsidP="000E264E">
      <w:pPr>
        <w:pStyle w:val="Bullet1"/>
      </w:pPr>
      <w:r>
        <w:t>it would be significantly more difficult and costly for the prosecution to disprove than for the defendant to establish the matter.</w:t>
      </w:r>
      <w:r>
        <w:rPr>
          <w:rStyle w:val="FootnoteReference"/>
        </w:rPr>
        <w:footnoteReference w:id="23"/>
      </w:r>
    </w:p>
    <w:p w:rsidR="000E264E" w:rsidRDefault="000E264E" w:rsidP="000E264E">
      <w:pPr>
        <w:pStyle w:val="Level15"/>
        <w:numPr>
          <w:ilvl w:val="0"/>
          <w:numId w:val="21"/>
        </w:numPr>
      </w:pPr>
      <w:r>
        <w:t xml:space="preserve">In relation to clause 84, it is not apparent that matters such as whether an officer is acting in the performance or exercise of his or her powers, duties or functions under the Act, are matters </w:t>
      </w:r>
      <w:r w:rsidRPr="00E578A2">
        <w:rPr>
          <w:i/>
        </w:rPr>
        <w:t>peculiarly</w:t>
      </w:r>
      <w:r>
        <w:t xml:space="preserve"> within the defendant's knowledge, or that it would be difficult or costly for the prosecution to establish the matters. These matters appear to be matters more appropriate to be included as an element of the offence (as it is not clear to the committee why the burden should fall on the officer who is acting in accordance with his or her duties to seek to avoid the commission of a criminal offence).</w:t>
      </w:r>
    </w:p>
    <w:p w:rsidR="000E264E" w:rsidRDefault="000E264E" w:rsidP="000E264E">
      <w:pPr>
        <w:pStyle w:val="Level15"/>
        <w:numPr>
          <w:ilvl w:val="0"/>
          <w:numId w:val="21"/>
        </w:numPr>
      </w:pPr>
      <w:r>
        <w:t xml:space="preserve">In addition, subclause 100(8) provides that an offence under subclause 100(6) is an offence of strict liability. 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3A543E">
        <w:rPr>
          <w:i/>
        </w:rPr>
        <w:t>Guide to Framing Commonwealth Offences.</w:t>
      </w:r>
      <w:r>
        <w:rPr>
          <w:rStyle w:val="FootnoteReference"/>
          <w:i/>
        </w:rPr>
        <w:footnoteReference w:id="24"/>
      </w:r>
      <w:r>
        <w:rPr>
          <w:i/>
        </w:rPr>
        <w:t xml:space="preserve"> </w:t>
      </w:r>
      <w:r>
        <w:t xml:space="preserve">The explanatory memorandum provides no justification as to why the offence is subject to strict liability. </w:t>
      </w:r>
    </w:p>
    <w:p w:rsidR="000E264E" w:rsidRPr="003A543E" w:rsidRDefault="000E264E" w:rsidP="000E264E">
      <w:pPr>
        <w:pStyle w:val="Level15"/>
        <w:numPr>
          <w:ilvl w:val="0"/>
          <w:numId w:val="21"/>
        </w:numPr>
        <w:rPr>
          <w:b/>
        </w:rPr>
      </w:pPr>
      <w:r w:rsidRPr="00A14E08">
        <w:rPr>
          <w:b/>
        </w:rPr>
        <w:t xml:space="preserve">As the explanatory materials do not address this issue, the committee </w:t>
      </w:r>
      <w:r w:rsidRPr="003A543E">
        <w:rPr>
          <w:b/>
        </w:rPr>
        <w:t>requests:</w:t>
      </w:r>
    </w:p>
    <w:p w:rsidR="000E264E" w:rsidRPr="003A543E" w:rsidRDefault="000E264E" w:rsidP="000E264E">
      <w:pPr>
        <w:pStyle w:val="Bullet1"/>
        <w:rPr>
          <w:b/>
        </w:rPr>
      </w:pPr>
      <w:r w:rsidRPr="003A543E">
        <w:rPr>
          <w:b/>
        </w:rPr>
        <w:t xml:space="preserve">the Minister's advice as to why it is proposed to use offence-specific defences (which reverse the evidential burden of proof) in these instances. The committee's consideration of the appropriateness of a provision which reverses the burden of proof is assisted if it explicitly addresses relevant </w:t>
      </w:r>
      <w:r w:rsidRPr="003A543E">
        <w:rPr>
          <w:b/>
        </w:rPr>
        <w:lastRenderedPageBreak/>
        <w:t xml:space="preserve">principles as set out in the </w:t>
      </w:r>
      <w:r w:rsidRPr="003A543E">
        <w:rPr>
          <w:b/>
          <w:i/>
        </w:rPr>
        <w:t>Guide to Framing Commonwealth Offences</w:t>
      </w:r>
      <w:r w:rsidRPr="003A543E">
        <w:rPr>
          <w:b/>
        </w:rPr>
        <w:t>;</w:t>
      </w:r>
      <w:r w:rsidRPr="003A543E">
        <w:rPr>
          <w:rStyle w:val="FootnoteReference"/>
          <w:b/>
        </w:rPr>
        <w:t xml:space="preserve"> </w:t>
      </w:r>
      <w:r w:rsidRPr="003A543E">
        <w:rPr>
          <w:rStyle w:val="FootnoteReference"/>
          <w:b/>
        </w:rPr>
        <w:footnoteReference w:id="25"/>
      </w:r>
      <w:r w:rsidRPr="003A543E">
        <w:rPr>
          <w:b/>
        </w:rPr>
        <w:t xml:space="preserve">  and</w:t>
      </w:r>
    </w:p>
    <w:p w:rsidR="000E264E" w:rsidRPr="003A543E" w:rsidRDefault="000E264E" w:rsidP="000E264E">
      <w:pPr>
        <w:pStyle w:val="Bullet1"/>
        <w:rPr>
          <w:b/>
        </w:rPr>
      </w:pPr>
      <w:r w:rsidRPr="003A543E">
        <w:rPr>
          <w:b/>
        </w:rPr>
        <w:t xml:space="preserve">a detailed justification from the Minister for the proposed application of strict liability to this offence with reference to the principles set out in the </w:t>
      </w:r>
      <w:r w:rsidRPr="003A543E">
        <w:rPr>
          <w:b/>
          <w:i/>
        </w:rPr>
        <w:t>Guide to Framing Commonwealth Offences</w:t>
      </w:r>
      <w:r w:rsidRPr="003A543E">
        <w:rPr>
          <w:b/>
        </w:rPr>
        <w:t>.</w:t>
      </w:r>
      <w:r w:rsidRPr="003A543E">
        <w:rPr>
          <w:rStyle w:val="FootnoteReference"/>
          <w:b/>
        </w:rPr>
        <w:footnoteReference w:id="26"/>
      </w:r>
    </w:p>
    <w:p w:rsidR="000E264E" w:rsidRPr="00C20AE1" w:rsidRDefault="000E264E" w:rsidP="000E264E">
      <w:pPr>
        <w:spacing w:after="240"/>
        <w:ind w:left="2268" w:right="2223"/>
      </w:pPr>
      <w:r>
        <w:pict>
          <v:rect id="_x0000_i1067" style="width:0;height:1.5pt" o:hralign="center" o:hrstd="t" o:hr="t" fillcolor="#a0a0a0" stroked="f"/>
        </w:pict>
      </w:r>
    </w:p>
    <w:p w:rsidR="000E264E" w:rsidRDefault="000E264E" w:rsidP="000E264E">
      <w:pPr>
        <w:pStyle w:val="Heading3"/>
      </w:pPr>
      <w:bookmarkStart w:id="3" w:name="_Toc498000345"/>
      <w:r>
        <w:t>Limitation on merits review</w:t>
      </w:r>
      <w:r w:rsidRPr="00E175D9">
        <w:rPr>
          <w:rStyle w:val="FootnoteReference"/>
          <w:b w:val="0"/>
        </w:rPr>
        <w:footnoteReference w:id="27"/>
      </w:r>
    </w:p>
    <w:p w:rsidR="000E264E" w:rsidRDefault="000E264E" w:rsidP="000E264E">
      <w:pPr>
        <w:pStyle w:val="Level15"/>
        <w:numPr>
          <w:ilvl w:val="0"/>
          <w:numId w:val="21"/>
        </w:numPr>
      </w:pPr>
      <w:r>
        <w:t>Clause 87 provides that an application for redress apply to the Operator to review a determination to approve, or not approve, the application. Subclause 88(3) provides that when reviewing the original determination, the reviewer may only have regard to the information and documents that were available to the person who made the original determination.</w:t>
      </w:r>
    </w:p>
    <w:p w:rsidR="000E264E" w:rsidRDefault="000E264E" w:rsidP="000E264E">
      <w:pPr>
        <w:pStyle w:val="Level15"/>
        <w:numPr>
          <w:ilvl w:val="0"/>
          <w:numId w:val="21"/>
        </w:numPr>
      </w:pPr>
      <w:r>
        <w:t>However, the default rule for merits review (such as reviewed by the Administrative Appeals Tribunal (AAT)) is that the reviewing body should be able to consider material that was not before the original decision-maker. The explanatory memorandum provides no justification as to why the review would be limited in this way. As the purpose of the scheme is to provide redress to abuse victims, it is not clear to the committee why an applicant should not be able to provide further material in support of their case on review. For example, it may be that further evidence becomes available between the time of the original application and the internal review, or material may have inadvertently not been included in the original application or not included because its relevance had not been properly understood at the time the original application was made. This is particularly relevant given the bill provides that a person may only make one application for redress under the scheme.</w:t>
      </w:r>
      <w:r>
        <w:rPr>
          <w:rStyle w:val="FootnoteReference"/>
        </w:rPr>
        <w:footnoteReference w:id="28"/>
      </w:r>
    </w:p>
    <w:p w:rsidR="000E264E" w:rsidRDefault="000E264E" w:rsidP="000E264E">
      <w:pPr>
        <w:pStyle w:val="Level15"/>
        <w:numPr>
          <w:ilvl w:val="0"/>
          <w:numId w:val="21"/>
        </w:numPr>
      </w:pPr>
      <w:r>
        <w:t xml:space="preserve">In addition, the bill only provides for internal review of decisions made under it. No provision has been made for a person affected by the decision to be entitled to seek external merits review before the AAT, or to seek judicial review under the </w:t>
      </w:r>
      <w:r w:rsidRPr="0024116D">
        <w:rPr>
          <w:i/>
        </w:rPr>
        <w:t>Administrative Decisions (Judicial Review) Act 1977</w:t>
      </w:r>
      <w:r>
        <w:t>.</w:t>
      </w:r>
      <w:r>
        <w:rPr>
          <w:rStyle w:val="FootnoteReference"/>
        </w:rPr>
        <w:footnoteReference w:id="29"/>
      </w:r>
      <w:r>
        <w:t xml:space="preserve"> The explanatory memorandum </w:t>
      </w:r>
      <w:r>
        <w:lastRenderedPageBreak/>
        <w:t>states that limiting rights to internal review was made on the recommendation of the Independent Advisory Council on redress and that:</w:t>
      </w:r>
    </w:p>
    <w:p w:rsidR="000E264E" w:rsidRDefault="000E264E" w:rsidP="000E264E">
      <w:pPr>
        <w:pStyle w:val="Quote"/>
      </w:pPr>
      <w:r>
        <w:t>[t]</w:t>
      </w:r>
      <w:r w:rsidRPr="0024116D">
        <w:t>he lower evidentiary thresholds under the Scheme and the broad discretion of the decision-makers mean that merits review and judicial review under the ADJR Act are not appropriate for decisions under the Scheme. The Scheme is to be supportive, survivor-focussed and non-legalistic and decisions will be made expeditiously.</w:t>
      </w:r>
      <w:r>
        <w:rPr>
          <w:rStyle w:val="FootnoteReference"/>
        </w:rPr>
        <w:footnoteReference w:id="30"/>
      </w:r>
    </w:p>
    <w:p w:rsidR="000E264E" w:rsidRPr="0024116D" w:rsidRDefault="000E264E" w:rsidP="000E264E">
      <w:pPr>
        <w:pStyle w:val="Level15"/>
        <w:numPr>
          <w:ilvl w:val="0"/>
          <w:numId w:val="21"/>
        </w:numPr>
      </w:pPr>
      <w:r>
        <w:t xml:space="preserve">However, AAT review is designed to be an alternative and less legalistic form of review than judicial review. It is therefore not clear to the committee why providing AAT review would be inconsistent with the listed objectives of the scheme. This is of particular concern to the committee as there is no legislative mechanism to ensure the quality of the persons to be appointed as decision-makers (either the original decision-makers or the decision-makers on review), see </w:t>
      </w:r>
      <w:r w:rsidRPr="00B460AE">
        <w:t>paragraphs [</w:t>
      </w:r>
      <w:r w:rsidRPr="00B460AE">
        <w:fldChar w:fldCharType="begin"/>
      </w:r>
      <w:r w:rsidRPr="00B460AE">
        <w:instrText xml:space="preserve"> REF _Ref498178992 \r \h  \* MERGEFORMAT </w:instrText>
      </w:r>
      <w:r w:rsidRPr="00B460AE">
        <w:fldChar w:fldCharType="separate"/>
      </w:r>
      <w:r w:rsidRPr="00B460AE">
        <w:t>1.45</w:t>
      </w:r>
      <w:r w:rsidRPr="00B460AE">
        <w:fldChar w:fldCharType="end"/>
      </w:r>
      <w:r w:rsidRPr="00B460AE">
        <w:t>] to [</w:t>
      </w:r>
      <w:r w:rsidRPr="00B460AE">
        <w:fldChar w:fldCharType="begin"/>
      </w:r>
      <w:r w:rsidRPr="00B460AE">
        <w:instrText xml:space="preserve"> REF _Ref498178997 \r \h  \* MERGEFORMAT </w:instrText>
      </w:r>
      <w:r w:rsidRPr="00B460AE">
        <w:fldChar w:fldCharType="separate"/>
      </w:r>
      <w:r w:rsidRPr="00B460AE">
        <w:t>1.46</w:t>
      </w:r>
      <w:r w:rsidRPr="00B460AE">
        <w:fldChar w:fldCharType="end"/>
      </w:r>
      <w:r w:rsidRPr="00B460AE">
        <w:t>]</w:t>
      </w:r>
      <w:r>
        <w:t xml:space="preserve"> below.</w:t>
      </w:r>
    </w:p>
    <w:p w:rsidR="000E264E" w:rsidRPr="0024116D" w:rsidRDefault="000E264E" w:rsidP="000E264E">
      <w:pPr>
        <w:pStyle w:val="Level15"/>
        <w:numPr>
          <w:ilvl w:val="0"/>
          <w:numId w:val="21"/>
        </w:numPr>
        <w:rPr>
          <w:b/>
        </w:rPr>
      </w:pPr>
      <w:r w:rsidRPr="0024116D">
        <w:rPr>
          <w:b/>
        </w:rPr>
        <w:t>The committee seeks the Minister's advice as to:</w:t>
      </w:r>
    </w:p>
    <w:p w:rsidR="000E264E" w:rsidRDefault="000E264E" w:rsidP="000E264E">
      <w:pPr>
        <w:pStyle w:val="Bullet1"/>
        <w:rPr>
          <w:b/>
        </w:rPr>
      </w:pPr>
      <w:r w:rsidRPr="0024116D">
        <w:rPr>
          <w:b/>
        </w:rPr>
        <w:t>why an internal reviewer of the original determination will only be able to have regard to information and documents that were available to the person who made the original determination; and</w:t>
      </w:r>
    </w:p>
    <w:p w:rsidR="000E264E" w:rsidRPr="0024116D" w:rsidRDefault="000E264E" w:rsidP="000E264E">
      <w:pPr>
        <w:pStyle w:val="Bullet1"/>
        <w:rPr>
          <w:b/>
        </w:rPr>
      </w:pPr>
      <w:r>
        <w:rPr>
          <w:b/>
        </w:rPr>
        <w:t>the justification for excluding external merits review for applicants dissatisfied with the original decision or decision on review, particularly in the context of the committee's concerns regarding the lack of any legislative guidance on the quality of the persons to be appointed as decision-makers.</w:t>
      </w:r>
    </w:p>
    <w:p w:rsidR="000E264E" w:rsidRPr="00C20AE1" w:rsidRDefault="000E264E" w:rsidP="000E264E">
      <w:pPr>
        <w:spacing w:after="240"/>
        <w:ind w:left="2268" w:right="2223"/>
      </w:pPr>
      <w:r>
        <w:pict>
          <v:rect id="_x0000_i1068" style="width:0;height:1.5pt" o:hralign="center" o:hrstd="t" o:hr="t" fillcolor="#a0a0a0" stroked="f"/>
        </w:pict>
      </w:r>
    </w:p>
    <w:p w:rsidR="000E264E" w:rsidRDefault="000E264E" w:rsidP="000E264E">
      <w:pPr>
        <w:pStyle w:val="Heading3"/>
      </w:pPr>
      <w:r>
        <w:t>Reversal of legal burden of proof</w:t>
      </w:r>
      <w:bookmarkEnd w:id="3"/>
      <w:r w:rsidRPr="00A14E08">
        <w:rPr>
          <w:rStyle w:val="FootnoteReference"/>
          <w:b w:val="0"/>
        </w:rPr>
        <w:footnoteReference w:id="31"/>
      </w:r>
    </w:p>
    <w:p w:rsidR="000E264E" w:rsidRDefault="000E264E" w:rsidP="000E264E">
      <w:pPr>
        <w:pStyle w:val="Level15"/>
        <w:numPr>
          <w:ilvl w:val="0"/>
          <w:numId w:val="21"/>
        </w:numPr>
      </w:pPr>
      <w:r>
        <w:t>Clause 109(3) makes it an offence for a financial institution not to comply with a notice given to it by the Operator regarding the recovery of amounts. Clause 109(4) proposes introducing a defence to this offence, to provide that the offence does not apply if the institution proves it was incapable of complying with the notice. A legal burden of proof is proposed to be placed on the defendant, ensuring that the defendant would need to prove, on the balance of probabilities, that they were incapable of complying with the notice.</w:t>
      </w:r>
    </w:p>
    <w:p w:rsidR="000E264E" w:rsidRDefault="000E264E" w:rsidP="000E264E">
      <w:pPr>
        <w:pStyle w:val="Level15"/>
        <w:numPr>
          <w:ilvl w:val="0"/>
          <w:numId w:val="21"/>
        </w:numPr>
        <w:rPr>
          <w:rFonts w:eastAsiaTheme="minorHAnsi"/>
        </w:rPr>
      </w:pPr>
      <w:r>
        <w:rPr>
          <w:rFonts w:eastAsiaTheme="minorHAnsi"/>
        </w:rPr>
        <w:t xml:space="preserve">At common law, it is ordinarily the duty of the prosecution to prove all elements of an offence. This is an important aspect of the right to be presumed innocent until proven guilty. Provisions that reverse the burden of proof and require </w:t>
      </w:r>
      <w:r>
        <w:rPr>
          <w:rFonts w:eastAsiaTheme="minorHAnsi"/>
        </w:rPr>
        <w:lastRenderedPageBreak/>
        <w:t>a defendant to disprove one or more elements of an offence, interferes with this common law right.</w:t>
      </w:r>
    </w:p>
    <w:p w:rsidR="000E264E" w:rsidRDefault="000E264E" w:rsidP="000E264E">
      <w:pPr>
        <w:pStyle w:val="Level15"/>
        <w:numPr>
          <w:ilvl w:val="0"/>
          <w:numId w:val="21"/>
        </w:numPr>
      </w:pPr>
      <w:r w:rsidRPr="00855299">
        <w:t xml:space="preserve">As the reversal of the </w:t>
      </w:r>
      <w:r>
        <w:t xml:space="preserve">legal </w:t>
      </w:r>
      <w:r w:rsidRPr="00855299">
        <w:t>burden of proof undermines the right to be presumed</w:t>
      </w:r>
      <w:r>
        <w:t xml:space="preserve"> innocent until proven guilty, the committee expects there to be a full justification each time the burden is reversed, </w:t>
      </w:r>
      <w:r>
        <w:rPr>
          <w:lang w:eastAsia="en-AU"/>
        </w:rPr>
        <w:t>with the rights of those affected being the paramount consideration. In this instance the explanatory memorandum gives no justification for the imposition of this legal burden.</w:t>
      </w:r>
    </w:p>
    <w:p w:rsidR="000E264E" w:rsidRPr="007C103E" w:rsidRDefault="000E264E" w:rsidP="000E264E">
      <w:pPr>
        <w:pStyle w:val="Level15"/>
        <w:numPr>
          <w:ilvl w:val="0"/>
          <w:numId w:val="21"/>
        </w:numPr>
        <w:rPr>
          <w:b/>
        </w:rPr>
      </w:pPr>
      <w:r w:rsidRPr="007C103E">
        <w:rPr>
          <w:b/>
        </w:rPr>
        <w:t>As the explanatory materials do not address this issue, the committee requests</w:t>
      </w:r>
      <w:r>
        <w:rPr>
          <w:b/>
        </w:rPr>
        <w:t xml:space="preserve"> </w:t>
      </w:r>
      <w:r w:rsidRPr="007C103E">
        <w:rPr>
          <w:b/>
        </w:rPr>
        <w:t xml:space="preserve">the Minister's advice as to why it is proposed to </w:t>
      </w:r>
      <w:r>
        <w:rPr>
          <w:b/>
        </w:rPr>
        <w:t>reverse the legal burden of proof in this instance</w:t>
      </w:r>
      <w:r w:rsidRPr="007C103E">
        <w:rPr>
          <w:b/>
        </w:rPr>
        <w:t xml:space="preserve">. The committee's consideration of the appropriateness of a provision which reverses the burden of proof is assisted if it explicitly addresses relevant principles as set out in the </w:t>
      </w:r>
      <w:r w:rsidRPr="007C103E">
        <w:rPr>
          <w:b/>
          <w:i/>
        </w:rPr>
        <w:t>Guide to Framing Commonwealth Offences</w:t>
      </w:r>
      <w:r>
        <w:rPr>
          <w:b/>
        </w:rPr>
        <w:t>.</w:t>
      </w:r>
      <w:r w:rsidRPr="007C103E">
        <w:rPr>
          <w:rStyle w:val="FootnoteReference"/>
          <w:b/>
        </w:rPr>
        <w:t xml:space="preserve"> </w:t>
      </w:r>
      <w:r w:rsidRPr="003A543E">
        <w:rPr>
          <w:rStyle w:val="FootnoteReference"/>
          <w:b/>
        </w:rPr>
        <w:footnoteReference w:id="32"/>
      </w:r>
      <w:r w:rsidRPr="007C103E">
        <w:rPr>
          <w:b/>
        </w:rPr>
        <w:t xml:space="preserve"> </w:t>
      </w:r>
    </w:p>
    <w:p w:rsidR="000E264E" w:rsidRPr="00C20AE1" w:rsidRDefault="000E264E" w:rsidP="000E264E">
      <w:pPr>
        <w:spacing w:after="240"/>
        <w:ind w:left="2268" w:right="2223"/>
      </w:pPr>
      <w:r>
        <w:pict>
          <v:rect id="_x0000_i1069" style="width:0;height:1.5pt" o:hralign="center" o:hrstd="t" o:hr="t" fillcolor="#a0a0a0" stroked="f"/>
        </w:pict>
      </w:r>
    </w:p>
    <w:p w:rsidR="000E264E" w:rsidRDefault="000E264E" w:rsidP="000E264E">
      <w:pPr>
        <w:pStyle w:val="Heading3"/>
      </w:pPr>
      <w:bookmarkStart w:id="4" w:name="_Toc498000355"/>
      <w:r>
        <w:t>Broad delegation of administrative powers</w:t>
      </w:r>
      <w:r w:rsidRPr="00B460AE">
        <w:rPr>
          <w:rStyle w:val="FootnoteReference"/>
          <w:b w:val="0"/>
        </w:rPr>
        <w:footnoteReference w:id="33"/>
      </w:r>
      <w:bookmarkStart w:id="5" w:name="OLE_LINK2"/>
      <w:bookmarkEnd w:id="4"/>
    </w:p>
    <w:p w:rsidR="000E264E" w:rsidRDefault="000E264E" w:rsidP="000E264E">
      <w:pPr>
        <w:pStyle w:val="Level15"/>
        <w:numPr>
          <w:ilvl w:val="0"/>
          <w:numId w:val="21"/>
        </w:numPr>
      </w:pPr>
      <w:r>
        <w:t>Clause 120 provides that the Operator may delegate all or any of his or her powers or functions under the Act (other than in relation to making a determination on an application or review of the determination and in relation to the application of civil penalties) to 'an officer of the scheme'. An officer of the scheme is a person performing duties, or exercising powers or functions, under or in relation to the Act.</w:t>
      </w:r>
      <w:r>
        <w:rPr>
          <w:rStyle w:val="FootnoteReference"/>
        </w:rPr>
        <w:footnoteReference w:id="34"/>
      </w:r>
      <w:r>
        <w:t xml:space="preserve"> This would presumably apply to any APS employee within the relevant government department.</w:t>
      </w:r>
    </w:p>
    <w:p w:rsidR="000E264E" w:rsidRDefault="000E264E" w:rsidP="000E264E">
      <w:pPr>
        <w:pStyle w:val="Level15"/>
        <w:numPr>
          <w:ilvl w:val="0"/>
          <w:numId w:val="21"/>
        </w:numPr>
      </w:pPr>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 xml:space="preserve">s preference is that delegates be confined to </w:t>
      </w:r>
      <w:r>
        <w:t>the holders of nominated office</w:t>
      </w:r>
      <w:r w:rsidRPr="00617B12">
        <w:t>s or to members of the Senior Executive Service. Where broad delegations are provided for</w:t>
      </w:r>
      <w:r>
        <w:t>,</w:t>
      </w:r>
      <w:r w:rsidRPr="00617B12">
        <w:t xml:space="preserve"> the committee considers that an explanation of why these are considered necessary should be included in the explanatory memorandum.</w:t>
      </w:r>
      <w:bookmarkEnd w:id="5"/>
      <w:r>
        <w:t xml:space="preserve"> In this instance the explanatory memorandum provide no information about why these powers are proposed to be delegated to any level of officer.</w:t>
      </w:r>
    </w:p>
    <w:p w:rsidR="000E264E" w:rsidRDefault="000E264E" w:rsidP="000E264E">
      <w:pPr>
        <w:pStyle w:val="Level15"/>
        <w:numPr>
          <w:ilvl w:val="0"/>
          <w:numId w:val="21"/>
        </w:numPr>
      </w:pPr>
      <w:bookmarkStart w:id="6" w:name="_Ref498178992"/>
      <w:r>
        <w:lastRenderedPageBreak/>
        <w:t>Clause 120(3) also provides that the Operator may delegate his or her powers and functions which relate to whether an application for redress is to be approved (on the initial application or on review) to an 'independent decision-maker', who is not required to comply with any directions of the Operator. Clause 121 provides that the Operator may engage persons to be independent</w:t>
      </w:r>
      <w:r>
        <w:br/>
        <w:t xml:space="preserve">decision-makers, and the duties of public officials under the </w:t>
      </w:r>
      <w:r w:rsidRPr="007B05D5">
        <w:rPr>
          <w:i/>
        </w:rPr>
        <w:t>Public Governance, Performance and Accountability Act 2013</w:t>
      </w:r>
      <w:r>
        <w:t xml:space="preserve"> apply to such persons. However, there is no legislative guidance as to the categories of persons that may be appointed as independent decision-makers and no requirement that they possess relevant skills, training or experience.</w:t>
      </w:r>
      <w:bookmarkEnd w:id="6"/>
      <w:r>
        <w:t xml:space="preserve"> </w:t>
      </w:r>
    </w:p>
    <w:p w:rsidR="000E264E" w:rsidRPr="007B05D5" w:rsidRDefault="000E264E" w:rsidP="000E264E">
      <w:pPr>
        <w:pStyle w:val="Level15"/>
        <w:numPr>
          <w:ilvl w:val="0"/>
          <w:numId w:val="21"/>
        </w:numPr>
        <w:rPr>
          <w:b/>
        </w:rPr>
      </w:pPr>
      <w:bookmarkStart w:id="7" w:name="_Ref498178997"/>
      <w:r w:rsidRPr="007B05D5">
        <w:rPr>
          <w:b/>
        </w:rPr>
        <w:t>The committee requests the Minister's advice as to why it is necessary to:</w:t>
      </w:r>
      <w:bookmarkEnd w:id="7"/>
    </w:p>
    <w:p w:rsidR="000E264E" w:rsidRPr="007B05D5" w:rsidRDefault="000E264E" w:rsidP="000E264E">
      <w:pPr>
        <w:pStyle w:val="Bullet1"/>
        <w:rPr>
          <w:b/>
        </w:rPr>
      </w:pPr>
      <w:r w:rsidRPr="007B05D5">
        <w:rPr>
          <w:b/>
        </w:rPr>
        <w:t>allow much of the Operator's powers and functions to be delegated to an APS employee at any level; and</w:t>
      </w:r>
    </w:p>
    <w:p w:rsidR="000E264E" w:rsidRPr="007B05D5" w:rsidRDefault="000E264E" w:rsidP="000E264E">
      <w:pPr>
        <w:pStyle w:val="Bullet1"/>
        <w:rPr>
          <w:b/>
        </w:rPr>
      </w:pPr>
      <w:r w:rsidRPr="007B05D5">
        <w:rPr>
          <w:b/>
        </w:rPr>
        <w:t>allow independent decision-makers to be appointed without any legislative guidance as to their skills, training or experience.</w:t>
      </w:r>
    </w:p>
    <w:p w:rsidR="000E264E" w:rsidRDefault="000E264E" w:rsidP="000E264E">
      <w:pPr>
        <w:spacing w:after="240"/>
        <w:ind w:right="2223"/>
        <w:sectPr w:rsidR="000E264E" w:rsidSect="00194588">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765D7F">
        <w:lastRenderedPageBreak/>
        <w:t>Commonwealth Redress Scheme for Institutional Child Sexual Abuse</w:t>
      </w:r>
      <w:r>
        <w:t xml:space="preserve"> (Consequential Amendments) Bill </w:t>
      </w:r>
      <w:r w:rsidRPr="00765D7F">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B847FE" w:rsidRDefault="000E264E" w:rsidP="000E264E">
            <w:pPr>
              <w:pStyle w:val="Level16"/>
              <w:tabs>
                <w:tab w:val="clear" w:pos="850"/>
              </w:tabs>
              <w:rPr>
                <w:sz w:val="24"/>
                <w:szCs w:val="24"/>
              </w:rPr>
            </w:pPr>
            <w:r w:rsidRPr="00B847FE">
              <w:rPr>
                <w:sz w:val="24"/>
                <w:szCs w:val="24"/>
              </w:rPr>
              <w:t xml:space="preserve">This bill seeks to </w:t>
            </w:r>
            <w:r>
              <w:rPr>
                <w:rFonts w:ascii="Calibri" w:hAnsi="Calibri"/>
                <w:sz w:val="24"/>
                <w:szCs w:val="24"/>
              </w:rPr>
              <w:t xml:space="preserve">provide for consequential amendments to be made to Commonwealth legislation for the purpose  of the </w:t>
            </w:r>
            <w:r w:rsidRPr="00E00C27">
              <w:rPr>
                <w:rFonts w:ascii="Calibri" w:hAnsi="Calibri"/>
                <w:sz w:val="24"/>
                <w:szCs w:val="24"/>
              </w:rPr>
              <w:t>Commonwealth Redress Scheme for Survivors of Institutional Child Sexual Abuse</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Social Services</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26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w:t>
            </w:r>
          </w:p>
        </w:tc>
        <w:tc>
          <w:tcPr>
            <w:tcW w:w="6582" w:type="dxa"/>
            <w:tcBorders>
              <w:left w:val="single" w:sz="12" w:space="0" w:color="auto"/>
              <w:bottom w:val="single" w:sz="12" w:space="0" w:color="auto"/>
            </w:tcBorders>
          </w:tcPr>
          <w:p w:rsidR="000E264E" w:rsidRDefault="000E264E" w:rsidP="000E264E">
            <w:pPr>
              <w:rPr>
                <w:sz w:val="24"/>
                <w:szCs w:val="24"/>
              </w:rPr>
            </w:pPr>
            <w:r>
              <w:rPr>
                <w:sz w:val="24"/>
                <w:szCs w:val="24"/>
              </w:rPr>
              <w:t>Standing Order 24(1)(a)(iii)</w:t>
            </w:r>
          </w:p>
        </w:tc>
      </w:tr>
    </w:tbl>
    <w:p w:rsidR="000E264E" w:rsidRDefault="000E264E" w:rsidP="000E264E">
      <w:pPr>
        <w:pStyle w:val="Heading3"/>
        <w:spacing w:before="240"/>
      </w:pPr>
      <w:r>
        <w:t>Exclusion of judicial review</w:t>
      </w:r>
      <w:r w:rsidRPr="004474CF">
        <w:rPr>
          <w:rStyle w:val="FootnoteReference"/>
          <w:b w:val="0"/>
        </w:rPr>
        <w:footnoteReference w:id="35"/>
      </w:r>
    </w:p>
    <w:p w:rsidR="000E264E" w:rsidRDefault="000E264E" w:rsidP="000E264E">
      <w:pPr>
        <w:pStyle w:val="Level16"/>
        <w:numPr>
          <w:ilvl w:val="0"/>
          <w:numId w:val="21"/>
        </w:numPr>
      </w:pPr>
      <w:r>
        <w:t>This bill is consequential to the</w:t>
      </w:r>
      <w:r w:rsidRPr="009956FD">
        <w:t xml:space="preserve"> Commonwealth Redress Scheme for Institutional Child Sexual Abuse Bill 2017</w:t>
      </w:r>
      <w:r>
        <w:t xml:space="preserve">, which seeks to establish a redress scheme for survivors of institutional child sex abuse. This bill seeks to make decision made under the redress scheme exempt from judicial review under the </w:t>
      </w:r>
      <w:r w:rsidRPr="009956FD">
        <w:rPr>
          <w:i/>
        </w:rPr>
        <w:t>Administrative Decisions (Judicial Review) Act 1977</w:t>
      </w:r>
      <w:r>
        <w:rPr>
          <w:i/>
        </w:rPr>
        <w:t xml:space="preserve"> </w:t>
      </w:r>
      <w:r>
        <w:t xml:space="preserve">(ADJR Act). </w:t>
      </w:r>
    </w:p>
    <w:p w:rsidR="000E264E" w:rsidRDefault="000E264E" w:rsidP="000E264E">
      <w:pPr>
        <w:pStyle w:val="Level16"/>
        <w:numPr>
          <w:ilvl w:val="0"/>
          <w:numId w:val="21"/>
        </w:numPr>
      </w:pPr>
      <w:r w:rsidRPr="00755F51">
        <w:t>The</w:t>
      </w:r>
      <w:r>
        <w:t xml:space="preserve"> committee notes that the</w:t>
      </w:r>
      <w:r w:rsidRPr="00755F51">
        <w:t xml:space="preserve"> ADJR Act is beneficial legislation that overcomes a number of technical and remedial complications that arise in an application for judicial review under alternative jurisdictional bases (principally, section 39B of the </w:t>
      </w:r>
      <w:r w:rsidRPr="009956FD">
        <w:rPr>
          <w:i/>
        </w:rPr>
        <w:t>Judiciary Act 1903</w:t>
      </w:r>
      <w:r w:rsidRPr="00755F51">
        <w:t xml:space="preserve">) and also provides for the right to reasons in some circumstances. </w:t>
      </w:r>
      <w:r>
        <w:t>Where a provision excludes the operation of the ADJR Act, the</w:t>
      </w:r>
      <w:r w:rsidRPr="00755F51">
        <w:t xml:space="preserve"> committee </w:t>
      </w:r>
      <w:r>
        <w:t xml:space="preserve">expects that the explanatory memorandum should provide a </w:t>
      </w:r>
      <w:r w:rsidRPr="00755F51">
        <w:t xml:space="preserve">justification for </w:t>
      </w:r>
      <w:r>
        <w:t>the exclusion</w:t>
      </w:r>
      <w:r w:rsidRPr="00755F51">
        <w:t xml:space="preserve">. </w:t>
      </w:r>
      <w:r>
        <w:t>In this instance, the explanatory memorandum offers a number of reasons for exempting decisions made under the scheme from the ADJR Act, namely:</w:t>
      </w:r>
    </w:p>
    <w:p w:rsidR="000E264E" w:rsidRDefault="000E264E" w:rsidP="000E264E">
      <w:pPr>
        <w:pStyle w:val="Bullet1"/>
      </w:pPr>
      <w:r>
        <w:t>to ensure a timely response to eligible survivors;</w:t>
      </w:r>
    </w:p>
    <w:p w:rsidR="000E264E" w:rsidRDefault="000E264E" w:rsidP="000E264E">
      <w:pPr>
        <w:pStyle w:val="Bullet1"/>
      </w:pPr>
      <w:r>
        <w:t>to prevent undue administrative delay;</w:t>
      </w:r>
    </w:p>
    <w:p w:rsidR="000E264E" w:rsidRDefault="000E264E" w:rsidP="000E264E">
      <w:pPr>
        <w:pStyle w:val="Bullet1"/>
      </w:pPr>
      <w:r>
        <w:t>that protections provided by the ADJR Act are unlikely to be required, as the 'reasonable likelihood' threshold means it more likely a person who has experienced institutional child sexual abuse will have access to redress;</w:t>
      </w:r>
    </w:p>
    <w:p w:rsidR="000E264E" w:rsidRDefault="000E264E" w:rsidP="000E264E">
      <w:pPr>
        <w:pStyle w:val="Bullet1"/>
      </w:pPr>
      <w:r>
        <w:t>internal review is available under the scheme; and</w:t>
      </w:r>
    </w:p>
    <w:p w:rsidR="000E264E" w:rsidRDefault="000E264E" w:rsidP="000E264E">
      <w:pPr>
        <w:pStyle w:val="Bullet1"/>
      </w:pPr>
      <w:r>
        <w:t>legal proceedings may risk re-traumatising an applicant.</w:t>
      </w:r>
    </w:p>
    <w:p w:rsidR="000E264E" w:rsidRDefault="000E264E" w:rsidP="000E264E">
      <w:pPr>
        <w:pStyle w:val="Level16"/>
        <w:numPr>
          <w:ilvl w:val="0"/>
          <w:numId w:val="21"/>
        </w:numPr>
      </w:pPr>
      <w:r>
        <w:lastRenderedPageBreak/>
        <w:t xml:space="preserve">However, the committee notes that as any judicial review application would be at the election of a person who is dissatisfied with a decision made under the scheme, it is unclear why any delays thereby created or the risk of re-traumatisation cannot be considered as part of a person's decision about whether to seek a judicial review. Nor is it clear why the fact that access to redress is determined by the reasonable likelihood standard or the provision of internal review are cogent reasons for the exclusion of judicial review. In light of the fact that judicial review of decisions made by the Operator (or delegate) will still be available under s 39B of the </w:t>
      </w:r>
      <w:r w:rsidRPr="009956FD">
        <w:rPr>
          <w:i/>
        </w:rPr>
        <w:t>Judiciary Act</w:t>
      </w:r>
      <w:r>
        <w:rPr>
          <w:i/>
        </w:rPr>
        <w:t xml:space="preserve"> 1903</w:t>
      </w:r>
      <w:r>
        <w:t>, it is therefore unclear why ADJR Act review is to be excluded. The committee considers, from a scrutiny perspective, t</w:t>
      </w:r>
      <w:r w:rsidRPr="00755F51">
        <w:t>he proliferation of exclusions fro</w:t>
      </w:r>
      <w:r>
        <w:t>m the ADJR Act should be avoided</w:t>
      </w:r>
      <w:r w:rsidRPr="005662FD">
        <w:t>.</w:t>
      </w:r>
    </w:p>
    <w:p w:rsidR="000E264E" w:rsidRDefault="000E264E" w:rsidP="000E264E">
      <w:pPr>
        <w:pStyle w:val="Level16"/>
        <w:numPr>
          <w:ilvl w:val="0"/>
          <w:numId w:val="21"/>
        </w:numPr>
        <w:rPr>
          <w:b/>
        </w:rPr>
      </w:pPr>
      <w:r w:rsidRPr="003302DB">
        <w:rPr>
          <w:b/>
        </w:rPr>
        <w:t xml:space="preserve">The committee draws its scrutiny concerns to the attention of Senators and leaves to the Senate as a whole the appropriateness of excluding judicial review under the </w:t>
      </w:r>
      <w:r w:rsidRPr="003302DB">
        <w:rPr>
          <w:b/>
          <w:i/>
        </w:rPr>
        <w:t>Administrative Decisions (Judicial Review) Act 1977</w:t>
      </w:r>
      <w:r>
        <w:rPr>
          <w:b/>
        </w:rPr>
        <w:t xml:space="preserve"> of decisions made under the redress scheme</w:t>
      </w:r>
      <w:r w:rsidRPr="003302DB">
        <w:rPr>
          <w:b/>
        </w:rPr>
        <w:t>.</w:t>
      </w:r>
    </w:p>
    <w:p w:rsidR="000E264E" w:rsidRDefault="000E264E" w:rsidP="000E264E">
      <w:pPr>
        <w:pStyle w:val="Level16"/>
        <w:numPr>
          <w:ilvl w:val="0"/>
          <w:numId w:val="21"/>
        </w:numPr>
        <w:rPr>
          <w:b/>
        </w:rPr>
        <w:sectPr w:rsidR="000E264E" w:rsidSect="00194588">
          <w:headerReference w:type="even" r:id="rId61"/>
          <w:headerReference w:type="default" r:id="rId62"/>
          <w:footerReference w:type="even" r:id="rId63"/>
          <w:footerReference w:type="default" r:id="rId64"/>
          <w:headerReference w:type="first" r:id="rId65"/>
          <w:footerReference w:type="first" r:id="rId66"/>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lastRenderedPageBreak/>
        <w:t>Fair Work Laws Amendment (Proper Use of Worker Benefits)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703333" w:rsidRDefault="000E264E" w:rsidP="000E264E">
            <w:pPr>
              <w:spacing w:after="60"/>
              <w:rPr>
                <w:sz w:val="24"/>
                <w:szCs w:val="24"/>
              </w:rPr>
            </w:pPr>
            <w:r w:rsidRPr="00B847FE">
              <w:rPr>
                <w:sz w:val="24"/>
                <w:szCs w:val="24"/>
              </w:rPr>
              <w:t>This bill seeks to amend</w:t>
            </w:r>
            <w:r>
              <w:rPr>
                <w:sz w:val="24"/>
                <w:szCs w:val="24"/>
              </w:rPr>
              <w:t xml:space="preserve"> the </w:t>
            </w:r>
            <w:r>
              <w:rPr>
                <w:i/>
                <w:sz w:val="24"/>
                <w:szCs w:val="24"/>
              </w:rPr>
              <w:t xml:space="preserve">Fair Work (Registered Organisations) Act 2009 </w:t>
            </w:r>
            <w:r>
              <w:rPr>
                <w:sz w:val="24"/>
                <w:szCs w:val="24"/>
              </w:rPr>
              <w:t xml:space="preserve">and the </w:t>
            </w:r>
            <w:r>
              <w:rPr>
                <w:i/>
                <w:sz w:val="24"/>
                <w:szCs w:val="24"/>
              </w:rPr>
              <w:t>Fair Work Act 2009</w:t>
            </w:r>
            <w:r>
              <w:rPr>
                <w:sz w:val="24"/>
                <w:szCs w:val="24"/>
              </w:rPr>
              <w:t xml:space="preserve"> to:</w:t>
            </w:r>
          </w:p>
          <w:p w:rsidR="000E264E" w:rsidRDefault="000E264E" w:rsidP="000E264E">
            <w:pPr>
              <w:pStyle w:val="Bullet1"/>
              <w:tabs>
                <w:tab w:val="clear" w:pos="851"/>
                <w:tab w:val="left" w:pos="459"/>
              </w:tabs>
              <w:ind w:left="459" w:hanging="459"/>
              <w:rPr>
                <w:sz w:val="24"/>
                <w:szCs w:val="24"/>
              </w:rPr>
            </w:pPr>
            <w:r w:rsidRPr="00703333">
              <w:rPr>
                <w:sz w:val="24"/>
                <w:szCs w:val="24"/>
              </w:rPr>
              <w:t>prohibit terms of a modern award or an enterprise agreement requiring or permitting contributions for the benefit of an employee to be made to any fund other than a superannuation fund, a registered worker entitlement fund or a registered charity;</w:t>
            </w:r>
          </w:p>
          <w:p w:rsidR="000E264E" w:rsidRDefault="000E264E" w:rsidP="000E264E">
            <w:pPr>
              <w:pStyle w:val="Bullet1"/>
              <w:tabs>
                <w:tab w:val="clear" w:pos="851"/>
                <w:tab w:val="left" w:pos="459"/>
              </w:tabs>
              <w:ind w:left="459" w:hanging="459"/>
              <w:rPr>
                <w:sz w:val="24"/>
                <w:szCs w:val="24"/>
              </w:rPr>
            </w:pPr>
            <w:r w:rsidRPr="00703333">
              <w:rPr>
                <w:sz w:val="24"/>
                <w:szCs w:val="24"/>
              </w:rPr>
              <w:t>require any term of a modern award or enterprise agreement that names a worker entitlement fund or insurance product to allow an employee to choose another fund or insurance product;</w:t>
            </w:r>
          </w:p>
          <w:p w:rsidR="000E264E" w:rsidRDefault="000E264E" w:rsidP="000E264E">
            <w:pPr>
              <w:pStyle w:val="Bullet1"/>
              <w:tabs>
                <w:tab w:val="clear" w:pos="851"/>
                <w:tab w:val="left" w:pos="459"/>
              </w:tabs>
              <w:ind w:left="459" w:hanging="459"/>
              <w:rPr>
                <w:sz w:val="24"/>
                <w:szCs w:val="24"/>
              </w:rPr>
            </w:pPr>
            <w:r w:rsidRPr="00703333">
              <w:rPr>
                <w:sz w:val="24"/>
                <w:szCs w:val="24"/>
              </w:rPr>
              <w:t>prohibit any term of a modern award, enterprise agreement or contract of employment permitting or requiring employee contributions to an election fund for an industrial association</w:t>
            </w:r>
            <w:r>
              <w:rPr>
                <w:sz w:val="24"/>
                <w:szCs w:val="24"/>
              </w:rPr>
              <w:t>;</w:t>
            </w:r>
          </w:p>
          <w:p w:rsidR="000E264E" w:rsidRDefault="000E264E" w:rsidP="000E264E">
            <w:pPr>
              <w:pStyle w:val="Bullet1"/>
              <w:tabs>
                <w:tab w:val="clear" w:pos="851"/>
                <w:tab w:val="left" w:pos="459"/>
              </w:tabs>
              <w:ind w:left="459" w:hanging="459"/>
              <w:rPr>
                <w:sz w:val="24"/>
                <w:szCs w:val="24"/>
              </w:rPr>
            </w:pPr>
            <w:r w:rsidRPr="00703333">
              <w:rPr>
                <w:sz w:val="24"/>
                <w:szCs w:val="24"/>
              </w:rPr>
              <w:t>prohibit any action with the intent to coerce an employer to pay amounts to a particular worker entitlement fund, superannuation fund, training fund, welfare fund or employee insurance scheme</w:t>
            </w:r>
            <w:r>
              <w:rPr>
                <w:sz w:val="24"/>
                <w:szCs w:val="24"/>
              </w:rPr>
              <w:t>;</w:t>
            </w:r>
          </w:p>
          <w:p w:rsidR="000E264E" w:rsidRDefault="000E264E" w:rsidP="000E264E">
            <w:pPr>
              <w:pStyle w:val="Bullet1"/>
              <w:tabs>
                <w:tab w:val="clear" w:pos="851"/>
                <w:tab w:val="left" w:pos="459"/>
              </w:tabs>
              <w:ind w:left="459" w:hanging="459"/>
              <w:rPr>
                <w:sz w:val="24"/>
                <w:szCs w:val="24"/>
              </w:rPr>
            </w:pPr>
            <w:r w:rsidRPr="00703333">
              <w:rPr>
                <w:sz w:val="24"/>
                <w:szCs w:val="24"/>
              </w:rPr>
              <w:t>require registered organisations to adopt, and periodically review, financial management policies</w:t>
            </w:r>
            <w:r>
              <w:rPr>
                <w:sz w:val="24"/>
                <w:szCs w:val="24"/>
              </w:rPr>
              <w:t>;</w:t>
            </w:r>
          </w:p>
          <w:p w:rsidR="000E264E" w:rsidRDefault="000E264E" w:rsidP="000E264E">
            <w:pPr>
              <w:pStyle w:val="Bullet1"/>
              <w:tabs>
                <w:tab w:val="clear" w:pos="851"/>
                <w:tab w:val="left" w:pos="459"/>
              </w:tabs>
              <w:ind w:left="459" w:hanging="459"/>
              <w:rPr>
                <w:sz w:val="24"/>
                <w:szCs w:val="24"/>
              </w:rPr>
            </w:pPr>
            <w:r w:rsidRPr="00703333">
              <w:rPr>
                <w:sz w:val="24"/>
                <w:szCs w:val="24"/>
              </w:rPr>
              <w:t>require registered organisations to keep credit card records and to report certain loans, grants and donations</w:t>
            </w:r>
          </w:p>
          <w:p w:rsidR="000E264E" w:rsidRDefault="000E264E" w:rsidP="000E264E">
            <w:pPr>
              <w:pStyle w:val="Bullet1"/>
              <w:tabs>
                <w:tab w:val="clear" w:pos="851"/>
                <w:tab w:val="left" w:pos="459"/>
              </w:tabs>
              <w:ind w:left="459" w:hanging="459"/>
              <w:rPr>
                <w:sz w:val="24"/>
                <w:szCs w:val="24"/>
              </w:rPr>
            </w:pPr>
            <w:r w:rsidRPr="00703333">
              <w:rPr>
                <w:sz w:val="24"/>
                <w:szCs w:val="24"/>
              </w:rPr>
              <w:t>require specific disclosure by registered organisations and employers of the financial benefits obtained by them and persons linked to them in connection with employee insurance products</w:t>
            </w:r>
            <w:r>
              <w:rPr>
                <w:sz w:val="24"/>
                <w:szCs w:val="24"/>
              </w:rPr>
              <w:t>; and</w:t>
            </w:r>
          </w:p>
          <w:p w:rsidR="000E264E" w:rsidRPr="00703333" w:rsidRDefault="000E264E" w:rsidP="000E264E">
            <w:pPr>
              <w:pStyle w:val="Bullet1"/>
              <w:tabs>
                <w:tab w:val="clear" w:pos="851"/>
                <w:tab w:val="left" w:pos="459"/>
              </w:tabs>
              <w:ind w:left="459" w:hanging="459"/>
              <w:rPr>
                <w:sz w:val="24"/>
                <w:szCs w:val="24"/>
              </w:rPr>
            </w:pPr>
            <w:r w:rsidRPr="00703333">
              <w:rPr>
                <w:sz w:val="24"/>
                <w:szCs w:val="24"/>
              </w:rPr>
              <w:t>introduce a range of new penalties to ensure compliance with financial management, disclosure and reporting requirements</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Employment</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19 October 2017</w:t>
            </w:r>
          </w:p>
        </w:tc>
      </w:tr>
      <w:tr w:rsidR="000E264E" w:rsidRPr="00B847FE" w:rsidTr="000E264E">
        <w:tc>
          <w:tcPr>
            <w:tcW w:w="2660" w:type="dxa"/>
            <w:tcBorders>
              <w:bottom w:val="single" w:sz="12" w:space="0" w:color="auto"/>
              <w:right w:val="single" w:sz="12" w:space="0" w:color="auto"/>
            </w:tcBorders>
          </w:tcPr>
          <w:p w:rsidR="000E264E" w:rsidRPr="00BF064B" w:rsidRDefault="000E264E" w:rsidP="000E264E">
            <w:pPr>
              <w:rPr>
                <w:b/>
                <w:sz w:val="24"/>
                <w:szCs w:val="24"/>
              </w:rPr>
            </w:pPr>
            <w:r w:rsidRPr="00BF064B">
              <w:rPr>
                <w:b/>
                <w:sz w:val="24"/>
                <w:szCs w:val="24"/>
              </w:rPr>
              <w:t>Scrutiny principles</w:t>
            </w:r>
          </w:p>
        </w:tc>
        <w:tc>
          <w:tcPr>
            <w:tcW w:w="6582" w:type="dxa"/>
            <w:tcBorders>
              <w:left w:val="single" w:sz="12" w:space="0" w:color="auto"/>
              <w:bottom w:val="single" w:sz="12" w:space="0" w:color="auto"/>
            </w:tcBorders>
          </w:tcPr>
          <w:p w:rsidR="000E264E" w:rsidRPr="00BF064B" w:rsidRDefault="000E264E" w:rsidP="000E264E">
            <w:pPr>
              <w:rPr>
                <w:sz w:val="24"/>
                <w:szCs w:val="24"/>
              </w:rPr>
            </w:pPr>
            <w:r w:rsidRPr="00BF064B">
              <w:rPr>
                <w:sz w:val="24"/>
                <w:szCs w:val="24"/>
              </w:rPr>
              <w:t>Standing order 24(1)(a)(i),(ii) and (iii)</w:t>
            </w:r>
          </w:p>
        </w:tc>
      </w:tr>
    </w:tbl>
    <w:p w:rsidR="000E264E" w:rsidRDefault="000E264E" w:rsidP="000E264E"/>
    <w:p w:rsidR="000E264E" w:rsidRDefault="000E264E" w:rsidP="000E264E">
      <w:pPr>
        <w:pStyle w:val="Heading3"/>
      </w:pPr>
      <w:r>
        <w:lastRenderedPageBreak/>
        <w:t>Privacy</w:t>
      </w:r>
      <w:r w:rsidRPr="00050CA2">
        <w:rPr>
          <w:rStyle w:val="FootnoteReference"/>
          <w:b w:val="0"/>
        </w:rPr>
        <w:footnoteReference w:id="36"/>
      </w:r>
    </w:p>
    <w:p w:rsidR="000E264E" w:rsidRDefault="000E264E" w:rsidP="000E264E">
      <w:pPr>
        <w:pStyle w:val="Level17"/>
        <w:numPr>
          <w:ilvl w:val="0"/>
          <w:numId w:val="21"/>
        </w:numPr>
      </w:pPr>
      <w:r>
        <w:t xml:space="preserve">Currently section 237(4) of the </w:t>
      </w:r>
      <w:r w:rsidRPr="00176E38">
        <w:rPr>
          <w:i/>
        </w:rPr>
        <w:t>Fair Work (Registered Organisations) Act 2009</w:t>
      </w:r>
      <w:r>
        <w:t xml:space="preserve"> provides that a </w:t>
      </w:r>
      <w:r w:rsidRPr="00F90777">
        <w:t xml:space="preserve">statement lodged with the </w:t>
      </w:r>
      <w:r>
        <w:t xml:space="preserve">Fair Work </w:t>
      </w:r>
      <w:r w:rsidRPr="00F90777">
        <w:t>Commissioner</w:t>
      </w:r>
      <w:r>
        <w:t>, which details</w:t>
      </w:r>
      <w:r w:rsidRPr="00F90777">
        <w:t xml:space="preserve"> </w:t>
      </w:r>
      <w:r>
        <w:t>its loans, grants and donations,</w:t>
      </w:r>
      <w:r w:rsidRPr="00F90777">
        <w:t xml:space="preserve"> may be inspected by a member of the organisation concerned</w:t>
      </w:r>
      <w:r>
        <w:t>. The bill proposes amending the level of detail to be set out in such statements, including adding a requirement to include the name and address of the person to whom a grant or donation was made, or who made a grant or donation.</w:t>
      </w:r>
      <w:r>
        <w:rPr>
          <w:rStyle w:val="FootnoteReference"/>
        </w:rPr>
        <w:footnoteReference w:id="37"/>
      </w:r>
      <w:r>
        <w:t xml:space="preserve"> Proposed subsection 237(4A) would require the Commissioner, when allowing a member of a registered organisation to inspect such statements, to omit residential addresses and allows the omission of 'other personal information' at the discretion of the Commissioner.</w:t>
      </w:r>
    </w:p>
    <w:p w:rsidR="000E264E" w:rsidRDefault="000E264E" w:rsidP="000E264E">
      <w:pPr>
        <w:pStyle w:val="Level17"/>
        <w:numPr>
          <w:ilvl w:val="0"/>
          <w:numId w:val="21"/>
        </w:numPr>
      </w:pPr>
      <w:r>
        <w:t>The explanatory memorandum states these provisions give 'the Commissioner the necessary power to ensure that other personal or sensitive material can be redacted to protect the privacy of such information during an inspection.'</w:t>
      </w:r>
      <w:r>
        <w:rPr>
          <w:rStyle w:val="FootnoteReference"/>
        </w:rPr>
        <w:footnoteReference w:id="38"/>
      </w:r>
      <w:r>
        <w:t xml:space="preserve"> However, the committee notes that the Commissioner would not be obliged to omit such 'other personal information'; it is left to the Commissioner's discretion. The statement of compatibility acknowledges that this provision engages the right to privacy and states that it is necessary to ensure adequate financial transparency in relation to the affairs of registered organsiations.</w:t>
      </w:r>
      <w:r>
        <w:rPr>
          <w:rStyle w:val="FootnoteReference"/>
        </w:rPr>
        <w:footnoteReference w:id="39"/>
      </w:r>
      <w:r>
        <w:t xml:space="preserve"> However, it does not explain why it is necessary to leave the protection of personal information to the discretion of the Commissioner, rather than making such protection a statutory requirement.</w:t>
      </w:r>
    </w:p>
    <w:p w:rsidR="000E264E" w:rsidRPr="00B546CF" w:rsidRDefault="000E264E" w:rsidP="000E264E">
      <w:pPr>
        <w:pStyle w:val="Level17"/>
        <w:numPr>
          <w:ilvl w:val="0"/>
          <w:numId w:val="21"/>
        </w:numPr>
        <w:rPr>
          <w:b/>
        </w:rPr>
      </w:pPr>
      <w:r w:rsidRPr="00B546CF">
        <w:rPr>
          <w:b/>
        </w:rPr>
        <w:t xml:space="preserve">The committee therefore requests the Minister's advice as to why it is necessary </w:t>
      </w:r>
      <w:r>
        <w:rPr>
          <w:b/>
        </w:rPr>
        <w:t>and appropriate</w:t>
      </w:r>
      <w:r w:rsidRPr="00B546CF">
        <w:rPr>
          <w:b/>
        </w:rPr>
        <w:t xml:space="preserve"> to leave the protection of personal information to the discretion of the Commissioner, rather than making this a statutory requirement.</w:t>
      </w:r>
    </w:p>
    <w:p w:rsidR="000E264E" w:rsidRDefault="000E264E" w:rsidP="000E264E">
      <w:pPr>
        <w:spacing w:after="240"/>
        <w:ind w:left="2268" w:right="2223"/>
      </w:pPr>
      <w:r>
        <w:pict>
          <v:rect id="_x0000_i1070" style="width:0;height:1.5pt" o:hralign="center" o:hrstd="t" o:hr="t" fillcolor="#a0a0a0" stroked="f"/>
        </w:pict>
      </w:r>
    </w:p>
    <w:p w:rsidR="000E264E" w:rsidRDefault="000E264E" w:rsidP="000E264E">
      <w:pPr>
        <w:pStyle w:val="Heading3"/>
      </w:pPr>
      <w:r>
        <w:t>Broad delegation of administrative powers</w:t>
      </w:r>
      <w:r w:rsidRPr="004474CF">
        <w:rPr>
          <w:rStyle w:val="FootnoteReference"/>
          <w:b w:val="0"/>
        </w:rPr>
        <w:footnoteReference w:id="40"/>
      </w:r>
    </w:p>
    <w:p w:rsidR="000E264E" w:rsidRDefault="000E264E" w:rsidP="000E264E">
      <w:pPr>
        <w:pStyle w:val="Level17"/>
        <w:numPr>
          <w:ilvl w:val="0"/>
          <w:numId w:val="21"/>
        </w:numPr>
      </w:pPr>
      <w:r>
        <w:t>The bill seeks to place a number of obligations on the operator of a registered worker entitlement fund with respect to the fund's constitution and the provision of information.</w:t>
      </w:r>
      <w:r>
        <w:rPr>
          <w:rStyle w:val="FootnoteReference"/>
        </w:rPr>
        <w:footnoteReference w:id="41"/>
      </w:r>
      <w:r>
        <w:t xml:space="preserve"> Proposed section 329MB seeks to make these obligations </w:t>
      </w:r>
      <w:r>
        <w:lastRenderedPageBreak/>
        <w:t xml:space="preserve">subject to the infringement notice regime under Part 5 of the </w:t>
      </w:r>
      <w:r w:rsidRPr="00C8264B">
        <w:rPr>
          <w:i/>
        </w:rPr>
        <w:t>Regulatory Powers (Standard Provisions) Act 2014</w:t>
      </w:r>
      <w:r w:rsidRPr="009F4521">
        <w:rPr>
          <w:i/>
        </w:rPr>
        <w:t>.</w:t>
      </w:r>
      <w:r w:rsidRPr="00003536">
        <w:t xml:space="preserve"> </w:t>
      </w:r>
      <w:r>
        <w:t>Proposed paragraph 329MB(2)(b) and subsection 329MB(3) would allow the Registered Organisations Commissioner (the Commissioner) to delegate the authority to issue infringement notices to any member of staff working for the Registered Organisations Commission (the Commission), which can be any APS level employee.</w:t>
      </w:r>
      <w:r>
        <w:rPr>
          <w:rStyle w:val="FootnoteReference"/>
        </w:rPr>
        <w:footnoteReference w:id="42"/>
      </w:r>
      <w:r>
        <w:t xml:space="preserve"> In addition, proposed subsection (3) would allow the Commissioner to authorise any other person assisting the Commissioner, including employees of agencies, officers and employees of a State or Territory or of authorities of the Commonwealth or a State or Territory whose services are available to the Commissioner. </w:t>
      </w:r>
    </w:p>
    <w:p w:rsidR="000E264E" w:rsidRDefault="000E264E" w:rsidP="000E264E">
      <w:pPr>
        <w:pStyle w:val="Level17"/>
        <w:numPr>
          <w:ilvl w:val="0"/>
          <w:numId w:val="21"/>
        </w:numPr>
      </w:pPr>
      <w:r>
        <w:t>The committee has consistently drawn attention to legislation that allows the delegation of administrative powers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committee's preference is that delegates be confined to the holders of nominated offices or to members of the Senior Executive Service. Where broad delegations are provided for, the committee considers that an explanation of why these are considered necessary should be included in the explanatory memorandum.</w:t>
      </w:r>
    </w:p>
    <w:p w:rsidR="000E264E" w:rsidRDefault="000E264E" w:rsidP="000E264E">
      <w:pPr>
        <w:pStyle w:val="Level17"/>
        <w:numPr>
          <w:ilvl w:val="0"/>
          <w:numId w:val="21"/>
        </w:numPr>
      </w:pPr>
      <w:r>
        <w:t xml:space="preserve">In addition, the committee notes that the </w:t>
      </w:r>
      <w:r w:rsidRPr="00176E38">
        <w:rPr>
          <w:i/>
        </w:rPr>
        <w:t>Guide to Framing</w:t>
      </w:r>
      <w:r>
        <w:rPr>
          <w:i/>
        </w:rPr>
        <w:t xml:space="preserve"> Commonwealth</w:t>
      </w:r>
      <w:r w:rsidRPr="00176E38">
        <w:rPr>
          <w:i/>
        </w:rPr>
        <w:t xml:space="preserve"> Offences</w:t>
      </w:r>
      <w:r>
        <w:t xml:space="preserve"> notes that the legitimacy of an infringement notice scheme depends on the existence of a properly managed process for the issuing of notices and that a common approach is to require that a person issuing the notice possess special attributes, qualifications or qualities and a provision that allows 'an APS employee' to issue a notice is likely to be inappropriate.</w:t>
      </w:r>
      <w:r w:rsidRPr="005F2FCF">
        <w:rPr>
          <w:rStyle w:val="FootnoteReference"/>
        </w:rPr>
        <w:t xml:space="preserve"> </w:t>
      </w:r>
      <w:r>
        <w:rPr>
          <w:rStyle w:val="FootnoteReference"/>
        </w:rPr>
        <w:footnoteReference w:id="43"/>
      </w:r>
    </w:p>
    <w:p w:rsidR="000E264E" w:rsidRDefault="000E264E" w:rsidP="000E264E">
      <w:pPr>
        <w:pStyle w:val="Level17"/>
        <w:numPr>
          <w:ilvl w:val="0"/>
          <w:numId w:val="21"/>
        </w:numPr>
      </w:pPr>
      <w:r>
        <w:t>In this instance, the explanatory memorandum states that the delegation of functions with respect to issuing infringement notices will, in practice, be restricted to 'a small group of persons with particular expertise in the regulation of registered organisations and their associated entities.'</w:t>
      </w:r>
      <w:r>
        <w:rPr>
          <w:rStyle w:val="FootnoteReference"/>
        </w:rPr>
        <w:footnoteReference w:id="44"/>
      </w:r>
      <w:r>
        <w:t xml:space="preserve"> However, there is nothing in the bill that would limit the delegation of powers to persons with such appropriate expertise.</w:t>
      </w:r>
    </w:p>
    <w:p w:rsidR="000E264E" w:rsidRDefault="000E264E" w:rsidP="000E264E">
      <w:pPr>
        <w:spacing w:before="0" w:after="0"/>
        <w:jc w:val="left"/>
      </w:pPr>
      <w:r>
        <w:br w:type="page"/>
      </w:r>
    </w:p>
    <w:p w:rsidR="000E264E" w:rsidRPr="00B800DC" w:rsidRDefault="000E264E" w:rsidP="000E264E">
      <w:pPr>
        <w:pStyle w:val="Level17"/>
        <w:numPr>
          <w:ilvl w:val="0"/>
          <w:numId w:val="21"/>
        </w:numPr>
        <w:rPr>
          <w:b/>
        </w:rPr>
      </w:pPr>
      <w:r w:rsidRPr="00B800DC">
        <w:rPr>
          <w:b/>
        </w:rPr>
        <w:lastRenderedPageBreak/>
        <w:t xml:space="preserve">The committee considers it may </w:t>
      </w:r>
      <w:r w:rsidRPr="00C42312">
        <w:rPr>
          <w:b/>
        </w:rPr>
        <w:t xml:space="preserve">be appropriate to amend the bill to require persons authorised to issue infringement notices </w:t>
      </w:r>
      <w:r w:rsidRPr="00176E38">
        <w:rPr>
          <w:b/>
        </w:rPr>
        <w:t xml:space="preserve">be confined to </w:t>
      </w:r>
      <w:r>
        <w:rPr>
          <w:b/>
        </w:rPr>
        <w:t>officers</w:t>
      </w:r>
      <w:r w:rsidRPr="00176E38">
        <w:rPr>
          <w:b/>
        </w:rPr>
        <w:t xml:space="preserve"> </w:t>
      </w:r>
      <w:r w:rsidRPr="00B800DC">
        <w:rPr>
          <w:b/>
        </w:rPr>
        <w:t>that hold s</w:t>
      </w:r>
      <w:r w:rsidRPr="00C42312">
        <w:rPr>
          <w:b/>
        </w:rPr>
        <w:t xml:space="preserve">pecial </w:t>
      </w:r>
      <w:r w:rsidRPr="00176E38">
        <w:rPr>
          <w:b/>
        </w:rPr>
        <w:t>attributes, qualifications or qualities</w:t>
      </w:r>
      <w:r>
        <w:rPr>
          <w:b/>
        </w:rPr>
        <w:t>, and seeks the Minister's advice in relation to this</w:t>
      </w:r>
      <w:r w:rsidRPr="00B800DC">
        <w:rPr>
          <w:b/>
        </w:rPr>
        <w:t>.</w:t>
      </w:r>
    </w:p>
    <w:p w:rsidR="000E264E" w:rsidRPr="00C20AE1" w:rsidRDefault="000E264E" w:rsidP="000E264E">
      <w:pPr>
        <w:spacing w:after="240"/>
        <w:ind w:left="2268" w:right="2223"/>
      </w:pPr>
      <w:r>
        <w:pict>
          <v:rect id="_x0000_i1071" style="width:0;height:1.5pt" o:hralign="center" o:hrstd="t" o:hr="t" fillcolor="#a0a0a0" stroked="f"/>
        </w:pict>
      </w:r>
    </w:p>
    <w:p w:rsidR="000E264E" w:rsidRPr="00050CA2" w:rsidRDefault="000E264E" w:rsidP="000E264E">
      <w:pPr>
        <w:pStyle w:val="Heading3"/>
        <w:rPr>
          <w:b w:val="0"/>
        </w:rPr>
      </w:pPr>
      <w:r>
        <w:t>Procedural fairness</w:t>
      </w:r>
      <w:r w:rsidRPr="00050CA2">
        <w:rPr>
          <w:rStyle w:val="FootnoteReference"/>
          <w:b w:val="0"/>
        </w:rPr>
        <w:footnoteReference w:id="45"/>
      </w:r>
    </w:p>
    <w:p w:rsidR="000E264E" w:rsidRDefault="000E264E" w:rsidP="000E264E">
      <w:pPr>
        <w:pStyle w:val="Level17"/>
        <w:numPr>
          <w:ilvl w:val="0"/>
          <w:numId w:val="21"/>
        </w:numPr>
      </w:pPr>
      <w:r>
        <w:t>Proposed Subdivision B of Division 4 of proposed Part 3C sets out a deregistration process for non-compliant registered worker entitlement funds. Under proposed section 329MG, where the Commissioner proposes to deregister a fund he or she must give written notice to the fund operator setting out the grounds for and proposed date of deregistration, and inviting submissions from the operator. In deciding to exercise this power, the Commissioner must consider the seriousness of non-compliance, any previous non-compliance with ongoing conditions, whether deregistration would be in the best interests of fund members and whether it may be more appropriate to exercise powers other than deregistration in the circumstances.</w:t>
      </w:r>
    </w:p>
    <w:p w:rsidR="000E264E" w:rsidRDefault="000E264E" w:rsidP="000E264E">
      <w:pPr>
        <w:pStyle w:val="Level17"/>
        <w:numPr>
          <w:ilvl w:val="0"/>
          <w:numId w:val="21"/>
        </w:numPr>
      </w:pPr>
      <w:r>
        <w:t>Proposed section 329MK states that this Subdivision is taken to be an exhaustive statement of the requirements of the natural justice hearing rule in relation to the Commissioner's decision to deregister a registered worker entitlement fund.</w:t>
      </w:r>
    </w:p>
    <w:p w:rsidR="000E264E" w:rsidRDefault="000E264E" w:rsidP="000E264E">
      <w:pPr>
        <w:pStyle w:val="Level17"/>
        <w:numPr>
          <w:ilvl w:val="0"/>
          <w:numId w:val="21"/>
        </w:numPr>
      </w:pPr>
      <w:r>
        <w:t>The natural justice hearing rule enables the courts to consider whether a hearing provided prior to an adverse decision is fair in the circumstances of the case, including in the statutory context of the power being exercised. If the natural justice hearing rule is excluded, the only available procedural fairness requirements would be those set out in the Subdivision itself. Given that what constitutes a fair hearing is necessarily dependent on the context of the inquiry, the consequence could be that a fund may be deregistered in circumstances where it has not been afforded a fair opportunity to put its case. The explanatory memorandum provides no explanation as to why it is necessary to limit procedural fairness requirements in this way.</w:t>
      </w:r>
    </w:p>
    <w:p w:rsidR="000E264E" w:rsidRPr="003604E3" w:rsidRDefault="000E264E" w:rsidP="000E264E">
      <w:pPr>
        <w:pStyle w:val="Level17"/>
        <w:numPr>
          <w:ilvl w:val="0"/>
          <w:numId w:val="21"/>
        </w:numPr>
        <w:rPr>
          <w:b/>
        </w:rPr>
      </w:pPr>
      <w:r w:rsidRPr="003604E3">
        <w:rPr>
          <w:b/>
        </w:rPr>
        <w:t xml:space="preserve">The committee requests the Minister's advice as to why it is necessary </w:t>
      </w:r>
      <w:r>
        <w:rPr>
          <w:b/>
        </w:rPr>
        <w:t xml:space="preserve">and appropriate </w:t>
      </w:r>
      <w:r w:rsidRPr="003604E3">
        <w:rPr>
          <w:b/>
        </w:rPr>
        <w:t xml:space="preserve">to </w:t>
      </w:r>
      <w:r>
        <w:rPr>
          <w:b/>
        </w:rPr>
        <w:t xml:space="preserve">exclude aspects </w:t>
      </w:r>
      <w:r w:rsidRPr="003604E3">
        <w:rPr>
          <w:b/>
        </w:rPr>
        <w:t xml:space="preserve">of the natural justice hearing rule </w:t>
      </w:r>
      <w:r>
        <w:rPr>
          <w:b/>
        </w:rPr>
        <w:t xml:space="preserve">in relation </w:t>
      </w:r>
      <w:r w:rsidRPr="003604E3">
        <w:rPr>
          <w:b/>
        </w:rPr>
        <w:t>to the deregistration process</w:t>
      </w:r>
      <w:r>
        <w:rPr>
          <w:b/>
        </w:rPr>
        <w:t>.</w:t>
      </w:r>
    </w:p>
    <w:p w:rsidR="000E264E" w:rsidRPr="00C20AE1" w:rsidRDefault="000E264E" w:rsidP="000E264E">
      <w:pPr>
        <w:spacing w:after="240"/>
        <w:ind w:left="2268" w:right="2223"/>
      </w:pPr>
      <w:r>
        <w:pict>
          <v:rect id="_x0000_i1072" style="width:0;height:1.5pt" o:hralign="center" o:hrstd="t" o:hr="t" fillcolor="#a0a0a0" stroked="f"/>
        </w:pict>
      </w:r>
    </w:p>
    <w:p w:rsidR="000E264E" w:rsidRPr="00AB5C86" w:rsidRDefault="000E264E" w:rsidP="000E264E">
      <w:pPr>
        <w:pStyle w:val="Heading3"/>
        <w:rPr>
          <w:b w:val="0"/>
        </w:rPr>
      </w:pPr>
      <w:r>
        <w:lastRenderedPageBreak/>
        <w:t>Exclusion of merits review</w:t>
      </w:r>
      <w:r w:rsidRPr="00AB5C86">
        <w:rPr>
          <w:rStyle w:val="FootnoteReference"/>
          <w:b w:val="0"/>
        </w:rPr>
        <w:footnoteReference w:id="46"/>
      </w:r>
    </w:p>
    <w:p w:rsidR="000E264E" w:rsidRDefault="000E264E" w:rsidP="000E264E">
      <w:pPr>
        <w:pStyle w:val="Level17"/>
        <w:numPr>
          <w:ilvl w:val="0"/>
          <w:numId w:val="21"/>
        </w:numPr>
      </w:pPr>
      <w:r>
        <w:t>Proposed section 329NI lists a number of decisions made by the Commissioner that are reviewable by the Administrative Appeals Tribunal (AAT). However, this does not include decisions taken under proposed section 329MA. Proposed section 329MA seeks to provide the Commissioner with the power to direct the operator of a registered worker entitlement fund to take, or stop taking, one or more actions. As it is not listed in proposed section 329NI, such decisions are not subject to any form of merits review. The explanatory memorandum justifies this exclusion on the grounds that the decisions taken under proposed section 329MA are of a law enforcement nature.</w:t>
      </w:r>
      <w:r>
        <w:rPr>
          <w:rStyle w:val="FootnoteReference"/>
        </w:rPr>
        <w:footnoteReference w:id="47"/>
      </w:r>
      <w:r>
        <w:t xml:space="preserve"> However, it is not clear to the committee that decisions made under proposed section 329MA are akin to law enforcement decisions. The decision the Commissioner takes is based on whether a condition of registration is being breached and the Commissioner must be satisfied that issuing a notice would be in the best interests of the fund's contributors or members. It is not clear to the committee that these determinations are of a law enforcement nature.</w:t>
      </w:r>
    </w:p>
    <w:p w:rsidR="000E264E" w:rsidRPr="00911990" w:rsidRDefault="000E264E" w:rsidP="000E264E">
      <w:pPr>
        <w:pStyle w:val="Level17"/>
        <w:numPr>
          <w:ilvl w:val="0"/>
          <w:numId w:val="21"/>
        </w:numPr>
        <w:rPr>
          <w:b/>
        </w:rPr>
      </w:pPr>
      <w:r w:rsidRPr="00911990">
        <w:rPr>
          <w:b/>
        </w:rPr>
        <w:t>The committee requests the Minister's more detailed explanation of why decision</w:t>
      </w:r>
      <w:r>
        <w:rPr>
          <w:b/>
        </w:rPr>
        <w:t>s</w:t>
      </w:r>
      <w:r w:rsidRPr="00911990">
        <w:rPr>
          <w:b/>
        </w:rPr>
        <w:t xml:space="preserve"> taken under proposed section 329MA are conside</w:t>
      </w:r>
      <w:r>
        <w:rPr>
          <w:b/>
        </w:rPr>
        <w:t>red to be of a law enforcement nature and therefore appropriate for excluding merits review.</w:t>
      </w:r>
    </w:p>
    <w:p w:rsidR="000E264E" w:rsidRPr="00C20AE1" w:rsidRDefault="000E264E" w:rsidP="000E264E">
      <w:pPr>
        <w:spacing w:after="240"/>
        <w:ind w:left="2268" w:right="2223"/>
      </w:pPr>
      <w:r>
        <w:pict>
          <v:rect id="_x0000_i1073" style="width:0;height:1.5pt" o:hralign="center" o:hrstd="t" o:hr="t" fillcolor="#a0a0a0" stroked="f"/>
        </w:pict>
      </w:r>
    </w:p>
    <w:p w:rsidR="000E264E" w:rsidRPr="00AB5C86" w:rsidRDefault="000E264E" w:rsidP="000E264E">
      <w:pPr>
        <w:pStyle w:val="Heading3"/>
        <w:rPr>
          <w:b w:val="0"/>
        </w:rPr>
      </w:pPr>
      <w:r>
        <w:t>Reversal of evidential burden of proof</w:t>
      </w:r>
      <w:r w:rsidRPr="00AB5C86">
        <w:rPr>
          <w:rStyle w:val="FootnoteReference"/>
          <w:b w:val="0"/>
        </w:rPr>
        <w:footnoteReference w:id="48"/>
      </w:r>
    </w:p>
    <w:p w:rsidR="000E264E" w:rsidRDefault="000E264E" w:rsidP="000E264E">
      <w:pPr>
        <w:pStyle w:val="Level17"/>
        <w:numPr>
          <w:ilvl w:val="0"/>
          <w:numId w:val="21"/>
        </w:numPr>
      </w:pPr>
      <w:r>
        <w:t>Proposed section 329NF seeks to provide the Commissioner with the power to require a person to produce documents or information relevant to determining whether a registered worker entitlement fund has complied or is complying with its ongoing conditions of registration, or with requirements concerning final reports following deregistration.</w:t>
      </w:r>
    </w:p>
    <w:p w:rsidR="000E264E" w:rsidRPr="009E055F" w:rsidRDefault="000E264E" w:rsidP="000E264E">
      <w:pPr>
        <w:pStyle w:val="Level17"/>
        <w:numPr>
          <w:ilvl w:val="0"/>
          <w:numId w:val="21"/>
        </w:numPr>
        <w:rPr>
          <w:rFonts w:eastAsiaTheme="minorHAnsi"/>
        </w:rPr>
      </w:pPr>
      <w:r>
        <w:t xml:space="preserve">Proposed subsection 329NF(4) seeks to make a failure to comply with a notice from the Commissioner an offence subject to a maximum punishment of 30 penalty units. </w:t>
      </w:r>
      <w:r w:rsidRPr="009E055F">
        <w:rPr>
          <w:rFonts w:eastAsiaTheme="minorHAnsi"/>
        </w:rPr>
        <w:t xml:space="preserve">Proposed subsection </w:t>
      </w:r>
      <w:r>
        <w:rPr>
          <w:rFonts w:eastAsiaTheme="minorHAnsi"/>
        </w:rPr>
        <w:t>329NF</w:t>
      </w:r>
      <w:r w:rsidRPr="009E055F">
        <w:rPr>
          <w:rFonts w:eastAsiaTheme="minorHAnsi"/>
        </w:rPr>
        <w:t>(</w:t>
      </w:r>
      <w:r>
        <w:rPr>
          <w:rFonts w:eastAsiaTheme="minorHAnsi"/>
        </w:rPr>
        <w:t>5</w:t>
      </w:r>
      <w:r w:rsidRPr="009E055F">
        <w:rPr>
          <w:rFonts w:eastAsiaTheme="minorHAnsi"/>
        </w:rPr>
        <w:t>) provides an exception (offence specific defence) to this offence, stating that the offence does not apply if</w:t>
      </w:r>
      <w:r>
        <w:rPr>
          <w:rFonts w:eastAsiaTheme="minorHAnsi"/>
        </w:rPr>
        <w:t xml:space="preserve"> the person has a reasonable excuse.</w:t>
      </w:r>
    </w:p>
    <w:p w:rsidR="000E264E" w:rsidRDefault="000E264E" w:rsidP="000E264E">
      <w:pPr>
        <w:pStyle w:val="Level17"/>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w:t>
      </w:r>
    </w:p>
    <w:p w:rsidR="000E264E" w:rsidRDefault="000E264E" w:rsidP="000E264E">
      <w:pPr>
        <w:pStyle w:val="Level17"/>
        <w:numPr>
          <w:ilvl w:val="0"/>
          <w:numId w:val="21"/>
        </w:numPr>
        <w:rPr>
          <w:rFonts w:eastAsiaTheme="minorHAnsi"/>
        </w:rPr>
      </w:pPr>
      <w:r>
        <w:rPr>
          <w:rFonts w:eastAsiaTheme="minorHAnsi"/>
        </w:rPr>
        <w:lastRenderedPageBreak/>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0E264E" w:rsidRDefault="000E264E" w:rsidP="000E264E">
      <w:pPr>
        <w:pStyle w:val="Level17"/>
        <w:numPr>
          <w:ilvl w:val="0"/>
          <w:numId w:val="21"/>
        </w:numPr>
        <w:rPr>
          <w:rFonts w:eastAsiaTheme="minorHAnsi"/>
        </w:rPr>
      </w:pPr>
      <w:r w:rsidRPr="006E33DF">
        <w:rPr>
          <w:rFonts w:eastAsiaTheme="minorHAnsi"/>
        </w:rPr>
        <w:t xml:space="preserve">While </w:t>
      </w:r>
      <w:r>
        <w:rPr>
          <w:rFonts w:eastAsiaTheme="minorHAnsi"/>
        </w:rPr>
        <w:t xml:space="preserve">in this instance </w:t>
      </w:r>
      <w:r w:rsidRPr="006E33DF">
        <w:rPr>
          <w:rFonts w:eastAsiaTheme="minorHAnsi"/>
        </w:rPr>
        <w:t>the defendant bears an evidential burden (requiring the defendant to raise evidence about the matter), rather than a legal burden (requiring the defendant to positively prove the matter), the committee expects any such reversal of the evidential burden of proof to be justified.</w:t>
      </w:r>
    </w:p>
    <w:p w:rsidR="000E264E" w:rsidRPr="00ED4C2F" w:rsidRDefault="000E264E" w:rsidP="000E264E">
      <w:pPr>
        <w:pStyle w:val="Level17"/>
        <w:numPr>
          <w:ilvl w:val="0"/>
          <w:numId w:val="21"/>
        </w:numPr>
        <w:rPr>
          <w:rFonts w:eastAsiaTheme="minorHAnsi"/>
        </w:rPr>
      </w:pPr>
      <w:r>
        <w:rPr>
          <w:rFonts w:eastAsiaTheme="minorHAnsi"/>
        </w:rPr>
        <w:t>In this instance, the explanatory memorandum describes proposed section 329NF as providing for a civil penalty and so does not address the question of why it is proposed to reverse the burden of proof.</w:t>
      </w:r>
      <w:r>
        <w:rPr>
          <w:rStyle w:val="FootnoteReference"/>
          <w:rFonts w:eastAsiaTheme="minorHAnsi"/>
        </w:rPr>
        <w:footnoteReference w:id="49"/>
      </w:r>
      <w:r>
        <w:rPr>
          <w:rStyle w:val="FootnoteReference"/>
          <w:rFonts w:eastAsiaTheme="minorHAnsi"/>
        </w:rPr>
        <w:t xml:space="preserve"> </w:t>
      </w:r>
      <w:r w:rsidRPr="008D5103">
        <w:rPr>
          <w:rFonts w:eastAsiaTheme="minorHAnsi"/>
        </w:rPr>
        <w:t>However</w:t>
      </w:r>
      <w:r>
        <w:rPr>
          <w:rFonts w:eastAsiaTheme="minorHAnsi"/>
        </w:rPr>
        <w:t>, proposed section 329NF clearly appears to impose a criminal, not civil, penalty to a person who fails to comply with a notice requiring the person to give or produce certain information or documents.</w:t>
      </w:r>
      <w:r>
        <w:rPr>
          <w:rStyle w:val="FootnoteReference"/>
          <w:rFonts w:eastAsiaTheme="minorHAnsi"/>
        </w:rPr>
        <w:footnoteReference w:id="50"/>
      </w:r>
    </w:p>
    <w:p w:rsidR="000E264E" w:rsidRDefault="000E264E" w:rsidP="000E264E">
      <w:pPr>
        <w:pStyle w:val="Level17"/>
        <w:numPr>
          <w:ilvl w:val="0"/>
          <w:numId w:val="21"/>
        </w:numPr>
        <w:rPr>
          <w:b/>
        </w:rPr>
      </w:pPr>
      <w:r w:rsidRPr="008D5103">
        <w:rPr>
          <w:b/>
        </w:rPr>
        <w:t xml:space="preserve">As the explanatory materials do not adequately address this issue, the committee requests the Minister's advice as to why it is proposed to use an offence-specific defence (which reverses the evidential burden of proof) in this instance. The committee's consideration of the appropriateness of a provision which reverses the burden of proof is assisted if it explicitly addresses relevant principles as set out in the </w:t>
      </w:r>
      <w:r w:rsidRPr="008D5103">
        <w:rPr>
          <w:b/>
          <w:i/>
        </w:rPr>
        <w:t>Guide to Framing Commonwealth Offences</w:t>
      </w:r>
      <w:r w:rsidRPr="008D5103">
        <w:rPr>
          <w:b/>
        </w:rPr>
        <w:t>.</w:t>
      </w:r>
      <w:r w:rsidRPr="008D5103">
        <w:rPr>
          <w:rStyle w:val="FootnoteReference"/>
          <w:b/>
        </w:rPr>
        <w:footnoteReference w:id="51"/>
      </w:r>
      <w:r w:rsidRPr="008D5103">
        <w:rPr>
          <w:b/>
        </w:rPr>
        <w:t xml:space="preserve"> The committee also requests the Minister's clarification as to whether it is intended that this provision be subject to a civil or criminal penalty.</w:t>
      </w:r>
    </w:p>
    <w:p w:rsidR="000E264E" w:rsidRDefault="000E264E" w:rsidP="000E264E">
      <w:pPr>
        <w:pStyle w:val="Level17"/>
        <w:numPr>
          <w:ilvl w:val="0"/>
          <w:numId w:val="21"/>
        </w:numPr>
        <w:rPr>
          <w:b/>
        </w:rPr>
        <w:sectPr w:rsidR="000E264E" w:rsidSect="00194588">
          <w:headerReference w:type="even" r:id="rId67"/>
          <w:headerReference w:type="default" r:id="rId68"/>
          <w:footerReference w:type="even" r:id="rId69"/>
          <w:footerReference w:type="default" r:id="rId70"/>
          <w:headerReference w:type="first" r:id="rId71"/>
          <w:footerReference w:type="first" r:id="rId72"/>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4D2C5C">
        <w:rPr>
          <w:rFonts w:asciiTheme="minorHAnsi" w:hAnsiTheme="minorHAnsi"/>
          <w:szCs w:val="26"/>
        </w:rPr>
        <w:lastRenderedPageBreak/>
        <w:t>Financial Sector Legislation Amendment (Crisis Resolution Powers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Default="000E264E" w:rsidP="000E264E">
            <w:pPr>
              <w:spacing w:after="60"/>
              <w:rPr>
                <w:sz w:val="24"/>
                <w:szCs w:val="24"/>
              </w:rPr>
            </w:pPr>
            <w:r w:rsidRPr="00B847FE">
              <w:rPr>
                <w:sz w:val="24"/>
                <w:szCs w:val="24"/>
              </w:rPr>
              <w:t>This bill seeks to amend</w:t>
            </w:r>
            <w:r>
              <w:rPr>
                <w:sz w:val="24"/>
                <w:szCs w:val="24"/>
              </w:rPr>
              <w:t xml:space="preserve"> various Acts in relation to the financial sector by amending:</w:t>
            </w:r>
          </w:p>
          <w:p w:rsidR="000E264E" w:rsidRPr="00A362F2" w:rsidRDefault="000E264E" w:rsidP="000E264E">
            <w:pPr>
              <w:pStyle w:val="Bullet1"/>
              <w:tabs>
                <w:tab w:val="clear" w:pos="851"/>
                <w:tab w:val="left" w:pos="459"/>
              </w:tabs>
              <w:ind w:left="459" w:hanging="459"/>
            </w:pPr>
            <w:r w:rsidRPr="00A362F2">
              <w:rPr>
                <w:sz w:val="24"/>
                <w:szCs w:val="24"/>
              </w:rPr>
              <w:t>A</w:t>
            </w:r>
            <w:r>
              <w:rPr>
                <w:sz w:val="24"/>
                <w:szCs w:val="24"/>
              </w:rPr>
              <w:t xml:space="preserve">ustralian </w:t>
            </w:r>
            <w:r w:rsidRPr="00A362F2">
              <w:rPr>
                <w:sz w:val="24"/>
                <w:szCs w:val="24"/>
              </w:rPr>
              <w:t>P</w:t>
            </w:r>
            <w:r>
              <w:rPr>
                <w:sz w:val="24"/>
                <w:szCs w:val="24"/>
              </w:rPr>
              <w:t xml:space="preserve">rudential </w:t>
            </w:r>
            <w:r w:rsidRPr="00A362F2">
              <w:rPr>
                <w:sz w:val="24"/>
                <w:szCs w:val="24"/>
              </w:rPr>
              <w:t>R</w:t>
            </w:r>
            <w:r>
              <w:rPr>
                <w:sz w:val="24"/>
                <w:szCs w:val="24"/>
              </w:rPr>
              <w:t xml:space="preserve">egulation </w:t>
            </w:r>
            <w:r w:rsidRPr="00A362F2">
              <w:rPr>
                <w:sz w:val="24"/>
                <w:szCs w:val="24"/>
              </w:rPr>
              <w:t>A</w:t>
            </w:r>
            <w:r>
              <w:rPr>
                <w:sz w:val="24"/>
                <w:szCs w:val="24"/>
              </w:rPr>
              <w:t>uthority</w:t>
            </w:r>
            <w:r w:rsidRPr="00A362F2">
              <w:rPr>
                <w:sz w:val="24"/>
                <w:szCs w:val="24"/>
              </w:rPr>
              <w:t>’s</w:t>
            </w:r>
            <w:r>
              <w:rPr>
                <w:sz w:val="24"/>
                <w:szCs w:val="24"/>
              </w:rPr>
              <w:t xml:space="preserve"> (APRA) </w:t>
            </w:r>
            <w:r w:rsidRPr="00A362F2">
              <w:rPr>
                <w:sz w:val="24"/>
                <w:szCs w:val="24"/>
              </w:rPr>
              <w:t xml:space="preserve"> statutory and judicial management regimes;</w:t>
            </w:r>
          </w:p>
          <w:p w:rsidR="000E264E" w:rsidRPr="00A362F2" w:rsidRDefault="000E264E" w:rsidP="000E264E">
            <w:pPr>
              <w:pStyle w:val="Bullet1"/>
              <w:tabs>
                <w:tab w:val="clear" w:pos="851"/>
                <w:tab w:val="left" w:pos="459"/>
              </w:tabs>
              <w:ind w:left="459" w:hanging="459"/>
            </w:pPr>
            <w:r w:rsidRPr="00A362F2">
              <w:rPr>
                <w:sz w:val="24"/>
                <w:szCs w:val="24"/>
              </w:rPr>
              <w:t>APRA’s existing directions powers;</w:t>
            </w:r>
          </w:p>
          <w:p w:rsidR="000E264E" w:rsidRPr="00247133" w:rsidRDefault="000E264E" w:rsidP="000E264E">
            <w:pPr>
              <w:pStyle w:val="Bullet1"/>
              <w:tabs>
                <w:tab w:val="clear" w:pos="851"/>
                <w:tab w:val="left" w:pos="459"/>
              </w:tabs>
              <w:ind w:left="459" w:hanging="459"/>
            </w:pPr>
            <w:r w:rsidRPr="00A362F2">
              <w:rPr>
                <w:sz w:val="24"/>
                <w:szCs w:val="24"/>
              </w:rPr>
              <w:t xml:space="preserve">APRA’s ability to implement a transfer under the </w:t>
            </w:r>
            <w:r>
              <w:rPr>
                <w:i/>
                <w:sz w:val="24"/>
                <w:szCs w:val="24"/>
              </w:rPr>
              <w:t xml:space="preserve">Financial Sector (Business </w:t>
            </w:r>
            <w:r w:rsidRPr="00A362F2">
              <w:rPr>
                <w:i/>
                <w:sz w:val="24"/>
                <w:szCs w:val="24"/>
              </w:rPr>
              <w:t>Transfer</w:t>
            </w:r>
            <w:r>
              <w:rPr>
                <w:i/>
                <w:sz w:val="24"/>
                <w:szCs w:val="24"/>
              </w:rPr>
              <w:t xml:space="preserve"> and Group Restructure) Act 1999</w:t>
            </w:r>
            <w:r w:rsidRPr="00A362F2">
              <w:rPr>
                <w:sz w:val="24"/>
                <w:szCs w:val="24"/>
              </w:rPr>
              <w:t>;</w:t>
            </w:r>
          </w:p>
          <w:p w:rsidR="000E264E" w:rsidRPr="00247133" w:rsidRDefault="000E264E" w:rsidP="000E264E">
            <w:pPr>
              <w:pStyle w:val="Bullet1"/>
              <w:tabs>
                <w:tab w:val="clear" w:pos="851"/>
                <w:tab w:val="left" w:pos="459"/>
              </w:tabs>
              <w:ind w:left="459" w:hanging="459"/>
            </w:pPr>
            <w:r w:rsidRPr="00A362F2">
              <w:rPr>
                <w:sz w:val="24"/>
                <w:szCs w:val="24"/>
              </w:rPr>
              <w:t>APRA’s ability to respond when an Australian branch of a foreign regulated entity (foreign branch) may be in distress;</w:t>
            </w:r>
          </w:p>
          <w:p w:rsidR="000E264E" w:rsidRPr="00247133" w:rsidRDefault="000E264E" w:rsidP="000E264E">
            <w:pPr>
              <w:pStyle w:val="Bullet1"/>
              <w:tabs>
                <w:tab w:val="clear" w:pos="851"/>
                <w:tab w:val="left" w:pos="459"/>
              </w:tabs>
              <w:ind w:left="459" w:hanging="459"/>
            </w:pPr>
            <w:r w:rsidRPr="00A362F2">
              <w:rPr>
                <w:sz w:val="24"/>
                <w:szCs w:val="24"/>
              </w:rPr>
              <w:t>stay provisions and ensure that the exercise of APRA’s powers does not trigger certain rights in the contracts of relevant entities within the same group;</w:t>
            </w:r>
          </w:p>
          <w:p w:rsidR="000E264E" w:rsidRPr="00EA7F86" w:rsidRDefault="000E264E" w:rsidP="000E264E">
            <w:pPr>
              <w:pStyle w:val="Bullet1"/>
              <w:tabs>
                <w:tab w:val="clear" w:pos="851"/>
                <w:tab w:val="left" w:pos="459"/>
              </w:tabs>
              <w:ind w:left="459" w:hanging="459"/>
            </w:pPr>
            <w:r w:rsidRPr="00A362F2">
              <w:rPr>
                <w:sz w:val="24"/>
                <w:szCs w:val="24"/>
              </w:rPr>
              <w:t>the operation of the F</w:t>
            </w:r>
            <w:r>
              <w:rPr>
                <w:sz w:val="24"/>
                <w:szCs w:val="24"/>
              </w:rPr>
              <w:t xml:space="preserve">inancial </w:t>
            </w:r>
            <w:r w:rsidRPr="00A362F2">
              <w:rPr>
                <w:sz w:val="24"/>
                <w:szCs w:val="24"/>
              </w:rPr>
              <w:t>C</w:t>
            </w:r>
            <w:r>
              <w:rPr>
                <w:sz w:val="24"/>
                <w:szCs w:val="24"/>
              </w:rPr>
              <w:t xml:space="preserve">laims </w:t>
            </w:r>
            <w:r w:rsidRPr="00A362F2">
              <w:rPr>
                <w:sz w:val="24"/>
                <w:szCs w:val="24"/>
              </w:rPr>
              <w:t>S</w:t>
            </w:r>
            <w:r>
              <w:rPr>
                <w:sz w:val="24"/>
                <w:szCs w:val="24"/>
              </w:rPr>
              <w:t>cheme</w:t>
            </w:r>
            <w:r w:rsidRPr="00A362F2">
              <w:rPr>
                <w:sz w:val="24"/>
                <w:szCs w:val="24"/>
              </w:rPr>
              <w:t>;</w:t>
            </w:r>
          </w:p>
          <w:p w:rsidR="000E264E" w:rsidRPr="00EA7F86" w:rsidRDefault="000E264E" w:rsidP="000E264E">
            <w:pPr>
              <w:pStyle w:val="Bullet1"/>
              <w:tabs>
                <w:tab w:val="clear" w:pos="851"/>
                <w:tab w:val="left" w:pos="459"/>
              </w:tabs>
              <w:ind w:left="459" w:hanging="459"/>
            </w:pPr>
            <w:r w:rsidRPr="00A362F2">
              <w:rPr>
                <w:sz w:val="24"/>
                <w:szCs w:val="24"/>
              </w:rPr>
              <w:t>APRA’s powers in relation to the wind</w:t>
            </w:r>
            <w:r w:rsidRPr="00A362F2">
              <w:rPr>
                <w:sz w:val="24"/>
                <w:szCs w:val="24"/>
              </w:rPr>
              <w:noBreakHyphen/>
              <w:t>up or external administration of regulated entities</w:t>
            </w:r>
            <w:r>
              <w:rPr>
                <w:sz w:val="24"/>
                <w:szCs w:val="24"/>
              </w:rPr>
              <w:t>;</w:t>
            </w:r>
          </w:p>
          <w:p w:rsidR="000E264E" w:rsidRPr="00B702BA" w:rsidRDefault="000E264E" w:rsidP="000E264E">
            <w:pPr>
              <w:pStyle w:val="Bullet1"/>
              <w:tabs>
                <w:tab w:val="clear" w:pos="851"/>
                <w:tab w:val="left" w:pos="459"/>
              </w:tabs>
              <w:ind w:left="459" w:hanging="459"/>
            </w:pPr>
            <w:r w:rsidRPr="00A362F2">
              <w:rPr>
                <w:sz w:val="24"/>
                <w:szCs w:val="24"/>
              </w:rPr>
              <w:t>APRA</w:t>
            </w:r>
            <w:r>
              <w:rPr>
                <w:sz w:val="24"/>
                <w:szCs w:val="24"/>
              </w:rPr>
              <w:t xml:space="preserve">'s </w:t>
            </w:r>
            <w:r w:rsidRPr="00A362F2">
              <w:rPr>
                <w:sz w:val="24"/>
                <w:szCs w:val="24"/>
              </w:rPr>
              <w:t>powers to make appropriate prudential standards on resolution planning and</w:t>
            </w:r>
          </w:p>
          <w:p w:rsidR="000E264E" w:rsidRPr="00EA7F86" w:rsidRDefault="000E264E" w:rsidP="000E264E">
            <w:pPr>
              <w:pStyle w:val="Bullet1"/>
              <w:tabs>
                <w:tab w:val="clear" w:pos="851"/>
                <w:tab w:val="left" w:pos="459"/>
              </w:tabs>
              <w:ind w:left="459" w:hanging="459"/>
              <w:rPr>
                <w:sz w:val="24"/>
                <w:szCs w:val="24"/>
              </w:rPr>
            </w:pPr>
            <w:r>
              <w:rPr>
                <w:sz w:val="24"/>
                <w:szCs w:val="24"/>
              </w:rPr>
              <w:t>c</w:t>
            </w:r>
            <w:r w:rsidRPr="00EA7F86">
              <w:rPr>
                <w:sz w:val="24"/>
                <w:szCs w:val="24"/>
              </w:rPr>
              <w:t>onversion and write-off of capital instruments to which the conversion and write-off provisions in APRA's prudential standards apply</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Treasury</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19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w:t>
            </w:r>
          </w:p>
        </w:tc>
        <w:tc>
          <w:tcPr>
            <w:tcW w:w="6582" w:type="dxa"/>
            <w:tcBorders>
              <w:left w:val="single" w:sz="12" w:space="0" w:color="auto"/>
              <w:bottom w:val="single" w:sz="12" w:space="0" w:color="auto"/>
            </w:tcBorders>
          </w:tcPr>
          <w:p w:rsidR="000E264E" w:rsidRDefault="000E264E" w:rsidP="000E264E">
            <w:pPr>
              <w:rPr>
                <w:sz w:val="24"/>
                <w:szCs w:val="24"/>
              </w:rPr>
            </w:pPr>
            <w:r>
              <w:rPr>
                <w:sz w:val="24"/>
                <w:szCs w:val="24"/>
              </w:rPr>
              <w:t>Standing order 24(1)(a)(i)</w:t>
            </w:r>
          </w:p>
        </w:tc>
      </w:tr>
    </w:tbl>
    <w:p w:rsidR="000E264E" w:rsidRDefault="000E264E" w:rsidP="000E264E">
      <w:pPr>
        <w:pStyle w:val="Heading3"/>
        <w:spacing w:before="240"/>
      </w:pPr>
      <w:bookmarkStart w:id="8" w:name="_Toc492910183"/>
      <w:r w:rsidRPr="00826EB9">
        <w:t>Reversal of evidential burden of proof</w:t>
      </w:r>
      <w:bookmarkEnd w:id="8"/>
      <w:r w:rsidRPr="004474CF">
        <w:rPr>
          <w:rStyle w:val="FootnoteReference"/>
          <w:b w:val="0"/>
        </w:rPr>
        <w:footnoteReference w:id="52"/>
      </w:r>
    </w:p>
    <w:p w:rsidR="000E264E" w:rsidRDefault="000E264E" w:rsidP="000E264E">
      <w:pPr>
        <w:pStyle w:val="Level18"/>
        <w:numPr>
          <w:ilvl w:val="0"/>
          <w:numId w:val="21"/>
        </w:numPr>
        <w:rPr>
          <w:rFonts w:eastAsiaTheme="minorHAnsi"/>
        </w:rPr>
      </w:pPr>
      <w:r>
        <w:rPr>
          <w:rFonts w:eastAsiaTheme="minorHAnsi"/>
        </w:rPr>
        <w:t xml:space="preserve">The bill seeks to provide the </w:t>
      </w:r>
      <w:r w:rsidRPr="008155CE">
        <w:rPr>
          <w:rFonts w:eastAsiaTheme="minorHAnsi"/>
        </w:rPr>
        <w:t xml:space="preserve">Australian </w:t>
      </w:r>
      <w:r>
        <w:rPr>
          <w:rFonts w:eastAsiaTheme="minorHAnsi"/>
        </w:rPr>
        <w:t>Prudential Regulation Authority</w:t>
      </w:r>
      <w:r w:rsidRPr="008155CE">
        <w:rPr>
          <w:rFonts w:eastAsiaTheme="minorHAnsi"/>
        </w:rPr>
        <w:t xml:space="preserve"> </w:t>
      </w:r>
      <w:r>
        <w:rPr>
          <w:rFonts w:eastAsiaTheme="minorHAnsi"/>
        </w:rPr>
        <w:t xml:space="preserve">(APRA) with the power to issue certain directions and to determine that that direction is covered by a secrecy provision. </w:t>
      </w:r>
      <w:r w:rsidRPr="006E33DF">
        <w:rPr>
          <w:rFonts w:eastAsiaTheme="minorHAnsi"/>
        </w:rPr>
        <w:t>Proposed section</w:t>
      </w:r>
      <w:r>
        <w:rPr>
          <w:rFonts w:eastAsiaTheme="minorHAnsi"/>
        </w:rPr>
        <w:t>s</w:t>
      </w:r>
      <w:r w:rsidRPr="006E33DF">
        <w:rPr>
          <w:rFonts w:eastAsiaTheme="minorHAnsi"/>
        </w:rPr>
        <w:t xml:space="preserve"> </w:t>
      </w:r>
      <w:r>
        <w:rPr>
          <w:rFonts w:eastAsiaTheme="minorHAnsi"/>
        </w:rPr>
        <w:t>11CI, 109A and 231A</w:t>
      </w:r>
      <w:r w:rsidRPr="006E33DF">
        <w:rPr>
          <w:rFonts w:eastAsiaTheme="minorHAnsi"/>
        </w:rPr>
        <w:t xml:space="preserve"> make it an offence </w:t>
      </w:r>
      <w:r>
        <w:rPr>
          <w:rFonts w:eastAsiaTheme="minorHAnsi"/>
        </w:rPr>
        <w:t xml:space="preserve">if certain persons disclose information that reveals the fact that </w:t>
      </w:r>
      <w:r>
        <w:rPr>
          <w:rFonts w:eastAsiaTheme="minorHAnsi"/>
        </w:rPr>
        <w:lastRenderedPageBreak/>
        <w:t xml:space="preserve">the direction was made by APRA. Each proposed provision </w:t>
      </w:r>
      <w:r w:rsidRPr="000F6138">
        <w:rPr>
          <w:rFonts w:eastAsiaTheme="minorHAnsi"/>
        </w:rPr>
        <w:t>provides an exception (offence specific defence) to this offence, stating that the offen</w:t>
      </w:r>
      <w:r>
        <w:rPr>
          <w:rFonts w:eastAsiaTheme="minorHAnsi"/>
        </w:rPr>
        <w:t>ce does not apply if the disclosure is:</w:t>
      </w:r>
    </w:p>
    <w:p w:rsidR="000E264E" w:rsidRDefault="000E264E" w:rsidP="000E264E">
      <w:pPr>
        <w:pStyle w:val="Bullet1"/>
        <w:rPr>
          <w:rFonts w:eastAsiaTheme="minorHAnsi"/>
        </w:rPr>
      </w:pPr>
      <w:r>
        <w:rPr>
          <w:rFonts w:eastAsiaTheme="minorHAnsi"/>
        </w:rPr>
        <w:t>information that has already been lawfully made available to the public;</w:t>
      </w:r>
    </w:p>
    <w:p w:rsidR="000E264E" w:rsidRDefault="000E264E" w:rsidP="000E264E">
      <w:pPr>
        <w:pStyle w:val="Bullet1"/>
        <w:rPr>
          <w:rFonts w:eastAsiaTheme="minorHAnsi"/>
        </w:rPr>
      </w:pPr>
      <w:r>
        <w:rPr>
          <w:rFonts w:eastAsiaTheme="minorHAnsi"/>
        </w:rPr>
        <w:t>permitted by APRA as set out in the determination;</w:t>
      </w:r>
    </w:p>
    <w:p w:rsidR="000E264E" w:rsidRDefault="000E264E" w:rsidP="000E264E">
      <w:pPr>
        <w:pStyle w:val="Bullet1"/>
        <w:rPr>
          <w:rFonts w:eastAsiaTheme="minorHAnsi"/>
        </w:rPr>
      </w:pPr>
      <w:r>
        <w:rPr>
          <w:rFonts w:eastAsiaTheme="minorHAnsi"/>
        </w:rPr>
        <w:t>provided to a legal representative for the purpose of seeking legal advice;</w:t>
      </w:r>
    </w:p>
    <w:p w:rsidR="000E264E" w:rsidRDefault="000E264E" w:rsidP="000E264E">
      <w:pPr>
        <w:pStyle w:val="Bullet1"/>
        <w:rPr>
          <w:rFonts w:eastAsiaTheme="minorHAnsi"/>
        </w:rPr>
      </w:pPr>
      <w:r>
        <w:rPr>
          <w:rFonts w:eastAsiaTheme="minorHAnsi"/>
        </w:rPr>
        <w:t>authorised by the secrecy provisions in the</w:t>
      </w:r>
      <w:r>
        <w:rPr>
          <w:rFonts w:eastAsiaTheme="minorHAnsi"/>
          <w:i/>
        </w:rPr>
        <w:t xml:space="preserve"> Australian Prudential Regulation Authority Act 1998</w:t>
      </w:r>
      <w:r>
        <w:rPr>
          <w:rFonts w:eastAsiaTheme="minorHAnsi"/>
        </w:rPr>
        <w:t>;</w:t>
      </w:r>
    </w:p>
    <w:p w:rsidR="000E264E" w:rsidRDefault="000E264E" w:rsidP="000E264E">
      <w:pPr>
        <w:pStyle w:val="Bullet1"/>
        <w:rPr>
          <w:rFonts w:eastAsiaTheme="minorHAnsi"/>
        </w:rPr>
      </w:pPr>
      <w:r>
        <w:rPr>
          <w:rFonts w:eastAsiaTheme="minorHAnsi"/>
        </w:rPr>
        <w:t xml:space="preserve">made in circumstances specified in the regulations; </w:t>
      </w:r>
    </w:p>
    <w:p w:rsidR="000E264E" w:rsidRDefault="000E264E" w:rsidP="000E264E">
      <w:pPr>
        <w:pStyle w:val="Bullet1"/>
        <w:rPr>
          <w:rFonts w:eastAsiaTheme="minorHAnsi"/>
        </w:rPr>
      </w:pPr>
      <w:r>
        <w:rPr>
          <w:rFonts w:eastAsiaTheme="minorHAnsi"/>
        </w:rPr>
        <w:t>for the same purpose as set out above (but disclosed by a different person); or</w:t>
      </w:r>
    </w:p>
    <w:p w:rsidR="000E264E" w:rsidRPr="000F6138" w:rsidRDefault="000E264E" w:rsidP="000E264E">
      <w:pPr>
        <w:pStyle w:val="Bullet1"/>
        <w:rPr>
          <w:rFonts w:eastAsiaTheme="minorHAnsi"/>
        </w:rPr>
      </w:pPr>
      <w:r>
        <w:rPr>
          <w:rFonts w:eastAsiaTheme="minorHAnsi"/>
        </w:rPr>
        <w:t>required by an order or direction of a court or tribunal.</w:t>
      </w:r>
    </w:p>
    <w:p w:rsidR="000E264E" w:rsidRPr="006E33DF" w:rsidRDefault="000E264E" w:rsidP="000E264E">
      <w:pPr>
        <w:pStyle w:val="Level18"/>
        <w:numPr>
          <w:ilvl w:val="0"/>
          <w:numId w:val="21"/>
        </w:numPr>
        <w:rPr>
          <w:rFonts w:eastAsiaTheme="minorHAnsi"/>
        </w:rPr>
      </w:pPr>
      <w:r>
        <w:rPr>
          <w:rFonts w:eastAsiaTheme="minorHAnsi"/>
        </w:rPr>
        <w:t xml:space="preserve">Each proposed </w:t>
      </w:r>
      <w:r w:rsidRPr="006E33DF">
        <w:rPr>
          <w:rFonts w:eastAsiaTheme="minorHAnsi"/>
        </w:rPr>
        <w:t>offen</w:t>
      </w:r>
      <w:r>
        <w:rPr>
          <w:rFonts w:eastAsiaTheme="minorHAnsi"/>
        </w:rPr>
        <w:t>ce carries a maximum penalty of up to two years imprisonment</w:t>
      </w:r>
      <w:r w:rsidRPr="006E33DF">
        <w:rPr>
          <w:rFonts w:eastAsiaTheme="minorHAnsi"/>
        </w:rPr>
        <w:t>.</w:t>
      </w:r>
    </w:p>
    <w:p w:rsidR="000E264E" w:rsidRDefault="000E264E" w:rsidP="000E264E">
      <w:pPr>
        <w:pStyle w:val="Level18"/>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0E264E" w:rsidRDefault="000E264E" w:rsidP="000E264E">
      <w:pPr>
        <w:pStyle w:val="Level18"/>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0E264E" w:rsidRDefault="000E264E" w:rsidP="000E264E">
      <w:pPr>
        <w:pStyle w:val="Level18"/>
        <w:numPr>
          <w:ilvl w:val="0"/>
          <w:numId w:val="21"/>
        </w:numPr>
        <w:rPr>
          <w:rFonts w:eastAsiaTheme="minorHAnsi"/>
        </w:rPr>
      </w:pPr>
      <w:r w:rsidRPr="006E33DF">
        <w:rPr>
          <w:rFonts w:eastAsiaTheme="minorHAnsi"/>
        </w:rPr>
        <w:t xml:space="preserve">While </w:t>
      </w:r>
      <w:r>
        <w:rPr>
          <w:rFonts w:eastAsiaTheme="minorHAnsi"/>
        </w:rPr>
        <w:t xml:space="preserve">in this instance </w:t>
      </w:r>
      <w:r w:rsidRPr="006E33DF">
        <w:rPr>
          <w:rFonts w:eastAsiaTheme="minorHAnsi"/>
        </w:rPr>
        <w:t xml:space="preserve">the defendant bears an evidential burden (requiring the defendant to raise evidence about the matter), rather than a legal burden (requiring the defendant to positively prove the matter), the committee expects any such reversal of the evidential burden of proof to be justified. </w:t>
      </w:r>
    </w:p>
    <w:p w:rsidR="000E264E" w:rsidRDefault="000E264E" w:rsidP="000E264E">
      <w:pPr>
        <w:pStyle w:val="Level18"/>
        <w:numPr>
          <w:ilvl w:val="0"/>
          <w:numId w:val="21"/>
        </w:numPr>
      </w:pPr>
      <w:r w:rsidRPr="002A7654">
        <w:rPr>
          <w:rFonts w:eastAsiaTheme="minorHAnsi"/>
        </w:rPr>
        <w:t xml:space="preserve">In this instance, the </w:t>
      </w:r>
      <w:r w:rsidRPr="003B3787">
        <w:rPr>
          <w:rFonts w:eastAsiaTheme="minorHAnsi"/>
        </w:rPr>
        <w:t xml:space="preserve">explanatory memorandum states that the evidentiary burden </w:t>
      </w:r>
      <w:r w:rsidRPr="00692884">
        <w:rPr>
          <w:rFonts w:eastAsiaTheme="minorHAnsi"/>
        </w:rPr>
        <w:t>rests on the person bound by the secrecy provision 'because they are best positioned to provide the evidence as it is within the</w:t>
      </w:r>
      <w:r w:rsidRPr="00F142A4">
        <w:rPr>
          <w:rFonts w:eastAsiaTheme="minorHAnsi"/>
        </w:rPr>
        <w:t>ir knowledge'.</w:t>
      </w:r>
      <w:r>
        <w:rPr>
          <w:rStyle w:val="FootnoteReference"/>
          <w:rFonts w:eastAsiaTheme="minorHAnsi"/>
        </w:rPr>
        <w:footnoteReference w:id="53"/>
      </w:r>
      <w:r w:rsidRPr="002A7654">
        <w:rPr>
          <w:rFonts w:eastAsiaTheme="minorHAnsi"/>
        </w:rPr>
        <w:t xml:space="preserve"> However, the </w:t>
      </w:r>
      <w:r>
        <w:t xml:space="preserve">committee notes that the </w:t>
      </w:r>
      <w:r w:rsidRPr="00ED4C2F">
        <w:rPr>
          <w:i/>
        </w:rPr>
        <w:t>Guide to Framing Commonwealth Offences</w:t>
      </w:r>
      <w:r>
        <w:rPr>
          <w:rStyle w:val="FootnoteReference"/>
        </w:rPr>
        <w:footnoteReference w:id="54"/>
      </w:r>
      <w:r>
        <w:t xml:space="preserve"> provides that a matter should only be included in an offence-specific defence (as opposed to being specified as an element of the offence), where:</w:t>
      </w:r>
    </w:p>
    <w:p w:rsidR="000E264E" w:rsidRDefault="000E264E" w:rsidP="000E264E">
      <w:pPr>
        <w:pStyle w:val="Bullet1"/>
      </w:pPr>
      <w:r>
        <w:t>it is peculiarly within the knowledge of the defendant; and</w:t>
      </w:r>
    </w:p>
    <w:p w:rsidR="000E264E" w:rsidRPr="00ED4C2F" w:rsidRDefault="000E264E" w:rsidP="000E264E">
      <w:pPr>
        <w:pStyle w:val="Bullet1"/>
      </w:pPr>
      <w:r>
        <w:lastRenderedPageBreak/>
        <w:t>it would be significantly more difficult and costly for the prosecution to disprove than for the defendant to establish the matter.</w:t>
      </w:r>
      <w:r>
        <w:rPr>
          <w:rStyle w:val="FootnoteReference"/>
        </w:rPr>
        <w:footnoteReference w:id="55"/>
      </w:r>
    </w:p>
    <w:p w:rsidR="000E264E" w:rsidRDefault="000E264E" w:rsidP="000E264E">
      <w:pPr>
        <w:pStyle w:val="Level18"/>
        <w:numPr>
          <w:ilvl w:val="0"/>
          <w:numId w:val="21"/>
        </w:numPr>
      </w:pPr>
      <w:r>
        <w:t xml:space="preserve">The committee notes that this requires more than just the defendant knowing that a certain fact exists, it must be a matter that is </w:t>
      </w:r>
      <w:r w:rsidRPr="00F142A4">
        <w:rPr>
          <w:i/>
        </w:rPr>
        <w:t>peculiarly</w:t>
      </w:r>
      <w:r>
        <w:t xml:space="preserve"> within their knowledge. As such, it is not clear to the committee that matters such as whether the disclosure has been permitted by APRA, authorised by relevant legislative provisions or required by an order or direction of a court or tribunal, would be matters peculiarly within the defendant's knowledge. These matters appear to be matters more appropriate to be included as an element of the offence.</w:t>
      </w:r>
    </w:p>
    <w:p w:rsidR="000E264E" w:rsidRPr="00F142A4" w:rsidRDefault="000E264E" w:rsidP="000E264E">
      <w:pPr>
        <w:pStyle w:val="Level18"/>
        <w:numPr>
          <w:ilvl w:val="0"/>
          <w:numId w:val="21"/>
        </w:numPr>
        <w:rPr>
          <w:b/>
        </w:rPr>
      </w:pPr>
      <w:r w:rsidRPr="003B3787">
        <w:rPr>
          <w:b/>
        </w:rPr>
        <w:t>The committee requests the Minister's detailed justification as to the appropriateness of including the specified matters as offence-specific defences</w:t>
      </w:r>
      <w:r w:rsidRPr="00F142A4">
        <w:rPr>
          <w:b/>
        </w:rPr>
        <w:t xml:space="preserve"> (which reverse the evidential burden of proof). The committee's consideration of the appropriateness of a provision which reverses the burden of proof is assisted if it explicitly addresses relevant principles as set out in the </w:t>
      </w:r>
      <w:r w:rsidRPr="00F142A4">
        <w:rPr>
          <w:b/>
          <w:i/>
        </w:rPr>
        <w:t>Guide to Framing Commonwealth Offences</w:t>
      </w:r>
      <w:r w:rsidRPr="00F142A4">
        <w:rPr>
          <w:b/>
        </w:rPr>
        <w:t>.</w:t>
      </w:r>
      <w:r w:rsidRPr="00F142A4">
        <w:rPr>
          <w:rStyle w:val="FootnoteReference"/>
          <w:b/>
        </w:rPr>
        <w:footnoteReference w:id="56"/>
      </w:r>
    </w:p>
    <w:p w:rsidR="000E264E" w:rsidRDefault="000E264E" w:rsidP="000E264E">
      <w:pPr>
        <w:spacing w:after="240"/>
        <w:ind w:left="2268" w:right="2223"/>
      </w:pPr>
      <w:r>
        <w:pict>
          <v:rect id="_x0000_i1074" style="width:0;height:1.5pt" o:hralign="center" o:hrstd="t" o:hr="t" fillcolor="#a0a0a0" stroked="f"/>
        </w:pict>
      </w:r>
    </w:p>
    <w:p w:rsidR="000E264E" w:rsidRDefault="000E264E" w:rsidP="000E264E">
      <w:pPr>
        <w:pStyle w:val="Heading3"/>
      </w:pPr>
      <w:r>
        <w:t>Removal of cause of action</w:t>
      </w:r>
      <w:r w:rsidRPr="00867586">
        <w:rPr>
          <w:rStyle w:val="FootnoteReference"/>
          <w:b w:val="0"/>
        </w:rPr>
        <w:footnoteReference w:id="57"/>
      </w:r>
    </w:p>
    <w:p w:rsidR="000E264E" w:rsidRDefault="000E264E" w:rsidP="000E264E">
      <w:pPr>
        <w:pStyle w:val="Level18"/>
        <w:numPr>
          <w:ilvl w:val="0"/>
          <w:numId w:val="21"/>
        </w:numPr>
      </w:pPr>
      <w:r>
        <w:t>A number of provisions in the bill provide that a person cannot begin or continue a proceeding in a court or tribunal in respect of certain body corporates if a statutory manager is in control of the body corporate's business. This prohibition does not apply if the court or tribunal grants leave for the proceedings to be begun or continued on the ground that the person would be caused hardship if leave were not granted. This provision thereby removes a person's right to bring a cause of action against certain body corporates.</w:t>
      </w:r>
    </w:p>
    <w:p w:rsidR="000E264E" w:rsidRDefault="000E264E" w:rsidP="000E264E">
      <w:pPr>
        <w:pStyle w:val="Level18"/>
        <w:numPr>
          <w:ilvl w:val="0"/>
          <w:numId w:val="21"/>
        </w:numPr>
      </w:pPr>
      <w:r>
        <w:t xml:space="preserve">The explanatory memorandum explains that when a statutory manager is appointed to an ADI or insurer, or a judicial manager is appointed to an insurer, it is important that they not be subjected to a multiplicity of litigious and enforcement actions and so these provisions 'assist with one of the primary aims of statutory or judicial management, which is to stabilise the relevant entity and prepare for implementation of the resolution, by ensuring this can be done without the </w:t>
      </w:r>
      <w:r>
        <w:lastRenderedPageBreak/>
        <w:t>constraints of creditor or other third party actions that could otherwise impede the orderly nature of a resolution'.</w:t>
      </w:r>
      <w:r>
        <w:rPr>
          <w:rStyle w:val="FootnoteReference"/>
        </w:rPr>
        <w:footnoteReference w:id="58"/>
      </w:r>
      <w:r>
        <w:t xml:space="preserve"> </w:t>
      </w:r>
    </w:p>
    <w:p w:rsidR="000E264E" w:rsidRDefault="000E264E" w:rsidP="000E264E">
      <w:pPr>
        <w:pStyle w:val="Level18"/>
        <w:numPr>
          <w:ilvl w:val="0"/>
          <w:numId w:val="21"/>
        </w:numPr>
      </w:pPr>
      <w:r>
        <w:t>The committee notes the explanation as to why it is necessary to remove the right of creditors and third parties to bring a cause of action against certain body corporates, noting also that a court or tribunal has the discretion to grant leave to begin or continue proceedings in certain circumstances. However, it is not clear to the committee whether the rights of creditors and third parties would be adversely affected by these provisions even once a statutory manager is no longer in control of the body corporate. For example, it is unclear whether a person could lose their right to bring an action against a body corporate because of statutory time limits having passed while the body corporate's business was under the control of a statutory manager.</w:t>
      </w:r>
    </w:p>
    <w:p w:rsidR="000E264E" w:rsidRPr="00B4586F" w:rsidRDefault="000E264E" w:rsidP="000E264E">
      <w:pPr>
        <w:pStyle w:val="Level18"/>
        <w:numPr>
          <w:ilvl w:val="0"/>
          <w:numId w:val="21"/>
        </w:numPr>
        <w:rPr>
          <w:b/>
        </w:rPr>
      </w:pPr>
      <w:r w:rsidRPr="00B4586F">
        <w:rPr>
          <w:b/>
        </w:rPr>
        <w:t>The committee therefore seeks the Minister's advice as to whether creditors and third parties would be adversely affected by the bar on beginning or continuing court or tribunal proceedings at the point in time that the statutory manager is no longer in control of the body corporate's business.</w:t>
      </w:r>
    </w:p>
    <w:p w:rsidR="000E264E" w:rsidRDefault="000E264E" w:rsidP="000E264E">
      <w:pPr>
        <w:spacing w:after="240"/>
        <w:ind w:left="2268" w:right="2223"/>
      </w:pPr>
      <w:r>
        <w:pict>
          <v:rect id="_x0000_i1075" style="width:0;height:1.5pt" o:hralign="center" o:hrstd="t" o:hr="t" fillcolor="#a0a0a0" stroked="f"/>
        </w:pict>
      </w:r>
    </w:p>
    <w:p w:rsidR="000E264E" w:rsidRPr="003601DB" w:rsidRDefault="000E264E" w:rsidP="000E264E">
      <w:pPr>
        <w:pStyle w:val="Heading3"/>
        <w:rPr>
          <w:b w:val="0"/>
        </w:rPr>
      </w:pPr>
      <w:bookmarkStart w:id="9" w:name="_Toc492910182"/>
      <w:r>
        <w:t>Privilege against self-</w:t>
      </w:r>
      <w:r w:rsidRPr="001130C4">
        <w:t>incrimination</w:t>
      </w:r>
      <w:bookmarkEnd w:id="9"/>
      <w:r w:rsidRPr="004474CF">
        <w:rPr>
          <w:rStyle w:val="FootnoteReference"/>
          <w:b w:val="0"/>
        </w:rPr>
        <w:footnoteReference w:id="59"/>
      </w:r>
    </w:p>
    <w:p w:rsidR="000E264E" w:rsidRDefault="000E264E" w:rsidP="000E264E">
      <w:pPr>
        <w:pStyle w:val="Level18"/>
        <w:numPr>
          <w:ilvl w:val="0"/>
          <w:numId w:val="21"/>
        </w:numPr>
      </w:pPr>
      <w:r>
        <w:t>Proposed sections 62ZOD and 179AD provide that an Insurance Act and Life Insurance Act statutory manager may require a person to give any information relating to a body corporate that the manager requires. Subsection 62ZOD(4) and 179AD(4) provides that a person is not excused from complying with a requirement to give information on the ground that doing so would tend to incriminate the individual or make the individual liable to a penalty. This provision therefore overrides the common law privilege against self-incrimination, which provides that a person cannot be required to answer questions or produce material which may tend to incriminate himself or herself.</w:t>
      </w:r>
      <w:r>
        <w:rPr>
          <w:rStyle w:val="FootnoteReference"/>
        </w:rPr>
        <w:footnoteReference w:id="60"/>
      </w:r>
    </w:p>
    <w:p w:rsidR="000E264E" w:rsidRDefault="000E264E" w:rsidP="000E264E">
      <w:pPr>
        <w:pStyle w:val="Level18"/>
        <w:numPr>
          <w:ilvl w:val="0"/>
          <w:numId w:val="21"/>
        </w:numPr>
      </w:pPr>
      <w:r>
        <w:t xml:space="preserve">The committee recognises there may be certain circumstances in which the privilege can be overridden. However, abrogating the privilege represents a serious loss of personal liberty. In considering whether it is appropriate to abrogate the privilege against self-incrimination, the committee will consider whether the public benefit in doing so significantly outweighs the loss to personal liberty. </w:t>
      </w:r>
    </w:p>
    <w:p w:rsidR="000E264E" w:rsidRDefault="000E264E" w:rsidP="000E264E">
      <w:pPr>
        <w:pStyle w:val="Level18"/>
        <w:numPr>
          <w:ilvl w:val="0"/>
          <w:numId w:val="21"/>
        </w:numPr>
      </w:pPr>
      <w:r>
        <w:lastRenderedPageBreak/>
        <w:t>A use immunity is included in proposed subsections 62ZOD(5)</w:t>
      </w:r>
      <w:r w:rsidRPr="00051B08">
        <w:t xml:space="preserve"> </w:t>
      </w:r>
      <w:r>
        <w:t xml:space="preserve">and 179AD(5) </w:t>
      </w:r>
      <w:r w:rsidRPr="00051B08">
        <w:t xml:space="preserve">as it </w:t>
      </w:r>
      <w:r>
        <w:t xml:space="preserve">provides that information given in compliance with the requirement is not admissible in evidence against the individual in a criminal proceeding or a proceeding for the imposition of a penalty, other than a proceeding in respect of the falsity of the information. However, this does not include a derivative use immunity, meaning that any information obtained as an </w:t>
      </w:r>
      <w:r w:rsidRPr="00051B08">
        <w:t xml:space="preserve">indirect consequence of </w:t>
      </w:r>
      <w:r>
        <w:t>the production of the information or documents,</w:t>
      </w:r>
      <w:r w:rsidRPr="00051B08">
        <w:t xml:space="preserve"> </w:t>
      </w:r>
      <w:r>
        <w:t>may be</w:t>
      </w:r>
      <w:r w:rsidRPr="00051B08">
        <w:t xml:space="preserve"> admissible in evidence </w:t>
      </w:r>
      <w:r>
        <w:t>against the person.</w:t>
      </w:r>
    </w:p>
    <w:p w:rsidR="000E264E" w:rsidRDefault="000E264E" w:rsidP="000E264E">
      <w:pPr>
        <w:pStyle w:val="Level18"/>
        <w:numPr>
          <w:ilvl w:val="0"/>
          <w:numId w:val="21"/>
        </w:numPr>
      </w:pPr>
      <w:r>
        <w:t>The explanatory memorandum does not appear to provide any explanation of these provisions, and while the statement of compatibility gives some justification in relation to the abrogation of the privilege against self-incrimination, this appears to reference other provisions in the bill.</w:t>
      </w:r>
      <w:r>
        <w:rPr>
          <w:rStyle w:val="FootnoteReference"/>
        </w:rPr>
        <w:footnoteReference w:id="61"/>
      </w:r>
      <w:r>
        <w:t xml:space="preserve"> It also does not explain why a derivative use immunity is not included.</w:t>
      </w:r>
    </w:p>
    <w:p w:rsidR="000E264E" w:rsidRPr="003B02AC" w:rsidRDefault="000E264E" w:rsidP="000E264E">
      <w:pPr>
        <w:pStyle w:val="Level18"/>
        <w:numPr>
          <w:ilvl w:val="0"/>
          <w:numId w:val="21"/>
        </w:numPr>
        <w:rPr>
          <w:b/>
        </w:rPr>
      </w:pPr>
      <w:r w:rsidRPr="003B02AC">
        <w:rPr>
          <w:b/>
        </w:rPr>
        <w:t>The committee requests the Minister's advice as to why it is proposed to abrogate the privilege against self-incrimination</w:t>
      </w:r>
      <w:r>
        <w:rPr>
          <w:b/>
        </w:rPr>
        <w:t xml:space="preserve"> in these two instances</w:t>
      </w:r>
      <w:r w:rsidRPr="003B02AC">
        <w:rPr>
          <w:b/>
        </w:rPr>
        <w:t xml:space="preserve">, particularly by reference to the matters outlined in the </w:t>
      </w:r>
      <w:r w:rsidRPr="003B02AC">
        <w:rPr>
          <w:b/>
          <w:i/>
        </w:rPr>
        <w:t>Guide to Framing Commonwealth Offences</w:t>
      </w:r>
      <w:r w:rsidRPr="003B02AC">
        <w:rPr>
          <w:b/>
        </w:rPr>
        <w:t>.</w:t>
      </w:r>
      <w:r w:rsidRPr="003B02AC">
        <w:rPr>
          <w:rStyle w:val="FootnoteReference"/>
          <w:b/>
        </w:rPr>
        <w:footnoteReference w:id="62"/>
      </w:r>
    </w:p>
    <w:p w:rsidR="000E264E" w:rsidRDefault="000E264E" w:rsidP="000E264E"/>
    <w:p w:rsidR="000E264E" w:rsidRDefault="000E264E" w:rsidP="000E264E">
      <w:pPr>
        <w:sectPr w:rsidR="000E264E" w:rsidSect="00194588">
          <w:headerReference w:type="even" r:id="rId73"/>
          <w:headerReference w:type="default" r:id="rId74"/>
          <w:footerReference w:type="even" r:id="rId75"/>
          <w:footerReference w:type="default" r:id="rId76"/>
          <w:headerReference w:type="first" r:id="rId77"/>
          <w:footerReference w:type="first" r:id="rId78"/>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4D2C5C">
        <w:rPr>
          <w:rFonts w:asciiTheme="minorHAnsi" w:hAnsiTheme="minorHAnsi"/>
          <w:szCs w:val="26"/>
        </w:rPr>
        <w:lastRenderedPageBreak/>
        <w:t>Imported Food Control Amendment (Country of Origin)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DB5746" w:rsidRDefault="000E264E" w:rsidP="000E264E">
            <w:pPr>
              <w:rPr>
                <w:i/>
                <w:sz w:val="24"/>
                <w:szCs w:val="24"/>
              </w:rPr>
            </w:pPr>
            <w:r w:rsidRPr="00DB5746">
              <w:rPr>
                <w:sz w:val="24"/>
                <w:szCs w:val="24"/>
              </w:rPr>
              <w:t xml:space="preserve">This bill seeks to amend the </w:t>
            </w:r>
            <w:r w:rsidRPr="00DB5746">
              <w:rPr>
                <w:i/>
                <w:sz w:val="24"/>
                <w:szCs w:val="24"/>
              </w:rPr>
              <w:t>Imported Food Control Act 1992</w:t>
            </w:r>
            <w:r w:rsidRPr="00DB5746">
              <w:rPr>
                <w:sz w:val="24"/>
                <w:szCs w:val="24"/>
                <w:lang w:eastAsia="en-AU"/>
              </w:rPr>
              <w:t xml:space="preserve"> to incorporate the </w:t>
            </w:r>
            <w:r w:rsidRPr="00E50400">
              <w:rPr>
                <w:sz w:val="24"/>
                <w:szCs w:val="24"/>
                <w:lang w:eastAsia="en-AU"/>
              </w:rPr>
              <w:t xml:space="preserve">Country of Origin Food Labelling Information Standard 2016 </w:t>
            </w:r>
            <w:r w:rsidRPr="00DB5746">
              <w:rPr>
                <w:sz w:val="24"/>
                <w:szCs w:val="24"/>
                <w:lang w:eastAsia="en-AU"/>
              </w:rPr>
              <w:t>by reference</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Agriculture and Water Resources</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House of Representatives on 19 October 2017</w:t>
            </w:r>
          </w:p>
        </w:tc>
      </w:tr>
    </w:tbl>
    <w:p w:rsidR="000E264E" w:rsidRDefault="000E264E" w:rsidP="000E264E"/>
    <w:p w:rsidR="000E264E" w:rsidRDefault="000E264E" w:rsidP="000E264E">
      <w:pPr>
        <w:pStyle w:val="Level19"/>
        <w:tabs>
          <w:tab w:val="clear" w:pos="850"/>
        </w:tabs>
        <w:jc w:val="center"/>
        <w:rPr>
          <w:i/>
        </w:rPr>
        <w:sectPr w:rsidR="000E264E" w:rsidSect="00194588">
          <w:headerReference w:type="even" r:id="rId79"/>
          <w:headerReference w:type="default" r:id="rId80"/>
          <w:footerReference w:type="even" r:id="rId81"/>
          <w:footerReference w:type="default" r:id="rId82"/>
          <w:headerReference w:type="first" r:id="rId83"/>
          <w:footerReference w:type="first" r:id="rId84"/>
          <w:pgSz w:w="11906" w:h="16838" w:code="9"/>
          <w:pgMar w:top="1440" w:right="1440" w:bottom="1202" w:left="1440" w:header="1134" w:footer="720" w:gutter="0"/>
          <w:cols w:space="720"/>
          <w:titlePg/>
        </w:sectPr>
      </w:pPr>
      <w:r>
        <w:rPr>
          <w:i/>
        </w:rPr>
        <w:t>The committee has no comment on this bill.</w:t>
      </w: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left"/>
      </w:pPr>
      <w:r w:rsidRPr="004D2C5C">
        <w:rPr>
          <w:rFonts w:asciiTheme="minorHAnsi" w:hAnsiTheme="minorHAnsi"/>
          <w:szCs w:val="26"/>
        </w:rPr>
        <w:lastRenderedPageBreak/>
        <w:t>Migration Amendment (</w:t>
      </w:r>
      <w:r>
        <w:rPr>
          <w:rFonts w:asciiTheme="minorHAnsi" w:hAnsiTheme="minorHAnsi"/>
          <w:szCs w:val="26"/>
        </w:rPr>
        <w:t>Skilling Australians Fund) Bill </w:t>
      </w:r>
      <w:r w:rsidRPr="004D2C5C">
        <w:rPr>
          <w:rFonts w:asciiTheme="minorHAnsi" w:hAnsiTheme="minorHAnsi"/>
          <w:szCs w:val="26"/>
        </w:rPr>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Default="000E264E" w:rsidP="000E264E">
            <w:pPr>
              <w:rPr>
                <w:sz w:val="24"/>
                <w:szCs w:val="24"/>
              </w:rPr>
            </w:pPr>
            <w:r w:rsidRPr="00B847FE">
              <w:rPr>
                <w:sz w:val="24"/>
                <w:szCs w:val="24"/>
              </w:rPr>
              <w:t>This bill seeks to amend</w:t>
            </w:r>
            <w:r>
              <w:rPr>
                <w:sz w:val="24"/>
                <w:szCs w:val="24"/>
              </w:rPr>
              <w:t xml:space="preserve"> the </w:t>
            </w:r>
            <w:r>
              <w:rPr>
                <w:i/>
                <w:sz w:val="24"/>
                <w:szCs w:val="24"/>
              </w:rPr>
              <w:t>Migration Act 1958</w:t>
            </w:r>
            <w:r>
              <w:rPr>
                <w:sz w:val="24"/>
                <w:szCs w:val="24"/>
              </w:rPr>
              <w:t xml:space="preserve"> to:</w:t>
            </w:r>
          </w:p>
          <w:p w:rsidR="000E264E" w:rsidRDefault="000E264E" w:rsidP="000E264E">
            <w:pPr>
              <w:pStyle w:val="Bullet1"/>
              <w:tabs>
                <w:tab w:val="clear" w:pos="851"/>
                <w:tab w:val="left" w:pos="459"/>
              </w:tabs>
              <w:ind w:left="459" w:hanging="425"/>
              <w:rPr>
                <w:sz w:val="24"/>
                <w:szCs w:val="24"/>
              </w:rPr>
            </w:pPr>
            <w:r w:rsidRPr="00043FC4">
              <w:rPr>
                <w:sz w:val="24"/>
                <w:szCs w:val="24"/>
              </w:rPr>
              <w:t>provide for the collection of a nomination training contribution charge from employers nominating overseas skilled worker</w:t>
            </w:r>
            <w:r>
              <w:rPr>
                <w:sz w:val="24"/>
                <w:szCs w:val="24"/>
              </w:rPr>
              <w:t>s;</w:t>
            </w:r>
          </w:p>
          <w:p w:rsidR="000E264E" w:rsidRDefault="000E264E" w:rsidP="000E264E">
            <w:pPr>
              <w:pStyle w:val="Bullet1"/>
              <w:tabs>
                <w:tab w:val="clear" w:pos="851"/>
                <w:tab w:val="left" w:pos="459"/>
              </w:tabs>
              <w:ind w:left="459" w:hanging="425"/>
              <w:rPr>
                <w:sz w:val="24"/>
                <w:szCs w:val="24"/>
              </w:rPr>
            </w:pPr>
            <w:r>
              <w:rPr>
                <w:sz w:val="24"/>
                <w:szCs w:val="24"/>
              </w:rPr>
              <w:t>allow nominations to be accepted from persons that have applied to be an approved sponsor, or have entered into negotiations for a work agreement; and</w:t>
            </w:r>
          </w:p>
          <w:p w:rsidR="000E264E" w:rsidRPr="00043FC4" w:rsidRDefault="000E264E" w:rsidP="000E264E">
            <w:pPr>
              <w:pStyle w:val="Bullet1"/>
              <w:tabs>
                <w:tab w:val="clear" w:pos="851"/>
                <w:tab w:val="left" w:pos="459"/>
              </w:tabs>
              <w:ind w:left="459" w:hanging="425"/>
              <w:rPr>
                <w:sz w:val="24"/>
                <w:szCs w:val="24"/>
              </w:rPr>
            </w:pPr>
            <w:r>
              <w:rPr>
                <w:sz w:val="24"/>
                <w:szCs w:val="24"/>
              </w:rPr>
              <w:t>allow the Minister to determine, by legislative instrument, the manner in which labour market testing in relation to a nominated position must be undertaken, and the kinds of evidence that must accompany a nomination</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Immigration and Border Protection</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18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w:t>
            </w:r>
          </w:p>
        </w:tc>
        <w:tc>
          <w:tcPr>
            <w:tcW w:w="6582" w:type="dxa"/>
            <w:tcBorders>
              <w:left w:val="single" w:sz="12" w:space="0" w:color="auto"/>
              <w:bottom w:val="single" w:sz="12" w:space="0" w:color="auto"/>
            </w:tcBorders>
          </w:tcPr>
          <w:p w:rsidR="000E264E" w:rsidRDefault="000E264E" w:rsidP="000E264E">
            <w:pPr>
              <w:rPr>
                <w:sz w:val="24"/>
                <w:szCs w:val="24"/>
              </w:rPr>
            </w:pPr>
            <w:r>
              <w:rPr>
                <w:sz w:val="24"/>
                <w:szCs w:val="24"/>
              </w:rPr>
              <w:t>Standing Order 24(1)(a)(iv)</w:t>
            </w:r>
          </w:p>
        </w:tc>
      </w:tr>
    </w:tbl>
    <w:p w:rsidR="000E264E" w:rsidRDefault="000E264E" w:rsidP="000E264E">
      <w:pPr>
        <w:pStyle w:val="Heading3"/>
        <w:spacing w:before="240"/>
      </w:pPr>
      <w:r>
        <w:t>Penalty in delegated legislation</w:t>
      </w:r>
      <w:r w:rsidRPr="004474CF">
        <w:rPr>
          <w:rStyle w:val="FootnoteReference"/>
          <w:b w:val="0"/>
        </w:rPr>
        <w:footnoteReference w:id="63"/>
      </w:r>
    </w:p>
    <w:p w:rsidR="000E264E" w:rsidRDefault="000E264E" w:rsidP="000E264E">
      <w:pPr>
        <w:pStyle w:val="Level110"/>
        <w:numPr>
          <w:ilvl w:val="0"/>
          <w:numId w:val="21"/>
        </w:numPr>
      </w:pPr>
      <w:r>
        <w:t>Proposed section 140ZN sets out what may be prescribed in the regulations. Paragraph (e) provides that the regulations may make provision for, or in relation to, the payment of a penalty in relation to the underpayment of a nomination training contribution charge.</w:t>
      </w:r>
    </w:p>
    <w:p w:rsidR="000E264E" w:rsidRDefault="000E264E" w:rsidP="000E264E">
      <w:pPr>
        <w:pStyle w:val="Level110"/>
        <w:numPr>
          <w:ilvl w:val="0"/>
          <w:numId w:val="21"/>
        </w:numPr>
      </w:pPr>
      <w:r>
        <w:t>The bill sets no upper limit on the level of the penalty. The explanatory memorandum states that the penalty may be a prescribed fee that reflects the cost to the Department of Immigration and Border Protection of administering multiple payments; or may take the form of an interest payment to reflect the loss of interest revenue resulting from the underpayment.</w:t>
      </w:r>
      <w:r>
        <w:rPr>
          <w:rStyle w:val="FootnoteReference"/>
        </w:rPr>
        <w:footnoteReference w:id="64"/>
      </w:r>
      <w:r>
        <w:rPr>
          <w:rStyle w:val="FootnoteReference"/>
        </w:rPr>
        <w:t xml:space="preserve"> </w:t>
      </w:r>
      <w:r w:rsidRPr="000E247A">
        <w:t>However</w:t>
      </w:r>
      <w:r>
        <w:t>, there is nothing in the legislation that would limit the amount of the penalty prescribed in this way.</w:t>
      </w:r>
    </w:p>
    <w:p w:rsidR="000E264E" w:rsidRDefault="000E264E" w:rsidP="000E264E">
      <w:pPr>
        <w:pStyle w:val="Level110"/>
        <w:numPr>
          <w:ilvl w:val="0"/>
          <w:numId w:val="21"/>
        </w:numPr>
        <w:rPr>
          <w:b/>
        </w:rPr>
      </w:pPr>
      <w:r w:rsidRPr="005D6F89">
        <w:rPr>
          <w:b/>
        </w:rPr>
        <w:t>The committee seeks the Minister's advice as to why the bill proposes delegating to the regulations the power to impose a penalty in relation to the underpayment of a nomination training contribution charge without setting an upper limit in relation to the penalty.</w:t>
      </w:r>
    </w:p>
    <w:p w:rsidR="000E264E" w:rsidRDefault="000E264E" w:rsidP="000E264E">
      <w:pPr>
        <w:pStyle w:val="Level110"/>
        <w:numPr>
          <w:ilvl w:val="0"/>
          <w:numId w:val="21"/>
        </w:numPr>
        <w:rPr>
          <w:b/>
        </w:rPr>
        <w:sectPr w:rsidR="000E264E" w:rsidSect="00194588">
          <w:headerReference w:type="even" r:id="rId85"/>
          <w:headerReference w:type="default" r:id="rId86"/>
          <w:footerReference w:type="even" r:id="rId87"/>
          <w:footerReference w:type="default" r:id="rId88"/>
          <w:headerReference w:type="first" r:id="rId89"/>
          <w:footerReference w:type="first" r:id="rId90"/>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left"/>
      </w:pPr>
      <w:r w:rsidRPr="004D2C5C">
        <w:rPr>
          <w:rFonts w:asciiTheme="minorHAnsi" w:hAnsiTheme="minorHAnsi"/>
          <w:szCs w:val="26"/>
        </w:rPr>
        <w:lastRenderedPageBreak/>
        <w:t>Migration (Skilling Australians Fund) Charges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5D1197" w:rsidRDefault="000E264E" w:rsidP="000E264E">
            <w:pPr>
              <w:spacing w:after="60"/>
              <w:rPr>
                <w:sz w:val="24"/>
                <w:szCs w:val="24"/>
              </w:rPr>
            </w:pPr>
            <w:r w:rsidRPr="005D1197">
              <w:rPr>
                <w:sz w:val="24"/>
                <w:szCs w:val="24"/>
              </w:rPr>
              <w:t xml:space="preserve">This bill seeks to impose a nomination training contribution charge payable by persons who are liable to pay the charge under the </w:t>
            </w:r>
            <w:r w:rsidRPr="005D1197">
              <w:rPr>
                <w:i/>
                <w:sz w:val="24"/>
                <w:szCs w:val="24"/>
              </w:rPr>
              <w:t>Migration Act 1958</w:t>
            </w:r>
            <w:r w:rsidRPr="005D1197">
              <w:rPr>
                <w:sz w:val="24"/>
                <w:szCs w:val="24"/>
              </w:rPr>
              <w:t xml:space="preserve"> and the </w:t>
            </w:r>
            <w:r w:rsidRPr="004A7F90">
              <w:rPr>
                <w:sz w:val="24"/>
                <w:szCs w:val="24"/>
              </w:rPr>
              <w:t>Migration Regulations 1994</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Immigration and Border Protection</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House of Representatives on 18 October 2017</w:t>
            </w:r>
          </w:p>
        </w:tc>
      </w:tr>
    </w:tbl>
    <w:p w:rsidR="000E264E" w:rsidRDefault="000E264E" w:rsidP="000E264E"/>
    <w:p w:rsidR="000E264E" w:rsidRDefault="000E264E" w:rsidP="000E264E">
      <w:pPr>
        <w:pStyle w:val="Level111"/>
        <w:tabs>
          <w:tab w:val="clear" w:pos="850"/>
        </w:tabs>
        <w:jc w:val="center"/>
        <w:rPr>
          <w:i/>
        </w:rPr>
        <w:sectPr w:rsidR="000E264E" w:rsidSect="00194588">
          <w:headerReference w:type="even" r:id="rId91"/>
          <w:headerReference w:type="default" r:id="rId92"/>
          <w:footerReference w:type="even" r:id="rId93"/>
          <w:footerReference w:type="default" r:id="rId94"/>
          <w:headerReference w:type="first" r:id="rId95"/>
          <w:footerReference w:type="first" r:id="rId96"/>
          <w:pgSz w:w="11906" w:h="16838" w:code="9"/>
          <w:pgMar w:top="1440" w:right="1440" w:bottom="1202" w:left="1440" w:header="1134" w:footer="720" w:gutter="0"/>
          <w:cols w:space="720"/>
          <w:titlePg/>
        </w:sectPr>
      </w:pPr>
      <w:r>
        <w:rPr>
          <w:i/>
        </w:rPr>
        <w:t>The committee has no comment on this bill.</w:t>
      </w: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4D2C5C">
        <w:rPr>
          <w:rFonts w:asciiTheme="minorHAnsi" w:hAnsiTheme="minorHAnsi"/>
          <w:szCs w:val="26"/>
        </w:rPr>
        <w:lastRenderedPageBreak/>
        <w:t>National Health Amendment (Pharmaceutical Benefits—Budget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25727D" w:rsidRDefault="000E264E" w:rsidP="000E264E">
            <w:pPr>
              <w:spacing w:after="60"/>
              <w:rPr>
                <w:sz w:val="24"/>
                <w:szCs w:val="24"/>
              </w:rPr>
            </w:pPr>
            <w:r w:rsidRPr="0025727D">
              <w:rPr>
                <w:sz w:val="24"/>
                <w:szCs w:val="24"/>
              </w:rPr>
              <w:t xml:space="preserve">This bill seeks to amend the </w:t>
            </w:r>
            <w:r w:rsidRPr="0025727D">
              <w:rPr>
                <w:i/>
                <w:sz w:val="24"/>
                <w:szCs w:val="24"/>
              </w:rPr>
              <w:t>National Health Act 1953</w:t>
            </w:r>
            <w:r w:rsidRPr="0025727D">
              <w:rPr>
                <w:sz w:val="24"/>
                <w:szCs w:val="24"/>
              </w:rPr>
              <w:t xml:space="preserve"> to:</w:t>
            </w:r>
          </w:p>
          <w:p w:rsidR="000E264E" w:rsidRPr="00005255" w:rsidRDefault="000E264E" w:rsidP="000E264E">
            <w:pPr>
              <w:pStyle w:val="Bullet1"/>
              <w:tabs>
                <w:tab w:val="clear" w:pos="851"/>
                <w:tab w:val="left" w:pos="459"/>
              </w:tabs>
              <w:ind w:left="459" w:hanging="459"/>
              <w:rPr>
                <w:sz w:val="24"/>
                <w:szCs w:val="24"/>
              </w:rPr>
            </w:pPr>
            <w:r>
              <w:rPr>
                <w:sz w:val="24"/>
                <w:szCs w:val="24"/>
              </w:rPr>
              <w:t>making price variations for a number of drugs listed on the PBS</w:t>
            </w:r>
            <w:r w:rsidRPr="00005255">
              <w:rPr>
                <w:sz w:val="24"/>
                <w:szCs w:val="24"/>
              </w:rPr>
              <w:t>;</w:t>
            </w:r>
          </w:p>
          <w:p w:rsidR="000E264E" w:rsidRPr="0025727D" w:rsidRDefault="000E264E" w:rsidP="000E264E">
            <w:pPr>
              <w:pStyle w:val="Bullet1"/>
              <w:tabs>
                <w:tab w:val="clear" w:pos="851"/>
                <w:tab w:val="left" w:pos="459"/>
              </w:tabs>
              <w:ind w:left="459" w:hanging="459"/>
            </w:pPr>
            <w:r w:rsidRPr="0025727D">
              <w:rPr>
                <w:sz w:val="24"/>
                <w:szCs w:val="24"/>
              </w:rPr>
              <w:t xml:space="preserve">introduce Ministerial discretion regarding the application of </w:t>
            </w:r>
            <w:r>
              <w:rPr>
                <w:sz w:val="24"/>
                <w:szCs w:val="24"/>
              </w:rPr>
              <w:t>statutory price reductions (</w:t>
            </w:r>
            <w:r w:rsidRPr="0025727D">
              <w:rPr>
                <w:sz w:val="24"/>
                <w:szCs w:val="24"/>
              </w:rPr>
              <w:t>SPR</w:t>
            </w:r>
            <w:r>
              <w:rPr>
                <w:sz w:val="24"/>
                <w:szCs w:val="24"/>
              </w:rPr>
              <w:t>)</w:t>
            </w:r>
            <w:r w:rsidRPr="0025727D">
              <w:rPr>
                <w:sz w:val="24"/>
                <w:szCs w:val="24"/>
              </w:rPr>
              <w:t xml:space="preserve"> in certain circumstances; </w:t>
            </w:r>
          </w:p>
          <w:p w:rsidR="000E264E" w:rsidRPr="0025727D" w:rsidRDefault="000E264E" w:rsidP="000E264E">
            <w:pPr>
              <w:pStyle w:val="Bullet1"/>
              <w:tabs>
                <w:tab w:val="clear" w:pos="851"/>
                <w:tab w:val="left" w:pos="459"/>
              </w:tabs>
              <w:ind w:left="459" w:hanging="459"/>
            </w:pPr>
            <w:r w:rsidRPr="0025727D">
              <w:rPr>
                <w:sz w:val="24"/>
                <w:szCs w:val="24"/>
              </w:rPr>
              <w:t>provide new circumstances whereby a new presentation of a brand of pharmaceutical item may be listed, without triggering first new brand SPRs</w:t>
            </w:r>
            <w:r>
              <w:rPr>
                <w:sz w:val="24"/>
                <w:szCs w:val="24"/>
              </w:rPr>
              <w:t>;</w:t>
            </w:r>
          </w:p>
          <w:p w:rsidR="000E264E" w:rsidRPr="0025727D" w:rsidRDefault="000E264E" w:rsidP="000E264E">
            <w:pPr>
              <w:pStyle w:val="Bullet1"/>
              <w:tabs>
                <w:tab w:val="clear" w:pos="851"/>
                <w:tab w:val="left" w:pos="459"/>
              </w:tabs>
              <w:ind w:left="459" w:hanging="459"/>
            </w:pPr>
            <w:r w:rsidRPr="0025727D">
              <w:rPr>
                <w:sz w:val="24"/>
                <w:szCs w:val="24"/>
              </w:rPr>
              <w:t xml:space="preserve">remove </w:t>
            </w:r>
            <w:r>
              <w:rPr>
                <w:sz w:val="24"/>
                <w:szCs w:val="24"/>
              </w:rPr>
              <w:t xml:space="preserve">the </w:t>
            </w:r>
            <w:r w:rsidRPr="0025727D">
              <w:rPr>
                <w:sz w:val="24"/>
                <w:szCs w:val="24"/>
              </w:rPr>
              <w:t>ces</w:t>
            </w:r>
            <w:r>
              <w:rPr>
                <w:sz w:val="24"/>
                <w:szCs w:val="24"/>
              </w:rPr>
              <w:t>sation provisions for the Austra</w:t>
            </w:r>
            <w:r w:rsidRPr="0025727D">
              <w:rPr>
                <w:sz w:val="24"/>
                <w:szCs w:val="24"/>
              </w:rPr>
              <w:t>lian Community Pharmacy Authority and the pharmacy location rules; and</w:t>
            </w:r>
          </w:p>
          <w:p w:rsidR="000E264E" w:rsidRPr="0025727D" w:rsidRDefault="000E264E" w:rsidP="000E264E">
            <w:pPr>
              <w:pStyle w:val="Bullet1"/>
              <w:tabs>
                <w:tab w:val="clear" w:pos="851"/>
                <w:tab w:val="left" w:pos="459"/>
              </w:tabs>
              <w:ind w:left="459" w:hanging="459"/>
            </w:pPr>
            <w:r w:rsidRPr="0025727D">
              <w:rPr>
                <w:sz w:val="24"/>
                <w:szCs w:val="24"/>
              </w:rPr>
              <w:t>make minor amendments to price disclosure arrangements</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Health</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18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principles</w:t>
            </w:r>
          </w:p>
        </w:tc>
        <w:tc>
          <w:tcPr>
            <w:tcW w:w="6582" w:type="dxa"/>
            <w:tcBorders>
              <w:left w:val="single" w:sz="12" w:space="0" w:color="auto"/>
              <w:bottom w:val="single" w:sz="12" w:space="0" w:color="auto"/>
            </w:tcBorders>
          </w:tcPr>
          <w:p w:rsidR="000E264E" w:rsidRDefault="000E264E" w:rsidP="000E264E">
            <w:pPr>
              <w:rPr>
                <w:sz w:val="24"/>
                <w:szCs w:val="24"/>
              </w:rPr>
            </w:pPr>
            <w:r>
              <w:rPr>
                <w:sz w:val="24"/>
                <w:szCs w:val="24"/>
              </w:rPr>
              <w:t>Standing order 24(1)(a)(iv) and (v)</w:t>
            </w:r>
          </w:p>
        </w:tc>
      </w:tr>
    </w:tbl>
    <w:p w:rsidR="000E264E" w:rsidRDefault="000E264E" w:rsidP="000E264E">
      <w:pPr>
        <w:pStyle w:val="Heading3"/>
        <w:spacing w:before="240"/>
      </w:pPr>
      <w:r>
        <w:t>Broad instrument making power</w:t>
      </w:r>
    </w:p>
    <w:p w:rsidR="000E264E" w:rsidRDefault="000E264E" w:rsidP="000E264E">
      <w:pPr>
        <w:pStyle w:val="Heading3"/>
      </w:pPr>
      <w:r>
        <w:t>Instruments not subject to disallowance</w:t>
      </w:r>
      <w:r w:rsidRPr="004474CF">
        <w:rPr>
          <w:rStyle w:val="FootnoteReference"/>
          <w:b w:val="0"/>
        </w:rPr>
        <w:footnoteReference w:id="65"/>
      </w:r>
    </w:p>
    <w:p w:rsidR="000E264E" w:rsidRDefault="000E264E" w:rsidP="000E264E">
      <w:pPr>
        <w:pStyle w:val="Level112"/>
        <w:numPr>
          <w:ilvl w:val="0"/>
          <w:numId w:val="21"/>
        </w:numPr>
      </w:pPr>
      <w:r>
        <w:t xml:space="preserve">The bill seeks to make amendments to Part VII of the </w:t>
      </w:r>
      <w:r>
        <w:rPr>
          <w:i/>
        </w:rPr>
        <w:t>National Health Act </w:t>
      </w:r>
      <w:r w:rsidRPr="00A47731">
        <w:rPr>
          <w:i/>
        </w:rPr>
        <w:t xml:space="preserve">1953 </w:t>
      </w:r>
      <w:r>
        <w:t>(the Act), which regulates the Pharmaceutical Benefits Scheme (PBS). These amendments include a number of alterations to the size, timing and application of statutory price reductions currently contained in the Act. The bill contains a number of provisions that would give the Minister the power to determine not to apply, or to reduce, a statutory price reduction to brands of pharmaceuticals in certain circumstances.</w:t>
      </w:r>
      <w:r>
        <w:rPr>
          <w:rStyle w:val="FootnoteReference"/>
        </w:rPr>
        <w:footnoteReference w:id="66"/>
      </w:r>
      <w:r>
        <w:t xml:space="preserve"> The bill would also allow the Minister to determine how brands are to be categorised under the PBS, and therefore how statutory price reductions would apply to those brands, in certain circumstances.</w:t>
      </w:r>
      <w:r>
        <w:rPr>
          <w:rStyle w:val="FootnoteReference"/>
        </w:rPr>
        <w:footnoteReference w:id="67"/>
      </w:r>
    </w:p>
    <w:p w:rsidR="000E264E" w:rsidRDefault="000E264E" w:rsidP="000E264E">
      <w:pPr>
        <w:pStyle w:val="Level112"/>
        <w:numPr>
          <w:ilvl w:val="0"/>
          <w:numId w:val="21"/>
        </w:numPr>
      </w:pPr>
      <w:r>
        <w:lastRenderedPageBreak/>
        <w:t>The explanatory memorandum states that the bill seeks to introduce ministerial discretion with respect to the application of statutory price reductions. This discretion would apply to medicines that have already been subject to price reductions since 1 January 2016; first new brand medicines and brands subject to a flow-on reduction; and medicines subject to anniversary price reductions.</w:t>
      </w:r>
      <w:r>
        <w:rPr>
          <w:rStyle w:val="FootnoteReference"/>
        </w:rPr>
        <w:footnoteReference w:id="68"/>
      </w:r>
      <w:r>
        <w:t xml:space="preserve"> However, the explanatory memorandum does not explain why there is a need to exempt medicines from statutory price reductions in certain circumstances, nor the need to leave the application of such exemptions to the discretion of the Minister rather than setting out the criteria for applying an exemption in the bill. </w:t>
      </w:r>
    </w:p>
    <w:p w:rsidR="000E264E" w:rsidRDefault="000E264E" w:rsidP="000E264E">
      <w:pPr>
        <w:pStyle w:val="Level112"/>
        <w:numPr>
          <w:ilvl w:val="0"/>
          <w:numId w:val="21"/>
        </w:numPr>
      </w:pPr>
      <w:r>
        <w:t>In granting this discretionary power to the Minister the bill provides that the Minister may make the determinations by 'written instrument' or in some cases, by 'notifiable instrument'. Neither of these categories of instrument are subject to disallowance and written instruments are not required to be registered on the Federal Register of Legislation. The explanatory memorandum does not provide a justification for allowing ministerial determinations to be made by written or notifiable instruments.</w:t>
      </w:r>
    </w:p>
    <w:p w:rsidR="000E264E" w:rsidRDefault="000E264E" w:rsidP="000E264E">
      <w:pPr>
        <w:pStyle w:val="Level112"/>
        <w:numPr>
          <w:ilvl w:val="0"/>
          <w:numId w:val="21"/>
        </w:numPr>
      </w:pPr>
      <w:r>
        <w:t>The committee's view is that a sound justification should be provided where a bill seeks to allow the Minister discretion to determine significant matters. The committee also considers that a sound justification should be provided when it is proposed to allow such ministerial discretion to be exercised by way of written or notifiable instruments, as such instruments, which are not disallowable, would be subject to no parliamentary oversight.</w:t>
      </w:r>
    </w:p>
    <w:p w:rsidR="000E264E" w:rsidRDefault="000E264E" w:rsidP="000E264E">
      <w:pPr>
        <w:pStyle w:val="Level112"/>
        <w:numPr>
          <w:ilvl w:val="0"/>
          <w:numId w:val="21"/>
        </w:numPr>
        <w:rPr>
          <w:b/>
        </w:rPr>
      </w:pPr>
      <w:r w:rsidRPr="00A67A4C">
        <w:rPr>
          <w:b/>
        </w:rPr>
        <w:t xml:space="preserve">The committee requests the Minister's </w:t>
      </w:r>
      <w:r>
        <w:rPr>
          <w:b/>
        </w:rPr>
        <w:t xml:space="preserve">advice as to why the bill proposes to provide the Minister with a broad discretionary power </w:t>
      </w:r>
      <w:r w:rsidRPr="00A67A4C">
        <w:rPr>
          <w:b/>
        </w:rPr>
        <w:t>to appl</w:t>
      </w:r>
      <w:r>
        <w:rPr>
          <w:b/>
        </w:rPr>
        <w:t xml:space="preserve">y </w:t>
      </w:r>
      <w:r w:rsidRPr="00A67A4C">
        <w:rPr>
          <w:b/>
        </w:rPr>
        <w:t>statutory price reductions</w:t>
      </w:r>
      <w:r>
        <w:rPr>
          <w:b/>
        </w:rPr>
        <w:t xml:space="preserve"> and to do so by way of </w:t>
      </w:r>
      <w:r w:rsidRPr="00A67A4C">
        <w:rPr>
          <w:b/>
        </w:rPr>
        <w:t>written or notifiable instrument</w:t>
      </w:r>
      <w:r>
        <w:rPr>
          <w:b/>
        </w:rPr>
        <w:t xml:space="preserve"> (noting that such instruments are not subject to disallowance).</w:t>
      </w:r>
    </w:p>
    <w:p w:rsidR="000E264E" w:rsidRDefault="000E264E" w:rsidP="000E264E">
      <w:pPr>
        <w:pStyle w:val="Level112"/>
        <w:numPr>
          <w:ilvl w:val="0"/>
          <w:numId w:val="21"/>
        </w:numPr>
        <w:rPr>
          <w:b/>
        </w:rPr>
        <w:sectPr w:rsidR="000E264E" w:rsidSect="00194588">
          <w:headerReference w:type="even" r:id="rId97"/>
          <w:headerReference w:type="default" r:id="rId98"/>
          <w:footerReference w:type="even" r:id="rId99"/>
          <w:footerReference w:type="default" r:id="rId100"/>
          <w:headerReference w:type="first" r:id="rId101"/>
          <w:footerReference w:type="first" r:id="rId102"/>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lastRenderedPageBreak/>
        <w:t>National Integrity Commission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Default="000E264E" w:rsidP="000E264E">
            <w:pPr>
              <w:spacing w:after="60"/>
              <w:rPr>
                <w:sz w:val="24"/>
                <w:szCs w:val="24"/>
              </w:rPr>
            </w:pPr>
            <w:r w:rsidRPr="00B847FE">
              <w:rPr>
                <w:sz w:val="24"/>
                <w:szCs w:val="24"/>
              </w:rPr>
              <w:t xml:space="preserve">This bill seeks to </w:t>
            </w:r>
            <w:r w:rsidRPr="004D6DD3">
              <w:rPr>
                <w:sz w:val="24"/>
                <w:szCs w:val="24"/>
              </w:rPr>
              <w:t>establish a National Integrity Commission for:</w:t>
            </w:r>
          </w:p>
          <w:p w:rsidR="000E264E" w:rsidRPr="004D6DD3" w:rsidRDefault="000E264E" w:rsidP="000E264E">
            <w:pPr>
              <w:pStyle w:val="Bullet1"/>
              <w:tabs>
                <w:tab w:val="clear" w:pos="851"/>
                <w:tab w:val="left" w:pos="459"/>
              </w:tabs>
              <w:spacing w:after="60"/>
              <w:ind w:left="459" w:hanging="459"/>
            </w:pPr>
            <w:r w:rsidRPr="004D6DD3">
              <w:rPr>
                <w:sz w:val="24"/>
                <w:szCs w:val="24"/>
              </w:rPr>
              <w:t>the investigation and prevention of misconduct and corruption in all Commonwealth departments, agencies, federal parliamentarians and their staff;</w:t>
            </w:r>
          </w:p>
          <w:p w:rsidR="000E264E" w:rsidRPr="004D6DD3" w:rsidRDefault="000E264E" w:rsidP="000E264E">
            <w:pPr>
              <w:pStyle w:val="Bullet1"/>
              <w:tabs>
                <w:tab w:val="clear" w:pos="851"/>
                <w:tab w:val="left" w:pos="459"/>
              </w:tabs>
              <w:spacing w:after="60"/>
              <w:ind w:left="459" w:hanging="459"/>
              <w:rPr>
                <w:sz w:val="24"/>
                <w:szCs w:val="24"/>
              </w:rPr>
            </w:pPr>
            <w:r w:rsidRPr="004D6DD3">
              <w:rPr>
                <w:sz w:val="24"/>
                <w:szCs w:val="24"/>
              </w:rPr>
              <w:t>the investigation and prevention of corruption in the Australian Federal Police and the Australian Crimes Commission; and</w:t>
            </w:r>
          </w:p>
          <w:p w:rsidR="000E264E" w:rsidRPr="00B847FE" w:rsidRDefault="000E264E" w:rsidP="000E264E">
            <w:pPr>
              <w:pStyle w:val="Bullet1"/>
              <w:tabs>
                <w:tab w:val="clear" w:pos="851"/>
                <w:tab w:val="left" w:pos="459"/>
              </w:tabs>
              <w:ind w:left="459" w:hanging="459"/>
            </w:pPr>
            <w:r>
              <w:rPr>
                <w:sz w:val="24"/>
                <w:szCs w:val="24"/>
              </w:rPr>
              <w:t xml:space="preserve">providing </w:t>
            </w:r>
            <w:r w:rsidRPr="004D6DD3">
              <w:rPr>
                <w:sz w:val="24"/>
                <w:szCs w:val="24"/>
              </w:rPr>
              <w:t>independent advice to Ministers and parliamentarians on conduct, ethics and matters of proprietary</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Pr>
                <w:b/>
                <w:sz w:val="24"/>
                <w:szCs w:val="24"/>
              </w:rPr>
              <w:t>Sponsor</w:t>
            </w:r>
          </w:p>
        </w:tc>
        <w:tc>
          <w:tcPr>
            <w:tcW w:w="6582" w:type="dxa"/>
            <w:tcBorders>
              <w:left w:val="single" w:sz="12" w:space="0" w:color="auto"/>
            </w:tcBorders>
          </w:tcPr>
          <w:p w:rsidR="000E264E" w:rsidRPr="00B847FE" w:rsidRDefault="000E264E" w:rsidP="000E264E">
            <w:pPr>
              <w:rPr>
                <w:sz w:val="24"/>
                <w:szCs w:val="24"/>
              </w:rPr>
            </w:pPr>
            <w:r>
              <w:rPr>
                <w:sz w:val="24"/>
                <w:szCs w:val="24"/>
              </w:rPr>
              <w:t>Mr Adam Bandt MP</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23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w:t>
            </w:r>
          </w:p>
        </w:tc>
        <w:tc>
          <w:tcPr>
            <w:tcW w:w="6582" w:type="dxa"/>
            <w:tcBorders>
              <w:left w:val="single" w:sz="12" w:space="0" w:color="auto"/>
              <w:bottom w:val="single" w:sz="12" w:space="0" w:color="auto"/>
            </w:tcBorders>
          </w:tcPr>
          <w:p w:rsidR="000E264E" w:rsidRDefault="000E264E" w:rsidP="000E264E">
            <w:pPr>
              <w:rPr>
                <w:sz w:val="24"/>
                <w:szCs w:val="24"/>
              </w:rPr>
            </w:pPr>
            <w:r w:rsidRPr="00B847FE">
              <w:rPr>
                <w:sz w:val="24"/>
                <w:szCs w:val="24"/>
              </w:rPr>
              <w:t>Standing Order 24(1)(a)</w:t>
            </w:r>
            <w:r>
              <w:rPr>
                <w:sz w:val="24"/>
                <w:szCs w:val="24"/>
              </w:rPr>
              <w:t>(i)</w:t>
            </w:r>
          </w:p>
        </w:tc>
      </w:tr>
    </w:tbl>
    <w:p w:rsidR="000E264E" w:rsidRDefault="000E264E" w:rsidP="000E264E">
      <w:pPr>
        <w:pStyle w:val="Heading3"/>
        <w:spacing w:before="240"/>
      </w:pPr>
      <w:r>
        <w:t>Fair hearing</w:t>
      </w:r>
      <w:r w:rsidRPr="004474CF">
        <w:rPr>
          <w:rStyle w:val="FootnoteReference"/>
          <w:b w:val="0"/>
        </w:rPr>
        <w:footnoteReference w:id="69"/>
      </w:r>
    </w:p>
    <w:p w:rsidR="000E264E" w:rsidRDefault="000E264E" w:rsidP="000E264E">
      <w:pPr>
        <w:pStyle w:val="Level113"/>
        <w:numPr>
          <w:ilvl w:val="0"/>
          <w:numId w:val="21"/>
        </w:numPr>
      </w:pPr>
      <w:r>
        <w:t xml:space="preserve">The bill provides that a National Integrity Commissioner (Commissioner) may conduct an investigation into whether a public official has engaged or may engage in corrupt conduct. Clause 33 provides that after completing an investigation the Commissioner must prepare a report of the investigation. Clause 31 provides that the Commissioner must not disclose findings or opinions critical of an agency or a person in a report, unless the Commissioner has first given the head of the agency or the person an opportunity to be heard. </w:t>
      </w:r>
    </w:p>
    <w:p w:rsidR="000E264E" w:rsidRDefault="000E264E" w:rsidP="000E264E">
      <w:pPr>
        <w:pStyle w:val="Level113"/>
        <w:numPr>
          <w:ilvl w:val="0"/>
          <w:numId w:val="21"/>
        </w:numPr>
      </w:pPr>
      <w:r>
        <w:t>However, subclause 31(2) states that a hearing is not required if the Commissioner is satisfied that a person:</w:t>
      </w:r>
    </w:p>
    <w:p w:rsidR="000E264E" w:rsidRDefault="000E264E" w:rsidP="000E264E">
      <w:pPr>
        <w:pStyle w:val="Bullet1"/>
      </w:pPr>
      <w:r>
        <w:t>may have committed a criminal offence, contravened a civil penalty provision, could be subject to disciplinary proceedings or whose conduct could constitute grounds for the termination of their employment; and</w:t>
      </w:r>
    </w:p>
    <w:p w:rsidR="000E264E" w:rsidRDefault="000E264E" w:rsidP="000E264E">
      <w:pPr>
        <w:pStyle w:val="Bullet1"/>
      </w:pPr>
      <w:r>
        <w:t xml:space="preserve">affording the statutory procedural fairness requirements may either compromise the investigation of a corruption issue or an action taken as a result of such an investigation. </w:t>
      </w:r>
    </w:p>
    <w:p w:rsidR="000E264E" w:rsidRDefault="000E264E" w:rsidP="000E264E">
      <w:pPr>
        <w:pStyle w:val="Level113"/>
        <w:numPr>
          <w:ilvl w:val="0"/>
          <w:numId w:val="21"/>
        </w:numPr>
      </w:pPr>
      <w:r>
        <w:t xml:space="preserve">In effect, in particular circumstances the bill attempts to exclude an obligation to give a person a fair hearing prior to the completion of a report. Yet </w:t>
      </w:r>
      <w:r>
        <w:lastRenderedPageBreak/>
        <w:t>subclause 33(3) specifically provides that a report may recommend that a person's employment be terminated. This raises questions as to whether this provision unduly trespasses on a personal right, given that a fair opportunity to be heard is thought to be a fundamental common law right.</w:t>
      </w:r>
      <w:r>
        <w:rPr>
          <w:rStyle w:val="FootnoteReference"/>
        </w:rPr>
        <w:footnoteReference w:id="70"/>
      </w:r>
    </w:p>
    <w:p w:rsidR="000E264E" w:rsidRDefault="000E264E" w:rsidP="000E264E">
      <w:pPr>
        <w:pStyle w:val="Level113"/>
        <w:numPr>
          <w:ilvl w:val="0"/>
          <w:numId w:val="21"/>
        </w:numPr>
      </w:pPr>
      <w:r>
        <w:t>The explanatory memorandum does not justify the exclusion of a fair hearing, but merely repeats the terms of the bill.</w:t>
      </w:r>
      <w:r>
        <w:rPr>
          <w:rStyle w:val="FootnoteReference"/>
        </w:rPr>
        <w:footnoteReference w:id="71"/>
      </w:r>
      <w:r>
        <w:t xml:space="preserve"> The committee notes that although the Commissioner </w:t>
      </w:r>
      <w:r w:rsidRPr="00793062">
        <w:rPr>
          <w:i/>
        </w:rPr>
        <w:t>may</w:t>
      </w:r>
      <w:r>
        <w:t xml:space="preserve"> decide to exclude from its report 'sensitive information' where it is desirable in the circumstances</w:t>
      </w:r>
      <w:r>
        <w:rPr>
          <w:rStyle w:val="FootnoteReference"/>
        </w:rPr>
        <w:footnoteReference w:id="72"/>
      </w:r>
      <w:r>
        <w:t xml:space="preserve"> there is no requirement to do so in relation to critical findings or opinions which are contained in the report in relation to persons who have not been afforded a fair hearing. In addition, although sensitive information which is excluded from the report must be included in a supplementary report (which sets out the information and the reasons for excluding it), only the primary report must be tabled in Parliament.</w:t>
      </w:r>
      <w:r>
        <w:rPr>
          <w:rStyle w:val="FootnoteReference"/>
        </w:rPr>
        <w:footnoteReference w:id="73"/>
      </w:r>
      <w:r>
        <w:t xml:space="preserve"> However, both the report and any supplementary report must be given to the Prime Minister. </w:t>
      </w:r>
    </w:p>
    <w:p w:rsidR="000E264E" w:rsidRDefault="000E264E" w:rsidP="000E264E">
      <w:pPr>
        <w:pStyle w:val="Level113"/>
        <w:numPr>
          <w:ilvl w:val="0"/>
          <w:numId w:val="21"/>
        </w:numPr>
      </w:pPr>
      <w:r>
        <w:t>Given the capacity of findings and opinions mentioned in subclause 31(2) to adversely affect a person's reputation</w:t>
      </w:r>
      <w:r>
        <w:rPr>
          <w:rStyle w:val="FootnoteReference"/>
        </w:rPr>
        <w:footnoteReference w:id="74"/>
      </w:r>
      <w:r>
        <w:t xml:space="preserve"> </w:t>
      </w:r>
      <w:r>
        <w:rPr>
          <w:szCs w:val="24"/>
        </w:rPr>
        <w:t xml:space="preserve"> and the characterisation of the right to be heard as a fundamental common law right, the bill may, without further clarification, give rise to considerable interpretive difficulties in the courts. For example, it may be that a court could imply a right to be heard </w:t>
      </w:r>
      <w:r>
        <w:t>prior to the Prime Minister tabling a report in Parliament</w:t>
      </w:r>
      <w:r>
        <w:rPr>
          <w:szCs w:val="24"/>
        </w:rPr>
        <w:t xml:space="preserve"> in relation to any critical findings or opinions that had not been disclosed pursuant to </w:t>
      </w:r>
      <w:r>
        <w:t>subclause 31(2) and which was not excluded from the report as 'sensitive' information.</w:t>
      </w:r>
    </w:p>
    <w:p w:rsidR="000E264E" w:rsidRDefault="000E264E" w:rsidP="000E264E">
      <w:pPr>
        <w:pStyle w:val="Level113"/>
        <w:numPr>
          <w:ilvl w:val="0"/>
          <w:numId w:val="21"/>
        </w:numPr>
      </w:pPr>
      <w:r>
        <w:t>The committee accepts that the need to preserve the efficacy of any continuing or future investigations in relation to corruption is clearly a legitimate public interest, but it is unclear whether there are sufficient protections in place to protect an individual who is not afforded a right to be heard.</w:t>
      </w:r>
    </w:p>
    <w:p w:rsidR="000E264E" w:rsidRDefault="000E264E" w:rsidP="000E264E">
      <w:pPr>
        <w:pStyle w:val="Level113"/>
        <w:numPr>
          <w:ilvl w:val="0"/>
          <w:numId w:val="21"/>
        </w:numPr>
      </w:pPr>
      <w:r>
        <w:t>In addition, paragraph 31(7)(b) provides that a person against whom the Commissioner intends to make a critical finding or opinion, may appear before the Commissioner in person or may, with the Commissioner's approval, be represented by another person. This therefore gives the Commissioner the power to refuse to approve that a person may be represented by another person, including their lawyer. Given the nature of the interests and rights at stake and the potential complexity of the issues which may be raised, there may be circumstances where a fair hearing may be compromised if a person is refused permission to be represented.</w:t>
      </w:r>
    </w:p>
    <w:p w:rsidR="000E264E" w:rsidRDefault="000E264E" w:rsidP="000E264E">
      <w:pPr>
        <w:pStyle w:val="Level113"/>
        <w:numPr>
          <w:ilvl w:val="0"/>
          <w:numId w:val="21"/>
        </w:numPr>
        <w:rPr>
          <w:b/>
        </w:rPr>
      </w:pPr>
      <w:r>
        <w:rPr>
          <w:b/>
        </w:rPr>
        <w:lastRenderedPageBreak/>
        <w:t>The committee</w:t>
      </w:r>
      <w:r w:rsidRPr="00525495">
        <w:rPr>
          <w:b/>
        </w:rPr>
        <w:t xml:space="preserve"> </w:t>
      </w:r>
      <w:r>
        <w:rPr>
          <w:b/>
        </w:rPr>
        <w:t xml:space="preserve">therefore </w:t>
      </w:r>
      <w:r w:rsidRPr="00525495">
        <w:rPr>
          <w:b/>
        </w:rPr>
        <w:t xml:space="preserve">requests the </w:t>
      </w:r>
      <w:r>
        <w:rPr>
          <w:b/>
        </w:rPr>
        <w:t>Member's justification for:</w:t>
      </w:r>
    </w:p>
    <w:p w:rsidR="000E264E" w:rsidRPr="00A40278" w:rsidRDefault="000E264E" w:rsidP="000E264E">
      <w:pPr>
        <w:pStyle w:val="Bullet1"/>
        <w:rPr>
          <w:b/>
        </w:rPr>
      </w:pPr>
      <w:r w:rsidRPr="00A40278">
        <w:rPr>
          <w:b/>
        </w:rPr>
        <w:t>excluding the right to a hearing (in subclause 31(2)), and whether additional protections can be included for an individual who is not afforded a right to be heard; and</w:t>
      </w:r>
    </w:p>
    <w:p w:rsidR="000E264E" w:rsidRPr="00A40278" w:rsidRDefault="000E264E" w:rsidP="000E264E">
      <w:pPr>
        <w:pStyle w:val="Bullet1"/>
        <w:rPr>
          <w:b/>
        </w:rPr>
      </w:pPr>
      <w:r w:rsidRPr="00A40278">
        <w:rPr>
          <w:b/>
        </w:rPr>
        <w:t>giving the National Integrity Commissioner the power to approve whether a person, against whom the Commissioner intends to make a critical finding or opinion, may be represented in a hearing before the Commissioner rather than giving the person the right to be represented (in subclause 31(7).</w:t>
      </w:r>
    </w:p>
    <w:p w:rsidR="000E264E" w:rsidRPr="00C20AE1" w:rsidRDefault="000E264E" w:rsidP="000E264E">
      <w:pPr>
        <w:pStyle w:val="Level113"/>
        <w:tabs>
          <w:tab w:val="clear" w:pos="850"/>
        </w:tabs>
        <w:spacing w:before="240" w:after="240"/>
        <w:ind w:left="2268" w:right="2223"/>
      </w:pPr>
      <w:r>
        <w:pict>
          <v:rect id="_x0000_i1076" style="width:0;height:1.5pt" o:hralign="center" o:hrstd="t" o:hr="t" fillcolor="#a0a0a0" stroked="f"/>
        </w:pict>
      </w:r>
    </w:p>
    <w:p w:rsidR="000E264E" w:rsidRDefault="000E264E" w:rsidP="000E264E">
      <w:pPr>
        <w:pStyle w:val="Heading3"/>
        <w:spacing w:before="0" w:after="0"/>
      </w:pPr>
      <w:r>
        <w:t>Legal professional privilege</w:t>
      </w:r>
      <w:r w:rsidRPr="00B22198">
        <w:rPr>
          <w:rStyle w:val="FootnoteReference"/>
          <w:b w:val="0"/>
        </w:rPr>
        <w:footnoteReference w:id="75"/>
      </w:r>
    </w:p>
    <w:p w:rsidR="000E264E" w:rsidRDefault="000E264E" w:rsidP="000E264E">
      <w:pPr>
        <w:pStyle w:val="Level113"/>
        <w:numPr>
          <w:ilvl w:val="0"/>
          <w:numId w:val="21"/>
        </w:numPr>
      </w:pPr>
      <w:r>
        <w:t>Clause 43 provides that, for the purposes of investigating a corruption issue, the Commissioner may request that a person give specified information or produce specified documents or things. Subclause 43(5) states that for the purposes of clauses 45 to 48, the power to request or require a person to produce information and documents includes the power to request or require the production of materials that are subject to legal professional privilege. Although clauses 46 and 47 indicate a person may refuse or fail to provide information on the ground of legal professional privilege, there are a number of limitations and the Commissioner may, after considering materials over which privilege has been claimed, determine whether to accept or reject the claim. In relation to the production of a document or thing, a person may refuse a request if a court has found the document or thing to be subject to legal professional privilege.</w:t>
      </w:r>
      <w:r>
        <w:rPr>
          <w:rStyle w:val="FootnoteReference"/>
        </w:rPr>
        <w:footnoteReference w:id="76"/>
      </w:r>
      <w:r>
        <w:t xml:space="preserve"> If the Commissioner accepts the claim of privilege they must 'disregard' the material for the purposes of any report or decision he or she makes.</w:t>
      </w:r>
      <w:r>
        <w:rPr>
          <w:rStyle w:val="FootnoteReference"/>
        </w:rPr>
        <w:footnoteReference w:id="77"/>
      </w:r>
      <w:r>
        <w:t xml:space="preserve"> However, given that the Commissioner would have received the material by this point, it is unclear how well this prohibition in relation to any decision would work in practice.</w:t>
      </w:r>
      <w:r w:rsidRPr="009A665C">
        <w:t xml:space="preserve"> </w:t>
      </w:r>
      <w:r>
        <w:t>Similar issues arise in relation to clauses 64, 65 and 66.</w:t>
      </w:r>
    </w:p>
    <w:p w:rsidR="000E264E" w:rsidRDefault="000E264E" w:rsidP="000E264E">
      <w:pPr>
        <w:pStyle w:val="Level113"/>
        <w:numPr>
          <w:ilvl w:val="0"/>
          <w:numId w:val="21"/>
        </w:numPr>
      </w:pPr>
      <w:r>
        <w:t>The committee has long taken the view that legal professional privilege is a fundamental principle of the common law, and will closely examine legislation which removes or diminishes this right. The explanatory memorandum is silent on the extent to which the legislation is intended to modify the applicable common law principles and the justification for these modifications.</w:t>
      </w:r>
      <w:r>
        <w:rPr>
          <w:rStyle w:val="FootnoteReference"/>
        </w:rPr>
        <w:footnoteReference w:id="78"/>
      </w:r>
    </w:p>
    <w:p w:rsidR="000E264E" w:rsidRPr="00B460AE" w:rsidRDefault="000E264E" w:rsidP="000E264E">
      <w:pPr>
        <w:pStyle w:val="Level113"/>
        <w:numPr>
          <w:ilvl w:val="0"/>
          <w:numId w:val="21"/>
        </w:numPr>
        <w:rPr>
          <w:b/>
        </w:rPr>
      </w:pPr>
      <w:r w:rsidRPr="007569F9">
        <w:rPr>
          <w:b/>
        </w:rPr>
        <w:lastRenderedPageBreak/>
        <w:t xml:space="preserve">The committee </w:t>
      </w:r>
      <w:r w:rsidRPr="00C57D3B">
        <w:rPr>
          <w:b/>
        </w:rPr>
        <w:t xml:space="preserve">requests the Member's </w:t>
      </w:r>
      <w:r>
        <w:rPr>
          <w:b/>
        </w:rPr>
        <w:t>justification as to why</w:t>
      </w:r>
      <w:r w:rsidRPr="007569F9">
        <w:rPr>
          <w:b/>
        </w:rPr>
        <w:t xml:space="preserve"> the </w:t>
      </w:r>
      <w:r w:rsidRPr="00C57D3B">
        <w:rPr>
          <w:b/>
        </w:rPr>
        <w:t>bill seeks to limit</w:t>
      </w:r>
      <w:r>
        <w:rPr>
          <w:b/>
        </w:rPr>
        <w:t xml:space="preserve"> the application of</w:t>
      </w:r>
      <w:r w:rsidRPr="00C57D3B">
        <w:rPr>
          <w:b/>
        </w:rPr>
        <w:t xml:space="preserve"> legal professional privilege</w:t>
      </w:r>
      <w:r>
        <w:rPr>
          <w:b/>
        </w:rPr>
        <w:t>.</w:t>
      </w:r>
    </w:p>
    <w:p w:rsidR="000E264E" w:rsidRDefault="000E264E" w:rsidP="000E264E">
      <w:pPr>
        <w:pStyle w:val="Level113"/>
        <w:tabs>
          <w:tab w:val="clear" w:pos="850"/>
        </w:tabs>
        <w:ind w:left="2268" w:right="2222"/>
        <w:rPr>
          <w:b/>
        </w:rPr>
      </w:pPr>
      <w:r>
        <w:pict>
          <v:rect id="_x0000_i1077" style="width:0;height:1.5pt" o:hralign="center" o:hrstd="t" o:hr="t" fillcolor="#a0a0a0" stroked="f"/>
        </w:pict>
      </w:r>
    </w:p>
    <w:p w:rsidR="000E264E" w:rsidRDefault="000E264E" w:rsidP="000E264E">
      <w:pPr>
        <w:pStyle w:val="Heading3"/>
      </w:pPr>
      <w:r>
        <w:t>Strict liability offences</w:t>
      </w:r>
    </w:p>
    <w:p w:rsidR="000E264E" w:rsidRDefault="000E264E" w:rsidP="000E264E">
      <w:pPr>
        <w:pStyle w:val="Heading3"/>
      </w:pPr>
      <w:r>
        <w:t>Reverse evidential burden of proof</w:t>
      </w:r>
      <w:r w:rsidRPr="004474CF">
        <w:rPr>
          <w:rStyle w:val="FootnoteReference"/>
          <w:b w:val="0"/>
        </w:rPr>
        <w:footnoteReference w:id="79"/>
      </w:r>
    </w:p>
    <w:p w:rsidR="000E264E" w:rsidRDefault="000E264E" w:rsidP="000E264E">
      <w:pPr>
        <w:pStyle w:val="Level113"/>
        <w:numPr>
          <w:ilvl w:val="0"/>
          <w:numId w:val="21"/>
        </w:numPr>
      </w:pPr>
      <w:r>
        <w:t>Clause 48 creates two offences for a person to refuse or fail to comply with a request to produce documents or give information if the Commissioner has decided to reject a claim that the information or document is subject to legal professional privilege. The offences are punishable by a fine of $1000 or imprisonment for 6 months. The offences are stated to be subject to strict liability.</w:t>
      </w:r>
      <w:r>
        <w:rPr>
          <w:rStyle w:val="FootnoteReference"/>
        </w:rPr>
        <w:footnoteReference w:id="80"/>
      </w:r>
      <w:r>
        <w:t xml:space="preserve">  Similar issues arise in relation to clause 66, with subclause 66(3) attaching strict liability to the relevant offences, which are also punishable by a fine of $1000 or imprisonment for 6 months. The explanatory memorandum provides no justification as to why the offences are subject to strict liability.</w:t>
      </w:r>
    </w:p>
    <w:p w:rsidR="000E264E" w:rsidRPr="00B22198" w:rsidRDefault="000E264E" w:rsidP="000E264E">
      <w:pPr>
        <w:pStyle w:val="Level113"/>
        <w:numPr>
          <w:ilvl w:val="0"/>
          <w:numId w:val="21"/>
        </w:numPr>
      </w:pPr>
      <w:r>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7B0D42">
        <w:rPr>
          <w:i/>
        </w:rPr>
        <w:t>Guide to Framing Commonwealth Offences.</w:t>
      </w:r>
      <w:r>
        <w:rPr>
          <w:rStyle w:val="FootnoteReference"/>
          <w:i/>
        </w:rPr>
        <w:footnoteReference w:id="81"/>
      </w:r>
    </w:p>
    <w:p w:rsidR="000E264E" w:rsidRDefault="000E264E" w:rsidP="000E264E">
      <w:pPr>
        <w:pStyle w:val="Level113"/>
        <w:numPr>
          <w:ilvl w:val="0"/>
          <w:numId w:val="21"/>
        </w:numPr>
      </w:pPr>
      <w:r>
        <w:t xml:space="preserve">In addition, the </w:t>
      </w:r>
      <w:r w:rsidRPr="00AC2A4A">
        <w:rPr>
          <w:i/>
        </w:rPr>
        <w:t>Guide to Framing Commonwealth Offences</w:t>
      </w:r>
      <w:r>
        <w:t xml:space="preserve"> states that the application of strict liability is only considered appropriate where the offence is not punishable by imprisonment and only punishable by a fine of up to 60 penalty units for an individual.</w:t>
      </w:r>
      <w:r>
        <w:rPr>
          <w:rStyle w:val="FootnoteReference"/>
        </w:rPr>
        <w:footnoteReference w:id="82"/>
      </w:r>
      <w:r>
        <w:t xml:space="preserve"> In this instance, the bill proposes applying strict liability to offences that are subject to up to 6 months imprisonment. The committee reiterates </w:t>
      </w:r>
      <w:r>
        <w:lastRenderedPageBreak/>
        <w:t>its long-standing scrutiny view that it is inappropriate to apply strict liability in circumstances where a period of imprisonment may be imposed.</w:t>
      </w:r>
    </w:p>
    <w:p w:rsidR="000E264E" w:rsidRDefault="000E264E" w:rsidP="000E264E">
      <w:pPr>
        <w:pStyle w:val="Level113"/>
        <w:numPr>
          <w:ilvl w:val="0"/>
          <w:numId w:val="21"/>
        </w:numPr>
      </w:pPr>
      <w:r w:rsidRPr="00B22198">
        <w:t xml:space="preserve">In </w:t>
      </w:r>
      <w:r>
        <w:t xml:space="preserve">addition, subclauses 48(4) and (6) and subclauses 66(4) and (6) also introduce a number of exceptions (offence-specific defences) to these strict liability offences. 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0E264E" w:rsidRDefault="000E264E" w:rsidP="000E264E">
      <w:pPr>
        <w:pStyle w:val="Level113"/>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0E264E" w:rsidRPr="00ED4C2F" w:rsidRDefault="000E264E" w:rsidP="000E264E">
      <w:pPr>
        <w:pStyle w:val="Level113"/>
        <w:numPr>
          <w:ilvl w:val="0"/>
          <w:numId w:val="21"/>
        </w:numPr>
        <w:rPr>
          <w:rFonts w:eastAsiaTheme="minorHAnsi"/>
        </w:rPr>
      </w:pPr>
      <w:r w:rsidRPr="006E33DF">
        <w:rPr>
          <w:rFonts w:eastAsiaTheme="minorHAnsi"/>
        </w:rPr>
        <w:t xml:space="preserve">While </w:t>
      </w:r>
      <w:r>
        <w:rPr>
          <w:rFonts w:eastAsiaTheme="minorHAnsi"/>
        </w:rPr>
        <w:t xml:space="preserve">in this instance </w:t>
      </w:r>
      <w:r w:rsidRPr="006E33DF">
        <w:rPr>
          <w:rFonts w:eastAsiaTheme="minorHAnsi"/>
        </w:rPr>
        <w:t xml:space="preserve">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reversals of the evidential burden of proof in </w:t>
      </w:r>
      <w:r>
        <w:rPr>
          <w:rFonts w:eastAsiaTheme="minorHAnsi"/>
        </w:rPr>
        <w:t>clauses 48 and 66</w:t>
      </w:r>
      <w:r w:rsidRPr="006E33DF">
        <w:rPr>
          <w:rFonts w:eastAsiaTheme="minorHAnsi"/>
        </w:rPr>
        <w:t xml:space="preserve"> have not been </w:t>
      </w:r>
      <w:r w:rsidRPr="00ED4C2F">
        <w:rPr>
          <w:rFonts w:eastAsiaTheme="minorHAnsi"/>
        </w:rPr>
        <w:t>addressed in the explanatory materials.</w:t>
      </w:r>
    </w:p>
    <w:p w:rsidR="000E264E" w:rsidRPr="00B22198" w:rsidRDefault="000E264E" w:rsidP="000E264E">
      <w:pPr>
        <w:pStyle w:val="Level113"/>
        <w:numPr>
          <w:ilvl w:val="0"/>
          <w:numId w:val="21"/>
        </w:numPr>
        <w:rPr>
          <w:b/>
        </w:rPr>
      </w:pPr>
      <w:r w:rsidRPr="00B22198">
        <w:rPr>
          <w:b/>
        </w:rPr>
        <w:t>As the explanatory materials do not address these issues, the committee requests the Member's justification:</w:t>
      </w:r>
    </w:p>
    <w:p w:rsidR="000E264E" w:rsidRPr="00B22198" w:rsidRDefault="000E264E" w:rsidP="000E264E">
      <w:pPr>
        <w:pStyle w:val="Bullet1"/>
        <w:rPr>
          <w:b/>
        </w:rPr>
      </w:pPr>
      <w:r w:rsidRPr="00B22198">
        <w:rPr>
          <w:b/>
        </w:rPr>
        <w:t>for each proposed strict liability offence; and</w:t>
      </w:r>
    </w:p>
    <w:p w:rsidR="000E264E" w:rsidRPr="00B22198" w:rsidRDefault="000E264E" w:rsidP="000E264E">
      <w:pPr>
        <w:pStyle w:val="Bullet1"/>
        <w:rPr>
          <w:b/>
        </w:rPr>
      </w:pPr>
      <w:r>
        <w:rPr>
          <w:b/>
        </w:rPr>
        <w:t xml:space="preserve">for </w:t>
      </w:r>
      <w:r w:rsidRPr="00B22198">
        <w:rPr>
          <w:b/>
        </w:rPr>
        <w:t xml:space="preserve">why it is proposed to use offence-specific defences (which reverse the evidential burden of proof) in these instances. </w:t>
      </w:r>
    </w:p>
    <w:p w:rsidR="000E264E" w:rsidRPr="00B22198" w:rsidRDefault="000E264E" w:rsidP="000E264E">
      <w:pPr>
        <w:pStyle w:val="Level113"/>
        <w:numPr>
          <w:ilvl w:val="0"/>
          <w:numId w:val="21"/>
        </w:numPr>
        <w:rPr>
          <w:b/>
        </w:rPr>
      </w:pPr>
      <w:r w:rsidRPr="00B22198">
        <w:rPr>
          <w:b/>
        </w:rPr>
        <w:t xml:space="preserve">The committee's consideration of the appropriateness of a provision which imposes strict liability or reverses the burden of proof is assisted if it explicitly addresses relevant principles as set out in the </w:t>
      </w:r>
      <w:r w:rsidRPr="00B22198">
        <w:rPr>
          <w:b/>
          <w:i/>
        </w:rPr>
        <w:t>Guide to Framing Commonwealth Offences</w:t>
      </w:r>
      <w:r w:rsidRPr="00B22198">
        <w:rPr>
          <w:b/>
        </w:rPr>
        <w:t>.</w:t>
      </w:r>
      <w:r w:rsidRPr="00B22198">
        <w:rPr>
          <w:rStyle w:val="FootnoteReference"/>
          <w:b/>
        </w:rPr>
        <w:footnoteReference w:id="83"/>
      </w:r>
    </w:p>
    <w:p w:rsidR="000E264E" w:rsidRPr="00C20AE1" w:rsidRDefault="000E264E" w:rsidP="000E264E">
      <w:pPr>
        <w:pStyle w:val="Level113"/>
        <w:tabs>
          <w:tab w:val="clear" w:pos="850"/>
        </w:tabs>
        <w:spacing w:before="240" w:after="240"/>
        <w:ind w:left="2268" w:right="2223"/>
      </w:pPr>
      <w:r>
        <w:pict>
          <v:rect id="_x0000_i1078" style="width:0;height:1.5pt" o:hralign="center" o:hrstd="t" o:hr="t" fillcolor="#a0a0a0" stroked="f"/>
        </w:pict>
      </w:r>
    </w:p>
    <w:p w:rsidR="000E264E" w:rsidRDefault="000E264E" w:rsidP="000E264E">
      <w:pPr>
        <w:pStyle w:val="Heading3"/>
      </w:pPr>
      <w:r>
        <w:t>Privilege against self-incrimination</w:t>
      </w:r>
      <w:r w:rsidRPr="004474CF">
        <w:rPr>
          <w:rStyle w:val="FootnoteReference"/>
          <w:b w:val="0"/>
        </w:rPr>
        <w:footnoteReference w:id="84"/>
      </w:r>
    </w:p>
    <w:p w:rsidR="000E264E" w:rsidRDefault="000E264E" w:rsidP="000E264E">
      <w:pPr>
        <w:pStyle w:val="Level113"/>
        <w:numPr>
          <w:ilvl w:val="0"/>
          <w:numId w:val="21"/>
        </w:numPr>
      </w:pPr>
      <w:r>
        <w:t>Clauses 49 and 67 of the bill provides that the privilege against</w:t>
      </w:r>
      <w:r>
        <w:br/>
        <w:t xml:space="preserve">self-incrimination is abrogated in relation to requests for information, documents or things made by the Commissioner when investigating a corruption issue, or from requirements to answer a question or produce a document or thing when </w:t>
      </w:r>
      <w:r>
        <w:lastRenderedPageBreak/>
        <w:t>summoned to attend a hearing. The privilege is not completely abrogated as it is subject to a 'use immunity', which means that self-incriminatory disclosures cannot be used against the person who makes the disclosure in criminal proceedings or other proceedings for the imposition or recovery of a penalty. However, this use immunity only applies if a person, prior to producing information or documents or things, claims that doing so may tend to incriminate them or expose them to a penalty. The use immunity is stated as operating only as a 'direct' use immunity (i.e. applying in relation to information, documents or things provided as a result of clause 49) and does not amount to a 'derivative' use immunity, which would prevent the use of the compelled information in the gathering of other evidence against the person. In addition, subclause 49(4) sets out a number of proceedings in which the use immunity will not be available, including a number of criminal proceedings and, in the case of a Commonwealth employee, disciplinary proceedings.</w:t>
      </w:r>
    </w:p>
    <w:p w:rsidR="000E264E" w:rsidRDefault="000E264E" w:rsidP="000E264E">
      <w:pPr>
        <w:pStyle w:val="Level113"/>
        <w:numPr>
          <w:ilvl w:val="0"/>
          <w:numId w:val="21"/>
        </w:numPr>
      </w:pPr>
      <w:r>
        <w:t>The explanatory memorandum states that the abrogation of the privilege against self-incrimination, is necessary so as to ensure that the Commissioner can be given access to information, documents and things relevant to an investigation into a corruption issue. It also states that the inclusion of a use immunity ensures that a person's compliance with a request for information, documents or things under clause 43 cannot be used against them in criminal proceedings or proceedings for the recovery of a penalty, except in those proceedings specified in subclause 49(4).</w:t>
      </w:r>
      <w:r>
        <w:rPr>
          <w:rStyle w:val="FootnoteReference"/>
        </w:rPr>
        <w:footnoteReference w:id="85"/>
      </w:r>
    </w:p>
    <w:p w:rsidR="000E264E" w:rsidRDefault="000E264E" w:rsidP="000E264E">
      <w:pPr>
        <w:pStyle w:val="Level113"/>
        <w:numPr>
          <w:ilvl w:val="0"/>
          <w:numId w:val="21"/>
        </w:numPr>
      </w:pPr>
      <w:r w:rsidRPr="009B1B83">
        <w:t xml:space="preserve">The committee accepts that the privilege against self-incrimination may be overridden where there is a compelling justification for doing so. In general, however, the committee considers that any justification for abrogating the privilege will be more likely to be considered appropriate if accompanied by </w:t>
      </w:r>
      <w:r>
        <w:t xml:space="preserve">both </w:t>
      </w:r>
      <w:r w:rsidRPr="009B1B83">
        <w:t xml:space="preserve">a use and derivative use immunity (providing that the information or documents produced or answers given, or anything obtained as a direct or indirect consequence of the production of the information or documents, is not admissible in evidence in most proceedings). In this case, the committee notes that the </w:t>
      </w:r>
      <w:r>
        <w:t xml:space="preserve">bill </w:t>
      </w:r>
      <w:r w:rsidRPr="009B1B83">
        <w:t>includes a use immunity but not a derivative use immunity (</w:t>
      </w:r>
      <w:r>
        <w:t xml:space="preserve">meaning anything obtained as a </w:t>
      </w:r>
      <w:r w:rsidRPr="009B1B83">
        <w:t>consequence of the requirement to produce a document or answer a question can be used against the person in criminal proceedings).</w:t>
      </w:r>
      <w:r>
        <w:t xml:space="preserve"> In addition, a person is required to, before giving the information, documents or things, claim that doing so may incriminate them.</w:t>
      </w:r>
      <w:r w:rsidRPr="004E3B72">
        <w:t xml:space="preserve"> </w:t>
      </w:r>
      <w:r>
        <w:t xml:space="preserve">This has the potential to mean the use immunity could become unavailable simply because a person has not had adequate legal advice prior to producing the information, documents or things and therefore was not aware of the need to make a claim of self-incrimination prior to providing the information. </w:t>
      </w:r>
    </w:p>
    <w:p w:rsidR="000E264E" w:rsidRPr="00FF6226" w:rsidRDefault="000E264E" w:rsidP="000E264E">
      <w:pPr>
        <w:pStyle w:val="Level113"/>
        <w:numPr>
          <w:ilvl w:val="0"/>
          <w:numId w:val="21"/>
        </w:numPr>
        <w:rPr>
          <w:b/>
          <w:sz w:val="24"/>
          <w:szCs w:val="24"/>
        </w:rPr>
      </w:pPr>
      <w:r w:rsidRPr="00B22198">
        <w:rPr>
          <w:b/>
        </w:rPr>
        <w:t xml:space="preserve">To assist its consideration of whether the proposed abrogation of the privilege against self-incrimination is justified, the committee requests the </w:t>
      </w:r>
      <w:r w:rsidRPr="00B22198">
        <w:rPr>
          <w:b/>
        </w:rPr>
        <w:lastRenderedPageBreak/>
        <w:t xml:space="preserve">Member's advice on the following matters, with particular reference to the matters outlined in the </w:t>
      </w:r>
      <w:r w:rsidRPr="00B22198">
        <w:rPr>
          <w:b/>
          <w:i/>
        </w:rPr>
        <w:t>Guide to Framing Commonwealth Offences</w:t>
      </w:r>
      <w:r w:rsidRPr="00FF6226">
        <w:rPr>
          <w:b/>
        </w:rPr>
        <w:t>:</w:t>
      </w:r>
      <w:r w:rsidRPr="00FF6226">
        <w:rPr>
          <w:rStyle w:val="FootnoteReference"/>
        </w:rPr>
        <w:footnoteReference w:id="86"/>
      </w:r>
    </w:p>
    <w:p w:rsidR="000E264E" w:rsidRPr="00B22198" w:rsidRDefault="000E264E" w:rsidP="000E264E">
      <w:pPr>
        <w:pStyle w:val="Bullet1"/>
        <w:rPr>
          <w:b/>
        </w:rPr>
      </w:pPr>
      <w:r w:rsidRPr="00B22198">
        <w:rPr>
          <w:b/>
        </w:rPr>
        <w:t>why the use immunity will only be available to persons who make a prior claim that compliance may tend to incriminate or expose them to a penalty;</w:t>
      </w:r>
    </w:p>
    <w:p w:rsidR="000E264E" w:rsidRPr="00B22198" w:rsidRDefault="000E264E" w:rsidP="000E264E">
      <w:pPr>
        <w:pStyle w:val="Bullet1"/>
        <w:rPr>
          <w:b/>
        </w:rPr>
      </w:pPr>
      <w:r w:rsidRPr="00B22198">
        <w:rPr>
          <w:b/>
        </w:rPr>
        <w:t>why a derivative use immunity</w:t>
      </w:r>
      <w:r>
        <w:rPr>
          <w:b/>
        </w:rPr>
        <w:t xml:space="preserve"> has not been included</w:t>
      </w:r>
      <w:r w:rsidRPr="00B22198">
        <w:rPr>
          <w:b/>
        </w:rPr>
        <w:t>; and</w:t>
      </w:r>
    </w:p>
    <w:p w:rsidR="000E264E" w:rsidRPr="00B22198" w:rsidRDefault="000E264E" w:rsidP="000E264E">
      <w:pPr>
        <w:pStyle w:val="Bullet1"/>
        <w:rPr>
          <w:b/>
        </w:rPr>
      </w:pPr>
      <w:r>
        <w:rPr>
          <w:b/>
        </w:rPr>
        <w:t>how</w:t>
      </w:r>
      <w:r w:rsidRPr="00B22198">
        <w:rPr>
          <w:b/>
        </w:rPr>
        <w:t xml:space="preserve"> each of the proposed exceptions to the use immunity is justified.</w:t>
      </w:r>
    </w:p>
    <w:p w:rsidR="000E264E" w:rsidRPr="00C20AE1" w:rsidRDefault="000E264E" w:rsidP="000E264E">
      <w:pPr>
        <w:pStyle w:val="Level113"/>
        <w:tabs>
          <w:tab w:val="clear" w:pos="850"/>
        </w:tabs>
        <w:spacing w:before="240" w:after="240"/>
        <w:ind w:left="2268" w:right="2223"/>
      </w:pPr>
      <w:r>
        <w:pict>
          <v:rect id="_x0000_i1079" style="width:0;height:1.5pt" o:hralign="center" o:hrstd="t" o:hr="t" fillcolor="#a0a0a0" stroked="f"/>
        </w:pict>
      </w:r>
    </w:p>
    <w:p w:rsidR="000E264E" w:rsidRDefault="000E264E" w:rsidP="000E264E">
      <w:pPr>
        <w:pStyle w:val="Heading3"/>
      </w:pPr>
      <w:r>
        <w:t>Search and entry powers</w:t>
      </w:r>
      <w:r w:rsidRPr="004474CF">
        <w:rPr>
          <w:rStyle w:val="FootnoteReference"/>
          <w:b w:val="0"/>
        </w:rPr>
        <w:footnoteReference w:id="87"/>
      </w:r>
    </w:p>
    <w:p w:rsidR="000E264E" w:rsidRDefault="000E264E" w:rsidP="000E264E">
      <w:pPr>
        <w:pStyle w:val="Level113"/>
        <w:numPr>
          <w:ilvl w:val="0"/>
          <w:numId w:val="21"/>
        </w:numPr>
      </w:pPr>
      <w:r>
        <w:t>Clause 71 gives an 'authorised officer' the authority to execute an arrest warrant and, if the officer believes on reasonable grounds that a person is on any premises, to break and enter into those premises. Authorised officers may also apply for search warrants (including ordinary and frisk searches of the person) and carry out such searches.</w:t>
      </w:r>
      <w:r>
        <w:rPr>
          <w:rStyle w:val="FootnoteReference"/>
        </w:rPr>
        <w:footnoteReference w:id="88"/>
      </w:r>
      <w:r>
        <w:t xml:space="preserve"> As set out in clause 110, the National Integrity Commissioner may appoint a person to be an authorised officer if they are either a staff member of the National Integrity Commission whom the Commissioner considers has suitable qualifications or experience, or a member of the Australian Federal Police (AFP).</w:t>
      </w:r>
    </w:p>
    <w:p w:rsidR="000E264E" w:rsidRDefault="000E264E" w:rsidP="000E264E">
      <w:pPr>
        <w:pStyle w:val="Level113"/>
        <w:numPr>
          <w:ilvl w:val="0"/>
          <w:numId w:val="21"/>
        </w:numPr>
      </w:pPr>
      <w:r>
        <w:t>Although it is possible to identify circumstances in which an appropriate person may not be a current member of the AFP (for example, if they were a former member or a member of a State or Territory police force) the committee is concerned that 'police powers' such as the powers of arrest and the power to conduct personal searches may be conducted by persons other than sworn police officers. The explanatory memorandum notes that it is essential that authorised officers are 'experienced, diligent and trustworthy' because they will be given powers to arrest and to apply for and execute search warrants.</w:t>
      </w:r>
      <w:r>
        <w:rPr>
          <w:rStyle w:val="FootnoteReference"/>
        </w:rPr>
        <w:footnoteReference w:id="89"/>
      </w:r>
      <w:r>
        <w:t xml:space="preserve"> However, the explanatory memorandum does not explain why it is appropriate to allow these powers to be exercised by persons other than police officers, nor does it explain why it is not possible to specify what constitutes 'suitable qualifications or experience' in the bill, rather than this being left to the discretion of the Commissioner.</w:t>
      </w:r>
    </w:p>
    <w:p w:rsidR="000E264E" w:rsidRDefault="000E264E" w:rsidP="000E264E">
      <w:pPr>
        <w:pStyle w:val="Level113"/>
        <w:numPr>
          <w:ilvl w:val="0"/>
          <w:numId w:val="21"/>
        </w:numPr>
      </w:pPr>
      <w:r>
        <w:t xml:space="preserve">Clause 78 also sets out conditions under which an authorised officer may apply for a number of different search warrants. Subclause 78(4) seeks to allow an </w:t>
      </w:r>
      <w:r>
        <w:lastRenderedPageBreak/>
        <w:t>authorised officer to apply for a warrant to carry out 'an ordinary search or a frisk search of a person' if they have reasonable grounds for suspecting the person possesses or will possess in the next 72 hours any evidential material and for believing the material might be concealed, lost, mutilated or destroyed if the person was served with a summons.</w:t>
      </w:r>
    </w:p>
    <w:p w:rsidR="000E264E" w:rsidRDefault="000E264E" w:rsidP="000E264E">
      <w:pPr>
        <w:pStyle w:val="Level113"/>
        <w:numPr>
          <w:ilvl w:val="0"/>
          <w:numId w:val="21"/>
        </w:numPr>
      </w:pPr>
      <w:r w:rsidRPr="00B22198">
        <w:t xml:space="preserve">The committee takes the view that any new powers to search persons require strong justification, a position that is also taken by the </w:t>
      </w:r>
      <w:r w:rsidRPr="00B22198">
        <w:rPr>
          <w:i/>
        </w:rPr>
        <w:t>Guide to Framing Commonwealth Offences</w:t>
      </w:r>
      <w:r w:rsidRPr="00B22198">
        <w:t>.</w:t>
      </w:r>
      <w:r w:rsidRPr="00B22198">
        <w:rPr>
          <w:rStyle w:val="FootnoteReference"/>
        </w:rPr>
        <w:footnoteReference w:id="90"/>
      </w:r>
      <w:r w:rsidRPr="00B22198">
        <w:t xml:space="preserve"> While there may be circumstances in which the granting of new powers to search persons can be justified, the committee expects that the reasons for any such proposal would be addressed in detail in the explanatory memorandum.</w:t>
      </w:r>
      <w:r>
        <w:t xml:space="preserve"> In this instance, t</w:t>
      </w:r>
      <w:r w:rsidRPr="00653557">
        <w:t>he explanatory</w:t>
      </w:r>
      <w:r>
        <w:t xml:space="preserve"> memorandum provides no justification as to the need to provide personal search powers to authorised officers.</w:t>
      </w:r>
    </w:p>
    <w:p w:rsidR="000E264E" w:rsidRDefault="000E264E" w:rsidP="000E264E">
      <w:pPr>
        <w:pStyle w:val="Level113"/>
        <w:numPr>
          <w:ilvl w:val="0"/>
          <w:numId w:val="21"/>
        </w:numPr>
        <w:rPr>
          <w:b/>
        </w:rPr>
      </w:pPr>
      <w:r w:rsidRPr="00B22198">
        <w:rPr>
          <w:b/>
        </w:rPr>
        <w:t xml:space="preserve">The committee </w:t>
      </w:r>
      <w:r>
        <w:rPr>
          <w:b/>
        </w:rPr>
        <w:t xml:space="preserve">considers it may be appropriate to amend the bill to limit </w:t>
      </w:r>
      <w:r w:rsidRPr="00B22198">
        <w:rPr>
          <w:b/>
        </w:rPr>
        <w:t>the exercise of search and arrest powers to police officers</w:t>
      </w:r>
      <w:r>
        <w:rPr>
          <w:b/>
        </w:rPr>
        <w:t>, or, at a minimum,</w:t>
      </w:r>
      <w:r w:rsidRPr="00B22198">
        <w:rPr>
          <w:b/>
        </w:rPr>
        <w:t xml:space="preserve"> </w:t>
      </w:r>
      <w:r>
        <w:rPr>
          <w:b/>
        </w:rPr>
        <w:t xml:space="preserve">to include </w:t>
      </w:r>
      <w:r w:rsidRPr="00B22198">
        <w:rPr>
          <w:b/>
        </w:rPr>
        <w:t xml:space="preserve">greater legislative guidance </w:t>
      </w:r>
      <w:r>
        <w:rPr>
          <w:b/>
        </w:rPr>
        <w:t>on</w:t>
      </w:r>
      <w:r w:rsidRPr="00B22198">
        <w:rPr>
          <w:b/>
        </w:rPr>
        <w:t xml:space="preserve"> what constitutes 'suitable qualifications or experience' with respect to appointing a </w:t>
      </w:r>
      <w:r>
        <w:rPr>
          <w:b/>
        </w:rPr>
        <w:t>person as an authorised officer, and seeks the Member's advice in relation to this.</w:t>
      </w:r>
    </w:p>
    <w:p w:rsidR="000E264E" w:rsidRPr="00B22198" w:rsidRDefault="000E264E" w:rsidP="000E264E">
      <w:pPr>
        <w:pStyle w:val="Level113"/>
        <w:numPr>
          <w:ilvl w:val="0"/>
          <w:numId w:val="21"/>
        </w:numPr>
        <w:rPr>
          <w:b/>
        </w:rPr>
      </w:pPr>
      <w:r>
        <w:rPr>
          <w:b/>
        </w:rPr>
        <w:t xml:space="preserve">The committee also requests the Member's justification for providing authorised officers with the power to apply for a warrant to carry out an ordinary or frisk search of a person, </w:t>
      </w:r>
      <w:r w:rsidRPr="00DB6CCB">
        <w:rPr>
          <w:b/>
        </w:rPr>
        <w:t xml:space="preserve">with reference to the principles set out in the </w:t>
      </w:r>
      <w:r w:rsidRPr="00DB6CCB">
        <w:rPr>
          <w:b/>
          <w:i/>
        </w:rPr>
        <w:t>Guide to Framing Commonwealth Offences</w:t>
      </w:r>
      <w:r w:rsidRPr="00DB6CCB">
        <w:rPr>
          <w:b/>
        </w:rPr>
        <w:t>.</w:t>
      </w:r>
      <w:r w:rsidRPr="00B22198">
        <w:rPr>
          <w:rStyle w:val="FootnoteReference"/>
        </w:rPr>
        <w:footnoteReference w:id="91"/>
      </w:r>
    </w:p>
    <w:p w:rsidR="000E264E" w:rsidRDefault="000E264E" w:rsidP="000E264E">
      <w:pPr>
        <w:spacing w:before="240" w:after="240"/>
        <w:ind w:right="2223"/>
        <w:sectPr w:rsidR="000E264E" w:rsidSect="00194588">
          <w:headerReference w:type="even" r:id="rId103"/>
          <w:headerReference w:type="default" r:id="rId104"/>
          <w:footerReference w:type="even" r:id="rId105"/>
          <w:footerReference w:type="default" r:id="rId106"/>
          <w:headerReference w:type="first" r:id="rId107"/>
          <w:footerReference w:type="first" r:id="rId108"/>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left"/>
      </w:pPr>
      <w:r w:rsidRPr="004D2C5C">
        <w:rPr>
          <w:rFonts w:asciiTheme="minorHAnsi" w:hAnsiTheme="minorHAnsi"/>
          <w:szCs w:val="26"/>
        </w:rPr>
        <w:lastRenderedPageBreak/>
        <w:t>Proceeds of Crime Amendment (Proceeds and Other Matters)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Default="000E264E" w:rsidP="000E264E">
            <w:pPr>
              <w:spacing w:after="60"/>
              <w:rPr>
                <w:sz w:val="24"/>
                <w:szCs w:val="24"/>
              </w:rPr>
            </w:pPr>
            <w:r w:rsidRPr="00B847FE">
              <w:rPr>
                <w:sz w:val="24"/>
                <w:szCs w:val="24"/>
              </w:rPr>
              <w:t>This bill seeks to amend</w:t>
            </w:r>
            <w:r>
              <w:rPr>
                <w:sz w:val="24"/>
                <w:szCs w:val="24"/>
              </w:rPr>
              <w:t xml:space="preserve"> the </w:t>
            </w:r>
            <w:r>
              <w:rPr>
                <w:i/>
                <w:sz w:val="24"/>
                <w:szCs w:val="24"/>
              </w:rPr>
              <w:t>Proceeds of Crime Act 2002</w:t>
            </w:r>
            <w:r>
              <w:rPr>
                <w:sz w:val="24"/>
                <w:szCs w:val="24"/>
              </w:rPr>
              <w:t xml:space="preserve"> (the Act) to:</w:t>
            </w:r>
          </w:p>
          <w:p w:rsidR="000E264E" w:rsidRPr="00417A8A" w:rsidRDefault="000E264E" w:rsidP="000E264E">
            <w:pPr>
              <w:pStyle w:val="Bullet1"/>
              <w:tabs>
                <w:tab w:val="clear" w:pos="851"/>
                <w:tab w:val="left" w:pos="459"/>
              </w:tabs>
              <w:spacing w:after="60"/>
              <w:ind w:left="459" w:hanging="459"/>
              <w:rPr>
                <w:sz w:val="24"/>
                <w:szCs w:val="24"/>
              </w:rPr>
            </w:pPr>
            <w:r w:rsidRPr="00EE1619">
              <w:rPr>
                <w:sz w:val="24"/>
                <w:szCs w:val="24"/>
              </w:rPr>
              <w:t xml:space="preserve">align the Commonwealth unexplained wealth regime with other </w:t>
            </w:r>
            <w:r w:rsidRPr="00417A8A">
              <w:rPr>
                <w:sz w:val="24"/>
                <w:szCs w:val="24"/>
              </w:rPr>
              <w:t>types of orders in the Act to ensure that it covers situations in which wealth is 'derived or realised, directly or indirectly' from certain offences;</w:t>
            </w:r>
          </w:p>
          <w:p w:rsidR="000E264E" w:rsidRPr="00417A8A" w:rsidRDefault="000E264E" w:rsidP="000E264E">
            <w:pPr>
              <w:pStyle w:val="Bullet1"/>
              <w:tabs>
                <w:tab w:val="clear" w:pos="851"/>
                <w:tab w:val="left" w:pos="459"/>
              </w:tabs>
              <w:spacing w:after="60"/>
              <w:ind w:left="459" w:hanging="459"/>
              <w:rPr>
                <w:sz w:val="24"/>
                <w:szCs w:val="24"/>
              </w:rPr>
            </w:pPr>
            <w:r w:rsidRPr="00417A8A">
              <w:rPr>
                <w:sz w:val="24"/>
                <w:szCs w:val="24"/>
              </w:rPr>
              <w:t>clarify that property becomes 'proceeds' or an 'instrument' of an offence under the Act when 'proceeds' or an 'instrument' are used to improve the property or discharge an encumbrance security or liability incurred in relation to the property; and</w:t>
            </w:r>
          </w:p>
          <w:p w:rsidR="000E264E" w:rsidRPr="00EE1619" w:rsidRDefault="000E264E" w:rsidP="000E264E">
            <w:pPr>
              <w:pStyle w:val="Bullet1"/>
              <w:tabs>
                <w:tab w:val="clear" w:pos="851"/>
                <w:tab w:val="left" w:pos="459"/>
              </w:tabs>
              <w:ind w:left="459" w:hanging="459"/>
              <w:rPr>
                <w:sz w:val="24"/>
                <w:szCs w:val="24"/>
              </w:rPr>
            </w:pPr>
            <w:r w:rsidRPr="00417A8A">
              <w:rPr>
                <w:sz w:val="24"/>
                <w:szCs w:val="24"/>
              </w:rPr>
              <w:t>clarify that property or wealth will only be 'lawfully acquired' in situations where the property or wealth is not 'proceeds' or an 'instrument' of an offence</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Justice</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18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w:t>
            </w:r>
          </w:p>
        </w:tc>
        <w:tc>
          <w:tcPr>
            <w:tcW w:w="6582" w:type="dxa"/>
            <w:tcBorders>
              <w:left w:val="single" w:sz="12" w:space="0" w:color="auto"/>
              <w:bottom w:val="single" w:sz="12" w:space="0" w:color="auto"/>
            </w:tcBorders>
          </w:tcPr>
          <w:p w:rsidR="000E264E" w:rsidRDefault="000E264E" w:rsidP="000E264E">
            <w:pPr>
              <w:spacing w:before="240"/>
              <w:rPr>
                <w:sz w:val="24"/>
                <w:szCs w:val="24"/>
              </w:rPr>
            </w:pPr>
            <w:r>
              <w:rPr>
                <w:sz w:val="24"/>
                <w:szCs w:val="24"/>
              </w:rPr>
              <w:t>Standing order 24(1)(a)(i)</w:t>
            </w:r>
          </w:p>
        </w:tc>
      </w:tr>
    </w:tbl>
    <w:p w:rsidR="000E264E" w:rsidRDefault="000E264E" w:rsidP="000E264E">
      <w:pPr>
        <w:pStyle w:val="Heading3"/>
        <w:spacing w:before="240"/>
      </w:pPr>
      <w:r>
        <w:t>Retrospective application</w:t>
      </w:r>
      <w:r w:rsidRPr="004474CF">
        <w:rPr>
          <w:rStyle w:val="FootnoteReference"/>
          <w:b w:val="0"/>
        </w:rPr>
        <w:footnoteReference w:id="92"/>
      </w:r>
    </w:p>
    <w:p w:rsidR="000E264E" w:rsidRDefault="000E264E" w:rsidP="000E264E">
      <w:pPr>
        <w:pStyle w:val="Level114"/>
        <w:numPr>
          <w:ilvl w:val="0"/>
          <w:numId w:val="21"/>
        </w:numPr>
      </w:pPr>
      <w:r>
        <w:t xml:space="preserve">The bill seeks to amend the </w:t>
      </w:r>
      <w:r w:rsidRPr="00452030">
        <w:rPr>
          <w:i/>
        </w:rPr>
        <w:t>Proceeds of Crime Act 2002</w:t>
      </w:r>
      <w:r>
        <w:t xml:space="preserve"> (POC Act) to provide that property will be considered to become 'proceeds' or an 'instrument' (and therefore be liable to being restrained or forfeited under the POC Act) where proceeds or instruments of crime are used to make improvements on property, service mortgage repayments on property and/or service loans taken out in relation to property. It also seeks to provide that wealth or property will only be 'lawfully acquired' (and therefore not liable to restraint, freezing or forfeiture) in situations where property or wealth is not 'proceeds' or an 'instrument' of an offence, to seek to ensure a court examines the origins of property or wealth used to discharge securities or encumbrances or to make improvements to property, as well as situations where property may be gifted to another person.  </w:t>
      </w:r>
    </w:p>
    <w:p w:rsidR="000E264E" w:rsidRPr="00723574" w:rsidRDefault="000E264E" w:rsidP="000E264E">
      <w:pPr>
        <w:pStyle w:val="Level114"/>
        <w:numPr>
          <w:ilvl w:val="0"/>
          <w:numId w:val="21"/>
        </w:numPr>
      </w:pPr>
      <w:r>
        <w:t>The POC Act also currently requires a court to make an 'unexplained wealth'</w:t>
      </w:r>
      <w:bookmarkStart w:id="10" w:name="book1"/>
      <w:r>
        <w:rPr>
          <w:rStyle w:val="FootnoteReference"/>
        </w:rPr>
        <w:footnoteReference w:id="93"/>
      </w:r>
      <w:bookmarkEnd w:id="10"/>
      <w:r>
        <w:t xml:space="preserve"> order where the court is not satisfied that the whole or any part of the </w:t>
      </w:r>
      <w:r>
        <w:lastRenderedPageBreak/>
        <w:t>person's wealth was not 'derived from' one or more relevant offences.</w:t>
      </w:r>
      <w:bookmarkStart w:id="11" w:name="book2"/>
      <w:r>
        <w:rPr>
          <w:rStyle w:val="FootnoteReference"/>
        </w:rPr>
        <w:footnoteReference w:id="94"/>
      </w:r>
      <w:bookmarkEnd w:id="11"/>
      <w:r>
        <w:t xml:space="preserve"> The bill seeks to amend the POC Act so that it additionally covers wealth that is 'derived or realised, directly or indirectly' from certain offences. </w:t>
      </w:r>
    </w:p>
    <w:p w:rsidR="000E264E" w:rsidRDefault="000E264E" w:rsidP="000E264E">
      <w:pPr>
        <w:pStyle w:val="Level114"/>
        <w:numPr>
          <w:ilvl w:val="0"/>
          <w:numId w:val="21"/>
        </w:numPr>
      </w:pPr>
      <w:r>
        <w:t xml:space="preserve">Item 14 of the bill seeks to make these amendments apply in relation to certain property derived, realised, acquired or allegedly tainted </w:t>
      </w:r>
      <w:r w:rsidRPr="00452030">
        <w:rPr>
          <w:i/>
        </w:rPr>
        <w:t>before</w:t>
      </w:r>
      <w:r>
        <w:t xml:space="preserve"> or after commencement and to offences committed </w:t>
      </w:r>
      <w:r w:rsidRPr="00452030">
        <w:rPr>
          <w:i/>
        </w:rPr>
        <w:t>before</w:t>
      </w:r>
      <w:r>
        <w:t xml:space="preserve"> or after commencement. This applies the amendments made in the bill retrospectively.</w:t>
      </w:r>
    </w:p>
    <w:p w:rsidR="000E264E" w:rsidRDefault="000E264E" w:rsidP="000E264E">
      <w:pPr>
        <w:pStyle w:val="Level114"/>
        <w:numPr>
          <w:ilvl w:val="0"/>
          <w:numId w:val="21"/>
        </w:numPr>
      </w:pPr>
      <w:r w:rsidRPr="002F07AC">
        <w:t xml:space="preserve">The committee </w:t>
      </w:r>
      <w:r>
        <w:t xml:space="preserve">has a </w:t>
      </w:r>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r>
        <w:t xml:space="preserve"> The committee has a particular concern if the legislation will, or might, have a detrimental effect on individuals.</w:t>
      </w:r>
    </w:p>
    <w:p w:rsidR="000E264E" w:rsidRDefault="000E264E" w:rsidP="000E264E">
      <w:pPr>
        <w:pStyle w:val="Level114"/>
        <w:numPr>
          <w:ilvl w:val="0"/>
          <w:numId w:val="21"/>
        </w:numPr>
      </w:pPr>
      <w:r>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0E264E" w:rsidRDefault="000E264E" w:rsidP="000E264E">
      <w:pPr>
        <w:pStyle w:val="Level114"/>
        <w:numPr>
          <w:ilvl w:val="0"/>
          <w:numId w:val="21"/>
        </w:numPr>
      </w:pPr>
      <w:r>
        <w:t>In this instance, the explanatory memorandum notes that the provisions apply retrospectively but states that this is necessary to ensure that relevant orders 'are not frustrated by requiring law enforcement agencies to obtain evidence of, and prove, the precise point in time at which certain property or wealth was derived, acquired or became tainted'.</w:t>
      </w:r>
      <w:r>
        <w:rPr>
          <w:rStyle w:val="FootnoteReference"/>
        </w:rPr>
        <w:footnoteReference w:id="95"/>
      </w:r>
      <w:r>
        <w:t xml:space="preserve"> The explanatory memorandum gives examples of why such a requirement would be onerous and practically impossible to satisfy in complex cases of fraud or money laundering. It also suggests that if the amendments were only to apply prospectively and a proceeds of crime authority cannot establish the date that property was acquired or a particular payment was made, a court could rely on existing case law to determine the question, which would not be consistent with what the bill seeks to achieve.</w:t>
      </w:r>
      <w:r>
        <w:rPr>
          <w:rStyle w:val="FootnoteReference"/>
        </w:rPr>
        <w:footnoteReference w:id="96"/>
      </w:r>
    </w:p>
    <w:p w:rsidR="000E264E" w:rsidRDefault="000E264E" w:rsidP="000E264E">
      <w:pPr>
        <w:pStyle w:val="Level114"/>
        <w:numPr>
          <w:ilvl w:val="0"/>
          <w:numId w:val="21"/>
        </w:numPr>
      </w:pPr>
      <w:r>
        <w:t>The committee notes that it has previously raised concerns that the POC Act appears to trespass on the rights of persons who have neither been charged with, nor convicted of, any wrong-doing.</w:t>
      </w:r>
      <w:r>
        <w:rPr>
          <w:rStyle w:val="FootnoteReference"/>
        </w:rPr>
        <w:footnoteReference w:id="97"/>
      </w:r>
      <w:r>
        <w:t xml:space="preserve"> In this context, retrospectively applying amendments which widen the scope of the property that can be restrained, frozen or forfeited, raises particular scrutiny concerns. The committee has particular scrutiny concerns that part of the intention behind retrospectively applying these </w:t>
      </w:r>
      <w:r>
        <w:lastRenderedPageBreak/>
        <w:t>amendments is to bypass current judicial case law which has applied the law as it currently stands, noting the effect this may have on individuals relying on the current interpretation of the existing law.</w:t>
      </w:r>
      <w:r>
        <w:rPr>
          <w:rStyle w:val="FootnoteReference"/>
        </w:rPr>
        <w:footnoteReference w:id="98"/>
      </w:r>
    </w:p>
    <w:p w:rsidR="000E264E" w:rsidRPr="00775E27" w:rsidRDefault="000E264E" w:rsidP="000E264E">
      <w:pPr>
        <w:pStyle w:val="Level114"/>
        <w:numPr>
          <w:ilvl w:val="0"/>
          <w:numId w:val="21"/>
        </w:numPr>
        <w:rPr>
          <w:b/>
        </w:rPr>
      </w:pPr>
      <w:r w:rsidRPr="00775E27">
        <w:rPr>
          <w:b/>
        </w:rPr>
        <w:t>The committee reiterates its long-standing scrutiny concern that provisions that apply retrospectively challenge a basic value of the rule of law that, in general, laws should only operate prospectively, not retrospectively. The committee draws its scrutiny concerns to the attention of Senators and leaves to the Senate as a whole the appropriateness of retrospectively applying amendments</w:t>
      </w:r>
      <w:r>
        <w:rPr>
          <w:b/>
        </w:rPr>
        <w:t xml:space="preserve"> which widen the scope of the property that can </w:t>
      </w:r>
      <w:r w:rsidRPr="001344E0">
        <w:rPr>
          <w:b/>
        </w:rPr>
        <w:t>be restrained, frozen or forfeited.</w:t>
      </w:r>
    </w:p>
    <w:p w:rsidR="000E264E" w:rsidRDefault="000E264E" w:rsidP="000E264E">
      <w:pPr>
        <w:pStyle w:val="Level114"/>
        <w:tabs>
          <w:tab w:val="clear" w:pos="850"/>
        </w:tabs>
        <w:sectPr w:rsidR="000E264E" w:rsidSect="00194588">
          <w:headerReference w:type="even" r:id="rId109"/>
          <w:headerReference w:type="default" r:id="rId110"/>
          <w:footerReference w:type="even" r:id="rId111"/>
          <w:footerReference w:type="default" r:id="rId112"/>
          <w:headerReference w:type="first" r:id="rId113"/>
          <w:footerReference w:type="first" r:id="rId114"/>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D340C5">
        <w:rPr>
          <w:rFonts w:asciiTheme="minorHAnsi" w:hAnsiTheme="minorHAnsi"/>
          <w:szCs w:val="26"/>
        </w:rPr>
        <w:lastRenderedPageBreak/>
        <w:t>Renewable Energy Legislation Amendment (Supporting Renewable Communities)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Default="000E264E" w:rsidP="000E264E">
            <w:pPr>
              <w:spacing w:after="60"/>
              <w:rPr>
                <w:sz w:val="24"/>
                <w:szCs w:val="24"/>
              </w:rPr>
            </w:pPr>
            <w:r w:rsidRPr="00B847FE">
              <w:rPr>
                <w:sz w:val="24"/>
                <w:szCs w:val="24"/>
              </w:rPr>
              <w:t>This bill seeks to amend</w:t>
            </w:r>
            <w:r>
              <w:rPr>
                <w:sz w:val="24"/>
                <w:szCs w:val="24"/>
              </w:rPr>
              <w:t xml:space="preserve"> two Acts in relation to renewable energy to:</w:t>
            </w:r>
          </w:p>
          <w:p w:rsidR="000E264E" w:rsidRPr="00017F4C" w:rsidRDefault="000E264E" w:rsidP="000E264E">
            <w:pPr>
              <w:pStyle w:val="Bullet1"/>
              <w:tabs>
                <w:tab w:val="clear" w:pos="851"/>
                <w:tab w:val="left" w:pos="459"/>
              </w:tabs>
              <w:ind w:left="459" w:hanging="459"/>
            </w:pPr>
            <w:r w:rsidRPr="00017F4C">
              <w:rPr>
                <w:sz w:val="24"/>
                <w:szCs w:val="24"/>
              </w:rPr>
              <w:t xml:space="preserve">amend the functions of </w:t>
            </w:r>
            <w:r>
              <w:rPr>
                <w:sz w:val="24"/>
                <w:szCs w:val="24"/>
              </w:rPr>
              <w:t>the Australian Renewable Energy Agency (</w:t>
            </w:r>
            <w:r w:rsidRPr="00017F4C">
              <w:rPr>
                <w:sz w:val="24"/>
                <w:szCs w:val="24"/>
              </w:rPr>
              <w:t>ARENA</w:t>
            </w:r>
            <w:r>
              <w:rPr>
                <w:sz w:val="24"/>
                <w:szCs w:val="24"/>
              </w:rPr>
              <w:t>)</w:t>
            </w:r>
            <w:r w:rsidRPr="00017F4C">
              <w:rPr>
                <w:sz w:val="24"/>
                <w:szCs w:val="24"/>
              </w:rPr>
              <w:t xml:space="preserve"> to allow for the funding of planning, development or implementation of community energy projects;</w:t>
            </w:r>
          </w:p>
          <w:p w:rsidR="000E264E" w:rsidRPr="00151371" w:rsidRDefault="000E264E" w:rsidP="000E264E">
            <w:pPr>
              <w:pStyle w:val="Bullet1"/>
              <w:tabs>
                <w:tab w:val="clear" w:pos="851"/>
                <w:tab w:val="left" w:pos="459"/>
              </w:tabs>
              <w:ind w:left="459" w:hanging="459"/>
            </w:pPr>
            <w:r>
              <w:rPr>
                <w:sz w:val="24"/>
                <w:szCs w:val="24"/>
              </w:rPr>
              <w:t>clarify</w:t>
            </w:r>
            <w:r w:rsidRPr="00017F4C">
              <w:rPr>
                <w:sz w:val="24"/>
                <w:szCs w:val="24"/>
              </w:rPr>
              <w:t xml:space="preserve"> that ARENA has a role in collecting, analysing, interpreting and disseminat</w:t>
            </w:r>
            <w:r>
              <w:rPr>
                <w:sz w:val="24"/>
                <w:szCs w:val="24"/>
              </w:rPr>
              <w:t>ing</w:t>
            </w:r>
            <w:r w:rsidRPr="00017F4C">
              <w:rPr>
                <w:sz w:val="24"/>
                <w:szCs w:val="24"/>
              </w:rPr>
              <w:t xml:space="preserve"> information and knowledge on community energy models and advising the Minister on these matters;</w:t>
            </w:r>
            <w:r>
              <w:rPr>
                <w:sz w:val="24"/>
                <w:szCs w:val="24"/>
              </w:rPr>
              <w:t xml:space="preserve"> and</w:t>
            </w:r>
          </w:p>
          <w:p w:rsidR="000E264E" w:rsidRPr="00B847FE" w:rsidRDefault="000E264E" w:rsidP="000E264E">
            <w:pPr>
              <w:pStyle w:val="Bullet1"/>
              <w:tabs>
                <w:tab w:val="clear" w:pos="851"/>
                <w:tab w:val="left" w:pos="459"/>
              </w:tabs>
              <w:ind w:left="459" w:hanging="459"/>
            </w:pPr>
            <w:r>
              <w:rPr>
                <w:sz w:val="24"/>
                <w:szCs w:val="24"/>
              </w:rPr>
              <w:t>amend</w:t>
            </w:r>
            <w:r w:rsidRPr="00017F4C">
              <w:rPr>
                <w:sz w:val="24"/>
                <w:szCs w:val="24"/>
              </w:rPr>
              <w:t xml:space="preserve"> the functions of the C</w:t>
            </w:r>
            <w:r>
              <w:rPr>
                <w:sz w:val="24"/>
                <w:szCs w:val="24"/>
              </w:rPr>
              <w:t xml:space="preserve">lean </w:t>
            </w:r>
            <w:r w:rsidRPr="00017F4C">
              <w:rPr>
                <w:sz w:val="24"/>
                <w:szCs w:val="24"/>
              </w:rPr>
              <w:t>E</w:t>
            </w:r>
            <w:r>
              <w:rPr>
                <w:sz w:val="24"/>
                <w:szCs w:val="24"/>
              </w:rPr>
              <w:t xml:space="preserve">nergy </w:t>
            </w:r>
            <w:r w:rsidRPr="00017F4C">
              <w:rPr>
                <w:sz w:val="24"/>
                <w:szCs w:val="24"/>
              </w:rPr>
              <w:t>F</w:t>
            </w:r>
            <w:r>
              <w:rPr>
                <w:sz w:val="24"/>
                <w:szCs w:val="24"/>
              </w:rPr>
              <w:t xml:space="preserve">inance </w:t>
            </w:r>
            <w:r w:rsidRPr="00017F4C">
              <w:rPr>
                <w:sz w:val="24"/>
                <w:szCs w:val="24"/>
              </w:rPr>
              <w:t>C</w:t>
            </w:r>
            <w:r>
              <w:rPr>
                <w:sz w:val="24"/>
                <w:szCs w:val="24"/>
              </w:rPr>
              <w:t>orporation to</w:t>
            </w:r>
            <w:r w:rsidRPr="00017F4C">
              <w:rPr>
                <w:sz w:val="24"/>
                <w:szCs w:val="24"/>
              </w:rPr>
              <w:t xml:space="preserve"> allow investments in community joint partnerships, or other community energy models to support sector development</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Ms Cathy McGowan</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House of Representatives on 16 October 2017</w:t>
            </w:r>
          </w:p>
        </w:tc>
      </w:tr>
    </w:tbl>
    <w:p w:rsidR="000E264E" w:rsidRDefault="000E264E" w:rsidP="000E264E"/>
    <w:p w:rsidR="000E264E" w:rsidRDefault="000E264E" w:rsidP="000E264E">
      <w:pPr>
        <w:jc w:val="center"/>
        <w:rPr>
          <w:i/>
        </w:rPr>
        <w:sectPr w:rsidR="000E264E" w:rsidSect="00194588">
          <w:headerReference w:type="even" r:id="rId115"/>
          <w:headerReference w:type="default" r:id="rId116"/>
          <w:footerReference w:type="even" r:id="rId117"/>
          <w:footerReference w:type="default" r:id="rId118"/>
          <w:headerReference w:type="first" r:id="rId119"/>
          <w:footerReference w:type="first" r:id="rId120"/>
          <w:pgSz w:w="11906" w:h="16838" w:code="9"/>
          <w:pgMar w:top="1440" w:right="1440" w:bottom="1202" w:left="1440" w:header="1134" w:footer="720" w:gutter="0"/>
          <w:cols w:space="720"/>
          <w:titlePg/>
        </w:sectPr>
      </w:pPr>
      <w:r>
        <w:rPr>
          <w:i/>
        </w:rPr>
        <w:t>The committee has no comment on this bill.</w:t>
      </w: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4D2C5C">
        <w:rPr>
          <w:rFonts w:asciiTheme="minorHAnsi" w:hAnsiTheme="minorHAnsi"/>
          <w:szCs w:val="26"/>
        </w:rPr>
        <w:lastRenderedPageBreak/>
        <w:t>Treasury Laws Amendment (Banking Executive Accountability and Related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687B25" w:rsidRDefault="000E264E" w:rsidP="000E264E">
            <w:pPr>
              <w:spacing w:after="60"/>
              <w:rPr>
                <w:sz w:val="24"/>
                <w:szCs w:val="24"/>
              </w:rPr>
            </w:pPr>
            <w:r w:rsidRPr="00B847FE">
              <w:rPr>
                <w:sz w:val="24"/>
                <w:szCs w:val="24"/>
              </w:rPr>
              <w:t>This bill seeks to amend</w:t>
            </w:r>
            <w:r>
              <w:rPr>
                <w:sz w:val="24"/>
                <w:szCs w:val="24"/>
              </w:rPr>
              <w:t xml:space="preserve"> the </w:t>
            </w:r>
            <w:r>
              <w:rPr>
                <w:i/>
                <w:sz w:val="24"/>
                <w:szCs w:val="24"/>
              </w:rPr>
              <w:t>Banking Act 1959</w:t>
            </w:r>
            <w:r>
              <w:rPr>
                <w:sz w:val="24"/>
                <w:szCs w:val="24"/>
              </w:rPr>
              <w:t xml:space="preserve"> to establish the Banking Executive Accountability Regime</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Treasury</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19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principles</w:t>
            </w:r>
          </w:p>
        </w:tc>
        <w:tc>
          <w:tcPr>
            <w:tcW w:w="6582" w:type="dxa"/>
            <w:tcBorders>
              <w:left w:val="single" w:sz="12" w:space="0" w:color="auto"/>
              <w:bottom w:val="single" w:sz="12" w:space="0" w:color="auto"/>
            </w:tcBorders>
          </w:tcPr>
          <w:p w:rsidR="000E264E" w:rsidRDefault="000E264E" w:rsidP="000E264E">
            <w:pPr>
              <w:rPr>
                <w:sz w:val="24"/>
                <w:szCs w:val="24"/>
              </w:rPr>
            </w:pPr>
            <w:r>
              <w:rPr>
                <w:sz w:val="24"/>
                <w:szCs w:val="24"/>
              </w:rPr>
              <w:t>Standing order 24(1)(a)(i)</w:t>
            </w:r>
          </w:p>
        </w:tc>
      </w:tr>
    </w:tbl>
    <w:p w:rsidR="000E264E" w:rsidRDefault="000E264E" w:rsidP="000E264E">
      <w:pPr>
        <w:pStyle w:val="Heading3"/>
        <w:spacing w:before="240"/>
      </w:pPr>
      <w:r>
        <w:t>Reversal of evidential burden of proof</w:t>
      </w:r>
      <w:r w:rsidRPr="00490774">
        <w:rPr>
          <w:rStyle w:val="FootnoteReference"/>
          <w:b w:val="0"/>
        </w:rPr>
        <w:footnoteReference w:id="99"/>
      </w:r>
    </w:p>
    <w:p w:rsidR="000E264E" w:rsidRPr="006E33DF" w:rsidRDefault="000E264E" w:rsidP="000E264E">
      <w:pPr>
        <w:pStyle w:val="Level115"/>
        <w:numPr>
          <w:ilvl w:val="0"/>
          <w:numId w:val="21"/>
        </w:numPr>
        <w:rPr>
          <w:rFonts w:eastAsiaTheme="minorHAnsi"/>
        </w:rPr>
      </w:pPr>
      <w:r>
        <w:t xml:space="preserve">Subsection 56(2) of the </w:t>
      </w:r>
      <w:r>
        <w:rPr>
          <w:i/>
        </w:rPr>
        <w:t xml:space="preserve">Australian Prudential Regulation Authority Act 1998 </w:t>
      </w:r>
      <w:r>
        <w:t>currently makes it an offence for a person who is or has been an officer to disclose, directly or indirectly, protected information or documents to any person or to a court.</w:t>
      </w:r>
      <w:r>
        <w:rPr>
          <w:rStyle w:val="FootnoteReference"/>
        </w:rPr>
        <w:footnoteReference w:id="100"/>
      </w:r>
      <w:r>
        <w:t xml:space="preserve"> </w:t>
      </w:r>
      <w:r w:rsidRPr="006E33DF">
        <w:rPr>
          <w:rFonts w:eastAsiaTheme="minorHAnsi"/>
        </w:rPr>
        <w:t xml:space="preserve">The offence carries a maximum penalty of </w:t>
      </w:r>
      <w:r>
        <w:rPr>
          <w:rFonts w:eastAsiaTheme="minorHAnsi"/>
        </w:rPr>
        <w:t>imprisonment for two years</w:t>
      </w:r>
      <w:r w:rsidRPr="006E33DF">
        <w:rPr>
          <w:rFonts w:eastAsiaTheme="minorHAnsi"/>
        </w:rPr>
        <w:t>.</w:t>
      </w:r>
    </w:p>
    <w:p w:rsidR="000E264E" w:rsidRDefault="000E264E" w:rsidP="000E264E">
      <w:pPr>
        <w:pStyle w:val="Level115"/>
        <w:numPr>
          <w:ilvl w:val="0"/>
          <w:numId w:val="21"/>
        </w:numPr>
        <w:rPr>
          <w:rFonts w:eastAsiaTheme="minorHAnsi"/>
        </w:rPr>
      </w:pPr>
      <w:r>
        <w:t xml:space="preserve">Item 5 of Schedule 1 of the bill seeks to introduce three exceptions </w:t>
      </w:r>
      <w:r w:rsidRPr="006E33DF">
        <w:rPr>
          <w:rFonts w:eastAsiaTheme="minorHAnsi"/>
        </w:rPr>
        <w:t>(offence</w:t>
      </w:r>
      <w:r>
        <w:rPr>
          <w:rFonts w:eastAsiaTheme="minorHAnsi"/>
        </w:rPr>
        <w:t>-</w:t>
      </w:r>
      <w:r w:rsidRPr="006E33DF">
        <w:rPr>
          <w:rFonts w:eastAsiaTheme="minorHAnsi"/>
        </w:rPr>
        <w:t>specific defence</w:t>
      </w:r>
      <w:r>
        <w:rPr>
          <w:rFonts w:eastAsiaTheme="minorHAnsi"/>
        </w:rPr>
        <w:t>s</w:t>
      </w:r>
      <w:r w:rsidRPr="006E33DF">
        <w:rPr>
          <w:rFonts w:eastAsiaTheme="minorHAnsi"/>
        </w:rPr>
        <w:t>) to this offence, stating that the offence does not apply if</w:t>
      </w:r>
      <w:r>
        <w:rPr>
          <w:rFonts w:eastAsiaTheme="minorHAnsi"/>
        </w:rPr>
        <w:t xml:space="preserve"> the protected information:</w:t>
      </w:r>
    </w:p>
    <w:p w:rsidR="000E264E" w:rsidRDefault="000E264E" w:rsidP="000E264E">
      <w:pPr>
        <w:pStyle w:val="Bullet1"/>
        <w:rPr>
          <w:rFonts w:eastAsiaTheme="minorHAnsi"/>
        </w:rPr>
      </w:pPr>
      <w:r>
        <w:rPr>
          <w:rFonts w:eastAsiaTheme="minorHAnsi"/>
        </w:rPr>
        <w:t>is disclosed to an authorised deposit-taking institution (ADI) and is contained in the register of accountable persons kept by the Australian Prudential Regulation Authority (APRA);</w:t>
      </w:r>
      <w:r>
        <w:rPr>
          <w:rStyle w:val="FootnoteReference"/>
          <w:rFonts w:eastAsiaTheme="minorHAnsi"/>
        </w:rPr>
        <w:footnoteReference w:id="101"/>
      </w:r>
    </w:p>
    <w:p w:rsidR="000E264E" w:rsidRDefault="000E264E" w:rsidP="000E264E">
      <w:pPr>
        <w:pStyle w:val="Bullet1"/>
        <w:rPr>
          <w:rFonts w:eastAsiaTheme="minorHAnsi"/>
        </w:rPr>
      </w:pPr>
      <w:r>
        <w:rPr>
          <w:rFonts w:eastAsiaTheme="minorHAnsi"/>
        </w:rPr>
        <w:t>is disclosed to an individual, contains only personal information about that individual, and is information contained in the register of accountable persons;</w:t>
      </w:r>
      <w:r>
        <w:rPr>
          <w:rStyle w:val="FootnoteReference"/>
          <w:rFonts w:eastAsiaTheme="minorHAnsi"/>
        </w:rPr>
        <w:footnoteReference w:id="102"/>
      </w:r>
      <w:r>
        <w:rPr>
          <w:rFonts w:eastAsiaTheme="minorHAnsi"/>
        </w:rPr>
        <w:t xml:space="preserve"> or</w:t>
      </w:r>
    </w:p>
    <w:p w:rsidR="000E264E" w:rsidRDefault="000E264E" w:rsidP="000E264E">
      <w:pPr>
        <w:pStyle w:val="Bullet1"/>
        <w:rPr>
          <w:rFonts w:eastAsiaTheme="minorHAnsi"/>
        </w:rPr>
      </w:pPr>
      <w:r>
        <w:rPr>
          <w:rFonts w:eastAsiaTheme="minorHAnsi"/>
        </w:rPr>
        <w:t>is disclosed by APRA and discloses whether a person is disqualified from acting as an accountable person, or the reasons for such a decision.</w:t>
      </w:r>
      <w:r>
        <w:rPr>
          <w:rStyle w:val="FootnoteReference"/>
          <w:rFonts w:eastAsiaTheme="minorHAnsi"/>
        </w:rPr>
        <w:footnoteReference w:id="103"/>
      </w:r>
    </w:p>
    <w:p w:rsidR="000E264E" w:rsidRDefault="000E264E" w:rsidP="000E264E">
      <w:pPr>
        <w:pStyle w:val="Level115"/>
        <w:numPr>
          <w:ilvl w:val="0"/>
          <w:numId w:val="21"/>
        </w:numPr>
        <w:rPr>
          <w:rFonts w:eastAsiaTheme="minorHAnsi"/>
        </w:rPr>
      </w:pPr>
      <w:r>
        <w:rPr>
          <w:rFonts w:eastAsiaTheme="minorHAnsi"/>
        </w:rPr>
        <w:lastRenderedPageBreak/>
        <w:t>The explanatory memorandum states that these provisions would allow APRA to publicly disclose information about a decision it has taken to disqualify a person under the Banking Executive Accountability Regime.</w:t>
      </w:r>
      <w:r>
        <w:rPr>
          <w:rStyle w:val="FootnoteReference"/>
          <w:rFonts w:eastAsiaTheme="minorHAnsi"/>
        </w:rPr>
        <w:footnoteReference w:id="104"/>
      </w:r>
    </w:p>
    <w:p w:rsidR="000E264E" w:rsidRDefault="000E264E" w:rsidP="000E264E">
      <w:pPr>
        <w:pStyle w:val="Level115"/>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w:t>
      </w:r>
    </w:p>
    <w:p w:rsidR="000E264E" w:rsidRDefault="000E264E" w:rsidP="000E264E">
      <w:pPr>
        <w:pStyle w:val="Level115"/>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0E264E" w:rsidRPr="00ED4C2F" w:rsidRDefault="000E264E" w:rsidP="000E264E">
      <w:pPr>
        <w:pStyle w:val="Level115"/>
        <w:numPr>
          <w:ilvl w:val="0"/>
          <w:numId w:val="21"/>
        </w:numPr>
        <w:rPr>
          <w:rFonts w:eastAsiaTheme="minorHAnsi"/>
        </w:rPr>
      </w:pPr>
      <w:r w:rsidRPr="006E33DF">
        <w:rPr>
          <w:rFonts w:eastAsiaTheme="minorHAnsi"/>
        </w:rPr>
        <w:t xml:space="preserve">While </w:t>
      </w:r>
      <w:r>
        <w:rPr>
          <w:rFonts w:eastAsiaTheme="minorHAnsi"/>
        </w:rPr>
        <w:t xml:space="preserve">in this instance </w:t>
      </w:r>
      <w:r w:rsidRPr="006E33DF">
        <w:rPr>
          <w:rFonts w:eastAsiaTheme="minorHAnsi"/>
        </w:rPr>
        <w:t xml:space="preserve">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reversals of the evidential burden of proof in proposed </w:t>
      </w:r>
      <w:r>
        <w:rPr>
          <w:rFonts w:eastAsiaTheme="minorHAnsi"/>
        </w:rPr>
        <w:t>sub</w:t>
      </w:r>
      <w:r w:rsidRPr="006E33DF">
        <w:rPr>
          <w:rFonts w:eastAsiaTheme="minorHAnsi"/>
        </w:rPr>
        <w:t>section</w:t>
      </w:r>
      <w:r>
        <w:rPr>
          <w:rFonts w:eastAsiaTheme="minorHAnsi"/>
        </w:rPr>
        <w:t>s</w:t>
      </w:r>
      <w:r w:rsidRPr="006E33DF">
        <w:rPr>
          <w:rFonts w:eastAsiaTheme="minorHAnsi"/>
        </w:rPr>
        <w:t xml:space="preserve"> </w:t>
      </w:r>
      <w:r>
        <w:rPr>
          <w:rFonts w:eastAsiaTheme="minorHAnsi"/>
        </w:rPr>
        <w:t>(7D), (7E) and (7F)</w:t>
      </w:r>
      <w:r w:rsidRPr="006E33DF">
        <w:rPr>
          <w:rFonts w:eastAsiaTheme="minorHAnsi"/>
        </w:rPr>
        <w:t xml:space="preserve"> have not been </w:t>
      </w:r>
      <w:r w:rsidRPr="00ED4C2F">
        <w:rPr>
          <w:rFonts w:eastAsiaTheme="minorHAnsi"/>
        </w:rPr>
        <w:t>addressed in the explanatory materials.</w:t>
      </w:r>
    </w:p>
    <w:p w:rsidR="000E264E" w:rsidRPr="00490774" w:rsidRDefault="000E264E" w:rsidP="000E264E">
      <w:pPr>
        <w:pStyle w:val="Level115"/>
        <w:numPr>
          <w:ilvl w:val="0"/>
          <w:numId w:val="21"/>
        </w:numPr>
        <w:rPr>
          <w:b/>
        </w:rPr>
      </w:pPr>
      <w:r w:rsidRPr="00490774">
        <w:rPr>
          <w:b/>
        </w:rPr>
        <w:t xml:space="preserve">As the explanatory materials do not address this issue, the committee requests the Minister's advice as to why it is proposed to use offence-specific defences (which reverse the evidential burden of proof) in this instance. The committee's consideration of the appropriateness of a provision which reverses the burden of proof is assisted if it explicitly addresses relevant principles as set out in the </w:t>
      </w:r>
      <w:r w:rsidRPr="00490774">
        <w:rPr>
          <w:b/>
          <w:i/>
        </w:rPr>
        <w:t>Guide to Framing Commonwealth Offences</w:t>
      </w:r>
      <w:r w:rsidRPr="00490774">
        <w:rPr>
          <w:b/>
        </w:rPr>
        <w:t>.</w:t>
      </w:r>
      <w:r w:rsidRPr="00490774">
        <w:rPr>
          <w:rStyle w:val="FootnoteReference"/>
          <w:b/>
        </w:rPr>
        <w:footnoteReference w:id="105"/>
      </w:r>
    </w:p>
    <w:p w:rsidR="000E264E" w:rsidRDefault="000E264E" w:rsidP="000E264E">
      <w:pPr>
        <w:pStyle w:val="Level115"/>
        <w:tabs>
          <w:tab w:val="clear" w:pos="850"/>
        </w:tabs>
        <w:spacing w:after="240"/>
        <w:ind w:left="2268" w:right="2223"/>
      </w:pPr>
      <w:r>
        <w:pict>
          <v:rect id="_x0000_i1080" style="width:0;height:1.5pt" o:hralign="center" o:hrstd="t" o:hr="t" fillcolor="#a0a0a0" stroked="f"/>
        </w:pict>
      </w:r>
    </w:p>
    <w:p w:rsidR="000E264E" w:rsidRDefault="000E264E" w:rsidP="000E264E">
      <w:pPr>
        <w:pStyle w:val="Heading3"/>
      </w:pPr>
      <w:r>
        <w:t>Privilege against self-incrimination</w:t>
      </w:r>
      <w:r w:rsidRPr="004474CF">
        <w:rPr>
          <w:rStyle w:val="FootnoteReference"/>
          <w:b w:val="0"/>
        </w:rPr>
        <w:footnoteReference w:id="106"/>
      </w:r>
    </w:p>
    <w:p w:rsidR="000E264E" w:rsidRDefault="000E264E" w:rsidP="000E264E">
      <w:pPr>
        <w:pStyle w:val="Level115"/>
        <w:numPr>
          <w:ilvl w:val="0"/>
          <w:numId w:val="21"/>
        </w:numPr>
      </w:pPr>
      <w:r>
        <w:t xml:space="preserve">Subsection 52F(1) of the Act currently provides that a person is not excused from providing information to APRA under the Act or the </w:t>
      </w:r>
      <w:r w:rsidRPr="00ED7964">
        <w:rPr>
          <w:i/>
        </w:rPr>
        <w:t>Financial Sector (Collection of Data) Act 2001</w:t>
      </w:r>
      <w:r>
        <w:t xml:space="preserve"> on the ground that 'doing so would tend to incriminate the person or make the person liable to a penalty.' This provision therefore overrides the common law privilege against self-incrimination, which provides that a person cannot be required to answer questions or produce material which may tend to </w:t>
      </w:r>
      <w:r>
        <w:lastRenderedPageBreak/>
        <w:t>incriminate himself or herself.</w:t>
      </w:r>
      <w:r>
        <w:rPr>
          <w:rStyle w:val="FootnoteReference"/>
        </w:rPr>
        <w:footnoteReference w:id="107"/>
      </w:r>
      <w:r w:rsidRPr="00837335">
        <w:t xml:space="preserve"> </w:t>
      </w:r>
      <w:r>
        <w:t>Item 2 of Schedule 2 seeks to expand the scope of this existing abrogation of the privilege against self-incrimination by introducing additional requirements to produce a book, account or document or to sign a record.</w:t>
      </w:r>
    </w:p>
    <w:p w:rsidR="000E264E" w:rsidRDefault="000E264E" w:rsidP="000E264E">
      <w:pPr>
        <w:pStyle w:val="Level115"/>
        <w:numPr>
          <w:ilvl w:val="0"/>
          <w:numId w:val="21"/>
        </w:numPr>
      </w:pPr>
      <w:r>
        <w:t xml:space="preserve">Subsection 52F(2) provides a use immunity with respect to such self-incriminating information. It states that, in the case of individuals, the information provided 'is not admissible in evidence against the individual in criminal proceedings or in proceedings for the imposition of a penalty, other than proceedings in respect of the falsity of the information'. Items 3 to 5 seek to amend the terms of the corresponding use immunity to cover the expanded range of requirements (of producing a book, account or document or signing a record). </w:t>
      </w:r>
    </w:p>
    <w:p w:rsidR="000E264E" w:rsidRDefault="000E264E" w:rsidP="000E264E">
      <w:pPr>
        <w:pStyle w:val="Level115"/>
        <w:numPr>
          <w:ilvl w:val="0"/>
          <w:numId w:val="21"/>
        </w:numPr>
      </w:pPr>
      <w:r>
        <w:t>The committee recognises there may be certain circumstances in which the privilege against self-incrimination can be overridden. However, abrogating the privilege represents a serious loss of personal liberty. In considering whether it is appropriate to abrogate the privilege, the committee will consider whether the public benefit in doing so significantly outweighs the loss to personal liberty. The committee will also consider the extent to which the use of self-incriminating evidence is limited by use or derivative use immunity provisions.</w:t>
      </w:r>
      <w:r>
        <w:rPr>
          <w:rStyle w:val="FootnoteReference"/>
        </w:rPr>
        <w:footnoteReference w:id="108"/>
      </w:r>
      <w:r w:rsidRPr="00D60665">
        <w:t xml:space="preserve"> </w:t>
      </w:r>
      <w:r>
        <w:t xml:space="preserve">The committee notes that section 52F does not contain a derivative use immunity </w:t>
      </w:r>
      <w:r w:rsidRPr="009B1B83">
        <w:t>(meaning anything obtained as a</w:t>
      </w:r>
      <w:r>
        <w:t xml:space="preserve"> </w:t>
      </w:r>
      <w:r w:rsidRPr="009B1B83">
        <w:t>consequence of the requirement to produce a document or answer a question can be used against the person in criminal proceedings)</w:t>
      </w:r>
      <w:r>
        <w:t xml:space="preserve"> in its current form and that the proposed amendments would not introduce such an immunity.</w:t>
      </w:r>
    </w:p>
    <w:p w:rsidR="000E264E" w:rsidRDefault="000E264E" w:rsidP="000E264E">
      <w:pPr>
        <w:pStyle w:val="Level115"/>
        <w:numPr>
          <w:ilvl w:val="0"/>
          <w:numId w:val="21"/>
        </w:numPr>
      </w:pPr>
      <w:r>
        <w:t>The statement of compatibility gives a justification for why it is necessary to abrogate the privilege against self-incrimination, noting that the information which would be obtained by APRA is critical in performing its regulatory functions and this material and evidence is likely to only be available from certain individuals.'</w:t>
      </w:r>
      <w:r>
        <w:rPr>
          <w:rStyle w:val="FootnoteReference"/>
        </w:rPr>
        <w:footnoteReference w:id="109"/>
      </w:r>
      <w:r>
        <w:t xml:space="preserve"> The explanatory memorandum acknowledges that a use immunity has been provided but no derivative use immunity, which means that the book, account or documents, or the signed records can be used to gather other evidence against that person. However, it states that it is appropriate not to limit the use of the information, book, account or documents provided, or of the signed record of an examination, because </w:t>
      </w:r>
      <w:r>
        <w:lastRenderedPageBreak/>
        <w:t xml:space="preserve">doing so would 'significantly limit APRA's ability to regulate the </w:t>
      </w:r>
      <w:r w:rsidRPr="006D6393">
        <w:t>Banking Act</w:t>
      </w:r>
      <w:r>
        <w:rPr>
          <w:i/>
        </w:rPr>
        <w:t xml:space="preserve"> </w:t>
      </w:r>
      <w:r>
        <w:t>and address matters related to prudential risk.'</w:t>
      </w:r>
      <w:r>
        <w:rPr>
          <w:rStyle w:val="FootnoteReference"/>
        </w:rPr>
        <w:footnoteReference w:id="110"/>
      </w:r>
      <w:r>
        <w:t xml:space="preserve"> </w:t>
      </w:r>
    </w:p>
    <w:p w:rsidR="000E264E" w:rsidRDefault="000E264E" w:rsidP="000E264E">
      <w:pPr>
        <w:pStyle w:val="Level115"/>
        <w:numPr>
          <w:ilvl w:val="0"/>
          <w:numId w:val="21"/>
        </w:numPr>
      </w:pPr>
      <w:r>
        <w:t>However, it is not clear to the committee as to why the introduction of a derivative use immunity would undermine APRA's ability to perform its regulatory functions.</w:t>
      </w:r>
    </w:p>
    <w:p w:rsidR="000E264E" w:rsidRDefault="000E264E" w:rsidP="000E264E">
      <w:pPr>
        <w:pStyle w:val="Level115"/>
        <w:numPr>
          <w:ilvl w:val="0"/>
          <w:numId w:val="21"/>
        </w:numPr>
      </w:pPr>
      <w:r>
        <w:t>The committee also notes that the use immunity under subsection 52F(2) of the Act is only available if, before giving the information, the person claims that giving the information might tend to incriminate them or make them liable to a penalty'.</w:t>
      </w:r>
      <w:r>
        <w:rPr>
          <w:rStyle w:val="FootnoteReference"/>
        </w:rPr>
        <w:footnoteReference w:id="111"/>
      </w:r>
      <w:r>
        <w:t xml:space="preserve"> As noted above, items 4 and 5 of Schedule 2 seek to amend the wording of this limitation to accommodate the expanded requirement to also sign a record or produce a book, account or document. This has the potential to mean the use immunity could become unavailable simply because a person has not had adequate legal advice prior to an examination and therefore was not aware of the need to make a claim of self-incrimination prior to providing the information.</w:t>
      </w:r>
    </w:p>
    <w:p w:rsidR="000E264E" w:rsidRDefault="000E264E" w:rsidP="000E264E">
      <w:pPr>
        <w:pStyle w:val="Level115"/>
        <w:numPr>
          <w:ilvl w:val="0"/>
          <w:numId w:val="21"/>
        </w:numPr>
      </w:pPr>
      <w:r>
        <w:t>The committee notes that the explanatory materials provide no justification for this limitation, despite the bill seeking to expand the scope of both the abrogation and the associated use immunity on which the limitation would operate.</w:t>
      </w:r>
    </w:p>
    <w:p w:rsidR="000E264E" w:rsidRDefault="000E264E" w:rsidP="000E264E">
      <w:pPr>
        <w:pStyle w:val="Level115"/>
        <w:numPr>
          <w:ilvl w:val="0"/>
          <w:numId w:val="21"/>
        </w:numPr>
        <w:rPr>
          <w:b/>
        </w:rPr>
      </w:pPr>
      <w:r w:rsidRPr="00FC40D8">
        <w:rPr>
          <w:b/>
        </w:rPr>
        <w:t xml:space="preserve">The committee </w:t>
      </w:r>
      <w:r>
        <w:rPr>
          <w:b/>
        </w:rPr>
        <w:t xml:space="preserve">therefore </w:t>
      </w:r>
      <w:r w:rsidRPr="00FC40D8">
        <w:rPr>
          <w:b/>
        </w:rPr>
        <w:t>requests the Minister's advice as to</w:t>
      </w:r>
      <w:r>
        <w:rPr>
          <w:b/>
        </w:rPr>
        <w:t>:</w:t>
      </w:r>
    </w:p>
    <w:p w:rsidR="000E264E" w:rsidRPr="00446E93" w:rsidRDefault="000E264E" w:rsidP="000E264E">
      <w:pPr>
        <w:pStyle w:val="RecBullet1"/>
      </w:pPr>
      <w:r w:rsidRPr="00446E93">
        <w:t>the appropriateness of not providing a derivative use immunity with respect to the abrogation of the privilege against self-incrimination</w:t>
      </w:r>
      <w:r>
        <w:t>; and</w:t>
      </w:r>
      <w:r w:rsidRPr="00446E93">
        <w:t xml:space="preserve"> </w:t>
      </w:r>
    </w:p>
    <w:p w:rsidR="000E264E" w:rsidRPr="00446E93" w:rsidRDefault="000E264E" w:rsidP="000E264E">
      <w:pPr>
        <w:pStyle w:val="RecBullet1"/>
      </w:pPr>
      <w:r w:rsidRPr="00446E93">
        <w:t>the justification for limiti</w:t>
      </w:r>
      <w:r>
        <w:t>ng</w:t>
      </w:r>
      <w:r w:rsidRPr="00446E93">
        <w:t xml:space="preserve"> the use immunity to cases where a person has made a claim in advance of providing the potentia</w:t>
      </w:r>
      <w:r>
        <w:t>lly self-incriminating material.</w:t>
      </w:r>
    </w:p>
    <w:p w:rsidR="000E264E" w:rsidRPr="00C20AE1" w:rsidRDefault="000E264E" w:rsidP="000E264E">
      <w:pPr>
        <w:spacing w:after="240"/>
        <w:ind w:left="2268" w:right="2223"/>
      </w:pPr>
      <w:r>
        <w:pict>
          <v:rect id="_x0000_i1081" style="width:0;height:1.5pt" o:hralign="center" o:hrstd="t" o:hr="t" fillcolor="#a0a0a0" stroked="f"/>
        </w:pict>
      </w:r>
    </w:p>
    <w:p w:rsidR="000E264E" w:rsidRDefault="000E264E" w:rsidP="000E264E">
      <w:pPr>
        <w:pStyle w:val="Heading3"/>
      </w:pPr>
      <w:r>
        <w:t>Procedural fairness</w:t>
      </w:r>
      <w:r w:rsidRPr="00CF111A">
        <w:rPr>
          <w:rStyle w:val="FootnoteReference"/>
          <w:b w:val="0"/>
        </w:rPr>
        <w:footnoteReference w:id="112"/>
      </w:r>
    </w:p>
    <w:p w:rsidR="000E264E" w:rsidRDefault="000E264E" w:rsidP="000E264E">
      <w:pPr>
        <w:pStyle w:val="Level115"/>
        <w:numPr>
          <w:ilvl w:val="0"/>
          <w:numId w:val="21"/>
        </w:numPr>
      </w:pPr>
      <w:r>
        <w:t xml:space="preserve">Proposed section 61E contains provisions concerning who may be present at examinations conducted by APRA and provides powers to the investigator to regulate the conduct of the examinee's lawyer at such examinations. Proposed subsection 61E(4) provides that the examinee's lawyer may, 'at such times during the examination as the investigator determines', address the investigator and examine their client about matters on which the investigator has examined them. Proposed subsection 61E(5) provides that the investigator may require a person to stop </w:t>
      </w:r>
      <w:r>
        <w:lastRenderedPageBreak/>
        <w:t>addressing the investigator or examining them if, in the investigator's opinion, the person is trying to obstruct the examination by exercising rights under subsection (4). Failure to comply with this requirement would constitute a criminal offence subject to a maximum penalty of 30 penalty units.</w:t>
      </w:r>
      <w:r>
        <w:rPr>
          <w:rStyle w:val="FootnoteReference"/>
        </w:rPr>
        <w:footnoteReference w:id="113"/>
      </w:r>
      <w:r>
        <w:t xml:space="preserve"> The explanatory material does not explain the operation of, or justification for, these proposed measures, beyond restating the powers of the investigator to stop an examination or a line of inquiry if they believe the examinee's lawyer is obstructing the examination.</w:t>
      </w:r>
      <w:r>
        <w:rPr>
          <w:rStyle w:val="FootnoteReference"/>
        </w:rPr>
        <w:footnoteReference w:id="114"/>
      </w:r>
    </w:p>
    <w:p w:rsidR="000E264E" w:rsidRDefault="000E264E" w:rsidP="000E264E">
      <w:pPr>
        <w:pStyle w:val="Level115"/>
        <w:numPr>
          <w:ilvl w:val="0"/>
          <w:numId w:val="21"/>
        </w:numPr>
      </w:pPr>
      <w:r>
        <w:t>Given the complexity of matters that would be the focus of APRA examinations, it is likely that examinee's would often require legal assistance. The committee is concerned that these provisions appear to grant an investigator a broad discretion to limit the involvement of an examinee's lawyer.</w:t>
      </w:r>
    </w:p>
    <w:p w:rsidR="000E264E" w:rsidRDefault="000E264E" w:rsidP="000E264E">
      <w:pPr>
        <w:pStyle w:val="Level115"/>
        <w:numPr>
          <w:ilvl w:val="0"/>
          <w:numId w:val="21"/>
        </w:numPr>
      </w:pPr>
      <w:r>
        <w:t>In addition, following an examination, proposed subsection 61F(2) would allow an investigator to require the examinee to read, or have read to him or her, a written record of any statements made at the examination and the investigator may require the examinee to sign the written record. A signed record would be prima facie evidence in a proceeding and a failure to comply with a requirement to sign the record would be a criminal offence carrying a maximum penalty of 30 penalty units.</w:t>
      </w:r>
      <w:r>
        <w:rPr>
          <w:rStyle w:val="FootnoteReference"/>
        </w:rPr>
        <w:footnoteReference w:id="115"/>
      </w:r>
    </w:p>
    <w:p w:rsidR="000E264E" w:rsidRDefault="000E264E" w:rsidP="000E264E">
      <w:pPr>
        <w:pStyle w:val="Level115"/>
        <w:numPr>
          <w:ilvl w:val="0"/>
          <w:numId w:val="21"/>
        </w:numPr>
      </w:pPr>
      <w:r>
        <w:t>The committee notes that these provisions make no explicit allowance for an examinee to include in a record of examination, prior to signing it, any objections he or she may have as to its accuracy. The explanatory materials also provide no clarification as to whether this would be allowed.</w:t>
      </w:r>
    </w:p>
    <w:p w:rsidR="000E264E" w:rsidRDefault="000E264E" w:rsidP="000E264E">
      <w:pPr>
        <w:pStyle w:val="Level115"/>
        <w:numPr>
          <w:ilvl w:val="0"/>
          <w:numId w:val="21"/>
        </w:numPr>
      </w:pPr>
      <w:r>
        <w:t>Finally, proposed section 62AA addresses the operation of legal professional privilege in circumstances where a lawyer has been required under the Act to give information or produce a book, account or document and complying with such a requirement would disclose a privileged communication.</w:t>
      </w:r>
      <w:r>
        <w:rPr>
          <w:rStyle w:val="FootnoteReference"/>
        </w:rPr>
        <w:footnoteReference w:id="116"/>
      </w:r>
      <w:r>
        <w:t xml:space="preserve"> A lawyer would be entitled to refuse to comply with a requirement to produce information on the grounds that it is a privileged communication, unless the person to whom, or by or on behalf of whom, the communications was made consents to the lawyer complying with the requirement.</w:t>
      </w:r>
      <w:r>
        <w:rPr>
          <w:rStyle w:val="FootnoteReference"/>
        </w:rPr>
        <w:footnoteReference w:id="117"/>
      </w:r>
    </w:p>
    <w:p w:rsidR="000E264E" w:rsidRDefault="000E264E" w:rsidP="000E264E">
      <w:pPr>
        <w:pStyle w:val="Level115"/>
        <w:numPr>
          <w:ilvl w:val="0"/>
          <w:numId w:val="21"/>
        </w:numPr>
      </w:pPr>
      <w:r>
        <w:t xml:space="preserve">However, if a lawyer refuses to comply, he or she must provide the name and address, if known, to whom, or by or on behalf of whom, the required communication was made. The lawyer would also be required to provide sufficient particulars to identify the relevant document, book or account in which the </w:t>
      </w:r>
      <w:r>
        <w:lastRenderedPageBreak/>
        <w:t>communication was made. Failure to comply with these requirements would be a criminal offence carrying a maximum penalty of 30 penalty units.</w:t>
      </w:r>
    </w:p>
    <w:p w:rsidR="000E264E" w:rsidRDefault="000E264E" w:rsidP="000E264E">
      <w:pPr>
        <w:pStyle w:val="Level115"/>
        <w:numPr>
          <w:ilvl w:val="0"/>
          <w:numId w:val="21"/>
        </w:numPr>
      </w:pPr>
      <w:r>
        <w:t>The explanatory memorandum does not explain the effect of this provision in detail, merely referring to the fact that it allows a lawyer to refuse to comply with a requirement to give information or provide certain documents if they contain privileged communications.</w:t>
      </w:r>
      <w:r>
        <w:rPr>
          <w:rStyle w:val="FootnoteReference"/>
        </w:rPr>
        <w:footnoteReference w:id="118"/>
      </w:r>
    </w:p>
    <w:p w:rsidR="000E264E" w:rsidRDefault="000E264E" w:rsidP="000E264E">
      <w:pPr>
        <w:pStyle w:val="Level115"/>
        <w:numPr>
          <w:ilvl w:val="0"/>
          <w:numId w:val="21"/>
        </w:numPr>
        <w:rPr>
          <w:b/>
        </w:rPr>
      </w:pPr>
      <w:r w:rsidRPr="00012012">
        <w:rPr>
          <w:b/>
        </w:rPr>
        <w:t xml:space="preserve">The committee therefore requests the Minister's </w:t>
      </w:r>
      <w:r>
        <w:rPr>
          <w:b/>
        </w:rPr>
        <w:t xml:space="preserve">detailed </w:t>
      </w:r>
      <w:r w:rsidRPr="00012012">
        <w:rPr>
          <w:b/>
        </w:rPr>
        <w:t>advice as to</w:t>
      </w:r>
      <w:r>
        <w:rPr>
          <w:b/>
        </w:rPr>
        <w:t>:</w:t>
      </w:r>
    </w:p>
    <w:p w:rsidR="000E264E" w:rsidRDefault="000E264E" w:rsidP="000E264E">
      <w:pPr>
        <w:pStyle w:val="RecBullet1"/>
      </w:pPr>
      <w:r w:rsidRPr="00012012">
        <w:t>whether the discretion granted to an investigator to limit the involvement of an examinee's lawyer in a</w:t>
      </w:r>
      <w:r>
        <w:t>n</w:t>
      </w:r>
      <w:r w:rsidRPr="00012012">
        <w:t xml:space="preserve"> APRA examination will be subject to an overarching obligation that the examinee be given a fair hearing</w:t>
      </w:r>
      <w:r>
        <w:t>;</w:t>
      </w:r>
    </w:p>
    <w:p w:rsidR="000E264E" w:rsidRDefault="000E264E" w:rsidP="000E264E">
      <w:pPr>
        <w:pStyle w:val="RecBullet1"/>
      </w:pPr>
      <w:r w:rsidRPr="009033E5">
        <w:t>whether an examinee would be able to include in a record of examination any objections he or she may have as to it accuracy prior to signing it</w:t>
      </w:r>
      <w:r>
        <w:t>; and</w:t>
      </w:r>
    </w:p>
    <w:p w:rsidR="000E264E" w:rsidRDefault="000E264E" w:rsidP="000E264E">
      <w:pPr>
        <w:pStyle w:val="RecBullet1"/>
      </w:pPr>
      <w:r w:rsidRPr="00A271D4">
        <w:t>the extent</w:t>
      </w:r>
      <w:r>
        <w:t xml:space="preserve"> to which</w:t>
      </w:r>
      <w:r w:rsidRPr="00A271D4">
        <w:t xml:space="preserve"> </w:t>
      </w:r>
      <w:r>
        <w:t xml:space="preserve">the requirement that a lawyer must provide the name and address of a party to a privileged communication, and the particulars of the relevant document, book or account, </w:t>
      </w:r>
      <w:r w:rsidRPr="00A271D4">
        <w:t>would limit the application of legal professional privilege.</w:t>
      </w:r>
    </w:p>
    <w:p w:rsidR="000E264E" w:rsidRDefault="000E264E" w:rsidP="000E264E">
      <w:pPr>
        <w:pStyle w:val="RecBullet1"/>
        <w:sectPr w:rsidR="000E264E" w:rsidSect="00194588">
          <w:headerReference w:type="even" r:id="rId121"/>
          <w:headerReference w:type="default" r:id="rId122"/>
          <w:footerReference w:type="even" r:id="rId123"/>
          <w:footerReference w:type="default" r:id="rId124"/>
          <w:headerReference w:type="first" r:id="rId125"/>
          <w:footerReference w:type="first" r:id="rId126"/>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left"/>
      </w:pPr>
      <w:r w:rsidRPr="004D2C5C">
        <w:rPr>
          <w:rFonts w:asciiTheme="minorHAnsi" w:hAnsiTheme="minorHAnsi"/>
          <w:szCs w:val="26"/>
        </w:rPr>
        <w:lastRenderedPageBreak/>
        <w:t>Treasury Laws Amendment (Banking Measures 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Default="000E264E" w:rsidP="000E264E">
            <w:pPr>
              <w:spacing w:after="60"/>
              <w:rPr>
                <w:sz w:val="24"/>
                <w:szCs w:val="24"/>
              </w:rPr>
            </w:pPr>
            <w:r w:rsidRPr="00B847FE">
              <w:rPr>
                <w:sz w:val="24"/>
                <w:szCs w:val="24"/>
              </w:rPr>
              <w:t>This bill seeks to amend</w:t>
            </w:r>
            <w:r>
              <w:rPr>
                <w:sz w:val="24"/>
                <w:szCs w:val="24"/>
              </w:rPr>
              <w:t xml:space="preserve"> various Acts relating to banking, insurance, credit, registrable corporations and financial system regulation</w:t>
            </w:r>
          </w:p>
          <w:p w:rsidR="000E264E" w:rsidRDefault="000E264E" w:rsidP="000E264E">
            <w:pPr>
              <w:spacing w:after="60"/>
              <w:rPr>
                <w:sz w:val="24"/>
                <w:szCs w:val="24"/>
              </w:rPr>
            </w:pPr>
            <w:r>
              <w:rPr>
                <w:sz w:val="24"/>
                <w:szCs w:val="24"/>
              </w:rPr>
              <w:t>Schedule 1 amends the application of the provisions relating to non-Authorised Deposit-taking Institution (ADI) lenders</w:t>
            </w:r>
          </w:p>
          <w:p w:rsidR="000E264E" w:rsidRDefault="000E264E" w:rsidP="000E264E">
            <w:pPr>
              <w:spacing w:after="60"/>
              <w:rPr>
                <w:sz w:val="24"/>
                <w:szCs w:val="24"/>
              </w:rPr>
            </w:pPr>
            <w:r>
              <w:rPr>
                <w:sz w:val="24"/>
                <w:szCs w:val="24"/>
              </w:rPr>
              <w:t xml:space="preserve">Schedule 2 provides for consequential amendments to the </w:t>
            </w:r>
            <w:r>
              <w:rPr>
                <w:i/>
                <w:sz w:val="24"/>
                <w:szCs w:val="24"/>
              </w:rPr>
              <w:t>Banking Act 1959</w:t>
            </w:r>
            <w:r>
              <w:rPr>
                <w:sz w:val="24"/>
                <w:szCs w:val="24"/>
              </w:rPr>
              <w:t xml:space="preserve"> (Banking Act)</w:t>
            </w:r>
            <w:r>
              <w:rPr>
                <w:i/>
                <w:sz w:val="24"/>
                <w:szCs w:val="24"/>
              </w:rPr>
              <w:t xml:space="preserve"> </w:t>
            </w:r>
            <w:r>
              <w:rPr>
                <w:sz w:val="24"/>
                <w:szCs w:val="24"/>
              </w:rPr>
              <w:t>in relation to non-ADI lenders</w:t>
            </w:r>
          </w:p>
          <w:p w:rsidR="000E264E" w:rsidRDefault="000E264E" w:rsidP="000E264E">
            <w:pPr>
              <w:spacing w:after="60"/>
              <w:rPr>
                <w:sz w:val="24"/>
                <w:szCs w:val="24"/>
              </w:rPr>
            </w:pPr>
            <w:r>
              <w:rPr>
                <w:sz w:val="24"/>
                <w:szCs w:val="24"/>
              </w:rPr>
              <w:t>Schedule 3 enables an ADI to assume or use the word 'bank' in its business name, unless the Australian Prudential Regulation Authority (APRA) has issued a determination preventing this</w:t>
            </w:r>
          </w:p>
          <w:p w:rsidR="000E264E" w:rsidRDefault="000E264E" w:rsidP="000E264E">
            <w:pPr>
              <w:spacing w:after="60"/>
              <w:rPr>
                <w:sz w:val="24"/>
                <w:szCs w:val="24"/>
              </w:rPr>
            </w:pPr>
            <w:r>
              <w:rPr>
                <w:sz w:val="24"/>
                <w:szCs w:val="24"/>
              </w:rPr>
              <w:t>Schedule 4 inserts an objects provision in the Banking Act</w:t>
            </w:r>
          </w:p>
          <w:p w:rsidR="000E264E" w:rsidRPr="00164F49" w:rsidRDefault="000E264E" w:rsidP="000E264E">
            <w:pPr>
              <w:rPr>
                <w:sz w:val="24"/>
                <w:szCs w:val="24"/>
              </w:rPr>
            </w:pPr>
            <w:r>
              <w:rPr>
                <w:sz w:val="24"/>
                <w:szCs w:val="24"/>
              </w:rPr>
              <w:t xml:space="preserve">Schedule 5 amends the </w:t>
            </w:r>
            <w:r>
              <w:rPr>
                <w:i/>
                <w:sz w:val="24"/>
                <w:szCs w:val="24"/>
              </w:rPr>
              <w:t>National Consumer Credit Protection Act 2009</w:t>
            </w:r>
            <w:r>
              <w:rPr>
                <w:sz w:val="24"/>
                <w:szCs w:val="24"/>
              </w:rPr>
              <w:t xml:space="preserve"> in relation to credit card contracts</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Treasury</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19 October 2917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w:t>
            </w:r>
          </w:p>
        </w:tc>
        <w:tc>
          <w:tcPr>
            <w:tcW w:w="6582" w:type="dxa"/>
            <w:tcBorders>
              <w:left w:val="single" w:sz="12" w:space="0" w:color="auto"/>
              <w:bottom w:val="single" w:sz="12" w:space="0" w:color="auto"/>
            </w:tcBorders>
          </w:tcPr>
          <w:p w:rsidR="000E264E" w:rsidRDefault="000E264E" w:rsidP="000E264E">
            <w:pPr>
              <w:rPr>
                <w:sz w:val="24"/>
                <w:szCs w:val="24"/>
              </w:rPr>
            </w:pPr>
            <w:r w:rsidRPr="00B847FE">
              <w:rPr>
                <w:sz w:val="24"/>
                <w:szCs w:val="24"/>
              </w:rPr>
              <w:t>Standing Order 24(1)(a)</w:t>
            </w:r>
            <w:r>
              <w:rPr>
                <w:sz w:val="24"/>
                <w:szCs w:val="24"/>
              </w:rPr>
              <w:t>(iv) and (v)</w:t>
            </w:r>
          </w:p>
        </w:tc>
      </w:tr>
    </w:tbl>
    <w:p w:rsidR="000E264E" w:rsidRDefault="000E264E" w:rsidP="000E264E">
      <w:pPr>
        <w:pStyle w:val="Heading3"/>
        <w:spacing w:before="240"/>
      </w:pPr>
      <w:r>
        <w:t>Incorporation of material as in force from time to time</w:t>
      </w:r>
      <w:r w:rsidRPr="004474CF">
        <w:rPr>
          <w:rStyle w:val="FootnoteReference"/>
          <w:b w:val="0"/>
        </w:rPr>
        <w:footnoteReference w:id="119"/>
      </w:r>
    </w:p>
    <w:p w:rsidR="000E264E" w:rsidRPr="00DC209B" w:rsidRDefault="000E264E" w:rsidP="000E264E">
      <w:pPr>
        <w:pStyle w:val="Level116"/>
        <w:numPr>
          <w:ilvl w:val="0"/>
          <w:numId w:val="21"/>
        </w:numPr>
      </w:pPr>
      <w:r>
        <w:t xml:space="preserve">Proposed subsection 38C(7) provides that a rule may provide for a matter by applying, adopting or incorporating, with or without modification, any matter contained in any other instrument or other writing as in force or existing from time to time. </w:t>
      </w:r>
      <w:r w:rsidRPr="00DC209B">
        <w:t xml:space="preserve">The explanatory memorandum </w:t>
      </w:r>
      <w:r>
        <w:t>provides no explanation as to what type of instruments or documents may need to be applied, adopted or incorporated and does not explain why it would be necessary for the material to apply as in force or existing from time to time.</w:t>
      </w:r>
    </w:p>
    <w:p w:rsidR="000E264E" w:rsidRPr="00DC209B" w:rsidRDefault="000E264E" w:rsidP="000E264E">
      <w:pPr>
        <w:pStyle w:val="Level116"/>
        <w:numPr>
          <w:ilvl w:val="0"/>
          <w:numId w:val="21"/>
        </w:numPr>
      </w:pPr>
      <w:r w:rsidRPr="00DC209B">
        <w:t>At a general level, the committee will have scrutiny concerns where provisions in a bill allow the incorporation of legislative provisions by reference to other documents because such an approach:</w:t>
      </w:r>
    </w:p>
    <w:p w:rsidR="000E264E" w:rsidRPr="00DC209B" w:rsidRDefault="000E264E" w:rsidP="000E264E">
      <w:pPr>
        <w:pStyle w:val="Bullet1"/>
      </w:pPr>
      <w:r w:rsidRPr="00DC209B">
        <w:t>raises the prospect of changes being made to the law in the absence of Parliamentary scrutiny</w:t>
      </w:r>
      <w:r>
        <w:t xml:space="preserve">, (for example, where an external document is incorporated as in force 'from time to time' this would mean that any future </w:t>
      </w:r>
      <w:r>
        <w:lastRenderedPageBreak/>
        <w:t>changes to that document would operate to change the law without any involvement from Parliament)</w:t>
      </w:r>
      <w:r w:rsidRPr="00DC209B">
        <w:t>;</w:t>
      </w:r>
    </w:p>
    <w:p w:rsidR="000E264E" w:rsidRPr="00DC209B" w:rsidRDefault="000E264E" w:rsidP="000E264E">
      <w:pPr>
        <w:pStyle w:val="Bullet1"/>
      </w:pPr>
      <w:r w:rsidRPr="00DC209B">
        <w:t>can create uncertainty in the law; and</w:t>
      </w:r>
    </w:p>
    <w:p w:rsidR="000E264E" w:rsidRPr="00DC209B" w:rsidRDefault="000E264E" w:rsidP="000E264E">
      <w:pPr>
        <w:pStyle w:val="Bullet1"/>
      </w:pPr>
      <w:r w:rsidRPr="00DC209B">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0E264E" w:rsidRDefault="000E264E" w:rsidP="000E264E">
      <w:pPr>
        <w:pStyle w:val="Level116"/>
        <w:numPr>
          <w:ilvl w:val="0"/>
          <w:numId w:val="21"/>
        </w:numPr>
      </w:pPr>
      <w:r>
        <w:t>A</w:t>
      </w:r>
      <w:r w:rsidRPr="00DC209B">
        <w:t>s a matter of</w:t>
      </w:r>
      <w:r>
        <w:t xml:space="preserve"> general</w:t>
      </w:r>
      <w:r w:rsidRPr="00DC209B">
        <w:t xml:space="preserve"> principle, any member of the public should be able to freely and readily access the terms of the law.</w:t>
      </w:r>
      <w:r>
        <w:t xml:space="preserve"> Therefore, the committee's consistent scrutiny view is that </w:t>
      </w:r>
      <w:r w:rsidRPr="00DC209B">
        <w:t xml:space="preserve">where material </w:t>
      </w:r>
      <w:r>
        <w:t xml:space="preserve">is </w:t>
      </w:r>
      <w:r w:rsidRPr="00DC209B">
        <w:t xml:space="preserve">incorporated </w:t>
      </w:r>
      <w:r>
        <w:t xml:space="preserve">by reference </w:t>
      </w:r>
      <w:r w:rsidRPr="00DC209B">
        <w:t xml:space="preserve">into the law </w:t>
      </w:r>
      <w:r>
        <w:t>it should be</w:t>
      </w:r>
      <w:r w:rsidRPr="00DC209B">
        <w:t xml:space="preserve"> freely and readily available to all those wh</w:t>
      </w:r>
      <w:r>
        <w:t>o may be interested in the law.</w:t>
      </w:r>
    </w:p>
    <w:p w:rsidR="000E264E" w:rsidRDefault="000E264E" w:rsidP="000E264E">
      <w:pPr>
        <w:pStyle w:val="Level116"/>
        <w:numPr>
          <w:ilvl w:val="0"/>
          <w:numId w:val="21"/>
        </w:numPr>
      </w:pPr>
      <w:r w:rsidRPr="00DC209B">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w:t>
      </w:r>
      <w:r>
        <w:t>a detailed report on this issue.</w:t>
      </w:r>
      <w:r>
        <w:rPr>
          <w:rStyle w:val="FootnoteReference"/>
        </w:rPr>
        <w:footnoteReference w:id="120"/>
      </w:r>
      <w:r w:rsidRPr="00DC209B">
        <w:t xml:space="preserve"> This report comprehensively outlines the significant scrutiny concerns associated with the incorporation of material by reference, particularly where the incorporated ma</w:t>
      </w:r>
      <w:r>
        <w:t>terial is not freely available.</w:t>
      </w:r>
    </w:p>
    <w:p w:rsidR="000E264E" w:rsidRPr="006446D2" w:rsidRDefault="000E264E" w:rsidP="000E264E">
      <w:pPr>
        <w:pStyle w:val="Level116"/>
        <w:numPr>
          <w:ilvl w:val="0"/>
          <w:numId w:val="21"/>
        </w:numPr>
        <w:rPr>
          <w:b/>
        </w:rPr>
      </w:pPr>
      <w:r w:rsidRPr="006446D2">
        <w:rPr>
          <w:b/>
        </w:rPr>
        <w:t>Noting the above comments, the committee requests the Treasurer's advice as to the type of documents that it is envisaged may be applied, adopted or incorporated by reference under subsection 38C(7), whether these documents will be made freely available to all persons interested in the law and why it is necessary to apply the documents as in force or existing from time to time, rather than when the instrument is first made.</w:t>
      </w:r>
    </w:p>
    <w:p w:rsidR="000E264E" w:rsidRPr="00C20AE1" w:rsidRDefault="000E264E" w:rsidP="000E264E">
      <w:pPr>
        <w:spacing w:after="240"/>
        <w:ind w:left="2268" w:right="2223"/>
      </w:pPr>
      <w:r>
        <w:pict>
          <v:rect id="_x0000_i1082" style="width:0;height:1.5pt" o:hralign="center" o:hrstd="t" o:hr="t" fillcolor="#a0a0a0" stroked="f"/>
        </w:pict>
      </w:r>
    </w:p>
    <w:p w:rsidR="000E264E" w:rsidRDefault="000E264E" w:rsidP="000E264E">
      <w:pPr>
        <w:pStyle w:val="Heading3"/>
      </w:pPr>
      <w:r>
        <w:t>Consultation prior to making delegated legislation</w:t>
      </w:r>
      <w:r w:rsidRPr="004474CF">
        <w:rPr>
          <w:rStyle w:val="FootnoteReference"/>
          <w:b w:val="0"/>
        </w:rPr>
        <w:footnoteReference w:id="121"/>
      </w:r>
    </w:p>
    <w:p w:rsidR="000E264E" w:rsidRDefault="000E264E" w:rsidP="000E264E">
      <w:pPr>
        <w:pStyle w:val="Level116"/>
        <w:numPr>
          <w:ilvl w:val="0"/>
          <w:numId w:val="21"/>
        </w:numPr>
      </w:pPr>
      <w:r>
        <w:t xml:space="preserve">Proposed subsection 38F(4) states that APRA must consult with ASIC before making a non-ADI lender rule, or varying or revoking a non-ADI lender rule. The committee welcomes the inclusion of this specific consultation obligation, however, the committee notes that proposed subsection 38F(5) provides that a failure to comply with the consultation obligation does not invalidate the client money reporting rule. The explanatory memorandum provides no explanation as to why this </w:t>
      </w:r>
      <w:r>
        <w:lastRenderedPageBreak/>
        <w:t>clause, which appears to nullify the effect of imposing a requirement on APRA to consult with ASIC, has been included in the bill.</w:t>
      </w:r>
    </w:p>
    <w:p w:rsidR="000E264E" w:rsidRPr="009E4613" w:rsidRDefault="000E264E" w:rsidP="000E264E">
      <w:pPr>
        <w:pStyle w:val="Level116"/>
        <w:numPr>
          <w:ilvl w:val="0"/>
          <w:numId w:val="21"/>
        </w:numPr>
        <w:rPr>
          <w:b/>
        </w:rPr>
      </w:pPr>
      <w:r w:rsidRPr="009E4613">
        <w:rPr>
          <w:b/>
        </w:rPr>
        <w:t xml:space="preserve">The committee therefore requests the </w:t>
      </w:r>
      <w:r>
        <w:rPr>
          <w:b/>
        </w:rPr>
        <w:t>Treasur</w:t>
      </w:r>
      <w:r w:rsidRPr="009E4613">
        <w:rPr>
          <w:b/>
        </w:rPr>
        <w:t>er's advice as to the rationale for including a no-invalidity clause</w:t>
      </w:r>
      <w:r>
        <w:rPr>
          <w:b/>
        </w:rPr>
        <w:t xml:space="preserve"> in this provision,</w:t>
      </w:r>
      <w:r w:rsidRPr="009E4613">
        <w:rPr>
          <w:b/>
        </w:rPr>
        <w:t xml:space="preserve"> which </w:t>
      </w:r>
      <w:r>
        <w:rPr>
          <w:b/>
        </w:rPr>
        <w:t xml:space="preserve">has the effect </w:t>
      </w:r>
      <w:r w:rsidRPr="009E4613">
        <w:rPr>
          <w:b/>
        </w:rPr>
        <w:t>that a failure to appropriately consult prior to making a non-ADI lender rule will not invalidate the rule.</w:t>
      </w:r>
    </w:p>
    <w:p w:rsidR="000E264E" w:rsidRDefault="000E264E" w:rsidP="000E264E">
      <w:pPr>
        <w:pStyle w:val="Level116"/>
        <w:tabs>
          <w:tab w:val="clear" w:pos="850"/>
        </w:tabs>
        <w:sectPr w:rsidR="000E264E" w:rsidSect="00194588">
          <w:headerReference w:type="even" r:id="rId127"/>
          <w:headerReference w:type="default" r:id="rId128"/>
          <w:footerReference w:type="even" r:id="rId129"/>
          <w:footerReference w:type="default" r:id="rId130"/>
          <w:headerReference w:type="first" r:id="rId131"/>
          <w:footerReference w:type="first" r:id="rId132"/>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left"/>
      </w:pPr>
      <w:r w:rsidRPr="00D340C5">
        <w:rPr>
          <w:rFonts w:asciiTheme="minorHAnsi" w:hAnsiTheme="minorHAnsi"/>
          <w:szCs w:val="26"/>
        </w:rPr>
        <w:lastRenderedPageBreak/>
        <w:t>Treasury Laws Amendment (Enterprise Tax Plan Base Rate Entities)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85281E" w:rsidRDefault="000E264E" w:rsidP="000E264E">
            <w:pPr>
              <w:spacing w:after="60"/>
              <w:rPr>
                <w:sz w:val="24"/>
                <w:szCs w:val="24"/>
              </w:rPr>
            </w:pPr>
            <w:r w:rsidRPr="00B847FE">
              <w:rPr>
                <w:sz w:val="24"/>
                <w:szCs w:val="24"/>
              </w:rPr>
              <w:t>This bill seeks to amend</w:t>
            </w:r>
            <w:r>
              <w:rPr>
                <w:sz w:val="24"/>
                <w:szCs w:val="24"/>
              </w:rPr>
              <w:t xml:space="preserve"> the </w:t>
            </w:r>
            <w:r>
              <w:rPr>
                <w:i/>
                <w:sz w:val="24"/>
                <w:szCs w:val="24"/>
              </w:rPr>
              <w:t>Income Tax Rates Act 1986</w:t>
            </w:r>
            <w:r>
              <w:rPr>
                <w:sz w:val="24"/>
                <w:szCs w:val="24"/>
              </w:rPr>
              <w:t xml:space="preserve"> and the </w:t>
            </w:r>
            <w:r>
              <w:rPr>
                <w:i/>
                <w:sz w:val="24"/>
                <w:szCs w:val="24"/>
              </w:rPr>
              <w:t>Income Tax Assessment Act 1997</w:t>
            </w:r>
            <w:r>
              <w:rPr>
                <w:sz w:val="24"/>
                <w:szCs w:val="24"/>
              </w:rPr>
              <w:t xml:space="preserve"> to ensure that a corporate tax entity will not qualify for the lower corporate tax rate if more than 80 per cent of its assessable income is income of a passive nature</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Treasury</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House of Representatives on 18 October 2017</w:t>
            </w:r>
          </w:p>
        </w:tc>
      </w:tr>
    </w:tbl>
    <w:p w:rsidR="000E264E" w:rsidRDefault="000E264E" w:rsidP="000E264E"/>
    <w:p w:rsidR="000E264E" w:rsidRDefault="000E264E" w:rsidP="000E264E">
      <w:pPr>
        <w:pStyle w:val="Level117"/>
        <w:tabs>
          <w:tab w:val="clear" w:pos="850"/>
        </w:tabs>
        <w:jc w:val="center"/>
        <w:rPr>
          <w:i/>
        </w:rPr>
        <w:sectPr w:rsidR="000E264E" w:rsidSect="00194588">
          <w:headerReference w:type="even" r:id="rId133"/>
          <w:headerReference w:type="default" r:id="rId134"/>
          <w:footerReference w:type="even" r:id="rId135"/>
          <w:footerReference w:type="default" r:id="rId136"/>
          <w:headerReference w:type="first" r:id="rId137"/>
          <w:footerReference w:type="first" r:id="rId138"/>
          <w:pgSz w:w="11906" w:h="16838" w:code="9"/>
          <w:pgMar w:top="1440" w:right="1440" w:bottom="1202" w:left="1440" w:header="1134" w:footer="720" w:gutter="0"/>
          <w:cols w:space="720"/>
          <w:titlePg/>
        </w:sectPr>
      </w:pPr>
      <w:r>
        <w:rPr>
          <w:i/>
        </w:rPr>
        <w:t>The committee has no comment on this bill.</w:t>
      </w: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sidRPr="004D2C5C">
        <w:rPr>
          <w:rFonts w:asciiTheme="minorHAnsi" w:hAnsiTheme="minorHAnsi"/>
          <w:szCs w:val="26"/>
        </w:rPr>
        <w:lastRenderedPageBreak/>
        <w:t>Treasury Laws Amendment (Junior Minerals Exploration Incentive)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B847FE" w:rsidRDefault="000E264E" w:rsidP="000E264E">
            <w:pPr>
              <w:spacing w:after="60"/>
              <w:rPr>
                <w:sz w:val="24"/>
                <w:szCs w:val="24"/>
              </w:rPr>
            </w:pPr>
            <w:r w:rsidRPr="00B847FE">
              <w:rPr>
                <w:sz w:val="24"/>
                <w:szCs w:val="24"/>
              </w:rPr>
              <w:t xml:space="preserve">This bill seeks to </w:t>
            </w:r>
            <w:r>
              <w:rPr>
                <w:sz w:val="24"/>
                <w:szCs w:val="24"/>
              </w:rPr>
              <w:t>replace the former Exploration Development Incentive with the Junior Minerals Exploration Incentive</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Treasury</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E264E" w:rsidRPr="00B847FE" w:rsidRDefault="000E264E" w:rsidP="000E264E">
            <w:pPr>
              <w:rPr>
                <w:sz w:val="24"/>
                <w:szCs w:val="24"/>
              </w:rPr>
            </w:pPr>
            <w:r>
              <w:rPr>
                <w:sz w:val="24"/>
                <w:szCs w:val="24"/>
              </w:rPr>
              <w:t>House of Representatives on 19 October 2017</w:t>
            </w:r>
          </w:p>
        </w:tc>
      </w:tr>
    </w:tbl>
    <w:p w:rsidR="000E264E" w:rsidRDefault="000E264E" w:rsidP="000E264E"/>
    <w:p w:rsidR="000E264E" w:rsidRPr="00421502" w:rsidRDefault="000E264E" w:rsidP="000E264E">
      <w:pPr>
        <w:pStyle w:val="Level118"/>
        <w:tabs>
          <w:tab w:val="clear" w:pos="850"/>
        </w:tabs>
        <w:jc w:val="center"/>
        <w:rPr>
          <w:i/>
        </w:rPr>
      </w:pPr>
      <w:r>
        <w:rPr>
          <w:i/>
        </w:rPr>
        <w:t>The committee has no comment on this bill.</w:t>
      </w:r>
    </w:p>
    <w:p w:rsidR="000E264E" w:rsidRDefault="000E264E" w:rsidP="000E264E">
      <w:pPr>
        <w:pStyle w:val="Level118"/>
        <w:tabs>
          <w:tab w:val="clear" w:pos="850"/>
        </w:tabs>
        <w:sectPr w:rsidR="000E264E" w:rsidSect="00194588">
          <w:headerReference w:type="even" r:id="rId139"/>
          <w:headerReference w:type="default" r:id="rId140"/>
          <w:footerReference w:type="even" r:id="rId141"/>
          <w:footerReference w:type="default" r:id="rId142"/>
          <w:headerReference w:type="first" r:id="rId143"/>
          <w:footerReference w:type="first" r:id="rId144"/>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240"/>
        <w:jc w:val="both"/>
      </w:pPr>
      <w:r>
        <w:rPr>
          <w:rFonts w:asciiTheme="minorHAnsi" w:hAnsiTheme="minorHAnsi"/>
        </w:rPr>
        <w:lastRenderedPageBreak/>
        <w:t>Treasury Laws Amendment (National Housing and Homelessness Agreement)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E264E" w:rsidRPr="00B847FE" w:rsidTr="000E264E">
        <w:tc>
          <w:tcPr>
            <w:tcW w:w="2660" w:type="dxa"/>
            <w:tcBorders>
              <w:top w:val="single" w:sz="12" w:space="0" w:color="auto"/>
              <w:right w:val="single" w:sz="12" w:space="0" w:color="auto"/>
            </w:tcBorders>
          </w:tcPr>
          <w:p w:rsidR="000E264E" w:rsidRPr="00B847FE" w:rsidRDefault="000E264E" w:rsidP="000E264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E264E" w:rsidRPr="00B847FE" w:rsidRDefault="000E264E" w:rsidP="000E264E">
            <w:r w:rsidRPr="00B847FE">
              <w:rPr>
                <w:sz w:val="24"/>
                <w:szCs w:val="24"/>
              </w:rPr>
              <w:t>This bill seeks to amend</w:t>
            </w:r>
            <w:r>
              <w:rPr>
                <w:sz w:val="24"/>
                <w:szCs w:val="24"/>
              </w:rPr>
              <w:t xml:space="preserve"> </w:t>
            </w:r>
            <w:r w:rsidRPr="004A3F26">
              <w:rPr>
                <w:sz w:val="24"/>
                <w:szCs w:val="24"/>
              </w:rPr>
              <w:t xml:space="preserve">the </w:t>
            </w:r>
            <w:r w:rsidRPr="004A3F26">
              <w:rPr>
                <w:i/>
                <w:iCs/>
                <w:sz w:val="24"/>
                <w:szCs w:val="24"/>
              </w:rPr>
              <w:t>Federal Financial Relations Act 2009</w:t>
            </w:r>
            <w:r w:rsidRPr="004A3F26">
              <w:rPr>
                <w:sz w:val="24"/>
                <w:szCs w:val="24"/>
              </w:rPr>
              <w:t xml:space="preserve"> to</w:t>
            </w:r>
            <w:r>
              <w:rPr>
                <w:sz w:val="24"/>
                <w:szCs w:val="24"/>
              </w:rPr>
              <w:t xml:space="preserve"> </w:t>
            </w:r>
            <w:r w:rsidRPr="00AF3ECF">
              <w:rPr>
                <w:sz w:val="24"/>
                <w:szCs w:val="24"/>
              </w:rPr>
              <w:t>introduce new funding arrangements for Commonwealth support for housing and address homelessness and</w:t>
            </w:r>
            <w:r>
              <w:rPr>
                <w:sz w:val="24"/>
                <w:szCs w:val="24"/>
              </w:rPr>
              <w:t xml:space="preserve"> </w:t>
            </w:r>
            <w:r w:rsidRPr="00AF3ECF">
              <w:rPr>
                <w:sz w:val="24"/>
                <w:szCs w:val="24"/>
              </w:rPr>
              <w:t>repeal the National Special Purpose Payment for Housing Services.</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Portfolio</w:t>
            </w:r>
          </w:p>
        </w:tc>
        <w:tc>
          <w:tcPr>
            <w:tcW w:w="6582" w:type="dxa"/>
            <w:tcBorders>
              <w:left w:val="single" w:sz="12" w:space="0" w:color="auto"/>
            </w:tcBorders>
          </w:tcPr>
          <w:p w:rsidR="000E264E" w:rsidRPr="00B847FE" w:rsidRDefault="000E264E" w:rsidP="000E264E">
            <w:pPr>
              <w:rPr>
                <w:sz w:val="24"/>
                <w:szCs w:val="24"/>
              </w:rPr>
            </w:pPr>
            <w:r>
              <w:rPr>
                <w:sz w:val="24"/>
                <w:szCs w:val="24"/>
              </w:rPr>
              <w:t>Treasury</w:t>
            </w:r>
          </w:p>
        </w:tc>
      </w:tr>
      <w:tr w:rsidR="000E264E" w:rsidRPr="00B847FE" w:rsidTr="000E264E">
        <w:tc>
          <w:tcPr>
            <w:tcW w:w="2660" w:type="dxa"/>
            <w:tcBorders>
              <w:right w:val="single" w:sz="12" w:space="0" w:color="auto"/>
            </w:tcBorders>
          </w:tcPr>
          <w:p w:rsidR="000E264E" w:rsidRPr="00B847FE" w:rsidRDefault="000E264E" w:rsidP="000E264E">
            <w:pPr>
              <w:rPr>
                <w:b/>
                <w:sz w:val="24"/>
                <w:szCs w:val="24"/>
              </w:rPr>
            </w:pPr>
            <w:r w:rsidRPr="00B847FE">
              <w:rPr>
                <w:b/>
                <w:sz w:val="24"/>
                <w:szCs w:val="24"/>
              </w:rPr>
              <w:t>Introduced</w:t>
            </w:r>
          </w:p>
        </w:tc>
        <w:tc>
          <w:tcPr>
            <w:tcW w:w="6582" w:type="dxa"/>
            <w:tcBorders>
              <w:left w:val="single" w:sz="12" w:space="0" w:color="auto"/>
            </w:tcBorders>
          </w:tcPr>
          <w:p w:rsidR="000E264E" w:rsidRPr="00B847FE" w:rsidRDefault="000E264E" w:rsidP="000E264E">
            <w:pPr>
              <w:rPr>
                <w:sz w:val="24"/>
                <w:szCs w:val="24"/>
              </w:rPr>
            </w:pPr>
            <w:r>
              <w:rPr>
                <w:sz w:val="24"/>
                <w:szCs w:val="24"/>
              </w:rPr>
              <w:t>House of Representatives on 25 October 2017</w:t>
            </w:r>
          </w:p>
        </w:tc>
      </w:tr>
      <w:tr w:rsidR="000E264E" w:rsidRPr="00B847FE" w:rsidTr="000E264E">
        <w:tc>
          <w:tcPr>
            <w:tcW w:w="2660" w:type="dxa"/>
            <w:tcBorders>
              <w:bottom w:val="single" w:sz="12" w:space="0" w:color="auto"/>
              <w:right w:val="single" w:sz="12" w:space="0" w:color="auto"/>
            </w:tcBorders>
          </w:tcPr>
          <w:p w:rsidR="000E264E" w:rsidRPr="00B847FE" w:rsidRDefault="000E264E" w:rsidP="000E264E">
            <w:pPr>
              <w:rPr>
                <w:b/>
                <w:sz w:val="24"/>
                <w:szCs w:val="24"/>
              </w:rPr>
            </w:pPr>
            <w:r>
              <w:rPr>
                <w:b/>
                <w:sz w:val="24"/>
                <w:szCs w:val="24"/>
              </w:rPr>
              <w:t>Scrutiny principle</w:t>
            </w:r>
          </w:p>
        </w:tc>
        <w:tc>
          <w:tcPr>
            <w:tcW w:w="6582" w:type="dxa"/>
            <w:tcBorders>
              <w:left w:val="single" w:sz="12" w:space="0" w:color="auto"/>
              <w:bottom w:val="single" w:sz="12" w:space="0" w:color="auto"/>
            </w:tcBorders>
          </w:tcPr>
          <w:p w:rsidR="000E264E" w:rsidRDefault="000E264E" w:rsidP="000E264E">
            <w:pPr>
              <w:rPr>
                <w:sz w:val="24"/>
                <w:szCs w:val="24"/>
              </w:rPr>
            </w:pPr>
            <w:r>
              <w:rPr>
                <w:sz w:val="24"/>
                <w:szCs w:val="24"/>
              </w:rPr>
              <w:t>Standing order 24(1)(a)(v)</w:t>
            </w:r>
          </w:p>
        </w:tc>
      </w:tr>
    </w:tbl>
    <w:p w:rsidR="000E264E" w:rsidRDefault="000E264E" w:rsidP="000E264E">
      <w:pPr>
        <w:pStyle w:val="Heading3"/>
        <w:spacing w:before="240"/>
      </w:pPr>
      <w:r>
        <w:t>Exemption from disallowance</w:t>
      </w:r>
      <w:r w:rsidRPr="002F05AA">
        <w:rPr>
          <w:rStyle w:val="FootnoteReference"/>
          <w:b w:val="0"/>
        </w:rPr>
        <w:footnoteReference w:id="122"/>
      </w:r>
    </w:p>
    <w:p w:rsidR="000E264E" w:rsidRDefault="000E264E" w:rsidP="000E264E">
      <w:pPr>
        <w:pStyle w:val="Level119"/>
        <w:numPr>
          <w:ilvl w:val="0"/>
          <w:numId w:val="21"/>
        </w:numPr>
      </w:pPr>
      <w:r>
        <w:t>The bill seeks to introduce new funding arrangements between the Commonwealth and the States by repealing the current National Special Purpose Payment for Housing Services and replacing it with a new funding framework based on primary, supplementary and designated housing agreements. Proposed sections 15C and 15D seek to allow the Minister to make payments, by determination, to a State that is a party to a primary and a supplementary housing agreement, or to a designated agreement.</w:t>
      </w:r>
    </w:p>
    <w:p w:rsidR="000E264E" w:rsidRDefault="000E264E" w:rsidP="000E264E">
      <w:pPr>
        <w:pStyle w:val="Level119"/>
        <w:numPr>
          <w:ilvl w:val="0"/>
          <w:numId w:val="21"/>
        </w:numPr>
      </w:pPr>
      <w:r>
        <w:t xml:space="preserve">Proposed subsections 15C(2) and 15D(2) each provide that a determination made by the Minister is a legislative instrument but it is not subject to disallowance under section 42 of the </w:t>
      </w:r>
      <w:r w:rsidRPr="00D25F60">
        <w:rPr>
          <w:i/>
        </w:rPr>
        <w:t>Legislation Act 2003</w:t>
      </w:r>
      <w:r>
        <w:t xml:space="preserve">. </w:t>
      </w:r>
      <w:r w:rsidRPr="00C30981">
        <w:t>The committee expects that any exemption of delegated legislation from the usual disallowance process should be fully justified in the explanatory memorandum.</w:t>
      </w:r>
      <w:r w:rsidDel="00D25F60">
        <w:t xml:space="preserve"> </w:t>
      </w:r>
      <w:r>
        <w:t>In this instance, the explanatory memorandum justifies the exemption from the disallowance provisions on the grounds that the determinations 'facilitate the operation an intergovernmental scheme involving the Commonwealth and a State and are made for the purpose of that scheme', and that this arrangement is consistent with payment arrangements under other National Specific Purpose Payments and National Health Reform Payments.</w:t>
      </w:r>
      <w:r>
        <w:rPr>
          <w:rStyle w:val="FootnoteReference"/>
        </w:rPr>
        <w:footnoteReference w:id="123"/>
      </w:r>
    </w:p>
    <w:p w:rsidR="000E264E" w:rsidRDefault="000E264E" w:rsidP="000E264E">
      <w:pPr>
        <w:pStyle w:val="Level119"/>
        <w:numPr>
          <w:ilvl w:val="0"/>
          <w:numId w:val="21"/>
        </w:numPr>
      </w:pPr>
      <w:r>
        <w:t xml:space="preserve">The committee is of the view that the removal of parliamentary oversight is a serious matter. However, the committee notes that, in this instance, the removal of parliamentary oversight appears to be consistent with subparagraph 44(1)(a) of the </w:t>
      </w:r>
      <w:r w:rsidRPr="00C30981">
        <w:rPr>
          <w:i/>
        </w:rPr>
        <w:t>Legislative Act</w:t>
      </w:r>
      <w:r>
        <w:t xml:space="preserve"> </w:t>
      </w:r>
      <w:r w:rsidRPr="00C30981">
        <w:rPr>
          <w:i/>
        </w:rPr>
        <w:t>2003</w:t>
      </w:r>
      <w:r>
        <w:t xml:space="preserve">, which provides that the section 42 disallowance process does </w:t>
      </w:r>
      <w:r>
        <w:lastRenderedPageBreak/>
        <w:t>not apply to instruments if the enabling legislation ‘facilitates the establishment or operation of an intergovernmental body or scheme’.</w:t>
      </w:r>
    </w:p>
    <w:p w:rsidR="000E264E" w:rsidRPr="002869D9" w:rsidRDefault="000E264E" w:rsidP="000E264E">
      <w:pPr>
        <w:pStyle w:val="Level119"/>
        <w:numPr>
          <w:ilvl w:val="0"/>
          <w:numId w:val="21"/>
        </w:numPr>
        <w:rPr>
          <w:b/>
        </w:rPr>
      </w:pPr>
      <w:r w:rsidRPr="002869D9">
        <w:rPr>
          <w:b/>
        </w:rPr>
        <w:t>The committee draws its scrutiny concerns to the attention of Senators and leaves to the Senate as a whole the appropriateness of exempting these determinations from disallowance.</w:t>
      </w:r>
    </w:p>
    <w:p w:rsidR="000E264E" w:rsidRDefault="000E264E" w:rsidP="000E264E">
      <w:pPr>
        <w:pStyle w:val="Level119"/>
        <w:tabs>
          <w:tab w:val="clear" w:pos="850"/>
        </w:tabs>
        <w:ind w:left="2268" w:right="2222"/>
      </w:pPr>
      <w:r>
        <w:pict>
          <v:rect id="_x0000_i1083" style="width:0;height:1.5pt" o:hralign="center" o:hrstd="t" o:hr="t" fillcolor="#a0a0a0" stroked="f"/>
        </w:pict>
      </w:r>
    </w:p>
    <w:p w:rsidR="000E264E" w:rsidRDefault="000E264E" w:rsidP="000E264E">
      <w:pPr>
        <w:pStyle w:val="Heading3"/>
      </w:pPr>
      <w:r>
        <w:t>Parliamentary scrutiny—section 96 grants to the States</w:t>
      </w:r>
      <w:r w:rsidRPr="004474CF">
        <w:rPr>
          <w:rStyle w:val="FootnoteReference"/>
          <w:b w:val="0"/>
        </w:rPr>
        <w:footnoteReference w:id="124"/>
      </w:r>
    </w:p>
    <w:p w:rsidR="000E264E" w:rsidRDefault="000E264E" w:rsidP="000E264E">
      <w:pPr>
        <w:pStyle w:val="Level119"/>
        <w:numPr>
          <w:ilvl w:val="0"/>
          <w:numId w:val="21"/>
        </w:numPr>
      </w:pPr>
      <w:r>
        <w:t>With respect to primary and supplementary housing agreements, proposed section 15C sets out a number of terms and conditions under which financial assistance will be payable to a state or territory. These conditions include that the State must have and make publicly accessible both a housing strategy and a homelessness strategy; match the financial assistance provided by the Commonwealth in relation to homelessness; and provide relevant information to the Minister.</w:t>
      </w:r>
      <w:r>
        <w:rPr>
          <w:rStyle w:val="FootnoteReference"/>
        </w:rPr>
        <w:footnoteReference w:id="125"/>
      </w:r>
    </w:p>
    <w:p w:rsidR="000E264E" w:rsidRDefault="000E264E" w:rsidP="000E264E">
      <w:pPr>
        <w:pStyle w:val="Level119"/>
        <w:numPr>
          <w:ilvl w:val="0"/>
          <w:numId w:val="21"/>
        </w:numPr>
      </w:pPr>
      <w:r>
        <w:t>However, in contrast, proposed subsection 15D(4) states that financial assistance is payable subject only to such additional terms and conditions, if any, as are set out in the designated housing agreement itself. The explanatory memorandum states that designated housing agreements will not be contingent on a primary or supplementary housing agreement, but does not further explain the decision not to include any terms and conditions applicable to designated agreements in the bill.</w:t>
      </w:r>
    </w:p>
    <w:p w:rsidR="000E264E" w:rsidRDefault="000E264E" w:rsidP="000E264E">
      <w:pPr>
        <w:pStyle w:val="Level119"/>
        <w:numPr>
          <w:ilvl w:val="0"/>
          <w:numId w:val="21"/>
        </w:numPr>
      </w:pPr>
      <w:r>
        <w:t>The committee notes that the bill also contains no provisions that would require the Minister to table in Parliament, or publish on the internet, primary, supplementary or designated housing agreements made under the new funding arrangements.</w:t>
      </w:r>
    </w:p>
    <w:p w:rsidR="000E264E" w:rsidRDefault="000E264E" w:rsidP="000E264E">
      <w:pPr>
        <w:pStyle w:val="Level119"/>
        <w:numPr>
          <w:ilvl w:val="0"/>
          <w:numId w:val="21"/>
        </w:numPr>
      </w:pPr>
      <w:r w:rsidRPr="00A8660E">
        <w:t>The committee takes this opportunity to highlight that the power to make grants to the States and to determine terms and conditions attaching to them is conferred on the Parliament by section 96 of the Constitution.</w:t>
      </w:r>
      <w:r>
        <w:rPr>
          <w:rStyle w:val="FootnoteReference"/>
        </w:rPr>
        <w:footnoteReference w:id="126"/>
      </w:r>
      <w:r w:rsidRPr="00A8660E">
        <w:t xml:space="preserve"> Where the Parliament delegates this power to the executive, the committee considers that it is appropriate that the exercise of this power be subject to at least some level of parliamentary scrutiny, particularly noting the terms of section 96 of the Constitution and the role of Senators in representing the people of their State or Territory.</w:t>
      </w:r>
      <w:r>
        <w:t xml:space="preserve"> While some information in relation to grants to the States is publicly available, the </w:t>
      </w:r>
      <w:r>
        <w:lastRenderedPageBreak/>
        <w:t>committee has previously noted that effective parliamentary scrutiny is difficult because the information is only available in disparate sources.</w:t>
      </w:r>
    </w:p>
    <w:p w:rsidR="000E264E" w:rsidRPr="001E0293" w:rsidRDefault="000E264E" w:rsidP="000E264E">
      <w:pPr>
        <w:pStyle w:val="Level119"/>
        <w:numPr>
          <w:ilvl w:val="0"/>
          <w:numId w:val="21"/>
        </w:numPr>
        <w:rPr>
          <w:b/>
        </w:rPr>
      </w:pPr>
      <w:r w:rsidRPr="001E0293">
        <w:rPr>
          <w:b/>
        </w:rPr>
        <w:t>Noting this, and the fact that the terms and conditions of financial assistance made available under a designated housing agreement may be of significance to housing and homelessness policy generally, the committee suggests it may be appropriate for the bill to be amended to:</w:t>
      </w:r>
    </w:p>
    <w:p w:rsidR="000E264E" w:rsidRPr="001E0293" w:rsidRDefault="000E264E" w:rsidP="000E264E">
      <w:pPr>
        <w:pStyle w:val="Bullet1"/>
        <w:rPr>
          <w:b/>
        </w:rPr>
      </w:pPr>
      <w:r w:rsidRPr="001E0293">
        <w:rPr>
          <w:b/>
        </w:rPr>
        <w:t xml:space="preserve">include some high-level guidance as to the terms and conditions that States will be required to comply with in order to receive payments of financial assistance under </w:t>
      </w:r>
      <w:r>
        <w:rPr>
          <w:b/>
        </w:rPr>
        <w:t>a designated housing agreement</w:t>
      </w:r>
      <w:r w:rsidRPr="001E0293">
        <w:rPr>
          <w:b/>
        </w:rPr>
        <w:t xml:space="preserve">; and </w:t>
      </w:r>
    </w:p>
    <w:p w:rsidR="000E264E" w:rsidRPr="001E0293" w:rsidRDefault="000E264E" w:rsidP="000E264E">
      <w:pPr>
        <w:pStyle w:val="Bullet1"/>
        <w:rPr>
          <w:b/>
        </w:rPr>
      </w:pPr>
      <w:r w:rsidRPr="001E0293">
        <w:rPr>
          <w:b/>
        </w:rPr>
        <w:t>include a legislative requirement that any primary, supplementary or designated housing agreements are:</w:t>
      </w:r>
    </w:p>
    <w:p w:rsidR="000E264E" w:rsidRPr="001E0293" w:rsidRDefault="000E264E" w:rsidP="000E264E">
      <w:pPr>
        <w:pStyle w:val="Bullet4"/>
        <w:rPr>
          <w:b/>
        </w:rPr>
      </w:pPr>
      <w:r w:rsidRPr="001E0293">
        <w:rPr>
          <w:b/>
        </w:rPr>
        <w:t>tabled in the Parliament within 15 sitting days of being made, and</w:t>
      </w:r>
    </w:p>
    <w:p w:rsidR="000E264E" w:rsidRDefault="000E264E" w:rsidP="000E264E">
      <w:pPr>
        <w:pStyle w:val="Bullet4"/>
        <w:rPr>
          <w:b/>
        </w:rPr>
      </w:pPr>
      <w:r w:rsidRPr="001E0293">
        <w:rPr>
          <w:b/>
        </w:rPr>
        <w:t>published on the internet within 30 days of being made.</w:t>
      </w:r>
    </w:p>
    <w:p w:rsidR="000E264E" w:rsidRPr="002869D9" w:rsidRDefault="000E264E" w:rsidP="000E264E">
      <w:pPr>
        <w:pStyle w:val="Level119"/>
        <w:numPr>
          <w:ilvl w:val="0"/>
          <w:numId w:val="21"/>
        </w:numPr>
        <w:rPr>
          <w:b/>
        </w:rPr>
      </w:pPr>
      <w:r w:rsidRPr="002869D9">
        <w:rPr>
          <w:b/>
        </w:rPr>
        <w:t>The committee seeks the Minister's advice in relation to the above.</w:t>
      </w:r>
    </w:p>
    <w:p w:rsidR="000E264E" w:rsidRDefault="000E264E" w:rsidP="000E264E">
      <w:pPr>
        <w:spacing w:after="240"/>
        <w:ind w:left="2268" w:right="2223"/>
        <w:sectPr w:rsidR="000E264E" w:rsidSect="00194588">
          <w:headerReference w:type="even" r:id="rId145"/>
          <w:headerReference w:type="default" r:id="rId146"/>
          <w:footerReference w:type="even" r:id="rId147"/>
          <w:footerReference w:type="default" r:id="rId148"/>
          <w:headerReference w:type="first" r:id="rId149"/>
          <w:footerReference w:type="first" r:id="rId150"/>
          <w:pgSz w:w="11906" w:h="16838" w:code="9"/>
          <w:pgMar w:top="1440" w:right="1440" w:bottom="1202" w:left="1440" w:header="1134" w:footer="720" w:gutter="0"/>
          <w:cols w:space="720"/>
          <w:titlePg/>
        </w:sectPr>
      </w:pPr>
    </w:p>
    <w:p w:rsidR="000E264E" w:rsidRDefault="000E264E" w:rsidP="000E264E">
      <w:pPr>
        <w:sectPr w:rsidR="000E264E" w:rsidSect="000E264E">
          <w:type w:val="continuous"/>
          <w:pgSz w:w="11906" w:h="16838" w:code="9"/>
          <w:pgMar w:top="1440" w:right="1440" w:bottom="1202" w:left="1440" w:header="1134" w:footer="720" w:gutter="0"/>
          <w:cols w:space="720"/>
          <w:titlePg/>
        </w:sectPr>
      </w:pPr>
    </w:p>
    <w:p w:rsidR="000E264E" w:rsidRDefault="000E264E" w:rsidP="000E264E">
      <w:pPr>
        <w:pStyle w:val="Heading1"/>
        <w:spacing w:after="360"/>
      </w:pPr>
      <w:r>
        <w:lastRenderedPageBreak/>
        <w:t>Commentary on amendments</w:t>
      </w:r>
      <w:r>
        <w:br/>
        <w:t>and explanatory materials</w:t>
      </w:r>
    </w:p>
    <w:p w:rsidR="000E264E" w:rsidRDefault="000E264E" w:rsidP="000E264E">
      <w:pPr>
        <w:pStyle w:val="Heading3"/>
        <w:spacing w:after="0"/>
      </w:pPr>
      <w:r>
        <w:t>Criminal Code Amendment (Firearms Trafficking) Bill 2017</w:t>
      </w:r>
    </w:p>
    <w:p w:rsidR="000E264E" w:rsidRDefault="000E264E" w:rsidP="000E264E">
      <w:pPr>
        <w:spacing w:before="0"/>
        <w:rPr>
          <w:b/>
          <w:i/>
          <w:sz w:val="24"/>
          <w:szCs w:val="24"/>
        </w:rPr>
      </w:pPr>
      <w:r>
        <w:rPr>
          <w:b/>
          <w:i/>
          <w:sz w:val="24"/>
          <w:szCs w:val="24"/>
        </w:rPr>
        <w:t>[Digest 3/17]</w:t>
      </w:r>
    </w:p>
    <w:p w:rsidR="000E264E" w:rsidRDefault="000E264E" w:rsidP="000E264E">
      <w:pPr>
        <w:pStyle w:val="Level120"/>
        <w:numPr>
          <w:ilvl w:val="0"/>
          <w:numId w:val="38"/>
        </w:numPr>
      </w:pPr>
      <w:r>
        <w:t xml:space="preserve"> On 24 October 2017 the Minister for Justice (Mr Keenan) presented a supplementary explanatory memorandum. On 25 October 2017 the House of Representatives agreed to two Government amendments and the bill was read a third time.</w:t>
      </w:r>
    </w:p>
    <w:p w:rsidR="000E264E" w:rsidRDefault="000E264E" w:rsidP="000E264E">
      <w:pPr>
        <w:pStyle w:val="Level120"/>
        <w:numPr>
          <w:ilvl w:val="0"/>
          <w:numId w:val="38"/>
        </w:numPr>
      </w:pPr>
      <w:r>
        <w:t>The amendments to the bill provide mandatory minimum sentences of five years' imprisonment for firearms trafficking offences for offenders aged 18 and over.</w:t>
      </w:r>
    </w:p>
    <w:p w:rsidR="000E264E" w:rsidRDefault="000E264E" w:rsidP="000E264E">
      <w:pPr>
        <w:pStyle w:val="Level120"/>
        <w:numPr>
          <w:ilvl w:val="0"/>
          <w:numId w:val="38"/>
        </w:numPr>
      </w:pPr>
      <w:r w:rsidRPr="0099174D">
        <w:t>The committee has consistently noted that mandatory penalties necessarily undermine the discretion of judges to ensure that penalties imposed are proportionate in light of the individual circumstances of particular cases. While a court retains a discretion as to the non-parole period, a mandatory minimum sentence still requires that a person be subject to a penalty for that period (either in prison or subject to parole conditions).</w:t>
      </w:r>
    </w:p>
    <w:p w:rsidR="000E264E" w:rsidRPr="00104CF8" w:rsidRDefault="000E264E" w:rsidP="000E264E">
      <w:pPr>
        <w:pStyle w:val="Level120"/>
        <w:numPr>
          <w:ilvl w:val="0"/>
          <w:numId w:val="38"/>
        </w:numPr>
        <w:rPr>
          <w:b/>
        </w:rPr>
      </w:pPr>
      <w:r w:rsidRPr="00104CF8">
        <w:rPr>
          <w:b/>
        </w:rPr>
        <w:t>The committee draws its scrutiny concerns to the attention of Senators and leaves to the Senate as a whole the appropriateness of</w:t>
      </w:r>
      <w:r>
        <w:rPr>
          <w:b/>
        </w:rPr>
        <w:t xml:space="preserve"> imposing mandatory minimum sentences for firearm trafficking offences</w:t>
      </w:r>
      <w:r w:rsidRPr="00104CF8">
        <w:rPr>
          <w:b/>
        </w:rPr>
        <w:t>.</w:t>
      </w:r>
    </w:p>
    <w:p w:rsidR="000E264E" w:rsidRDefault="000E264E" w:rsidP="000E264E">
      <w:pPr>
        <w:pStyle w:val="Level120"/>
        <w:tabs>
          <w:tab w:val="clear" w:pos="850"/>
        </w:tabs>
        <w:spacing w:after="240"/>
        <w:ind w:left="2268" w:right="2223"/>
      </w:pPr>
      <w:r>
        <w:pict>
          <v:rect id="_x0000_i1084" style="width:0;height:1.5pt" o:hralign="center" o:hrstd="t" o:hr="t" fillcolor="#a0a0a0" stroked="f"/>
        </w:pict>
      </w:r>
    </w:p>
    <w:p w:rsidR="000E264E" w:rsidRDefault="000E264E" w:rsidP="000E264E">
      <w:pPr>
        <w:pStyle w:val="Heading3"/>
        <w:spacing w:before="240" w:after="0"/>
        <w:jc w:val="left"/>
        <w:rPr>
          <w:b w:val="0"/>
          <w:i/>
          <w:sz w:val="24"/>
          <w:szCs w:val="24"/>
        </w:rPr>
      </w:pPr>
      <w:r>
        <w:t>Industrial Chemicals Bill 2017 and related bills</w:t>
      </w:r>
      <w:r w:rsidRPr="00B27438">
        <w:rPr>
          <w:rStyle w:val="FootnoteReference"/>
          <w:b w:val="0"/>
        </w:rPr>
        <w:footnoteReference w:id="127"/>
      </w:r>
      <w:r>
        <w:br/>
      </w:r>
      <w:r>
        <w:rPr>
          <w:i/>
          <w:sz w:val="24"/>
          <w:szCs w:val="24"/>
        </w:rPr>
        <w:t>[Digest 6 &amp; 8/17]</w:t>
      </w:r>
    </w:p>
    <w:p w:rsidR="000E264E" w:rsidRDefault="000E264E" w:rsidP="000E264E">
      <w:pPr>
        <w:pStyle w:val="Level120"/>
        <w:numPr>
          <w:ilvl w:val="0"/>
          <w:numId w:val="38"/>
        </w:numPr>
      </w:pPr>
      <w:r>
        <w:t xml:space="preserve">On 17 October 2017 in the House of </w:t>
      </w:r>
      <w:r w:rsidRPr="00687BDE">
        <w:t>Representatives the Assistant Minister for Immigration and Border Protection (Mr Hawke) presented</w:t>
      </w:r>
      <w:r>
        <w:t xml:space="preserve"> addendums to the explanatory memoranda to these bills in response to concerns raised by the committee.</w:t>
      </w:r>
      <w:r w:rsidRPr="00360138">
        <w:rPr>
          <w:rStyle w:val="FootnoteReference"/>
        </w:rPr>
        <w:footnoteReference w:id="128"/>
      </w:r>
    </w:p>
    <w:p w:rsidR="000E264E" w:rsidRPr="00360138" w:rsidRDefault="000E264E" w:rsidP="000E264E">
      <w:pPr>
        <w:pStyle w:val="Level120"/>
        <w:numPr>
          <w:ilvl w:val="0"/>
          <w:numId w:val="38"/>
        </w:numPr>
        <w:rPr>
          <w:b/>
        </w:rPr>
      </w:pPr>
      <w:r w:rsidRPr="00360138">
        <w:rPr>
          <w:b/>
        </w:rPr>
        <w:t>The committee thanks the Assistant Minister for providing these addendums to the explanatory memoranda which includes key information previously requested by the committee.</w:t>
      </w:r>
    </w:p>
    <w:p w:rsidR="000E264E" w:rsidRDefault="000E264E" w:rsidP="000E264E">
      <w:pPr>
        <w:pStyle w:val="Level120"/>
        <w:tabs>
          <w:tab w:val="clear" w:pos="850"/>
        </w:tabs>
        <w:spacing w:after="240"/>
        <w:ind w:left="2268" w:right="2223"/>
      </w:pPr>
      <w:r>
        <w:pict>
          <v:rect id="_x0000_i1085" style="width:0;height:1.5pt" o:hralign="center" o:hrstd="t" o:hr="t" fillcolor="#a0a0a0" stroked="f"/>
        </w:pict>
      </w:r>
    </w:p>
    <w:p w:rsidR="000E264E" w:rsidRDefault="000E264E" w:rsidP="000E264E">
      <w:pPr>
        <w:pStyle w:val="Heading3"/>
        <w:spacing w:after="0"/>
      </w:pPr>
      <w:r>
        <w:lastRenderedPageBreak/>
        <w:t>National Disability Insurance Scheme Amendment (Quality and Safeguards Commission and Other Measures) Bill 2017</w:t>
      </w:r>
    </w:p>
    <w:p w:rsidR="000E264E" w:rsidRDefault="000E264E" w:rsidP="000E264E">
      <w:pPr>
        <w:pStyle w:val="Level120"/>
        <w:tabs>
          <w:tab w:val="clear" w:pos="850"/>
        </w:tabs>
        <w:spacing w:before="0"/>
      </w:pPr>
      <w:r>
        <w:rPr>
          <w:b/>
          <w:i/>
          <w:sz w:val="24"/>
          <w:szCs w:val="24"/>
        </w:rPr>
        <w:t>[Digest 6 &amp; 8 /17]</w:t>
      </w:r>
    </w:p>
    <w:p w:rsidR="000E264E" w:rsidRDefault="000E264E" w:rsidP="000E264E">
      <w:pPr>
        <w:pStyle w:val="Level120"/>
        <w:numPr>
          <w:ilvl w:val="0"/>
          <w:numId w:val="38"/>
        </w:numPr>
      </w:pPr>
      <w:r>
        <w:t>On 16 October 2017 the Minister for Defence (Senator Payne) tabled an addendum to the explanatory memorandum in response to concerns raised by the committee.</w:t>
      </w:r>
      <w:r w:rsidRPr="0099174D">
        <w:rPr>
          <w:rStyle w:val="FootnoteReference"/>
        </w:rPr>
        <w:footnoteReference w:id="129"/>
      </w:r>
    </w:p>
    <w:p w:rsidR="000E264E" w:rsidRPr="0099174D" w:rsidRDefault="000E264E" w:rsidP="000E264E">
      <w:pPr>
        <w:pStyle w:val="Level120"/>
        <w:numPr>
          <w:ilvl w:val="0"/>
          <w:numId w:val="38"/>
        </w:numPr>
        <w:spacing w:after="0"/>
        <w:rPr>
          <w:b/>
        </w:rPr>
      </w:pPr>
      <w:r w:rsidRPr="0099174D">
        <w:rPr>
          <w:b/>
        </w:rPr>
        <w:t>The committee thanks the Minis</w:t>
      </w:r>
      <w:r>
        <w:rPr>
          <w:b/>
        </w:rPr>
        <w:t>ter for providing this</w:t>
      </w:r>
      <w:r w:rsidRPr="0099174D">
        <w:rPr>
          <w:b/>
        </w:rPr>
        <w:t xml:space="preserve"> addendum to the explanatory memorandum which includes key information previously requested by the committee.</w:t>
      </w:r>
    </w:p>
    <w:p w:rsidR="000E264E" w:rsidRDefault="000E264E" w:rsidP="000E264E">
      <w:pPr>
        <w:spacing w:before="0" w:after="240"/>
        <w:ind w:left="2268" w:right="2223"/>
      </w:pPr>
      <w:r>
        <w:pict>
          <v:rect id="_x0000_i1086" style="width:0;height:1.5pt" o:hralign="center" o:hrstd="t" o:hr="t" fillcolor="#a0a0a0" stroked="f"/>
        </w:pict>
      </w:r>
    </w:p>
    <w:p w:rsidR="000E264E" w:rsidRDefault="000E264E" w:rsidP="000E264E">
      <w:pPr>
        <w:pStyle w:val="Heading3"/>
        <w:spacing w:after="0"/>
      </w:pPr>
      <w:r>
        <w:t>Veterans' Affairs Legislation Amendment (Omnibus) Bill 2017</w:t>
      </w:r>
    </w:p>
    <w:p w:rsidR="000E264E" w:rsidRDefault="000E264E" w:rsidP="000E264E">
      <w:pPr>
        <w:pStyle w:val="Level120"/>
        <w:tabs>
          <w:tab w:val="clear" w:pos="850"/>
        </w:tabs>
        <w:spacing w:before="0"/>
      </w:pPr>
      <w:r>
        <w:rPr>
          <w:b/>
          <w:i/>
          <w:sz w:val="24"/>
          <w:szCs w:val="24"/>
        </w:rPr>
        <w:t>[Digest /17]</w:t>
      </w:r>
    </w:p>
    <w:p w:rsidR="000E264E" w:rsidRDefault="000E264E" w:rsidP="000E264E">
      <w:pPr>
        <w:pStyle w:val="Level120"/>
        <w:numPr>
          <w:ilvl w:val="0"/>
          <w:numId w:val="38"/>
        </w:numPr>
      </w:pPr>
      <w:r>
        <w:t>On 26 October 2017 the House of Representatives agreed to 10 Government amendments, the Minister for Veterans' Affairs (Mr Tehan) presented a supplementary explanatory memorandum and the bill was read a third time.</w:t>
      </w:r>
    </w:p>
    <w:p w:rsidR="000E264E" w:rsidRDefault="000E264E" w:rsidP="000E264E">
      <w:pPr>
        <w:pStyle w:val="Level120"/>
        <w:numPr>
          <w:ilvl w:val="0"/>
          <w:numId w:val="38"/>
        </w:numPr>
      </w:pPr>
      <w:r>
        <w:t>Amendment 5 seeks to amend the bill to provide that instead of the Minister being empowered to delegate any of his or her functions or powers to a Commission member or any APS employee, the Minister can only delegate to a Commission member or an SES employee in the Department. This addresses concerns previously raised by the committee regarding the broad delegation of administrative powers.</w:t>
      </w:r>
      <w:r w:rsidRPr="0099174D">
        <w:rPr>
          <w:rStyle w:val="FootnoteReference"/>
        </w:rPr>
        <w:footnoteReference w:id="130"/>
      </w:r>
    </w:p>
    <w:p w:rsidR="000E264E" w:rsidRDefault="000E264E" w:rsidP="000E264E">
      <w:pPr>
        <w:pStyle w:val="Level120"/>
        <w:numPr>
          <w:ilvl w:val="0"/>
          <w:numId w:val="38"/>
        </w:numPr>
        <w:rPr>
          <w:b/>
        </w:rPr>
      </w:pPr>
      <w:r w:rsidRPr="0099174D">
        <w:rPr>
          <w:b/>
        </w:rPr>
        <w:t>The committee welcomes the amend</w:t>
      </w:r>
      <w:r>
        <w:rPr>
          <w:b/>
        </w:rPr>
        <w:t>ments</w:t>
      </w:r>
      <w:r w:rsidRPr="0099174D">
        <w:rPr>
          <w:b/>
        </w:rPr>
        <w:t xml:space="preserve"> t</w:t>
      </w:r>
      <w:r>
        <w:rPr>
          <w:b/>
        </w:rPr>
        <w:t>hat</w:t>
      </w:r>
      <w:r w:rsidRPr="0099174D">
        <w:rPr>
          <w:b/>
        </w:rPr>
        <w:t xml:space="preserve"> appropriately limit the categories of people to whom the Minister's powers and functions under the </w:t>
      </w:r>
      <w:r w:rsidRPr="0099174D">
        <w:rPr>
          <w:b/>
          <w:i/>
        </w:rPr>
        <w:t>Military Rehabilitation and Compensation Act 2004</w:t>
      </w:r>
      <w:r w:rsidRPr="0099174D">
        <w:rPr>
          <w:b/>
        </w:rPr>
        <w:t xml:space="preserve"> may be delegated.</w:t>
      </w:r>
    </w:p>
    <w:p w:rsidR="000E264E" w:rsidRPr="0099174D" w:rsidRDefault="000E264E" w:rsidP="000E264E">
      <w:pPr>
        <w:pStyle w:val="Level120"/>
        <w:tabs>
          <w:tab w:val="clear" w:pos="850"/>
        </w:tabs>
        <w:spacing w:after="0"/>
        <w:ind w:left="2268" w:right="2223"/>
        <w:rPr>
          <w:b/>
        </w:rPr>
      </w:pPr>
      <w:r>
        <w:pict>
          <v:rect id="_x0000_i1087" style="width:0;height:1.5pt" o:hralign="center" o:hrstd="t" o:hr="t" fillcolor="#a0a0a0" stroked="f"/>
        </w:pict>
      </w:r>
    </w:p>
    <w:p w:rsidR="000E264E" w:rsidRDefault="000E264E" w:rsidP="000E264E">
      <w:pPr>
        <w:pStyle w:val="Heading3"/>
      </w:pPr>
      <w:r>
        <w:t>No comments</w:t>
      </w:r>
    </w:p>
    <w:p w:rsidR="000E264E" w:rsidRDefault="000E264E" w:rsidP="000E264E">
      <w:pPr>
        <w:pStyle w:val="Level120"/>
        <w:numPr>
          <w:ilvl w:val="0"/>
          <w:numId w:val="38"/>
        </w:numPr>
      </w:pPr>
      <w:r>
        <w:t>The committee has no comments on amendments made or explanatory material relating to the following bills:</w:t>
      </w:r>
    </w:p>
    <w:p w:rsidR="000E264E" w:rsidRDefault="000E264E" w:rsidP="000E264E">
      <w:pPr>
        <w:pStyle w:val="Bullet1"/>
      </w:pPr>
      <w:r>
        <w:t>Competition and Consumer Amendment (Competition Policy Review) Bill 2017;</w:t>
      </w:r>
      <w:r>
        <w:rPr>
          <w:rStyle w:val="FootnoteReference"/>
        </w:rPr>
        <w:footnoteReference w:id="131"/>
      </w:r>
      <w:r>
        <w:t xml:space="preserve"> and</w:t>
      </w:r>
    </w:p>
    <w:p w:rsidR="000E264E" w:rsidRDefault="000E264E" w:rsidP="000E264E">
      <w:pPr>
        <w:pStyle w:val="Bullet1"/>
        <w:spacing w:before="120"/>
      </w:pPr>
      <w:r>
        <w:lastRenderedPageBreak/>
        <w:t>Customs Amendment (Singapore-Australia Free Trade Agreement Amendment Implementation) Bill 2017.</w:t>
      </w:r>
      <w:r>
        <w:rPr>
          <w:rStyle w:val="FootnoteReference"/>
        </w:rPr>
        <w:footnoteReference w:id="132"/>
      </w:r>
    </w:p>
    <w:p w:rsidR="000E264E" w:rsidRDefault="000E264E" w:rsidP="000E264E">
      <w:pPr>
        <w:pStyle w:val="Bullet1"/>
        <w:spacing w:before="120"/>
        <w:sectPr w:rsidR="000E264E" w:rsidSect="00194588">
          <w:headerReference w:type="even" r:id="rId151"/>
          <w:headerReference w:type="default" r:id="rId152"/>
          <w:footerReference w:type="even" r:id="rId153"/>
          <w:footerReference w:type="default" r:id="rId154"/>
          <w:headerReference w:type="first" r:id="rId155"/>
          <w:footerReference w:type="first" r:id="rId156"/>
          <w:pgSz w:w="11906" w:h="16838" w:code="9"/>
          <w:pgMar w:top="1440" w:right="1440" w:bottom="1202" w:left="1440" w:header="1134" w:footer="720" w:gutter="0"/>
          <w:cols w:space="720"/>
          <w:titlePg/>
        </w:sectPr>
      </w:pPr>
    </w:p>
    <w:p w:rsidR="000E264E" w:rsidRPr="00687415" w:rsidRDefault="000E264E" w:rsidP="000E264E">
      <w:pPr>
        <w:spacing w:before="0" w:after="0"/>
        <w:jc w:val="left"/>
      </w:pPr>
    </w:p>
    <w:p w:rsidR="006F5996" w:rsidRDefault="006F5996" w:rsidP="006F5996">
      <w:pPr>
        <w:pStyle w:val="Heading1"/>
      </w:pPr>
      <w:r>
        <w:t>Chapter 2</w:t>
      </w:r>
    </w:p>
    <w:p w:rsidR="006F5996" w:rsidRDefault="006F5996" w:rsidP="006F5996">
      <w:pPr>
        <w:pStyle w:val="Heading2"/>
        <w:spacing w:after="240"/>
        <w:rPr>
          <w:sz w:val="40"/>
          <w:szCs w:val="40"/>
        </w:rPr>
      </w:pPr>
      <w:r w:rsidRPr="00F63ABE">
        <w:rPr>
          <w:sz w:val="40"/>
          <w:szCs w:val="40"/>
        </w:rPr>
        <w:t>Commentary on ministerial responses</w:t>
      </w:r>
    </w:p>
    <w:p w:rsidR="006F5996" w:rsidRDefault="006F5996" w:rsidP="006F5996">
      <w:pPr>
        <w:pStyle w:val="Level1"/>
        <w:numPr>
          <w:ilvl w:val="0"/>
          <w:numId w:val="21"/>
        </w:numPr>
      </w:pPr>
      <w:r w:rsidRPr="0038661A">
        <w:t>This chapter considers the responses of ministers to matters prev</w:t>
      </w:r>
      <w:r>
        <w:t>iously raised by the committee.</w:t>
      </w:r>
    </w:p>
    <w:p w:rsidR="006F5996" w:rsidRPr="00085D0E" w:rsidRDefault="006F5996" w:rsidP="006F5996">
      <w:pPr>
        <w:pStyle w:val="Heading1"/>
        <w:spacing w:after="240"/>
        <w:jc w:val="both"/>
        <w:rPr>
          <w:rFonts w:asciiTheme="minorHAnsi" w:hAnsiTheme="minorHAnsi"/>
          <w:szCs w:val="40"/>
        </w:rPr>
      </w:pPr>
      <w:r w:rsidRPr="00085D0E">
        <w:rPr>
          <w:rFonts w:asciiTheme="minorHAnsi" w:hAnsiTheme="minorHAnsi" w:cs="Arial"/>
          <w:szCs w:val="40"/>
        </w:rPr>
        <w:t>Crimes Legislation Amendment (Sexual Crimes Against Children and Community Protection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5996" w:rsidRPr="00085D0E" w:rsidTr="006F5996">
        <w:tc>
          <w:tcPr>
            <w:tcW w:w="2660" w:type="dxa"/>
            <w:tcBorders>
              <w:top w:val="single" w:sz="12" w:space="0" w:color="auto"/>
              <w:right w:val="single" w:sz="12" w:space="0" w:color="auto"/>
            </w:tcBorders>
          </w:tcPr>
          <w:p w:rsidR="006F5996" w:rsidRPr="00085D0E" w:rsidRDefault="006F5996" w:rsidP="006F5996">
            <w:pPr>
              <w:rPr>
                <w:b/>
                <w:sz w:val="24"/>
                <w:szCs w:val="24"/>
              </w:rPr>
            </w:pPr>
            <w:r w:rsidRPr="00085D0E">
              <w:rPr>
                <w:b/>
                <w:sz w:val="24"/>
                <w:szCs w:val="24"/>
              </w:rPr>
              <w:t>Purpose</w:t>
            </w:r>
          </w:p>
        </w:tc>
        <w:tc>
          <w:tcPr>
            <w:tcW w:w="6582" w:type="dxa"/>
            <w:tcBorders>
              <w:top w:val="single" w:sz="12" w:space="0" w:color="auto"/>
              <w:left w:val="single" w:sz="12" w:space="0" w:color="auto"/>
            </w:tcBorders>
          </w:tcPr>
          <w:p w:rsidR="006F5996" w:rsidRPr="00085D0E" w:rsidRDefault="006F5996" w:rsidP="006F5996">
            <w:pPr>
              <w:numPr>
                <w:ilvl w:val="0"/>
                <w:numId w:val="13"/>
              </w:numPr>
              <w:spacing w:before="0" w:after="60"/>
              <w:rPr>
                <w:sz w:val="24"/>
                <w:szCs w:val="24"/>
              </w:rPr>
            </w:pPr>
            <w:r w:rsidRPr="00085D0E">
              <w:rPr>
                <w:sz w:val="24"/>
                <w:szCs w:val="24"/>
              </w:rPr>
              <w:t>This bill seeks to amend various Acts relating to criminal law to:</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 xml:space="preserve">insert community safety as a factor that can be taken into account to revoke the parole of a federal offender without notice; </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remove the requirement to seek leave before a recorded interview of a vulnerable witness can be admitted as evidence in chief;</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prevent children and other vulnerable witnesses from being cross-examined at committal proceedings;</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insert new aggravated offences for child sexual abuse that involves subjecting the child to cruel, inhuman or degrading treatment, or which causes the death of the child;</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insert new offences to criminalise the grooming of third parties for the purpose of procuring a child for sexual activity and to criminalise the provision of an electronic service to facilitate dealings with child abuse material online;</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 xml:space="preserve">increase the maximum penalties for certain Commonwealth child sex offences and for breach of the obligation on internet service providers and internet content hosts to report child abuse material to police; </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introduce a mandatory sentencing scheme to apply to the Commonwealth child sex offences that attract the highest maximum penalties, and all other Commonwealth child sex offences if the offender is a repeat child sex offender;</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insert a presumption against bail for Commonwealth child sex offences that attract the highest maximum penalties;</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 xml:space="preserve">revise the factors which must be taken into account when sentencing all federal offenders to ensure that </w:t>
            </w:r>
            <w:r w:rsidRPr="00085D0E">
              <w:rPr>
                <w:sz w:val="24"/>
                <w:szCs w:val="24"/>
              </w:rPr>
              <w:lastRenderedPageBreak/>
              <w:t>considerations of a guilty pleas cover any benefit to the community, or any victim of, or witness to, the offence;</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make it an aggravating factor in sentencing if a federal offender used their standing in the community to assist in the commission of an offence;</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 xml:space="preserve">ensure that when sentencing a Commonwealth child sex offender, the court must have regard to the objective of rehabilitating the person, including by considering whether to impose any conditions about rehabilitation and treatment and considering if the length of sentence is sufficient for the person to undertake a rehabilitation program while in custody; </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insert additional aggravating sentencing factors that apply when a court is sentencing for certain child sex offences, including considering the age and maturity of the victim and the number of people involved in the commission of the offence;</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 xml:space="preserve">insert a presumption in favour of cumulative sentences for Commonwealth child sex offences; </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insert a presumption in favour of Commonwealth child sex offenders serving an actual term of imprisonment;</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require that if a court is releasing a Commonwealth child sex offender on a recognizance release order, the offender must be supervised in the community, and undertake such treatment and rehabilitation programs as their probation officer directs;</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add 'residential treatment orders'</w:t>
            </w:r>
            <w:r w:rsidRPr="00085D0E">
              <w:rPr>
                <w:i/>
                <w:sz w:val="24"/>
                <w:szCs w:val="24"/>
              </w:rPr>
              <w:t xml:space="preserve"> </w:t>
            </w:r>
            <w:r w:rsidRPr="00085D0E">
              <w:rPr>
                <w:sz w:val="24"/>
                <w:szCs w:val="24"/>
              </w:rPr>
              <w:t>as an additional sentencing alternative to allow intellectually disabled offenders to receive access to specialised treatment options;</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allow certain information to be withheld from an offender where it affects the decision about their release to parole in national security circumstances;</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reduce the amount of 'clean street time' that can be credited by a court as time served against the outstanding sentence following commission of an offence by a person on parole and license;</w:t>
            </w:r>
          </w:p>
          <w:p w:rsidR="006F5996" w:rsidRPr="00085D0E" w:rsidRDefault="006F5996" w:rsidP="006F5996">
            <w:pPr>
              <w:pStyle w:val="Bullet1"/>
              <w:tabs>
                <w:tab w:val="clear" w:pos="851"/>
                <w:tab w:val="left" w:pos="459"/>
              </w:tabs>
              <w:spacing w:after="60"/>
              <w:ind w:left="459" w:hanging="459"/>
              <w:rPr>
                <w:sz w:val="24"/>
                <w:szCs w:val="24"/>
              </w:rPr>
            </w:pPr>
            <w:r w:rsidRPr="00085D0E">
              <w:rPr>
                <w:sz w:val="24"/>
                <w:szCs w:val="24"/>
              </w:rPr>
              <w:t>require a period of time to be served in custody if a federal offender’s parole order is revoked; and</w:t>
            </w:r>
          </w:p>
          <w:p w:rsidR="006F5996" w:rsidRPr="00085D0E" w:rsidRDefault="006F5996" w:rsidP="006F5996">
            <w:pPr>
              <w:pStyle w:val="Bullet1"/>
              <w:tabs>
                <w:tab w:val="clear" w:pos="851"/>
                <w:tab w:val="left" w:pos="459"/>
              </w:tabs>
              <w:spacing w:after="60"/>
              <w:ind w:left="459" w:hanging="459"/>
            </w:pPr>
            <w:r w:rsidRPr="00085D0E">
              <w:rPr>
                <w:sz w:val="24"/>
                <w:szCs w:val="24"/>
              </w:rPr>
              <w:t>remove references to 'child pornography material'</w:t>
            </w:r>
            <w:r w:rsidRPr="00085D0E">
              <w:rPr>
                <w:i/>
                <w:sz w:val="24"/>
                <w:szCs w:val="24"/>
              </w:rPr>
              <w:t xml:space="preserve"> </w:t>
            </w:r>
            <w:r w:rsidRPr="00085D0E">
              <w:rPr>
                <w:sz w:val="24"/>
                <w:szCs w:val="24"/>
              </w:rPr>
              <w:t>within Commonwealth legislation and replace with 'child abuse material'</w:t>
            </w:r>
          </w:p>
        </w:tc>
      </w:tr>
      <w:tr w:rsidR="006F5996" w:rsidRPr="00085D0E" w:rsidTr="006F5996">
        <w:tc>
          <w:tcPr>
            <w:tcW w:w="2660" w:type="dxa"/>
            <w:tcBorders>
              <w:right w:val="single" w:sz="12" w:space="0" w:color="auto"/>
            </w:tcBorders>
          </w:tcPr>
          <w:p w:rsidR="006F5996" w:rsidRPr="00085D0E" w:rsidRDefault="006F5996" w:rsidP="006F5996">
            <w:pPr>
              <w:rPr>
                <w:b/>
                <w:sz w:val="24"/>
                <w:szCs w:val="24"/>
              </w:rPr>
            </w:pPr>
            <w:r w:rsidRPr="00085D0E">
              <w:rPr>
                <w:b/>
                <w:sz w:val="24"/>
                <w:szCs w:val="24"/>
              </w:rPr>
              <w:lastRenderedPageBreak/>
              <w:t>Portfolio</w:t>
            </w:r>
          </w:p>
        </w:tc>
        <w:tc>
          <w:tcPr>
            <w:tcW w:w="6582" w:type="dxa"/>
            <w:tcBorders>
              <w:left w:val="single" w:sz="12" w:space="0" w:color="auto"/>
            </w:tcBorders>
          </w:tcPr>
          <w:p w:rsidR="006F5996" w:rsidRPr="00085D0E" w:rsidRDefault="006F5996" w:rsidP="006F5996">
            <w:pPr>
              <w:rPr>
                <w:sz w:val="24"/>
                <w:szCs w:val="24"/>
              </w:rPr>
            </w:pPr>
            <w:r w:rsidRPr="00085D0E">
              <w:rPr>
                <w:sz w:val="24"/>
                <w:szCs w:val="24"/>
              </w:rPr>
              <w:t>Justice</w:t>
            </w:r>
          </w:p>
        </w:tc>
      </w:tr>
      <w:tr w:rsidR="006F5996" w:rsidRPr="00085D0E" w:rsidTr="006F5996">
        <w:tc>
          <w:tcPr>
            <w:tcW w:w="2660" w:type="dxa"/>
            <w:tcBorders>
              <w:right w:val="single" w:sz="12" w:space="0" w:color="auto"/>
            </w:tcBorders>
          </w:tcPr>
          <w:p w:rsidR="006F5996" w:rsidRPr="00085D0E" w:rsidRDefault="006F5996" w:rsidP="006F5996">
            <w:pPr>
              <w:rPr>
                <w:b/>
                <w:sz w:val="24"/>
                <w:szCs w:val="24"/>
              </w:rPr>
            </w:pPr>
            <w:r w:rsidRPr="00085D0E">
              <w:rPr>
                <w:b/>
                <w:sz w:val="24"/>
                <w:szCs w:val="24"/>
              </w:rPr>
              <w:lastRenderedPageBreak/>
              <w:t>Introduced</w:t>
            </w:r>
          </w:p>
        </w:tc>
        <w:tc>
          <w:tcPr>
            <w:tcW w:w="6582" w:type="dxa"/>
            <w:tcBorders>
              <w:left w:val="single" w:sz="12" w:space="0" w:color="auto"/>
            </w:tcBorders>
          </w:tcPr>
          <w:p w:rsidR="006F5996" w:rsidRPr="00085D0E" w:rsidRDefault="006F5996" w:rsidP="006F5996">
            <w:pPr>
              <w:rPr>
                <w:sz w:val="24"/>
                <w:szCs w:val="24"/>
              </w:rPr>
            </w:pPr>
            <w:r w:rsidRPr="00085D0E">
              <w:rPr>
                <w:sz w:val="24"/>
                <w:szCs w:val="24"/>
              </w:rPr>
              <w:t>House of Representatives on 13 September 2017</w:t>
            </w:r>
          </w:p>
        </w:tc>
      </w:tr>
      <w:tr w:rsidR="006F5996" w:rsidRPr="00085D0E" w:rsidTr="006F5996">
        <w:tc>
          <w:tcPr>
            <w:tcW w:w="2660" w:type="dxa"/>
            <w:tcBorders>
              <w:right w:val="single" w:sz="12" w:space="0" w:color="auto"/>
            </w:tcBorders>
          </w:tcPr>
          <w:p w:rsidR="006F5996" w:rsidRPr="00085D0E" w:rsidRDefault="006F5996" w:rsidP="006F5996">
            <w:pPr>
              <w:rPr>
                <w:b/>
                <w:sz w:val="24"/>
                <w:szCs w:val="24"/>
              </w:rPr>
            </w:pPr>
            <w:r>
              <w:rPr>
                <w:b/>
                <w:sz w:val="24"/>
                <w:szCs w:val="24"/>
              </w:rPr>
              <w:t>Bill status</w:t>
            </w:r>
          </w:p>
        </w:tc>
        <w:tc>
          <w:tcPr>
            <w:tcW w:w="6582" w:type="dxa"/>
            <w:tcBorders>
              <w:left w:val="single" w:sz="12" w:space="0" w:color="auto"/>
            </w:tcBorders>
          </w:tcPr>
          <w:p w:rsidR="006F5996" w:rsidRPr="00085D0E" w:rsidRDefault="006F5996" w:rsidP="006F5996">
            <w:pPr>
              <w:rPr>
                <w:sz w:val="24"/>
                <w:szCs w:val="24"/>
              </w:rPr>
            </w:pPr>
            <w:r>
              <w:rPr>
                <w:sz w:val="24"/>
                <w:szCs w:val="24"/>
              </w:rPr>
              <w:t>Before the Senate</w:t>
            </w:r>
          </w:p>
        </w:tc>
      </w:tr>
      <w:tr w:rsidR="006F5996" w:rsidRPr="00085D0E" w:rsidTr="006F5996">
        <w:tc>
          <w:tcPr>
            <w:tcW w:w="2660" w:type="dxa"/>
            <w:tcBorders>
              <w:bottom w:val="single" w:sz="12" w:space="0" w:color="auto"/>
              <w:right w:val="single" w:sz="12" w:space="0" w:color="auto"/>
            </w:tcBorders>
          </w:tcPr>
          <w:p w:rsidR="006F5996" w:rsidRPr="00085D0E" w:rsidRDefault="006F5996" w:rsidP="006F5996">
            <w:pPr>
              <w:rPr>
                <w:b/>
                <w:sz w:val="24"/>
                <w:szCs w:val="24"/>
              </w:rPr>
            </w:pPr>
            <w:r w:rsidRPr="00085D0E">
              <w:rPr>
                <w:b/>
                <w:sz w:val="24"/>
                <w:szCs w:val="24"/>
              </w:rPr>
              <w:t>Scrutiny principles</w:t>
            </w:r>
          </w:p>
        </w:tc>
        <w:tc>
          <w:tcPr>
            <w:tcW w:w="6582" w:type="dxa"/>
            <w:tcBorders>
              <w:left w:val="single" w:sz="12" w:space="0" w:color="auto"/>
              <w:bottom w:val="single" w:sz="12" w:space="0" w:color="auto"/>
            </w:tcBorders>
          </w:tcPr>
          <w:p w:rsidR="006F5996" w:rsidRPr="00085D0E" w:rsidRDefault="006F5996" w:rsidP="006F5996">
            <w:pPr>
              <w:rPr>
                <w:sz w:val="24"/>
                <w:szCs w:val="24"/>
              </w:rPr>
            </w:pPr>
            <w:r w:rsidRPr="00085D0E">
              <w:rPr>
                <w:sz w:val="24"/>
                <w:szCs w:val="24"/>
              </w:rPr>
              <w:t>Standing Order 24(1)(a)(i) and (ii)</w:t>
            </w:r>
          </w:p>
        </w:tc>
      </w:tr>
    </w:tbl>
    <w:p w:rsidR="006F5996" w:rsidRPr="00085D0E" w:rsidRDefault="006F5996" w:rsidP="006F5996">
      <w:pPr>
        <w:pStyle w:val="Level11"/>
        <w:numPr>
          <w:ilvl w:val="0"/>
          <w:numId w:val="21"/>
        </w:numPr>
        <w:spacing w:before="240"/>
      </w:pPr>
      <w:r w:rsidRPr="00085D0E">
        <w:t xml:space="preserve">The committee dealt with this bill in </w:t>
      </w:r>
      <w:r w:rsidRPr="00085D0E">
        <w:rPr>
          <w:i/>
        </w:rPr>
        <w:t>Scrutiny Digest No. 12 of 2017</w:t>
      </w:r>
      <w:r w:rsidRPr="00085D0E">
        <w:t>. The Minister responded to the committee's comments in a letter received 1 December 2017. Set out below are extracts from the committee's initial scrutiny of the bill and the Minister's response followed by the committee's comments on the response. A copy of the letter is available on the committee's website.</w:t>
      </w:r>
      <w:r w:rsidRPr="00085D0E">
        <w:rPr>
          <w:rStyle w:val="FootnoteReference"/>
        </w:rPr>
        <w:footnoteReference w:id="133"/>
      </w:r>
    </w:p>
    <w:p w:rsidR="006F5996" w:rsidRDefault="006F5996" w:rsidP="006F5996">
      <w:pPr>
        <w:pStyle w:val="Heading3"/>
      </w:pPr>
      <w:r w:rsidRPr="00085D0E">
        <w:t>Procedural fairness and broad discretionary power</w:t>
      </w:r>
      <w:r w:rsidRPr="00085D0E">
        <w:rPr>
          <w:rStyle w:val="FootnoteReference"/>
          <w:b w:val="0"/>
        </w:rPr>
        <w:footnoteReference w:id="134"/>
      </w:r>
    </w:p>
    <w:p w:rsidR="006F5996" w:rsidRPr="00085D0E" w:rsidRDefault="006F5996" w:rsidP="006F5996">
      <w:pPr>
        <w:rPr>
          <w:b/>
          <w:i/>
        </w:rPr>
      </w:pPr>
      <w:r w:rsidRPr="00085D0E">
        <w:rPr>
          <w:b/>
          <w:i/>
        </w:rPr>
        <w:t>Initial scrutiny – extract</w:t>
      </w:r>
    </w:p>
    <w:p w:rsidR="006F5996" w:rsidRPr="00085D0E" w:rsidRDefault="006F5996" w:rsidP="006F5996">
      <w:pPr>
        <w:pStyle w:val="Level12"/>
        <w:numPr>
          <w:ilvl w:val="0"/>
          <w:numId w:val="21"/>
        </w:numPr>
      </w:pPr>
      <w:r w:rsidRPr="00085D0E">
        <w:t xml:space="preserve">Current section 19AU of the </w:t>
      </w:r>
      <w:r w:rsidRPr="00085D0E">
        <w:rPr>
          <w:i/>
        </w:rPr>
        <w:t>Crimes Act 1914</w:t>
      </w:r>
      <w:r w:rsidRPr="00085D0E">
        <w:t xml:space="preserve"> provides that the Attorney-General may revoke a parole order or licence where a person has breached, or is suspected of having breached, a condition of their parole. Currently the Attorney-General must notify the parolee of the condition alleged to have been breached, the fact that the Attorney-General proposes to revoke parole, and give a person 14 days to provide written reasons why parole should not be revoked. There are current exceptions to when notice must be given, including when there are circumstances of urgency requiring revocation without notice. Schedule 1 proposes introducing an additional exception to the requirement that notice be given where, in the opinion of the Attorney-General, it is necessary in the interests of ensuring the safety and protection of the community or another person. </w:t>
      </w:r>
    </w:p>
    <w:p w:rsidR="006F5996" w:rsidRPr="00085D0E" w:rsidRDefault="006F5996" w:rsidP="006F5996">
      <w:pPr>
        <w:pStyle w:val="Level12"/>
        <w:numPr>
          <w:ilvl w:val="0"/>
          <w:numId w:val="21"/>
        </w:numPr>
      </w:pPr>
      <w:r w:rsidRPr="00085D0E">
        <w:t>The explanatory memorandum states that the person would still be afforded procedural fairness as the person could still make a written submission to the Attorney-General as to why the parole order should not be revoked. However, the person would be in custody at the time of this hearing.</w:t>
      </w:r>
      <w:r w:rsidRPr="00085D0E">
        <w:rPr>
          <w:rStyle w:val="FootnoteReference"/>
        </w:rPr>
        <w:footnoteReference w:id="135"/>
      </w:r>
      <w:r w:rsidRPr="00085D0E">
        <w:t xml:space="preserve"> The statement of compatibility states the current provision means that even when there are serious concerns for community safety, offenders must be given notice before their parole or licence can be revoked, thereby giving them the opportunity to reoffend or abscond as they know they may be taken back into custody.</w:t>
      </w:r>
      <w:r w:rsidRPr="00085D0E">
        <w:rPr>
          <w:rStyle w:val="FootnoteReference"/>
        </w:rPr>
        <w:footnoteReference w:id="136"/>
      </w:r>
    </w:p>
    <w:p w:rsidR="006F5996" w:rsidRPr="00085D0E" w:rsidRDefault="006F5996" w:rsidP="006F5996">
      <w:pPr>
        <w:pStyle w:val="Level12"/>
        <w:numPr>
          <w:ilvl w:val="0"/>
          <w:numId w:val="21"/>
        </w:numPr>
      </w:pPr>
      <w:r w:rsidRPr="00085D0E">
        <w:lastRenderedPageBreak/>
        <w:t xml:space="preserve">The committee notes that the proposed power in Schedule 1 confers a broad discretionary power on the Attorney-General, applying when it is the Attorney-General's 'opinion' that it is necessary to revoke without notice. The decision to remand a person in custody prior to any hearing adversely affects the person's interests before the hearing will take place, and thereby limits their right to procedural fairness. No examples are given in the explanatory materials as to whether the existing provisions have actually resulted in persons posing a risk to community safety or another person because they have been given 14 days' notice of an intention to revoke parole. It is unclear to the committee why existing paragraph 19AU(3)(b) of the </w:t>
      </w:r>
      <w:r w:rsidRPr="00085D0E">
        <w:rPr>
          <w:i/>
        </w:rPr>
        <w:t>Crimes Act 1914</w:t>
      </w:r>
      <w:r w:rsidRPr="00085D0E">
        <w:t xml:space="preserve">, which enables notification not to be given in circumstances of urgency, is insufficient to ensure that those that pose a serious and immediate safety concern are not notified in advance. </w:t>
      </w:r>
    </w:p>
    <w:p w:rsidR="006F5996" w:rsidRPr="00085D0E" w:rsidRDefault="006F5996" w:rsidP="006F5996">
      <w:pPr>
        <w:pStyle w:val="Level12"/>
        <w:numPr>
          <w:ilvl w:val="0"/>
          <w:numId w:val="21"/>
        </w:numPr>
      </w:pPr>
      <w:r w:rsidRPr="00085D0E">
        <w:t>The committee emphasises that the scrutiny questions raised by the committee are separate to the overarching policy considerations underpinning this bill. Rather, each of the questions relate to how the new provisions will be exercised in practice and whether the bill provides appropriate safeguards to ensure it does not unduly trespass on personal rights and liberties.</w:t>
      </w:r>
      <w:r w:rsidRPr="00085D0E">
        <w:rPr>
          <w:rStyle w:val="FootnoteReference"/>
        </w:rPr>
        <w:footnoteReference w:id="137"/>
      </w:r>
    </w:p>
    <w:p w:rsidR="006F5996" w:rsidRPr="00085D0E" w:rsidRDefault="006F5996" w:rsidP="006F5996">
      <w:pPr>
        <w:pStyle w:val="Level12"/>
        <w:numPr>
          <w:ilvl w:val="0"/>
          <w:numId w:val="21"/>
        </w:numPr>
      </w:pPr>
      <w:r w:rsidRPr="00085D0E">
        <w:t xml:space="preserve">The committee requests the Minister's more detailed advice as to why it is necessary to provide the Attorney-General with a broad discretionary power not to give notice before revoking a person's parole and why the existing provisions in section 19AU of the </w:t>
      </w:r>
      <w:r w:rsidRPr="00085D0E">
        <w:rPr>
          <w:i/>
        </w:rPr>
        <w:t>Crimes Act 1914</w:t>
      </w:r>
      <w:r w:rsidRPr="00085D0E">
        <w:t xml:space="preserve"> are insufficient to address any serious and immediate risks to safety.</w:t>
      </w:r>
    </w:p>
    <w:p w:rsidR="006F5996" w:rsidRPr="00085D0E" w:rsidRDefault="006F5996" w:rsidP="006F5996">
      <w:pPr>
        <w:pStyle w:val="Level11"/>
        <w:tabs>
          <w:tab w:val="clear" w:pos="850"/>
        </w:tabs>
        <w:rPr>
          <w:b/>
          <w:i/>
        </w:rPr>
      </w:pPr>
      <w:r w:rsidRPr="00085D0E">
        <w:rPr>
          <w:b/>
          <w:i/>
        </w:rPr>
        <w:t>Minister's response</w:t>
      </w:r>
    </w:p>
    <w:p w:rsidR="006F5996" w:rsidRPr="00085D0E" w:rsidRDefault="006F5996" w:rsidP="006F5996">
      <w:pPr>
        <w:pStyle w:val="Level11"/>
        <w:numPr>
          <w:ilvl w:val="0"/>
          <w:numId w:val="21"/>
        </w:numPr>
      </w:pPr>
      <w:r w:rsidRPr="00085D0E">
        <w:t>The Minister advised:</w:t>
      </w:r>
    </w:p>
    <w:p w:rsidR="006F5996" w:rsidRPr="00085D0E" w:rsidRDefault="006F5996" w:rsidP="006F5996">
      <w:pPr>
        <w:pStyle w:val="Quote"/>
      </w:pPr>
      <w:r w:rsidRPr="00085D0E">
        <w:rPr>
          <w:lang w:eastAsia="en-AU"/>
        </w:rPr>
        <w:t>Currently, unless certain circumstances apply, before the Attorney-General can revoke a person's parole order or licence, the person must be notified of the specific conditions they are alleged to have breached and given 14 days to respond. This time lag between when a person is notified of the intention to revoke and the actual revocation and subsequent imprisonment of the person is problematic if it is believed the person poses a danger to the community. In particular, it gives the person an opportunity to commit further offences or even to abscond.</w:t>
      </w:r>
    </w:p>
    <w:p w:rsidR="006F5996" w:rsidRPr="00085D0E" w:rsidRDefault="006F5996" w:rsidP="006F5996">
      <w:pPr>
        <w:pStyle w:val="Quote"/>
      </w:pPr>
      <w:r w:rsidRPr="00085D0E">
        <w:rPr>
          <w:lang w:eastAsia="en-AU"/>
        </w:rPr>
        <w:t xml:space="preserve">To address this, the Bill introduces into the current list of exceptions to the requirement to provide notice of an intention to revoke, an ability to revoke parole where the Attorney-General is of the opinion that revocation without notice is necessary in the interests of ensuring the safety and protection of the community or of another person. Importantly, after parole has been revoked and the offender remanded in custody, that offender retains the opportunity to make a written submission to the </w:t>
      </w:r>
      <w:r w:rsidRPr="00085D0E">
        <w:rPr>
          <w:lang w:eastAsia="en-AU"/>
        </w:rPr>
        <w:lastRenderedPageBreak/>
        <w:t>Attorney-General as to why the parole order or licence should not be revoked. This has posed a particular problem with violent offenders. If the Attorney-General is satisfied of those reasons the offender would be immediately released from custody.</w:t>
      </w:r>
    </w:p>
    <w:p w:rsidR="006F5996" w:rsidRPr="00085D0E" w:rsidRDefault="006F5996" w:rsidP="006F5996">
      <w:pPr>
        <w:pStyle w:val="Quote"/>
        <w:rPr>
          <w:i/>
          <w:lang w:eastAsia="en-AU"/>
        </w:rPr>
      </w:pPr>
      <w:r w:rsidRPr="00085D0E">
        <w:rPr>
          <w:i/>
          <w:lang w:eastAsia="en-AU"/>
        </w:rPr>
        <w:t>Existing provisions under section 19AU(3) of the Crimes Act</w:t>
      </w:r>
    </w:p>
    <w:p w:rsidR="006F5996" w:rsidRPr="00085D0E" w:rsidRDefault="006F5996" w:rsidP="006F5996">
      <w:pPr>
        <w:pStyle w:val="Quote"/>
      </w:pPr>
      <w:r w:rsidRPr="00085D0E">
        <w:rPr>
          <w:rFonts w:cs="Arial"/>
          <w:lang w:eastAsia="en-AU"/>
        </w:rPr>
        <w:t xml:space="preserve">As currently drafted, it is unclear whether section 19AU(3) of the Crimes </w:t>
      </w:r>
      <w:r w:rsidRPr="00085D0E">
        <w:rPr>
          <w:lang w:eastAsia="en-AU"/>
        </w:rPr>
        <w:t xml:space="preserve">Act, </w:t>
      </w:r>
      <w:r w:rsidRPr="00085D0E">
        <w:rPr>
          <w:rFonts w:cs="Arial"/>
          <w:lang w:eastAsia="en-AU"/>
        </w:rPr>
        <w:t>which enables notification of revocation of parole not to be given in circumstances of urgency, includes matters of community safety and protection. Matters of community safety and protection may not necessarily meet the imminent time threshold required under section 19AU(3). Further, it is unclear whether section 19AU(3) permits the revocation of parole without notice where a person intends or attempts to commit further offences.</w:t>
      </w:r>
    </w:p>
    <w:p w:rsidR="006F5996" w:rsidRPr="00085D0E" w:rsidRDefault="006F5996" w:rsidP="006F5996">
      <w:pPr>
        <w:pStyle w:val="Quote"/>
      </w:pPr>
      <w:r w:rsidRPr="00085D0E">
        <w:rPr>
          <w:lang w:eastAsia="en-AU"/>
        </w:rPr>
        <w:t>There have been instances where an offender has threatened to commit further violent offences and there has not been sufficient evidence to arrest the person for those offences. In these cases it has been necessary to give the offender 14 days' notice of the revocation of their parole, hence giving them ample time to reoffend. Giving notice of parole revocation can also give an offender an opportunity to abscond as they know that a parole revocation will result in them returning to custody.</w:t>
      </w:r>
    </w:p>
    <w:p w:rsidR="006F5996" w:rsidRPr="00085D0E" w:rsidRDefault="006F5996" w:rsidP="006F5996">
      <w:pPr>
        <w:pStyle w:val="Quote"/>
      </w:pPr>
      <w:r w:rsidRPr="00085D0E">
        <w:rPr>
          <w:lang w:eastAsia="en-AU"/>
        </w:rPr>
        <w:t>This Bill clarifies that a person's parole can be revoked without notice if this is necessary to ensure the safety and protection of the community or of another person.</w:t>
      </w:r>
    </w:p>
    <w:p w:rsidR="006F5996" w:rsidRPr="00085D0E" w:rsidRDefault="006F5996" w:rsidP="006F5996">
      <w:pPr>
        <w:pStyle w:val="Level11"/>
        <w:tabs>
          <w:tab w:val="clear" w:pos="850"/>
        </w:tabs>
        <w:rPr>
          <w:b/>
          <w:i/>
        </w:rPr>
      </w:pPr>
      <w:r w:rsidRPr="00085D0E">
        <w:rPr>
          <w:b/>
          <w:i/>
        </w:rPr>
        <w:t>Committee comment</w:t>
      </w:r>
    </w:p>
    <w:p w:rsidR="006F5996" w:rsidRDefault="006F5996" w:rsidP="006F5996">
      <w:pPr>
        <w:pStyle w:val="Level11"/>
        <w:numPr>
          <w:ilvl w:val="0"/>
          <w:numId w:val="21"/>
        </w:numPr>
      </w:pPr>
      <w:r w:rsidRPr="00085D0E">
        <w:t>The committee thanks the Minister for this response. The committee notes the Mini</w:t>
      </w:r>
      <w:r>
        <w:t>ster's advice that the current requirements to give 14 days' notice to a person to respond before revoking parole has posed a particular problem with violent offenders, as matters of community safety and protection may not necessarily meet the current imminent time threshold requirements and it is unclear whether the existing provisions permit the revocation of parole without notice where a person intends or attempts to commit further offences. The committee also notes the Minister's advice that there have been instances where an offender has threatened to commit further violence and there has not been sufficient evidence to arrest the person and in such cases it has been necessary to give the offender 14 days' notice of the revocation of their parole.</w:t>
      </w:r>
    </w:p>
    <w:p w:rsidR="006F5996" w:rsidRPr="00561B28" w:rsidRDefault="006F5996" w:rsidP="006F5996">
      <w:pPr>
        <w:pStyle w:val="Level11"/>
        <w:numPr>
          <w:ilvl w:val="0"/>
          <w:numId w:val="21"/>
        </w:numPr>
        <w:rPr>
          <w:b/>
        </w:rPr>
      </w:pPr>
      <w:bookmarkStart w:id="12" w:name="OLE_LINK9"/>
      <w:r w:rsidRPr="00561B28">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561B28">
        <w:rPr>
          <w:b/>
          <w:i/>
        </w:rPr>
        <w:t>Acts Interpretation Act 1901</w:t>
      </w:r>
      <w:r w:rsidRPr="00561B28">
        <w:rPr>
          <w:b/>
        </w:rPr>
        <w:t>).</w:t>
      </w:r>
    </w:p>
    <w:p w:rsidR="006F5996" w:rsidRPr="00561B28" w:rsidRDefault="006F5996" w:rsidP="006F5996">
      <w:pPr>
        <w:pStyle w:val="Level11"/>
        <w:numPr>
          <w:ilvl w:val="0"/>
          <w:numId w:val="21"/>
        </w:numPr>
        <w:rPr>
          <w:b/>
        </w:rPr>
      </w:pPr>
      <w:r w:rsidRPr="00561B28">
        <w:rPr>
          <w:b/>
        </w:rPr>
        <w:t>In light of the detailed information provided, the committee makes no further comment on this matter.</w:t>
      </w:r>
      <w:bookmarkEnd w:id="12"/>
    </w:p>
    <w:p w:rsidR="006F5996" w:rsidRPr="00085D0E" w:rsidRDefault="006F5996" w:rsidP="006F5996">
      <w:pPr>
        <w:spacing w:after="240"/>
        <w:ind w:left="2268" w:right="2223"/>
      </w:pPr>
      <w:r>
        <w:lastRenderedPageBreak/>
        <w:pict>
          <v:rect id="_x0000_i1025" style="width:0;height:1.5pt" o:hralign="center" o:hrstd="t" o:hr="t" fillcolor="#a0a0a0" stroked="f"/>
        </w:pict>
      </w:r>
    </w:p>
    <w:p w:rsidR="006F5996" w:rsidRPr="00085D0E" w:rsidRDefault="006F5996" w:rsidP="006F5996">
      <w:pPr>
        <w:pStyle w:val="Heading3"/>
      </w:pPr>
      <w:r w:rsidRPr="00085D0E">
        <w:t>Reversal of legal burden of proof</w:t>
      </w:r>
      <w:r w:rsidRPr="00085D0E">
        <w:rPr>
          <w:rStyle w:val="FootnoteReference"/>
          <w:b w:val="0"/>
        </w:rPr>
        <w:footnoteReference w:id="138"/>
      </w:r>
    </w:p>
    <w:p w:rsidR="006F5996" w:rsidRPr="00085D0E" w:rsidRDefault="006F5996" w:rsidP="006F5996">
      <w:pPr>
        <w:rPr>
          <w:b/>
          <w:i/>
        </w:rPr>
      </w:pPr>
      <w:r w:rsidRPr="00085D0E">
        <w:rPr>
          <w:b/>
          <w:i/>
        </w:rPr>
        <w:t>Initial scrutiny – extract</w:t>
      </w:r>
    </w:p>
    <w:p w:rsidR="006F5996" w:rsidRPr="00085D0E" w:rsidRDefault="006F5996" w:rsidP="006F5996">
      <w:pPr>
        <w:pStyle w:val="Level12"/>
        <w:numPr>
          <w:ilvl w:val="0"/>
          <w:numId w:val="21"/>
        </w:numPr>
      </w:pPr>
      <w:r w:rsidRPr="00085D0E">
        <w:t>Items 16, 18, 37 and 39 of Schedule 4 propose to introduce new defences or add to existing defences in relation to two new offences being introduced by this bill. The changes would make it a defence for a defendant to a prosecution for certain child sex abuse offences to prove that at the relevant time the defendant believed that the child was at least 16 years of age (or that another person was under 18). A legal burden of proof is thereby proposed to be placed on the defendant, ensuring that the defendant would need to prove, on the balance of probabilities, their belief at the relevant time.</w:t>
      </w:r>
    </w:p>
    <w:p w:rsidR="006F5996" w:rsidRPr="00085D0E" w:rsidRDefault="006F5996" w:rsidP="006F5996">
      <w:pPr>
        <w:pStyle w:val="Level12"/>
        <w:numPr>
          <w:ilvl w:val="0"/>
          <w:numId w:val="21"/>
        </w:numPr>
        <w:rPr>
          <w:rFonts w:eastAsiaTheme="minorHAnsi"/>
        </w:rPr>
      </w:pPr>
      <w:r w:rsidRPr="00085D0E">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one or more elements of an offence, interferes with this common law right.</w:t>
      </w:r>
    </w:p>
    <w:p w:rsidR="006F5996" w:rsidRPr="00085D0E" w:rsidRDefault="006F5996" w:rsidP="006F5996">
      <w:pPr>
        <w:pStyle w:val="Level12"/>
        <w:numPr>
          <w:ilvl w:val="0"/>
          <w:numId w:val="21"/>
        </w:numPr>
      </w:pPr>
      <w:r w:rsidRPr="00085D0E">
        <w:t>As the reversal of the burden of proof undermines the right to be presumed innocent until proven guilty, the committee expects there to be a full justification each time the burden is reversed</w:t>
      </w:r>
      <w:r w:rsidRPr="00085D0E">
        <w:rPr>
          <w:lang w:eastAsia="en-AU"/>
        </w:rPr>
        <w:t xml:space="preserve">. </w:t>
      </w:r>
      <w:r w:rsidRPr="00085D0E">
        <w:t>The committee has consistently taken the view that applying a legal burden to displace a presumption should only be imposed in rare instances.</w:t>
      </w:r>
    </w:p>
    <w:p w:rsidR="006F5996" w:rsidRPr="00085D0E" w:rsidRDefault="006F5996" w:rsidP="006F5996">
      <w:pPr>
        <w:pStyle w:val="Level12"/>
        <w:numPr>
          <w:ilvl w:val="0"/>
          <w:numId w:val="21"/>
        </w:numPr>
      </w:pPr>
      <w:r w:rsidRPr="00085D0E">
        <w:t>In this instance, the explanatory memorandum provides in relation to items 16 and 18:</w:t>
      </w:r>
    </w:p>
    <w:p w:rsidR="006F5996" w:rsidRPr="00085D0E" w:rsidRDefault="006F5996" w:rsidP="006F5996">
      <w:pPr>
        <w:pStyle w:val="Quote"/>
      </w:pPr>
      <w:r w:rsidRPr="00085D0E">
        <w:t>It will generally be much easier for a defendant, rather than the prosecution, to produce evidence showing that the circumstances to which the defence applies do in fact exist. This is especially the case where it may relate to circumstances that must be proven are particularly within the knowledge of the person concerned.</w:t>
      </w:r>
    </w:p>
    <w:p w:rsidR="006F5996" w:rsidRPr="00085D0E" w:rsidRDefault="006F5996" w:rsidP="006F5996">
      <w:pPr>
        <w:pStyle w:val="Quote"/>
      </w:pPr>
      <w:r w:rsidRPr="00085D0E">
        <w:t>…</w:t>
      </w:r>
    </w:p>
    <w:p w:rsidR="006F5996" w:rsidRPr="00085D0E" w:rsidRDefault="006F5996" w:rsidP="006F5996">
      <w:pPr>
        <w:pStyle w:val="Quote"/>
      </w:pPr>
      <w:r w:rsidRPr="00085D0E">
        <w:t>A legal burden is appropriate because the defences relate to a matter that is within the defendant's knowledge and not available to the prosecution.</w:t>
      </w:r>
      <w:r w:rsidRPr="00085D0E">
        <w:rPr>
          <w:rStyle w:val="FootnoteReference"/>
        </w:rPr>
        <w:footnoteReference w:id="139"/>
      </w:r>
    </w:p>
    <w:p w:rsidR="006F5996" w:rsidRPr="00085D0E" w:rsidRDefault="006F5996" w:rsidP="006F5996">
      <w:pPr>
        <w:pStyle w:val="Level12"/>
        <w:numPr>
          <w:ilvl w:val="0"/>
          <w:numId w:val="21"/>
        </w:numPr>
      </w:pPr>
      <w:r w:rsidRPr="00085D0E">
        <w:t xml:space="preserve">In relation to items 37 and 39 which expand an existing provision that reverses the legal burden of proof and inserts a new defence that reverses the legal </w:t>
      </w:r>
      <w:r w:rsidRPr="00085D0E">
        <w:lastRenderedPageBreak/>
        <w:t>burden of proof, the explanatory memorandum provides no reasoning as to the appropriateness of reversing the legal burden of proof.</w:t>
      </w:r>
      <w:r w:rsidRPr="00085D0E">
        <w:rPr>
          <w:rStyle w:val="FootnoteReference"/>
        </w:rPr>
        <w:footnoteReference w:id="140"/>
      </w:r>
    </w:p>
    <w:p w:rsidR="006F5996" w:rsidRPr="00085D0E" w:rsidRDefault="006F5996" w:rsidP="006F5996">
      <w:pPr>
        <w:pStyle w:val="Level12"/>
        <w:numPr>
          <w:ilvl w:val="0"/>
          <w:numId w:val="21"/>
        </w:numPr>
      </w:pPr>
      <w:r w:rsidRPr="00085D0E">
        <w:t xml:space="preserve">The committee notes that the </w:t>
      </w:r>
      <w:r w:rsidRPr="00085D0E">
        <w:rPr>
          <w:i/>
        </w:rPr>
        <w:t>Guide to Framing Commonwealth Offences</w:t>
      </w:r>
      <w:r w:rsidRPr="00085D0E">
        <w:rPr>
          <w:rStyle w:val="FootnoteReference"/>
        </w:rPr>
        <w:footnoteReference w:id="141"/>
      </w:r>
      <w:r w:rsidRPr="00085D0E">
        <w:t xml:space="preserve"> provides that a matter should only be included in an offence-specific defence (as opposed to being specified as an element of the offence), where:</w:t>
      </w:r>
    </w:p>
    <w:p w:rsidR="006F5996" w:rsidRPr="00085D0E" w:rsidRDefault="006F5996" w:rsidP="006F5996">
      <w:pPr>
        <w:pStyle w:val="Bullet1"/>
      </w:pPr>
      <w:r w:rsidRPr="00085D0E">
        <w:t>it is peculiarly within the knowledge of the defendant; and</w:t>
      </w:r>
    </w:p>
    <w:p w:rsidR="006F5996" w:rsidRPr="00085D0E" w:rsidRDefault="006F5996" w:rsidP="006F5996">
      <w:pPr>
        <w:pStyle w:val="Bullet1"/>
      </w:pPr>
      <w:r w:rsidRPr="00085D0E">
        <w:t>it would be significantly more difficult and costly for the prosecution to disprove than for the defendant to establish the matter.</w:t>
      </w:r>
      <w:r w:rsidRPr="00085D0E">
        <w:rPr>
          <w:rStyle w:val="FootnoteReference"/>
        </w:rPr>
        <w:footnoteReference w:id="142"/>
      </w:r>
    </w:p>
    <w:p w:rsidR="006F5996" w:rsidRPr="00085D0E" w:rsidRDefault="006F5996" w:rsidP="006F5996">
      <w:pPr>
        <w:pStyle w:val="Level12"/>
        <w:numPr>
          <w:ilvl w:val="0"/>
          <w:numId w:val="21"/>
        </w:numPr>
        <w:spacing w:after="0"/>
      </w:pPr>
      <w:r w:rsidRPr="00085D0E">
        <w:t xml:space="preserve">The committee notes that the limited justification provided in the explanatory memorandum does not address both of these limbs, stating only that it will generally be much easier for the defendant to prove the matters, and not giving any reasons as to why the matters are peculiarly in the defendant's knowledge. The </w:t>
      </w:r>
      <w:r w:rsidRPr="00085D0E">
        <w:rPr>
          <w:i/>
        </w:rPr>
        <w:t>Guide to Framing Commonwealth Offences</w:t>
      </w:r>
      <w:r w:rsidRPr="00085D0E">
        <w:t xml:space="preserve"> also states that where a defendant is required to discharge a legal burden of proof, the explanatory material should justify why a legal burden of proof has been imposed instead of an evidential burden,</w:t>
      </w:r>
      <w:r w:rsidRPr="00085D0E">
        <w:rPr>
          <w:rStyle w:val="FootnoteReference"/>
        </w:rPr>
        <w:footnoteReference w:id="143"/>
      </w:r>
      <w:r w:rsidRPr="00085D0E">
        <w:t xml:space="preserve"> which has not been done in this instance.</w:t>
      </w:r>
    </w:p>
    <w:p w:rsidR="006F5996" w:rsidRPr="00085D0E" w:rsidRDefault="006F5996" w:rsidP="006F5996">
      <w:pPr>
        <w:pStyle w:val="Level12"/>
        <w:numPr>
          <w:ilvl w:val="0"/>
          <w:numId w:val="21"/>
        </w:numPr>
      </w:pPr>
      <w:r w:rsidRPr="00085D0E">
        <w:t>It is also not clear to the committee how the defence provisions, which go to the defendant's belief as to the age of the relevant person, interact with the offence provisions themselves which provide that the offence applies when a relevant person is either a particular age or the defendant believes the person to be that age.</w:t>
      </w:r>
      <w:r w:rsidRPr="00085D0E">
        <w:rPr>
          <w:rStyle w:val="FootnoteReference"/>
        </w:rPr>
        <w:footnoteReference w:id="144"/>
      </w:r>
      <w:r w:rsidRPr="00085D0E">
        <w:t xml:space="preserve"> This would appear to provide, for example, where a victim was 16 years old or over, that the prosecution prove beyond a reasonable doubt that the defendant believed the person was under 16 years old, but that if the defendant wished to rely on a belief that the person was at least 16, the burden of proving this would then shift to the defendant. It is unclear how these provisions would operate together in practice.</w:t>
      </w:r>
    </w:p>
    <w:p w:rsidR="006F5996" w:rsidRPr="00085D0E" w:rsidRDefault="006F5996" w:rsidP="006F5996">
      <w:pPr>
        <w:pStyle w:val="Level12"/>
        <w:numPr>
          <w:ilvl w:val="0"/>
          <w:numId w:val="21"/>
        </w:numPr>
      </w:pPr>
      <w:r w:rsidRPr="00085D0E">
        <w:t>As the explanatory materials do not adequately address this issue, the committee requests the Minister's advice as to why it is proposed to reverse the legal burden of proof in this instance (including why it is insufficient to apply a reverse evidential burden) and how the reversal of the burden of proof interacts with the obligation on the prosecution to prove the defendant's belief about age.</w:t>
      </w:r>
    </w:p>
    <w:p w:rsidR="006F5996" w:rsidRPr="00085D0E" w:rsidRDefault="006F5996" w:rsidP="006F5996">
      <w:pPr>
        <w:pStyle w:val="Level11"/>
        <w:tabs>
          <w:tab w:val="clear" w:pos="850"/>
        </w:tabs>
        <w:rPr>
          <w:b/>
          <w:i/>
        </w:rPr>
      </w:pPr>
      <w:r w:rsidRPr="00085D0E">
        <w:rPr>
          <w:b/>
          <w:i/>
        </w:rPr>
        <w:lastRenderedPageBreak/>
        <w:t>Minister's response</w:t>
      </w:r>
    </w:p>
    <w:p w:rsidR="006F5996" w:rsidRPr="00085D0E" w:rsidRDefault="006F5996" w:rsidP="006F5996">
      <w:pPr>
        <w:pStyle w:val="Level11"/>
        <w:numPr>
          <w:ilvl w:val="0"/>
          <w:numId w:val="21"/>
        </w:numPr>
      </w:pPr>
      <w:r w:rsidRPr="00085D0E">
        <w:t>The Minister advised:</w:t>
      </w:r>
    </w:p>
    <w:p w:rsidR="006F5996" w:rsidRPr="00085D0E" w:rsidRDefault="006F5996" w:rsidP="006F5996">
      <w:pPr>
        <w:pStyle w:val="Quote"/>
      </w:pPr>
      <w:r w:rsidRPr="00085D0E">
        <w:rPr>
          <w:lang w:eastAsia="en-AU"/>
        </w:rPr>
        <w:t xml:space="preserve">Items 5 and 27 of Schedule 4 of the Crimes Legislation Amendment (Sexual Crimes Against Children and Community Protection Measures) Bill 2017 introduce new offences into the </w:t>
      </w:r>
      <w:r w:rsidRPr="003455B9">
        <w:rPr>
          <w:i/>
          <w:lang w:eastAsia="en-AU"/>
        </w:rPr>
        <w:t>Criminal Code Act 1995</w:t>
      </w:r>
      <w:r w:rsidRPr="003455B9">
        <w:rPr>
          <w:lang w:eastAsia="en-AU"/>
        </w:rPr>
        <w:t xml:space="preserve"> </w:t>
      </w:r>
      <w:r w:rsidRPr="00085D0E">
        <w:rPr>
          <w:lang w:eastAsia="en-AU"/>
        </w:rPr>
        <w:t>(the Criminal Code) to criminalise the grooming of a third party. The offences require the prosecution to prove, beyond reasonable doubt:</w:t>
      </w:r>
    </w:p>
    <w:p w:rsidR="006F5996" w:rsidRPr="00085D0E" w:rsidRDefault="006F5996" w:rsidP="006F5996">
      <w:pPr>
        <w:pStyle w:val="Quote"/>
        <w:numPr>
          <w:ilvl w:val="0"/>
          <w:numId w:val="37"/>
        </w:numPr>
        <w:rPr>
          <w:lang w:eastAsia="en-AU"/>
        </w:rPr>
      </w:pPr>
      <w:r w:rsidRPr="00085D0E">
        <w:rPr>
          <w:lang w:eastAsia="en-AU"/>
        </w:rPr>
        <w:t>the defendant intended to use a carriage service or postal service to transmit a communication or article to a recipient</w:t>
      </w:r>
    </w:p>
    <w:p w:rsidR="006F5996" w:rsidRPr="00085D0E" w:rsidRDefault="006F5996" w:rsidP="006F5996">
      <w:pPr>
        <w:pStyle w:val="Quote"/>
        <w:numPr>
          <w:ilvl w:val="0"/>
          <w:numId w:val="37"/>
        </w:numPr>
      </w:pPr>
      <w:r w:rsidRPr="00085D0E">
        <w:rPr>
          <w:lang w:eastAsia="en-AU"/>
        </w:rPr>
        <w:t>the sender did so with the intention of making it easier to procure a child under 16 years of age to engage in sexual activity with:</w:t>
      </w:r>
    </w:p>
    <w:p w:rsidR="006F5996" w:rsidRPr="00085D0E" w:rsidRDefault="006F5996" w:rsidP="006F5996">
      <w:pPr>
        <w:pStyle w:val="Bullet1"/>
        <w:tabs>
          <w:tab w:val="clear" w:pos="851"/>
          <w:tab w:val="left" w:pos="1701"/>
        </w:tabs>
        <w:ind w:left="1701" w:right="804" w:hanging="425"/>
        <w:rPr>
          <w:sz w:val="24"/>
          <w:szCs w:val="24"/>
          <w:lang w:eastAsia="en-AU"/>
        </w:rPr>
      </w:pPr>
      <w:r w:rsidRPr="00085D0E">
        <w:rPr>
          <w:sz w:val="24"/>
          <w:szCs w:val="24"/>
          <w:lang w:eastAsia="en-AU"/>
        </w:rPr>
        <w:t>the sender, or</w:t>
      </w:r>
    </w:p>
    <w:p w:rsidR="006F5996" w:rsidRPr="00085D0E" w:rsidRDefault="006F5996" w:rsidP="006F5996">
      <w:pPr>
        <w:pStyle w:val="Bullet1"/>
        <w:tabs>
          <w:tab w:val="clear" w:pos="851"/>
          <w:tab w:val="left" w:pos="1701"/>
        </w:tabs>
        <w:ind w:left="1701" w:right="804" w:hanging="425"/>
        <w:rPr>
          <w:sz w:val="24"/>
          <w:szCs w:val="24"/>
          <w:lang w:eastAsia="en-AU"/>
        </w:rPr>
      </w:pPr>
      <w:r w:rsidRPr="00085D0E">
        <w:rPr>
          <w:sz w:val="24"/>
          <w:szCs w:val="24"/>
          <w:lang w:eastAsia="en-AU"/>
        </w:rPr>
        <w:t>a participant who is, or who the sender believes to be, at least 18 years of age; or</w:t>
      </w:r>
    </w:p>
    <w:p w:rsidR="006F5996" w:rsidRPr="00085D0E" w:rsidRDefault="006F5996" w:rsidP="006F5996">
      <w:pPr>
        <w:pStyle w:val="Bullet1"/>
        <w:tabs>
          <w:tab w:val="clear" w:pos="851"/>
          <w:tab w:val="left" w:pos="1701"/>
        </w:tabs>
        <w:ind w:left="1701" w:right="804" w:hanging="425"/>
        <w:rPr>
          <w:sz w:val="24"/>
          <w:szCs w:val="24"/>
        </w:rPr>
      </w:pPr>
      <w:r w:rsidRPr="00085D0E">
        <w:rPr>
          <w:sz w:val="24"/>
          <w:szCs w:val="24"/>
          <w:lang w:eastAsia="en-AU"/>
        </w:rPr>
        <w:t>another person who is, or who the sender believes to be, under 18 years of age, in the presence of the sender or participant who is, or who the sender believes to be, over 18 years of age; and</w:t>
      </w:r>
    </w:p>
    <w:p w:rsidR="006F5996" w:rsidRPr="00085D0E" w:rsidRDefault="006F5996" w:rsidP="006F5996">
      <w:pPr>
        <w:pStyle w:val="Quote"/>
        <w:numPr>
          <w:ilvl w:val="0"/>
          <w:numId w:val="37"/>
        </w:numPr>
      </w:pPr>
      <w:r w:rsidRPr="00085D0E">
        <w:t>the child was under 16, or the sender believed the child was under 16.</w:t>
      </w:r>
    </w:p>
    <w:p w:rsidR="006F5996" w:rsidRPr="00085D0E" w:rsidRDefault="006F5996" w:rsidP="006F5996">
      <w:pPr>
        <w:pStyle w:val="Quote"/>
      </w:pPr>
      <w:r w:rsidRPr="00085D0E">
        <w:rPr>
          <w:lang w:eastAsia="en-AU"/>
        </w:rPr>
        <w:t>Items 7, 8, 28 and 29 of Schedule 4 apply absolute liability to the elements of the offence relating to the age of the child and/or the participant (where relevant). This means that the prosecution will not be required to prove that the defendant knew these elements. Rather, the prosecution will have to demonstrate that the child and/or the participant were in fact under 16 years of age and over 18 years of age respectively when the communication or article was sent.</w:t>
      </w:r>
    </w:p>
    <w:p w:rsidR="006F5996" w:rsidRPr="00085D0E" w:rsidRDefault="006F5996" w:rsidP="006F5996">
      <w:pPr>
        <w:pStyle w:val="Quote"/>
      </w:pPr>
      <w:r w:rsidRPr="00085D0E">
        <w:rPr>
          <w:lang w:eastAsia="en-AU"/>
        </w:rPr>
        <w:t>Items 9 and 30 provide that evidence of representations made to the defendant that a person was under or over a particular age will serve as proof, in absence of evidence to the contrary, that the defendant believed the person to be under or over that age (as the case requires). These provisions offer a potential safeguard for the defendant in leading contradictory evidence as to his or her belief of the age of the child or participant.</w:t>
      </w:r>
    </w:p>
    <w:p w:rsidR="006F5996" w:rsidRPr="00085D0E" w:rsidRDefault="006F5996" w:rsidP="006F5996">
      <w:pPr>
        <w:pStyle w:val="Quote"/>
      </w:pPr>
      <w:r w:rsidRPr="00085D0E">
        <w:rPr>
          <w:lang w:eastAsia="en-AU"/>
        </w:rPr>
        <w:t>The effect of applying absolute liability to these elements is ameliorated by the introduction of specific defences based on the defendant's belief about the child and/or participant's age (items 16, 18, 37 and 39). Section 13.4 and 13.5 of the Criminal Code provide that in the case of a legal burden of proof placed on the defendant, a defendant must discharge the burden on the balance of probabilities. If the defendant does this, it will then be for the prosecution to refute the matter beyond reasonable doubt.</w:t>
      </w:r>
    </w:p>
    <w:p w:rsidR="006F5996" w:rsidRPr="00085D0E" w:rsidRDefault="006F5996" w:rsidP="006F5996">
      <w:pPr>
        <w:pStyle w:val="Quote"/>
      </w:pPr>
      <w:r w:rsidRPr="00085D0E">
        <w:rPr>
          <w:lang w:eastAsia="en-AU"/>
        </w:rPr>
        <w:t xml:space="preserve">The application of absolute liability, together with the belief about age defences, is consistent with the other grooming offences in the Criminal </w:t>
      </w:r>
      <w:r w:rsidRPr="00085D0E">
        <w:rPr>
          <w:lang w:eastAsia="en-AU"/>
        </w:rPr>
        <w:lastRenderedPageBreak/>
        <w:t>Code and is appropriate given the intended deterrent effect of these offences. Placing a legal burden of proof on the defendant in relation to belief about age defences is appropriate for these new offences as the defendant is best placed to adduce evidence about his or her belief that the child and/or participant was over the age of 16 and under</w:t>
      </w:r>
      <w:r w:rsidRPr="00085D0E">
        <w:t xml:space="preserve"> </w:t>
      </w:r>
      <w:r w:rsidRPr="00085D0E">
        <w:rPr>
          <w:lang w:eastAsia="en-AU"/>
        </w:rPr>
        <w:t>the age of 18 respectively. The defendant's belief as to these circumstances at the relevant time is a matter peculiarly within his or her knowledge and not readily available to the prosecution.</w:t>
      </w:r>
    </w:p>
    <w:p w:rsidR="006F5996" w:rsidRPr="00085D0E" w:rsidRDefault="006F5996" w:rsidP="006F5996">
      <w:pPr>
        <w:pStyle w:val="Quote"/>
      </w:pPr>
      <w:r w:rsidRPr="00085D0E">
        <w:rPr>
          <w:lang w:eastAsia="en-AU"/>
        </w:rPr>
        <w:t xml:space="preserve">It is important to note that an offence will still be committed where the defendant </w:t>
      </w:r>
      <w:r w:rsidRPr="003455B9">
        <w:rPr>
          <w:i/>
          <w:lang w:eastAsia="en-AU"/>
        </w:rPr>
        <w:t>believes</w:t>
      </w:r>
      <w:r w:rsidRPr="003455B9">
        <w:rPr>
          <w:lang w:eastAsia="en-AU"/>
        </w:rPr>
        <w:t xml:space="preserve"> </w:t>
      </w:r>
      <w:r w:rsidRPr="00085D0E">
        <w:rPr>
          <w:lang w:eastAsia="en-AU"/>
        </w:rPr>
        <w:t>the child to be under the age of 16 years, regardless of the actual circumstances of the offending. This is necessary to accommodate a standard investigatory technique where a law enforcement officer assumes the identity of a fictitious child, interacting with a potential predatory adult and arresting the adult before they have the opportunity to sexually abuse a real child. A person who engages in conduct to procure a child to engage in sexual activity is not able to escape liability for an offence even if their conduct was not ultimately directed towards an actual child.</w:t>
      </w:r>
    </w:p>
    <w:p w:rsidR="006F5996" w:rsidRPr="00085D0E" w:rsidRDefault="006F5996" w:rsidP="006F5996">
      <w:pPr>
        <w:pStyle w:val="Quote"/>
      </w:pPr>
      <w:r w:rsidRPr="00085D0E">
        <w:rPr>
          <w:lang w:eastAsia="en-AU"/>
        </w:rPr>
        <w:t>The application of absolute liability, together with the belief about age defences, is appropriate as the defendant is best placed to adduce evidence about his or her belief. The defences in the Bill are a reasonable and proportionate way to achieve the intended deterrent effect of these offences.</w:t>
      </w:r>
    </w:p>
    <w:p w:rsidR="006F5996" w:rsidRPr="00085D0E" w:rsidRDefault="006F5996" w:rsidP="006F5996">
      <w:pPr>
        <w:pStyle w:val="Quote"/>
      </w:pPr>
      <w:r w:rsidRPr="00085D0E">
        <w:rPr>
          <w:lang w:eastAsia="en-AU"/>
        </w:rPr>
        <w:t>While it is true that a legal burden of proof places a higher burden on the defendant, it is justified in these circumstances given the defendant's belief as to the age of the child/participant is a matter peculiarly within his or her knowledge. A legal burden of proof in these circumstances also better achieves the intended deterrent effect of these offences noting the seriousness of the harm caused to children by sexual abuse. A legal burden of proof will provide consistency with existing belief about age defences in the Criminal Code. The Bill embodies the most significant reforms to the legal framework concerning child sex offenders since the establishment of the Criminal Code in 1995. The Australian Government is committed to protecting the community from the risks posed by child sex offenders by strengthening existing laws on child sexual abuse. The reforms will ensure that offenders are sufficiently punished and deterred from future offending. These measures support this policy objective.</w:t>
      </w:r>
    </w:p>
    <w:p w:rsidR="006F5996" w:rsidRPr="00085D0E" w:rsidRDefault="006F5996" w:rsidP="006F5996">
      <w:pPr>
        <w:pStyle w:val="Level11"/>
        <w:tabs>
          <w:tab w:val="clear" w:pos="850"/>
        </w:tabs>
        <w:rPr>
          <w:b/>
          <w:i/>
        </w:rPr>
      </w:pPr>
      <w:r w:rsidRPr="00085D0E">
        <w:rPr>
          <w:b/>
          <w:i/>
        </w:rPr>
        <w:t>Committee comment</w:t>
      </w:r>
    </w:p>
    <w:p w:rsidR="006F5996" w:rsidRDefault="006F5996" w:rsidP="006F5996">
      <w:pPr>
        <w:pStyle w:val="Level11"/>
        <w:numPr>
          <w:ilvl w:val="0"/>
          <w:numId w:val="21"/>
        </w:numPr>
      </w:pPr>
      <w:r w:rsidRPr="00085D0E">
        <w:t>The committee thanks the Minister for this response. The committee n</w:t>
      </w:r>
      <w:r>
        <w:t xml:space="preserve">otes the Minister's advice that the defendant is best placed to adduce evidence about his or her belief that the child and/or participant was over the age of 16 or under the age of 18 respectively and this belief is a matter peculiarly within his or her knowledge and not readily available to the prosecution. The committee also notes that the Minister's response acknowledges that a legal burden of proof places a </w:t>
      </w:r>
      <w:r>
        <w:lastRenderedPageBreak/>
        <w:t>higher burden on the defendant, but states that this is justified in the circumstances. Given the defendant's belief is a matter peculiarly within his or her knowledge, a legal burden better achieves the intended deterrent effect of these offences and will provide consistency with existing belief about age defences in the Criminal Code.</w:t>
      </w:r>
    </w:p>
    <w:p w:rsidR="006F5996" w:rsidRPr="00561B28" w:rsidRDefault="006F5996" w:rsidP="006F5996">
      <w:pPr>
        <w:pStyle w:val="Level11"/>
        <w:numPr>
          <w:ilvl w:val="0"/>
          <w:numId w:val="21"/>
        </w:numPr>
        <w:rPr>
          <w:b/>
        </w:rPr>
      </w:pPr>
      <w:r w:rsidRPr="00561B28">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561B28">
        <w:rPr>
          <w:b/>
          <w:i/>
        </w:rPr>
        <w:t>Acts Interpretation Act 1901</w:t>
      </w:r>
      <w:r w:rsidRPr="00561B28">
        <w:rPr>
          <w:b/>
        </w:rPr>
        <w:t>).</w:t>
      </w:r>
    </w:p>
    <w:p w:rsidR="006F5996" w:rsidRPr="003732A9" w:rsidRDefault="006F5996" w:rsidP="006F5996">
      <w:pPr>
        <w:pStyle w:val="Level11"/>
        <w:numPr>
          <w:ilvl w:val="0"/>
          <w:numId w:val="21"/>
        </w:numPr>
        <w:rPr>
          <w:b/>
        </w:rPr>
      </w:pPr>
      <w:r w:rsidRPr="003732A9">
        <w:rPr>
          <w:b/>
        </w:rPr>
        <w:t>In lig</w:t>
      </w:r>
      <w:r>
        <w:rPr>
          <w:b/>
        </w:rPr>
        <w:t>ht of the detailed</w:t>
      </w:r>
      <w:r w:rsidRPr="003732A9">
        <w:rPr>
          <w:b/>
        </w:rPr>
        <w:t xml:space="preserve"> information provided, </w:t>
      </w:r>
      <w:r>
        <w:rPr>
          <w:b/>
        </w:rPr>
        <w:t xml:space="preserve">and that the defendant's belief about a person's age would appear to be a matter peculiarly within the defendant's knowledge and significantly more difficult for the prosecution to prove, </w:t>
      </w:r>
      <w:r w:rsidRPr="003732A9">
        <w:rPr>
          <w:b/>
        </w:rPr>
        <w:t>the committee makes no further comment on this matter.</w:t>
      </w:r>
    </w:p>
    <w:p w:rsidR="006F5996" w:rsidRPr="00085D0E" w:rsidRDefault="006F5996" w:rsidP="006F5996">
      <w:pPr>
        <w:spacing w:after="240"/>
        <w:ind w:left="2268" w:right="2223"/>
      </w:pPr>
      <w:r>
        <w:pict>
          <v:rect id="_x0000_i1026" style="width:0;height:1.5pt" o:hralign="center" o:hrstd="t" o:hr="t" fillcolor="#a0a0a0" stroked="f"/>
        </w:pict>
      </w:r>
    </w:p>
    <w:p w:rsidR="006F5996" w:rsidRDefault="006F5996" w:rsidP="006F5996">
      <w:pPr>
        <w:pStyle w:val="Heading3"/>
      </w:pPr>
      <w:r w:rsidRPr="00085D0E">
        <w:t>Mandatory minimum sentences</w:t>
      </w:r>
      <w:r w:rsidRPr="00085D0E">
        <w:rPr>
          <w:rStyle w:val="FootnoteReference"/>
          <w:b w:val="0"/>
        </w:rPr>
        <w:footnoteReference w:id="145"/>
      </w:r>
    </w:p>
    <w:p w:rsidR="006F5996" w:rsidRPr="00085D0E" w:rsidRDefault="006F5996" w:rsidP="006F5996">
      <w:pPr>
        <w:rPr>
          <w:b/>
          <w:i/>
        </w:rPr>
      </w:pPr>
      <w:r w:rsidRPr="00085D0E">
        <w:rPr>
          <w:b/>
          <w:i/>
        </w:rPr>
        <w:t>Initial scrutiny – extract</w:t>
      </w:r>
    </w:p>
    <w:p w:rsidR="006F5996" w:rsidRPr="00085D0E" w:rsidRDefault="006F5996" w:rsidP="006F5996">
      <w:pPr>
        <w:pStyle w:val="Level12"/>
        <w:numPr>
          <w:ilvl w:val="0"/>
          <w:numId w:val="21"/>
        </w:numPr>
      </w:pPr>
      <w:r w:rsidRPr="00085D0E">
        <w:t>Schedule 6 of the bill proposes to introduce mandatory minimum sentences of imprisonment if a person is convicted of certain serious child sexual abuse offences under the Commonwealth Criminal Code, or convicted of any Commonwealth child sex offences more than once.</w:t>
      </w:r>
      <w:r w:rsidRPr="00085D0E">
        <w:rPr>
          <w:rStyle w:val="FootnoteReference"/>
        </w:rPr>
        <w:footnoteReference w:id="146"/>
      </w:r>
      <w:r w:rsidRPr="00085D0E">
        <w:t xml:space="preserve"> The minimum sentences to be imposed range from two years to six years.</w:t>
      </w:r>
    </w:p>
    <w:p w:rsidR="006F5996" w:rsidRPr="00085D0E" w:rsidRDefault="006F5996" w:rsidP="006F5996">
      <w:pPr>
        <w:pStyle w:val="Level12"/>
        <w:numPr>
          <w:ilvl w:val="0"/>
          <w:numId w:val="21"/>
        </w:numPr>
      </w:pPr>
      <w:r w:rsidRPr="00085D0E">
        <w:t xml:space="preserve">The statement of compatibility states that the objective of the measure is to ensure the courts are handing down sentences </w:t>
      </w:r>
      <w:r w:rsidRPr="00085D0E">
        <w:rPr>
          <w:sz w:val="24"/>
        </w:rPr>
        <w:t>'</w:t>
      </w:r>
      <w:r w:rsidRPr="00085D0E">
        <w:t>that reflect the gravity of these offences and ensure that the community is protected from child sex offenders', stating that current sentences 'do not sufficiently recognise the harm suffered by victims of child sex offences' or 'that the market demand for, and commercialisation of, child abuse material often leads to further physical and sexual abuse of children'.</w:t>
      </w:r>
      <w:r w:rsidRPr="00085D0E">
        <w:rPr>
          <w:rStyle w:val="FootnoteReference"/>
        </w:rPr>
        <w:footnoteReference w:id="147"/>
      </w:r>
      <w:r w:rsidRPr="00085D0E">
        <w:t xml:space="preserve"> The statement of compatibility goes on to state that courts will retain discretion as to the term of actual imprisonment because the mandatory sentencing scheme relates only to the length of the head sentence and not the term of actual imprisonment served by an offender.</w:t>
      </w:r>
      <w:r w:rsidRPr="00085D0E">
        <w:rPr>
          <w:rStyle w:val="FootnoteReference"/>
        </w:rPr>
        <w:footnoteReference w:id="148"/>
      </w:r>
      <w:r w:rsidRPr="00085D0E">
        <w:t xml:space="preserve"> This is because the courts set the non-parole </w:t>
      </w:r>
      <w:r w:rsidRPr="00085D0E">
        <w:lastRenderedPageBreak/>
        <w:t xml:space="preserve">period and could set that the non-parole period as lower than the mandatory minimum sentence. </w:t>
      </w:r>
    </w:p>
    <w:p w:rsidR="006F5996" w:rsidRPr="00085D0E" w:rsidRDefault="006F5996" w:rsidP="006F5996">
      <w:pPr>
        <w:pStyle w:val="Level12"/>
        <w:numPr>
          <w:ilvl w:val="0"/>
          <w:numId w:val="21"/>
        </w:numPr>
      </w:pPr>
      <w:r w:rsidRPr="00085D0E">
        <w:t>However, the committee has consistently noted that mandatory penalties necessarily undermine the discretion of judges to ensure that penalties imposed are proportionate in light of the individual circumstances of particular cases. While a court retains a discretion as to the non-parole period, a mandatory minimum sentence still requires that a person be subject to a penalty for that period (either in prison or subject to parole conditions), and sentencing principles generally provide that a non-parole period is to be in proportion to the head sentence.</w:t>
      </w:r>
    </w:p>
    <w:p w:rsidR="006F5996" w:rsidRPr="00085D0E" w:rsidRDefault="006F5996" w:rsidP="006F5996">
      <w:pPr>
        <w:pStyle w:val="Level12"/>
        <w:numPr>
          <w:ilvl w:val="0"/>
          <w:numId w:val="21"/>
        </w:numPr>
      </w:pPr>
      <w:r w:rsidRPr="00085D0E">
        <w:t>The committee therefore requests the Minister's detailed justification as to the appropriateness of removing judicial discretion in sentencing certain child sex offenders, whether there are examples of analogous offences that carry a mandatory minimum penalty, and how mandatory minimum sentences would interact with existing sentencing principles regarding the setting of a non-parole period.</w:t>
      </w:r>
    </w:p>
    <w:p w:rsidR="006F5996" w:rsidRPr="00085D0E" w:rsidRDefault="006F5996" w:rsidP="006F5996">
      <w:pPr>
        <w:pStyle w:val="Level11"/>
        <w:tabs>
          <w:tab w:val="clear" w:pos="850"/>
        </w:tabs>
        <w:rPr>
          <w:b/>
          <w:i/>
        </w:rPr>
      </w:pPr>
      <w:r w:rsidRPr="00085D0E">
        <w:rPr>
          <w:b/>
          <w:i/>
        </w:rPr>
        <w:t>Minister's response</w:t>
      </w:r>
    </w:p>
    <w:p w:rsidR="006F5996" w:rsidRPr="00085D0E" w:rsidRDefault="006F5996" w:rsidP="006F5996">
      <w:pPr>
        <w:pStyle w:val="Level11"/>
        <w:numPr>
          <w:ilvl w:val="0"/>
          <w:numId w:val="21"/>
        </w:numPr>
      </w:pPr>
      <w:r w:rsidRPr="00085D0E">
        <w:t>The Minister advised:</w:t>
      </w:r>
    </w:p>
    <w:p w:rsidR="006F5996" w:rsidRPr="00085D0E" w:rsidRDefault="006F5996" w:rsidP="006F5996">
      <w:pPr>
        <w:pStyle w:val="Quote"/>
      </w:pPr>
      <w:r w:rsidRPr="00085D0E">
        <w:rPr>
          <w:lang w:eastAsia="en-AU"/>
        </w:rPr>
        <w:t>The introduction of mandatory minimum sentencing for the most serious Commonwealth child sex offences and for repeat child sex offenders is central to achieving the Bill's objectives of protecting the community, adequately reflecting the harm inflicted on victims and ensuring that sexual predators receive a sentence that is commensurate to the severity of their offences. Addressing the current disparity between the seriousness of child sex offending and lenient sentences handed down by courts is at the core of the Bill.</w:t>
      </w:r>
    </w:p>
    <w:p w:rsidR="006F5996" w:rsidRPr="00085D0E" w:rsidRDefault="006F5996" w:rsidP="006F5996">
      <w:pPr>
        <w:pStyle w:val="Quote"/>
        <w:rPr>
          <w:i/>
          <w:szCs w:val="24"/>
          <w:lang w:eastAsia="en-AU"/>
        </w:rPr>
      </w:pPr>
      <w:r w:rsidRPr="00085D0E">
        <w:rPr>
          <w:i/>
          <w:szCs w:val="24"/>
          <w:lang w:eastAsia="en-AU"/>
        </w:rPr>
        <w:t>Appropriateness of Mandatory Minimum Sentencing</w:t>
      </w:r>
    </w:p>
    <w:p w:rsidR="006F5996" w:rsidRPr="00085D0E" w:rsidRDefault="006F5996" w:rsidP="006F5996">
      <w:pPr>
        <w:pStyle w:val="Quote"/>
        <w:rPr>
          <w:szCs w:val="24"/>
        </w:rPr>
      </w:pPr>
      <w:r w:rsidRPr="00085D0E">
        <w:rPr>
          <w:rFonts w:cs="Arial"/>
          <w:szCs w:val="24"/>
          <w:lang w:eastAsia="en-AU"/>
        </w:rPr>
        <w:t>Ensuring that perpetrators are adequately punished not only acknowledges the significant trauma caused by the offending behaviour, but also recognises the impact on the community if the individual reoffends. The Bill mitigates this risk by ensuring serious child sex offenders serve a meaningful period of time in custody. This means offenders will be punished appropriately, reflecting the seriousness of their crimes. This also means that offenders will have access to targeted rehabilitation and treatment programs in prison, ultimately reducing the risks those offenders pose to the community. Importantly, time that a sex offender spends in prison is time they cannot offend in the community.</w:t>
      </w:r>
    </w:p>
    <w:p w:rsidR="006F5996" w:rsidRPr="00085D0E" w:rsidRDefault="006F5996" w:rsidP="006F5996">
      <w:pPr>
        <w:pStyle w:val="Quote"/>
      </w:pPr>
      <w:r w:rsidRPr="00085D0E">
        <w:rPr>
          <w:lang w:eastAsia="en-AU"/>
        </w:rPr>
        <w:t xml:space="preserve">Despite current Commonwealth child sex offences carrying significant maximum penalties, the courts are not handing down sentences that reflect the gravity of the offending, or the harm suffered by victims. Statistics on current Commonwealth child sex offences demonstrate the low rate of convictions resulting in a custodial sentence-meaning that a staggering number of convicted offenders are released into the community. Of the 652 Commonwealth child sex offences committed since </w:t>
      </w:r>
      <w:r w:rsidRPr="00085D0E">
        <w:rPr>
          <w:lang w:eastAsia="en-AU"/>
        </w:rPr>
        <w:lastRenderedPageBreak/>
        <w:t>2012, only 58.7% of charges resulted in a custodial sentence. The most common length of imprisonment for an offence was 18 months and the most common period of actual imprisonment was just six months.</w:t>
      </w:r>
    </w:p>
    <w:p w:rsidR="006F5996" w:rsidRPr="00085D0E" w:rsidRDefault="006F5996" w:rsidP="006F5996">
      <w:pPr>
        <w:pStyle w:val="Quote"/>
      </w:pPr>
      <w:r w:rsidRPr="00085D0E">
        <w:rPr>
          <w:lang w:eastAsia="en-AU"/>
        </w:rPr>
        <w:t>Current sentencing practice is inadequate and out of step with community expectations. These statistics demonstrate the clear need for legislation to guide the courts in applying more appropriate penalties for Commonwealth child sex offences.</w:t>
      </w:r>
    </w:p>
    <w:p w:rsidR="006F5996" w:rsidRPr="00085D0E" w:rsidRDefault="006F5996" w:rsidP="006F5996">
      <w:pPr>
        <w:pStyle w:val="Quote"/>
        <w:rPr>
          <w:i/>
          <w:lang w:eastAsia="en-AU"/>
        </w:rPr>
      </w:pPr>
      <w:r w:rsidRPr="00085D0E">
        <w:rPr>
          <w:i/>
          <w:lang w:eastAsia="en-AU"/>
        </w:rPr>
        <w:t>Judicial Discretion</w:t>
      </w:r>
    </w:p>
    <w:p w:rsidR="006F5996" w:rsidRPr="00085D0E" w:rsidRDefault="006F5996" w:rsidP="006F5996">
      <w:pPr>
        <w:pStyle w:val="Quote"/>
      </w:pPr>
      <w:r w:rsidRPr="00085D0E">
        <w:rPr>
          <w:rFonts w:cs="Arial"/>
          <w:lang w:eastAsia="en-AU"/>
        </w:rPr>
        <w:t xml:space="preserve">The mandatory minimum sentencing scheme introduced by the Bill limits judicial discretion, but does not remove it. A court is able to take into account a guilty plea or an offender's cooperation with law enforcement agencies and to discount the minimum penalty by up to 25% respectively. Courts will also retain the ability to impose a sentence of a severity appropriate in all the circumstances of the offence through exercising judicial discretion over the length of the non-parole period. The reforms do not impact the current requirement for the courts to consider all the circumstances, including the matters listed in section 16A of the </w:t>
      </w:r>
      <w:r w:rsidRPr="00085D0E">
        <w:rPr>
          <w:lang w:eastAsia="en-AU"/>
        </w:rPr>
        <w:t xml:space="preserve">Crimes Act, </w:t>
      </w:r>
      <w:r w:rsidRPr="00085D0E">
        <w:rPr>
          <w:rFonts w:cs="Arial"/>
          <w:lang w:eastAsia="en-AU"/>
        </w:rPr>
        <w:t>when fixing a non</w:t>
      </w:r>
      <w:r>
        <w:rPr>
          <w:rFonts w:cs="Arial"/>
          <w:lang w:eastAsia="en-AU"/>
        </w:rPr>
        <w:t>-</w:t>
      </w:r>
      <w:r w:rsidRPr="00085D0E">
        <w:rPr>
          <w:rFonts w:cs="Arial"/>
          <w:lang w:eastAsia="en-AU"/>
        </w:rPr>
        <w:t>parole period. This means that courts will be able to take into account individual circumstances and any mitigating factors in considering the most suitable non-parole period.</w:t>
      </w:r>
    </w:p>
    <w:p w:rsidR="006F5996" w:rsidRPr="00085D0E" w:rsidRDefault="006F5996" w:rsidP="006F5996">
      <w:pPr>
        <w:pStyle w:val="Quote"/>
      </w:pPr>
      <w:r w:rsidRPr="00085D0E">
        <w:rPr>
          <w:lang w:eastAsia="en-AU"/>
        </w:rPr>
        <w:t>The Government understands that sentencing decisions involve careful analysis of numerous factors and circumstances. That is why the mandatory minimum sentencing regime includes mechanisms for courts to retain appropriate discretion to enable individual circumstances to be taken into account while still ensuring that sentences for child sex offenders reflect the serious and heinous nature of the crimes. Retaining this discretion allows for less restrictive approaches to be taken where necessary, within the framework of the mandatory minimum sentencing scheme.</w:t>
      </w:r>
    </w:p>
    <w:p w:rsidR="006F5996" w:rsidRPr="00085D0E" w:rsidRDefault="006F5996" w:rsidP="006F5996">
      <w:pPr>
        <w:pStyle w:val="Quote"/>
        <w:rPr>
          <w:i/>
          <w:szCs w:val="24"/>
          <w:lang w:eastAsia="en-AU"/>
        </w:rPr>
      </w:pPr>
      <w:r w:rsidRPr="00085D0E">
        <w:rPr>
          <w:i/>
          <w:szCs w:val="24"/>
          <w:lang w:eastAsia="en-AU"/>
        </w:rPr>
        <w:t>Analogous offences</w:t>
      </w:r>
    </w:p>
    <w:p w:rsidR="006F5996" w:rsidRPr="00085D0E" w:rsidRDefault="006F5996" w:rsidP="006F5996">
      <w:pPr>
        <w:pStyle w:val="Quote"/>
        <w:rPr>
          <w:rFonts w:cs="Arial"/>
          <w:szCs w:val="24"/>
          <w:lang w:eastAsia="en-AU"/>
        </w:rPr>
      </w:pPr>
      <w:r w:rsidRPr="00085D0E">
        <w:rPr>
          <w:rFonts w:cs="Arial"/>
          <w:szCs w:val="24"/>
          <w:lang w:eastAsia="en-AU"/>
        </w:rPr>
        <w:t>The Government considers that mandatory minimum sentences should be used sparingly and for the most serious offences. Mandatory minimums are already in place at the Commonwealth level for terrorist offenders and people smugglers, and the Government is firmly of the view that-with the safeguards set out in the Bill-the application of mandatory minimum sentences to offenders who commit serious or repeated sexual crimes against innocent children is reasonable, necessary and proportionate.</w:t>
      </w:r>
    </w:p>
    <w:p w:rsidR="006F5996" w:rsidRPr="00085D0E" w:rsidRDefault="006F5996" w:rsidP="006F5996">
      <w:pPr>
        <w:pStyle w:val="Quote"/>
      </w:pPr>
      <w:r w:rsidRPr="00085D0E">
        <w:rPr>
          <w:lang w:eastAsia="en-AU"/>
        </w:rPr>
        <w:t>Queensland, South Australia and the Northern Territory have mandatory minimum sentencing for State child sex offences.</w:t>
      </w:r>
    </w:p>
    <w:p w:rsidR="006F5996" w:rsidRPr="00085D0E" w:rsidRDefault="006F5996" w:rsidP="006F5996">
      <w:pPr>
        <w:pStyle w:val="Bullet1"/>
        <w:tabs>
          <w:tab w:val="clear" w:pos="851"/>
          <w:tab w:val="left" w:pos="1418"/>
        </w:tabs>
        <w:ind w:left="1418" w:right="804" w:hanging="567"/>
        <w:rPr>
          <w:sz w:val="24"/>
          <w:szCs w:val="24"/>
        </w:rPr>
      </w:pPr>
      <w:r w:rsidRPr="00085D0E">
        <w:rPr>
          <w:sz w:val="24"/>
          <w:szCs w:val="24"/>
          <w:lang w:eastAsia="en-AU"/>
        </w:rPr>
        <w:t xml:space="preserve">Under section 161E of the </w:t>
      </w:r>
      <w:r w:rsidRPr="00085D0E">
        <w:rPr>
          <w:i/>
          <w:iCs/>
          <w:sz w:val="24"/>
          <w:szCs w:val="24"/>
          <w:lang w:eastAsia="en-AU"/>
        </w:rPr>
        <w:t xml:space="preserve">Penalties and Sentences Act 1992 </w:t>
      </w:r>
      <w:r w:rsidRPr="00085D0E">
        <w:rPr>
          <w:sz w:val="24"/>
          <w:szCs w:val="24"/>
          <w:lang w:eastAsia="en-AU"/>
        </w:rPr>
        <w:t>(QLD), a repeat offender convicted of serious child sex offences is liable to a sentence of mandatory life imprisonment.</w:t>
      </w:r>
    </w:p>
    <w:p w:rsidR="006F5996" w:rsidRPr="00085D0E" w:rsidRDefault="006F5996" w:rsidP="006F5996">
      <w:pPr>
        <w:pStyle w:val="Bullet1"/>
        <w:tabs>
          <w:tab w:val="clear" w:pos="851"/>
          <w:tab w:val="left" w:pos="1418"/>
        </w:tabs>
        <w:ind w:left="1418" w:right="804" w:hanging="567"/>
        <w:rPr>
          <w:sz w:val="24"/>
          <w:szCs w:val="24"/>
        </w:rPr>
      </w:pPr>
      <w:r w:rsidRPr="00085D0E">
        <w:rPr>
          <w:sz w:val="24"/>
          <w:szCs w:val="24"/>
          <w:lang w:eastAsia="en-AU"/>
        </w:rPr>
        <w:lastRenderedPageBreak/>
        <w:t xml:space="preserve">Under section 20B of the </w:t>
      </w:r>
      <w:r w:rsidRPr="00085D0E">
        <w:rPr>
          <w:i/>
          <w:iCs/>
          <w:sz w:val="24"/>
          <w:szCs w:val="24"/>
          <w:lang w:eastAsia="en-AU"/>
        </w:rPr>
        <w:t xml:space="preserve">Criminal Law (Sentencing) Act 1988 </w:t>
      </w:r>
      <w:r w:rsidRPr="00085D0E">
        <w:rPr>
          <w:sz w:val="24"/>
          <w:szCs w:val="24"/>
          <w:lang w:eastAsia="en-AU"/>
        </w:rPr>
        <w:t>(SA), the court may declare an offender a serious repeat offender if the person has committed at least two separate sexual offences against children under 14. Under this declaration, the court is not required to ensure that the sentence is proportional to the offence and any non-parole period fixed must be at least four fifths of the sentence.</w:t>
      </w:r>
    </w:p>
    <w:p w:rsidR="006F5996" w:rsidRPr="00085D0E" w:rsidRDefault="006F5996" w:rsidP="006F5996">
      <w:pPr>
        <w:pStyle w:val="Bullet1"/>
        <w:tabs>
          <w:tab w:val="clear" w:pos="851"/>
          <w:tab w:val="left" w:pos="1418"/>
        </w:tabs>
        <w:ind w:left="1418" w:right="804" w:hanging="567"/>
        <w:rPr>
          <w:sz w:val="24"/>
          <w:szCs w:val="24"/>
        </w:rPr>
      </w:pPr>
      <w:r w:rsidRPr="00085D0E">
        <w:rPr>
          <w:sz w:val="24"/>
          <w:szCs w:val="24"/>
          <w:lang w:eastAsia="en-AU"/>
        </w:rPr>
        <w:t xml:space="preserve">Under section 78F of the </w:t>
      </w:r>
      <w:r w:rsidRPr="00085D0E">
        <w:rPr>
          <w:i/>
          <w:iCs/>
          <w:sz w:val="24"/>
          <w:szCs w:val="24"/>
          <w:lang w:eastAsia="en-AU"/>
        </w:rPr>
        <w:t xml:space="preserve">Sentencing Act (NT), </w:t>
      </w:r>
      <w:r w:rsidRPr="00085D0E">
        <w:rPr>
          <w:sz w:val="24"/>
          <w:szCs w:val="24"/>
          <w:lang w:eastAsia="en-AU"/>
        </w:rPr>
        <w:t>where a court finds an offender guilty of a sexual offence, the court must record a conviction and must order that the offender serve a term of actual imprisonment or a term of imprisonment that is suspended partly, but not wholly suspended. Where the offender is convicted of certain child sex offences (e.g. sexual intercourse or gross indecency with a child under 16, sexual intercourse or gross indecency by a provider of services to mentally ill or handicapped person) a mandatory minimum non-parole period of 75% of the head sentence applies.</w:t>
      </w:r>
    </w:p>
    <w:p w:rsidR="006F5996" w:rsidRPr="00085D0E" w:rsidRDefault="006F5996" w:rsidP="006F5996">
      <w:pPr>
        <w:pStyle w:val="Quote"/>
        <w:rPr>
          <w:i/>
          <w:lang w:eastAsia="en-AU"/>
        </w:rPr>
      </w:pPr>
      <w:r w:rsidRPr="00085D0E">
        <w:rPr>
          <w:i/>
          <w:lang w:eastAsia="en-AU"/>
        </w:rPr>
        <w:t>Interaction with sentencing principles and setting the non-parole period</w:t>
      </w:r>
    </w:p>
    <w:p w:rsidR="006F5996" w:rsidRPr="00085D0E" w:rsidRDefault="006F5996" w:rsidP="006F5996">
      <w:pPr>
        <w:pStyle w:val="Quote"/>
      </w:pPr>
      <w:r w:rsidRPr="00085D0E">
        <w:rPr>
          <w:lang w:eastAsia="en-AU"/>
        </w:rPr>
        <w:t>With the exception of a limited number of offences (such as terrorism, treason and espionage), the Crimes Act does not prescribe how a non-parole period should be determined. In sentencing Commonwealth offenders, there is no judicially determined norm or starting point, expressed as a percentage of the head sentence or otherwise, for setting the non-parole period. As such, judicial discretion is maintained in setting the non-parole period.</w:t>
      </w:r>
    </w:p>
    <w:p w:rsidR="006F5996" w:rsidRPr="00085D0E" w:rsidRDefault="006F5996" w:rsidP="006F5996">
      <w:pPr>
        <w:pStyle w:val="Level11"/>
        <w:tabs>
          <w:tab w:val="clear" w:pos="850"/>
        </w:tabs>
        <w:rPr>
          <w:b/>
          <w:i/>
        </w:rPr>
      </w:pPr>
      <w:r w:rsidRPr="00085D0E">
        <w:rPr>
          <w:b/>
          <w:i/>
        </w:rPr>
        <w:t>Committee comment</w:t>
      </w:r>
    </w:p>
    <w:p w:rsidR="006F5996" w:rsidRPr="00085D0E" w:rsidRDefault="006F5996" w:rsidP="006F5996">
      <w:pPr>
        <w:pStyle w:val="Level11"/>
        <w:numPr>
          <w:ilvl w:val="0"/>
          <w:numId w:val="21"/>
        </w:numPr>
      </w:pPr>
      <w:r w:rsidRPr="00085D0E">
        <w:t>The committee thanks the Minister for this response. The committee notes the Min</w:t>
      </w:r>
      <w:r>
        <w:t>ister's advice that despite current Commonwealth child sex offences carrying significant maximum penalties, the Minister considers the courts are not handing down sentences that reflect the gravity of offending or the harm suffered by victims, with only 58.7 per cent of Commonwealth child sex offenders committed since 2012 receiving a custodial sentence. The committee also notes the Minister's advice that while the bill limits judicial discretion, it does not remove it, particularly as judicial discretion over the length of the non-parole period remains. In particular, the committee notes the Minister's advice that with the exception of a limited number of offences, the Crimes Act does not prescribe how a non-parole period should be determined, and there is no judicially determined norm or starting point for setting the non-parole period in the sentencing of Commonwealth offenders.</w:t>
      </w:r>
    </w:p>
    <w:p w:rsidR="006F5996" w:rsidRDefault="006F5996" w:rsidP="006F5996">
      <w:pPr>
        <w:pStyle w:val="Level11"/>
        <w:numPr>
          <w:ilvl w:val="0"/>
          <w:numId w:val="21"/>
        </w:numPr>
      </w:pPr>
      <w:r>
        <w:t>T</w:t>
      </w:r>
      <w:r w:rsidRPr="00085D0E">
        <w:t>he committee</w:t>
      </w:r>
      <w:r>
        <w:t xml:space="preserve"> reiterates that it</w:t>
      </w:r>
      <w:r w:rsidRPr="00085D0E">
        <w:t xml:space="preserve"> has consistently noted that mandatory penalties necessarily undermine the discretion of judges to ensure that penalties imposed are proportionate in light of the individual circumstances of particular cases. While a court retains a discretion as to the non-parole period, a mandatory minimum sentence still requires that a person be subject to a penalty for that period (either in prison or subject to parole conditions)</w:t>
      </w:r>
      <w:r>
        <w:t>.</w:t>
      </w:r>
    </w:p>
    <w:p w:rsidR="006F5996" w:rsidRPr="00DD0D89" w:rsidRDefault="006F5996" w:rsidP="006F5996">
      <w:pPr>
        <w:pStyle w:val="Level11"/>
        <w:numPr>
          <w:ilvl w:val="0"/>
          <w:numId w:val="21"/>
        </w:numPr>
        <w:rPr>
          <w:b/>
        </w:rPr>
      </w:pPr>
      <w:r w:rsidRPr="00DD0D89">
        <w:rPr>
          <w:b/>
        </w:rPr>
        <w:lastRenderedPageBreak/>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DD0D89">
        <w:rPr>
          <w:b/>
          <w:i/>
        </w:rPr>
        <w:t>Acts Interpretation Act 1901</w:t>
      </w:r>
      <w:r w:rsidRPr="00DD0D89">
        <w:rPr>
          <w:b/>
        </w:rPr>
        <w:t>).</w:t>
      </w:r>
    </w:p>
    <w:p w:rsidR="006F5996" w:rsidRPr="00DD0D89" w:rsidRDefault="006F5996" w:rsidP="006F5996">
      <w:pPr>
        <w:pStyle w:val="Level11"/>
        <w:numPr>
          <w:ilvl w:val="0"/>
          <w:numId w:val="21"/>
        </w:numPr>
        <w:rPr>
          <w:b/>
        </w:rPr>
      </w:pPr>
      <w:r w:rsidRPr="00DD0D89">
        <w:rPr>
          <w:b/>
        </w:rPr>
        <w:t xml:space="preserve">The committee draws its scrutiny concerns to the attention of Senators and </w:t>
      </w:r>
      <w:bookmarkStart w:id="13" w:name="OLE_LINK5"/>
      <w:r w:rsidRPr="00DD0D89">
        <w:rPr>
          <w:b/>
        </w:rPr>
        <w:t>leaves to the Senate as a whole the appropriateness of</w:t>
      </w:r>
      <w:bookmarkEnd w:id="13"/>
      <w:r w:rsidRPr="00DD0D89">
        <w:rPr>
          <w:b/>
        </w:rPr>
        <w:t xml:space="preserve"> </w:t>
      </w:r>
      <w:r>
        <w:rPr>
          <w:b/>
        </w:rPr>
        <w:t>setting mandatory minimum sentences, which limits judicial discretion, for Commonwealth child sex offences.</w:t>
      </w:r>
    </w:p>
    <w:p w:rsidR="006F5996" w:rsidRPr="00085D0E" w:rsidRDefault="006F5996" w:rsidP="006F5996">
      <w:pPr>
        <w:spacing w:after="240"/>
        <w:ind w:left="2268" w:right="2223"/>
      </w:pPr>
      <w:r>
        <w:pict>
          <v:rect id="_x0000_i1027" style="width:0;height:1.5pt" o:hralign="center" o:hrstd="t" o:hr="t" fillcolor="#a0a0a0" stroked="f"/>
        </w:pict>
      </w:r>
    </w:p>
    <w:p w:rsidR="006F5996" w:rsidRDefault="006F5996" w:rsidP="006F5996">
      <w:pPr>
        <w:pStyle w:val="Heading3"/>
      </w:pPr>
      <w:r w:rsidRPr="00085D0E">
        <w:t>Right to liberty—presumption against bail</w:t>
      </w:r>
      <w:r w:rsidRPr="00085D0E">
        <w:rPr>
          <w:rStyle w:val="FootnoteReference"/>
          <w:b w:val="0"/>
        </w:rPr>
        <w:footnoteReference w:id="149"/>
      </w:r>
    </w:p>
    <w:p w:rsidR="006F5996" w:rsidRPr="00085D0E" w:rsidRDefault="006F5996" w:rsidP="006F5996">
      <w:pPr>
        <w:rPr>
          <w:b/>
          <w:i/>
        </w:rPr>
      </w:pPr>
      <w:r w:rsidRPr="00085D0E">
        <w:rPr>
          <w:b/>
          <w:i/>
        </w:rPr>
        <w:t>Initial scrutiny – extract</w:t>
      </w:r>
    </w:p>
    <w:p w:rsidR="006F5996" w:rsidRPr="00085D0E" w:rsidRDefault="006F5996" w:rsidP="006F5996">
      <w:pPr>
        <w:pStyle w:val="Level12"/>
        <w:numPr>
          <w:ilvl w:val="0"/>
          <w:numId w:val="21"/>
        </w:numPr>
      </w:pPr>
      <w:r w:rsidRPr="00085D0E">
        <w:t>Schedule 7 to the bill would introduce a presumption against bail for persons charged with, or convicted of, certain Commonwealth child sex offences. Proposed section 15AAA provides that a bail authority must not grant bail unless satisfied by the person that circumstances exist to grant bail.</w:t>
      </w:r>
    </w:p>
    <w:p w:rsidR="006F5996" w:rsidRPr="00085D0E" w:rsidRDefault="006F5996" w:rsidP="006F5996">
      <w:pPr>
        <w:pStyle w:val="Level12"/>
        <w:numPr>
          <w:ilvl w:val="0"/>
          <w:numId w:val="21"/>
        </w:numPr>
      </w:pPr>
      <w:r w:rsidRPr="00085D0E">
        <w:t xml:space="preserve">The presumption against bail applies to persons charged with, or convicted of, serious child sex offences to which mandatory minimum penalties apply. It also applies to all offences subject to a mandatory minimum penalty on a second or subsequent offence where the person has been previously convicted of child sexual abuse.  </w:t>
      </w:r>
    </w:p>
    <w:p w:rsidR="006F5996" w:rsidRPr="00085D0E" w:rsidRDefault="006F5996" w:rsidP="006F5996">
      <w:pPr>
        <w:pStyle w:val="Level12"/>
        <w:numPr>
          <w:ilvl w:val="0"/>
          <w:numId w:val="21"/>
        </w:numPr>
      </w:pPr>
      <w:r w:rsidRPr="00085D0E">
        <w:t xml:space="preserve">The presumption against bail applies both to those convicted of, but also those charged with, certain offences. The committee notes that it is a cornerstone of the criminal justice system that a person is presumed innocent until proven guilty, and presumptions against bail (which deny a person their liberty before they have been convicted) test this presumption. As such, the committee expects that a clear justification be given in the explanatory materials for imposing a presumption against bail and any evidence that courts are currently failing to consider the serious nature of an offence in determining whether to grant bail.   </w:t>
      </w:r>
    </w:p>
    <w:p w:rsidR="006F5996" w:rsidRPr="00085D0E" w:rsidRDefault="006F5996" w:rsidP="006F5996">
      <w:pPr>
        <w:pStyle w:val="Level12"/>
        <w:numPr>
          <w:ilvl w:val="0"/>
          <w:numId w:val="21"/>
        </w:numPr>
      </w:pPr>
      <w:r w:rsidRPr="00085D0E">
        <w:t>In this instance, the statement of compatibility provides that the presumption against bail aims to achieve the objective of community protection from Commonwealth child sex offenders while they are awaiting trial or sentencing, and where conditions of bail 'cannot mitigate the risk to the community, witnesses, and victims.'</w:t>
      </w:r>
      <w:r w:rsidRPr="00085D0E">
        <w:rPr>
          <w:rStyle w:val="FootnoteReference"/>
        </w:rPr>
        <w:footnoteReference w:id="150"/>
      </w:r>
      <w:r w:rsidRPr="00085D0E">
        <w:t xml:space="preserve">  The statement of compatibility goes on to state that the </w:t>
      </w:r>
      <w:r w:rsidRPr="00085D0E">
        <w:lastRenderedPageBreak/>
        <w:t>presumption is rebuttable and provides judicial discretion in determining whether a person's risk on bail can be mitigated by appropriate conditions.</w:t>
      </w:r>
      <w:r w:rsidRPr="00085D0E">
        <w:rPr>
          <w:rStyle w:val="FootnoteReference"/>
        </w:rPr>
        <w:footnoteReference w:id="151"/>
      </w:r>
    </w:p>
    <w:p w:rsidR="006F5996" w:rsidRPr="00085D0E" w:rsidRDefault="006F5996" w:rsidP="006F5996">
      <w:pPr>
        <w:pStyle w:val="Level12"/>
        <w:numPr>
          <w:ilvl w:val="0"/>
          <w:numId w:val="21"/>
        </w:numPr>
      </w:pPr>
      <w:r w:rsidRPr="00085D0E">
        <w:t>However, no information is provided to demonstrate that the courts are currently not appropriately considering the risks posed by those accused of Commonwealth child sex offences.</w:t>
      </w:r>
    </w:p>
    <w:p w:rsidR="006F5996" w:rsidRPr="00085D0E" w:rsidRDefault="006F5996" w:rsidP="006F5996">
      <w:pPr>
        <w:pStyle w:val="Level12"/>
        <w:numPr>
          <w:ilvl w:val="0"/>
          <w:numId w:val="21"/>
        </w:numPr>
      </w:pPr>
      <w:r w:rsidRPr="00085D0E">
        <w:t>The committee requests the Minister's detailed justification as to the appropriateness of imposing a presumption against bail, including information as to why the current bail requirements are insufficient, and why it is necessary to create a presumption against bail rather than specifying the relevant matters a bail authority must have regard to in exercising their discretion whether to grant bail.</w:t>
      </w:r>
    </w:p>
    <w:p w:rsidR="006F5996" w:rsidRPr="00085D0E" w:rsidRDefault="006F5996" w:rsidP="006F5996">
      <w:pPr>
        <w:pStyle w:val="Level11"/>
        <w:tabs>
          <w:tab w:val="clear" w:pos="850"/>
        </w:tabs>
        <w:rPr>
          <w:b/>
          <w:i/>
        </w:rPr>
      </w:pPr>
      <w:r w:rsidRPr="00085D0E">
        <w:rPr>
          <w:b/>
          <w:i/>
        </w:rPr>
        <w:t>Minister's response</w:t>
      </w:r>
    </w:p>
    <w:p w:rsidR="006F5996" w:rsidRPr="00085D0E" w:rsidRDefault="006F5996" w:rsidP="006F5996">
      <w:pPr>
        <w:pStyle w:val="Level11"/>
        <w:numPr>
          <w:ilvl w:val="0"/>
          <w:numId w:val="21"/>
        </w:numPr>
      </w:pPr>
      <w:r w:rsidRPr="00085D0E">
        <w:t>The Minister advised:</w:t>
      </w:r>
    </w:p>
    <w:p w:rsidR="006F5996" w:rsidRPr="00085D0E" w:rsidRDefault="006F5996" w:rsidP="006F5996">
      <w:pPr>
        <w:pStyle w:val="Quote"/>
      </w:pPr>
      <w:r w:rsidRPr="00085D0E">
        <w:rPr>
          <w:lang w:eastAsia="en-AU"/>
        </w:rPr>
        <w:t>The presumption against bail is designed to protect the community from child sex offenders while they await trial or sentencing. Not all child sex offences are subject to the presumption against bail. The measure only applies to offences that attract a mandatory minimum penalty, namely the most serious child sex offences and those persons who have previous convictions for child sex offences. The presumption against bail for this cohort of the most serious child sex predators is a necessary and effective crime prevention measure for a crime type that targets one of the most vulnerable groups in the community.</w:t>
      </w:r>
    </w:p>
    <w:p w:rsidR="006F5996" w:rsidRPr="00085D0E" w:rsidRDefault="006F5996" w:rsidP="006F5996">
      <w:pPr>
        <w:pStyle w:val="Quote"/>
      </w:pPr>
      <w:r w:rsidRPr="00085D0E">
        <w:rPr>
          <w:lang w:eastAsia="en-AU"/>
        </w:rPr>
        <w:t>The measure does not remove the current balancing exercise undertaken by bail authorities and the courts. Rather, the measure puts the responsibility on a person charged with a child sex offence to demonstrate to the court that circumstances exist to grant bail. It is appropriate that child sex offenders take responsibility for explaining to the court why they do not pose a risk if released on bail. This is particularly the case for Commonwealth child sex offences, which often concern emerging technologies that are often difficult to detect.</w:t>
      </w:r>
    </w:p>
    <w:p w:rsidR="006F5996" w:rsidRPr="00085D0E" w:rsidRDefault="006F5996" w:rsidP="006F5996">
      <w:pPr>
        <w:pStyle w:val="Quote"/>
      </w:pPr>
      <w:r w:rsidRPr="00085D0E">
        <w:rPr>
          <w:lang w:eastAsia="en-AU"/>
        </w:rPr>
        <w:t>The presumption is rebuttable and provides judicial discretion as to determining whether a persons' risk on bail can be mitigated through appropriate conditions which make the granting of bail appropriate in the circumstances. Flexibility is provided by the open nature of the presumption which is not limited to specific criteria.</w:t>
      </w:r>
    </w:p>
    <w:p w:rsidR="006F5996" w:rsidRPr="00085D0E" w:rsidRDefault="006F5996" w:rsidP="006F5996">
      <w:pPr>
        <w:pStyle w:val="Quote"/>
        <w:rPr>
          <w:i/>
          <w:lang w:eastAsia="en-AU"/>
        </w:rPr>
      </w:pPr>
      <w:r w:rsidRPr="00085D0E">
        <w:rPr>
          <w:rFonts w:cs="Arial"/>
          <w:i/>
          <w:lang w:eastAsia="en-AU"/>
        </w:rPr>
        <w:t xml:space="preserve">Why </w:t>
      </w:r>
      <w:r w:rsidRPr="00085D0E">
        <w:rPr>
          <w:i/>
          <w:lang w:eastAsia="en-AU"/>
        </w:rPr>
        <w:t>current bail requirements are insufficient</w:t>
      </w:r>
    </w:p>
    <w:p w:rsidR="006F5996" w:rsidRPr="00085D0E" w:rsidRDefault="006F5996" w:rsidP="006F5996">
      <w:pPr>
        <w:pStyle w:val="Quote"/>
      </w:pPr>
      <w:r w:rsidRPr="00085D0E">
        <w:rPr>
          <w:lang w:eastAsia="en-AU"/>
        </w:rPr>
        <w:t xml:space="preserve">The Bill includes matters that a bail authority must have regard to in determining whether circumstances exist to grant bail to a person charged with a serious child sex offence or who is a repeat child sex offender, </w:t>
      </w:r>
      <w:r w:rsidRPr="00085D0E">
        <w:rPr>
          <w:lang w:eastAsia="en-AU"/>
        </w:rPr>
        <w:lastRenderedPageBreak/>
        <w:t>including considerations relating to rehabilitation. However, this, on its own, has not been sufficient to protect the community.</w:t>
      </w:r>
    </w:p>
    <w:p w:rsidR="006F5996" w:rsidRPr="00085D0E" w:rsidRDefault="006F5996" w:rsidP="006F5996">
      <w:pPr>
        <w:pStyle w:val="Level11"/>
        <w:tabs>
          <w:tab w:val="clear" w:pos="850"/>
        </w:tabs>
        <w:rPr>
          <w:b/>
          <w:i/>
        </w:rPr>
      </w:pPr>
      <w:r w:rsidRPr="00085D0E">
        <w:rPr>
          <w:b/>
          <w:i/>
        </w:rPr>
        <w:t>Committee comment</w:t>
      </w:r>
    </w:p>
    <w:p w:rsidR="006F5996" w:rsidRDefault="006F5996" w:rsidP="006F5996">
      <w:pPr>
        <w:pStyle w:val="Level12"/>
        <w:numPr>
          <w:ilvl w:val="0"/>
          <w:numId w:val="21"/>
        </w:numPr>
      </w:pPr>
      <w:r w:rsidRPr="00085D0E">
        <w:t>The committee thanks the Minister for this response. The committee n</w:t>
      </w:r>
      <w:r>
        <w:t xml:space="preserve">otes the Minister's advice that the presumption against bail is designed to protect the community from child sex offenders while they await trial or sentencing, putting the responsibility on a person charged with a child sex offence to demonstrate that circumstances exist to grant bail. The committee also notes the Minister's advice that the presumption is rebuttable and flexibility is provided by the open nature of the presumption, which is not limited to specific criteria. The committee also notes the advice that including matters that a bail authority must have regard to in determining whether circumstances exist to grant bail, has not, on its own, been sufficient to protect the community. </w:t>
      </w:r>
    </w:p>
    <w:p w:rsidR="006F5996" w:rsidRPr="00085D0E" w:rsidRDefault="006F5996" w:rsidP="006F5996">
      <w:pPr>
        <w:pStyle w:val="Level12"/>
        <w:numPr>
          <w:ilvl w:val="0"/>
          <w:numId w:val="21"/>
        </w:numPr>
      </w:pPr>
      <w:r>
        <w:t xml:space="preserve">However, the committee notes that no information is given as to why this is not sufficient to protect the community and no information has been provided demonstrating that bail authorities and the courts are currently not considering the risks posed by accused child sex offenders before setting bail. The committee reiterates that </w:t>
      </w:r>
      <w:r w:rsidRPr="00085D0E">
        <w:t>it is a cornerstone of the criminal justice system that a person is presumed innocent until proven guilty, and presumptions against bail (which deny a person their liberty before they have been co</w:t>
      </w:r>
      <w:r>
        <w:t>nvicted) test this presumption.</w:t>
      </w:r>
    </w:p>
    <w:p w:rsidR="006F5996" w:rsidRPr="0060544E" w:rsidRDefault="006F5996" w:rsidP="006F5996">
      <w:pPr>
        <w:pStyle w:val="Level11"/>
        <w:numPr>
          <w:ilvl w:val="0"/>
          <w:numId w:val="21"/>
        </w:numPr>
        <w:rPr>
          <w:b/>
        </w:rPr>
      </w:pPr>
      <w:r w:rsidRPr="0060544E">
        <w:rPr>
          <w:b/>
        </w:rPr>
        <w:t xml:space="preserve">The committee draws its scrutiny concerns to the attention of Senators and leaves to the Senate as a whole the appropriateness of </w:t>
      </w:r>
      <w:r>
        <w:rPr>
          <w:b/>
        </w:rPr>
        <w:t>imposing a presumption against bail.</w:t>
      </w:r>
    </w:p>
    <w:p w:rsidR="006F5996" w:rsidRPr="00085D0E" w:rsidRDefault="006F5996" w:rsidP="006F5996">
      <w:pPr>
        <w:spacing w:after="240"/>
        <w:ind w:left="2268" w:right="2223"/>
      </w:pPr>
      <w:r>
        <w:pict>
          <v:rect id="_x0000_i1028" style="width:0;height:1.5pt" o:hralign="center" o:hrstd="t" o:hr="t" fillcolor="#a0a0a0" stroked="f"/>
        </w:pict>
      </w:r>
    </w:p>
    <w:p w:rsidR="006F5996" w:rsidRDefault="006F5996" w:rsidP="006F5996">
      <w:pPr>
        <w:pStyle w:val="Heading3"/>
      </w:pPr>
      <w:r w:rsidRPr="00085D0E">
        <w:t>Right to liberty—conditional release</w:t>
      </w:r>
      <w:r w:rsidRPr="00085D0E">
        <w:rPr>
          <w:rStyle w:val="FootnoteReference"/>
          <w:b w:val="0"/>
        </w:rPr>
        <w:footnoteReference w:id="152"/>
      </w:r>
    </w:p>
    <w:p w:rsidR="006F5996" w:rsidRPr="00085D0E" w:rsidRDefault="006F5996" w:rsidP="006F5996">
      <w:pPr>
        <w:rPr>
          <w:b/>
          <w:i/>
        </w:rPr>
      </w:pPr>
      <w:r w:rsidRPr="00085D0E">
        <w:rPr>
          <w:b/>
          <w:i/>
        </w:rPr>
        <w:t>Initial scrutiny – extract</w:t>
      </w:r>
    </w:p>
    <w:p w:rsidR="006F5996" w:rsidRPr="00085D0E" w:rsidRDefault="006F5996" w:rsidP="006F5996">
      <w:pPr>
        <w:pStyle w:val="Level12"/>
        <w:numPr>
          <w:ilvl w:val="0"/>
          <w:numId w:val="21"/>
        </w:numPr>
      </w:pPr>
      <w:r w:rsidRPr="00085D0E">
        <w:t xml:space="preserve">Section 20(1)(b) of the </w:t>
      </w:r>
      <w:r w:rsidRPr="00085D0E">
        <w:rPr>
          <w:i/>
        </w:rPr>
        <w:t>Crimes Act 1914</w:t>
      </w:r>
      <w:r w:rsidRPr="00085D0E">
        <w:t xml:space="preserve"> currently provides that, following conviction for an offence, the court may sentence a person to imprisonment but direct that the person be released after having given certain forms of security, such as being of good behaviour, paying compensation or paying the Commonwealth a pecuniary penalty or other conditions (known as a recognizance order or suspended sentence). Schedule 11 to the bill proposes removing this sentencing option for Commonwealth child sex offenders except in exceptional circumstances. As a result, those convicted of Commonwealth child sex offences will be required to serve a period of imprisonment that cannot be suspended, except in limited circumstances.  </w:t>
      </w:r>
    </w:p>
    <w:p w:rsidR="006F5996" w:rsidRPr="00085D0E" w:rsidRDefault="006F5996" w:rsidP="006F5996">
      <w:pPr>
        <w:pStyle w:val="Level12"/>
        <w:numPr>
          <w:ilvl w:val="0"/>
          <w:numId w:val="21"/>
        </w:numPr>
      </w:pPr>
      <w:r w:rsidRPr="00085D0E">
        <w:lastRenderedPageBreak/>
        <w:t>The statement of compatibility states that this presumption in favour of a term of actual imprisonment is necessary to ensure the courts are handing down sentences for child sex offenders that reflect the gravity of these offences and to ensure community protection.</w:t>
      </w:r>
      <w:r w:rsidRPr="00085D0E">
        <w:rPr>
          <w:rStyle w:val="FootnoteReference"/>
        </w:rPr>
        <w:footnoteReference w:id="153"/>
      </w:r>
      <w:r w:rsidRPr="00085D0E">
        <w:t xml:space="preserve"> </w:t>
      </w:r>
    </w:p>
    <w:p w:rsidR="006F5996" w:rsidRPr="00085D0E" w:rsidRDefault="006F5996" w:rsidP="006F5996">
      <w:pPr>
        <w:pStyle w:val="Level12"/>
        <w:numPr>
          <w:ilvl w:val="0"/>
          <w:numId w:val="21"/>
        </w:numPr>
      </w:pPr>
      <w:r w:rsidRPr="00085D0E">
        <w:t xml:space="preserve">As with mandatory minimum sentences, the committee has consistently noted that severely limiting the court's discretion to make a recognizance order (or suspend a sentence) undermines the discretion of judges to ensure that penalties imposed are proportionate in light of the individual circumstances of particular cases. The statement of compatibility states that the court retains a discretion as to how long the term of imprisonment will be. However, the committee notes that the proposed amendments in Schedule 6 would impose mandatory minimum sentences. In addition, while the court would retain a discretion to suspend a sentence in 'exceptional circumstances', the explanatory materials provide no examples of what might constitute exceptional circumstances.   </w:t>
      </w:r>
    </w:p>
    <w:p w:rsidR="006F5996" w:rsidRPr="00085D0E" w:rsidRDefault="006F5996" w:rsidP="006F5996">
      <w:pPr>
        <w:pStyle w:val="Level12"/>
        <w:numPr>
          <w:ilvl w:val="0"/>
          <w:numId w:val="21"/>
        </w:numPr>
      </w:pPr>
      <w:r w:rsidRPr="00085D0E">
        <w:t>The committee therefore requests the Minister's detailed justification as to the appropriateness of limiting judicial discretion in sentencing Commonwealth child sex offenders. The committee also requests the Minister's advice as to why the current sentencing options have proven ineffective in reflecting the gravity of the offences and protecting the community, and what type of matters would constitute 'exceptional circumstances' so as to justify the making of a recognizance order.</w:t>
      </w:r>
    </w:p>
    <w:p w:rsidR="006F5996" w:rsidRPr="00085D0E" w:rsidRDefault="006F5996" w:rsidP="006F5996">
      <w:pPr>
        <w:pStyle w:val="Level11"/>
        <w:tabs>
          <w:tab w:val="clear" w:pos="850"/>
        </w:tabs>
        <w:rPr>
          <w:b/>
          <w:i/>
        </w:rPr>
      </w:pPr>
      <w:r w:rsidRPr="00085D0E">
        <w:rPr>
          <w:b/>
          <w:i/>
        </w:rPr>
        <w:t>Minister's response</w:t>
      </w:r>
    </w:p>
    <w:p w:rsidR="006F5996" w:rsidRPr="00085D0E" w:rsidRDefault="006F5996" w:rsidP="006F5996">
      <w:pPr>
        <w:pStyle w:val="Level11"/>
        <w:numPr>
          <w:ilvl w:val="0"/>
          <w:numId w:val="21"/>
        </w:numPr>
      </w:pPr>
      <w:r w:rsidRPr="00085D0E">
        <w:t>The Minister advised:</w:t>
      </w:r>
    </w:p>
    <w:p w:rsidR="006F5996" w:rsidRPr="00085D0E" w:rsidRDefault="006F5996" w:rsidP="006F5996">
      <w:pPr>
        <w:pStyle w:val="Quote"/>
      </w:pPr>
      <w:r w:rsidRPr="00085D0E">
        <w:rPr>
          <w:lang w:eastAsia="en-AU"/>
        </w:rPr>
        <w:t>The presumption in favour of Commonwealth child sex offenders serving an actual term of imprisonment is in line with community expectations that offenders serve a period of imprisonment for abusing children. The presumption ensures community protection and reduces risk of reoffending through imprisonment and will also allow greater time for rehabilitation programs to be undertaken while in custody.</w:t>
      </w:r>
    </w:p>
    <w:p w:rsidR="006F5996" w:rsidRPr="00085D0E" w:rsidRDefault="006F5996" w:rsidP="006F5996">
      <w:pPr>
        <w:pStyle w:val="Quote"/>
      </w:pPr>
      <w:r w:rsidRPr="00085D0E">
        <w:rPr>
          <w:lang w:eastAsia="en-AU"/>
        </w:rPr>
        <w:t>The presumption will provide clear guidance to courts for custodial sentences to be applied to predators who abuse children.</w:t>
      </w:r>
    </w:p>
    <w:p w:rsidR="006F5996" w:rsidRPr="00085D0E" w:rsidRDefault="006F5996" w:rsidP="006F5996">
      <w:pPr>
        <w:pStyle w:val="Quote"/>
        <w:rPr>
          <w:i/>
          <w:lang w:eastAsia="en-AU"/>
        </w:rPr>
      </w:pPr>
      <w:r w:rsidRPr="00085D0E">
        <w:rPr>
          <w:i/>
          <w:lang w:eastAsia="en-AU"/>
        </w:rPr>
        <w:t>Current sentencing options are insufficient</w:t>
      </w:r>
    </w:p>
    <w:p w:rsidR="006F5996" w:rsidRPr="00085D0E" w:rsidRDefault="006F5996" w:rsidP="006F5996">
      <w:pPr>
        <w:pStyle w:val="Quote"/>
      </w:pPr>
      <w:r w:rsidRPr="00085D0E">
        <w:rPr>
          <w:lang w:eastAsia="en-AU"/>
        </w:rPr>
        <w:t>Currently, child sex offenders who are sentenced to three years or less imprisonment are sentenced to recognizance release orders. This allows them to be released into the community immediately or after serving a period of imprisonment. Many such offenders receive wholly suspended sentences, meaning that they are immediately released without serving any period of time in custody.</w:t>
      </w:r>
    </w:p>
    <w:p w:rsidR="006F5996" w:rsidRPr="00085D0E" w:rsidRDefault="006F5996" w:rsidP="006F5996">
      <w:pPr>
        <w:pStyle w:val="Quote"/>
      </w:pPr>
      <w:r w:rsidRPr="00085D0E">
        <w:rPr>
          <w:lang w:eastAsia="en-AU"/>
        </w:rPr>
        <w:lastRenderedPageBreak/>
        <w:t>The issuing of wholly suspended sentences for child sex offenders has not resulted in sentences that adequately reflect the gravity of child sex offending. Introducing a presumption in favour of imprisonment still allows the court to consider all the circumstances when making a recognizance release order.</w:t>
      </w:r>
    </w:p>
    <w:p w:rsidR="006F5996" w:rsidRPr="00085D0E" w:rsidRDefault="006F5996" w:rsidP="006F5996">
      <w:pPr>
        <w:pStyle w:val="Quote"/>
        <w:rPr>
          <w:i/>
          <w:lang w:eastAsia="en-AU"/>
        </w:rPr>
      </w:pPr>
      <w:r w:rsidRPr="00085D0E">
        <w:rPr>
          <w:i/>
          <w:lang w:eastAsia="en-AU"/>
        </w:rPr>
        <w:t>Judicial discretion</w:t>
      </w:r>
    </w:p>
    <w:p w:rsidR="006F5996" w:rsidRPr="00085D0E" w:rsidRDefault="006F5996" w:rsidP="006F5996">
      <w:pPr>
        <w:pStyle w:val="Quote"/>
      </w:pPr>
      <w:r w:rsidRPr="00085D0E">
        <w:rPr>
          <w:lang w:eastAsia="en-AU"/>
        </w:rPr>
        <w:t>This measure provides the courts with enough discretion in setting the pre-release period under a recognizance order to enable individual circumstances to be taken into account while still ensuring that sentencing of child sex offenders is of a level that reflects the serious and heinous nature of the crimes.</w:t>
      </w:r>
    </w:p>
    <w:p w:rsidR="006F5996" w:rsidRPr="00085D0E" w:rsidRDefault="006F5996" w:rsidP="006F5996">
      <w:pPr>
        <w:pStyle w:val="Quote"/>
        <w:rPr>
          <w:i/>
          <w:lang w:eastAsia="en-AU"/>
        </w:rPr>
      </w:pPr>
      <w:r w:rsidRPr="00085D0E">
        <w:rPr>
          <w:i/>
          <w:lang w:eastAsia="en-AU"/>
        </w:rPr>
        <w:t>Exceptional circumstances</w:t>
      </w:r>
    </w:p>
    <w:p w:rsidR="006F5996" w:rsidRPr="00085D0E" w:rsidRDefault="006F5996" w:rsidP="006F5996">
      <w:pPr>
        <w:pStyle w:val="Quote"/>
      </w:pPr>
      <w:r w:rsidRPr="00085D0E">
        <w:rPr>
          <w:lang w:eastAsia="en-AU"/>
        </w:rPr>
        <w:t>'Exceptional circumstances' was deliberately not defined in the Bill. Given the variable circumstances which may mitigate against or support a sentence of imprisonment, it would impose practical constraints if 'exceptional circumstances' was defined. Firstly, the phrase is not easily subject to general definition as circumstances may exist as a result of the interaction of a variety of factors which, of themselves, may not be special or exceptional, but taken cumulatively, may meet this threshold. Second, a list of factors said to constitute 'exceptional circumstances', even if stated in broad terms, will have the tendency to restrict, rather than expand, the factors which might satisfy the requirements for 'exceptional circumstances'.</w:t>
      </w:r>
    </w:p>
    <w:p w:rsidR="006F5996" w:rsidRPr="00085D0E" w:rsidRDefault="006F5996" w:rsidP="006F5996">
      <w:pPr>
        <w:pStyle w:val="Level11"/>
        <w:tabs>
          <w:tab w:val="clear" w:pos="850"/>
        </w:tabs>
        <w:rPr>
          <w:b/>
          <w:i/>
        </w:rPr>
      </w:pPr>
      <w:r w:rsidRPr="00085D0E">
        <w:rPr>
          <w:b/>
          <w:i/>
        </w:rPr>
        <w:t>Committee comment</w:t>
      </w:r>
    </w:p>
    <w:p w:rsidR="006F5996" w:rsidRPr="00085D0E" w:rsidRDefault="006F5996" w:rsidP="006F5996">
      <w:pPr>
        <w:pStyle w:val="Level11"/>
        <w:numPr>
          <w:ilvl w:val="0"/>
          <w:numId w:val="21"/>
        </w:numPr>
      </w:pPr>
      <w:r w:rsidRPr="00085D0E">
        <w:t>The committee thanks the Minister for this response. The committee n</w:t>
      </w:r>
      <w:r>
        <w:t>otes the Minister's advice that currently child sex offenders who are sentenced to three years or less imprisonment are sentenced to recognizance release orders, allowing them to be released in to the community immediately or after serving a period of imprisonment, with many offenders receiving wholly suspended sentences, resulting in sentences that do not adequately reflect the gravity of child sex offences. The committee also notes the Minister's advice that this measure provides the courts with enough discretion in setting the pre-release period under a recognizance order, and that 'exceptional circumstances' (under which the court retains a discretion to suspend a sentence) was deliberately not defined given the variable circumstances that could apply.</w:t>
      </w:r>
    </w:p>
    <w:p w:rsidR="006F5996" w:rsidRDefault="006F5996" w:rsidP="006F5996">
      <w:pPr>
        <w:pStyle w:val="Level12"/>
        <w:numPr>
          <w:ilvl w:val="0"/>
          <w:numId w:val="21"/>
        </w:numPr>
      </w:pPr>
      <w:r>
        <w:t>T</w:t>
      </w:r>
      <w:r w:rsidRPr="00085D0E">
        <w:t xml:space="preserve">he committee </w:t>
      </w:r>
      <w:r>
        <w:t xml:space="preserve">reiterates </w:t>
      </w:r>
      <w:r w:rsidRPr="00085D0E">
        <w:t xml:space="preserve">that severely limiting the court's discretion to make a recognizance order (or suspend a sentence) undermines the discretion of judges to ensure that penalties imposed are proportionate in light of the individual circumstances of particular cases. </w:t>
      </w:r>
    </w:p>
    <w:p w:rsidR="006F5996" w:rsidRPr="001B7427" w:rsidRDefault="006F5996" w:rsidP="006F5996">
      <w:pPr>
        <w:pStyle w:val="Level11"/>
        <w:numPr>
          <w:ilvl w:val="0"/>
          <w:numId w:val="21"/>
        </w:numPr>
        <w:rPr>
          <w:b/>
        </w:rPr>
      </w:pPr>
      <w:r w:rsidRPr="001B7427">
        <w:rPr>
          <w:b/>
        </w:rPr>
        <w:t xml:space="preserve">The committee requests that the key information provided by the Minister be included in the explanatory memorandum, noting the importance of this document as a point of access to understanding the law and, if needed, as extrinsic </w:t>
      </w:r>
      <w:r w:rsidRPr="001B7427">
        <w:rPr>
          <w:b/>
        </w:rPr>
        <w:lastRenderedPageBreak/>
        <w:t xml:space="preserve">material to assist with interpretation (see section 15AB of the </w:t>
      </w:r>
      <w:r w:rsidRPr="001B7427">
        <w:rPr>
          <w:b/>
          <w:i/>
        </w:rPr>
        <w:t>Acts Interpretation Act 1901</w:t>
      </w:r>
      <w:r w:rsidRPr="001B7427">
        <w:rPr>
          <w:b/>
        </w:rPr>
        <w:t>).</w:t>
      </w:r>
    </w:p>
    <w:p w:rsidR="006F5996" w:rsidRPr="001B7427" w:rsidRDefault="006F5996" w:rsidP="006F5996">
      <w:pPr>
        <w:pStyle w:val="Level11"/>
        <w:numPr>
          <w:ilvl w:val="0"/>
          <w:numId w:val="21"/>
        </w:numPr>
        <w:tabs>
          <w:tab w:val="clear" w:pos="850"/>
        </w:tabs>
        <w:rPr>
          <w:b/>
        </w:rPr>
      </w:pPr>
      <w:r w:rsidRPr="001B7427">
        <w:rPr>
          <w:b/>
        </w:rPr>
        <w:t>The committee draws its scrutiny concerns to the attention of Senators and leaves to the Senate as a whole the appropriateness of limiting judicial discretion in sentencing Commonwealth child sex offenders.</w:t>
      </w:r>
    </w:p>
    <w:p w:rsidR="006F5996" w:rsidRPr="00085D0E" w:rsidRDefault="006F5996" w:rsidP="006F5996">
      <w:pPr>
        <w:spacing w:after="240"/>
        <w:ind w:left="2268" w:right="2223"/>
      </w:pPr>
      <w:r>
        <w:pict>
          <v:rect id="_x0000_i1029" style="width:0;height:1.5pt" o:hralign="center" o:hrstd="t" o:hr="t" fillcolor="#a0a0a0" stroked="f"/>
        </w:pict>
      </w:r>
    </w:p>
    <w:p w:rsidR="006F5996" w:rsidRDefault="006F5996" w:rsidP="006F5996">
      <w:pPr>
        <w:pStyle w:val="Heading3"/>
      </w:pPr>
      <w:r w:rsidRPr="00085D0E">
        <w:t>Procedural fairness—restriction of information provided to offenders</w:t>
      </w:r>
      <w:r w:rsidRPr="00085D0E">
        <w:rPr>
          <w:rStyle w:val="FootnoteReference"/>
          <w:b w:val="0"/>
        </w:rPr>
        <w:footnoteReference w:id="154"/>
      </w:r>
    </w:p>
    <w:p w:rsidR="006F5996" w:rsidRPr="00085D0E" w:rsidRDefault="006F5996" w:rsidP="006F5996">
      <w:pPr>
        <w:rPr>
          <w:b/>
          <w:i/>
        </w:rPr>
      </w:pPr>
      <w:r w:rsidRPr="00085D0E">
        <w:rPr>
          <w:b/>
          <w:i/>
        </w:rPr>
        <w:t>Initial scrutiny – extract</w:t>
      </w:r>
    </w:p>
    <w:p w:rsidR="006F5996" w:rsidRPr="00085D0E" w:rsidRDefault="006F5996" w:rsidP="006F5996">
      <w:pPr>
        <w:pStyle w:val="Level12"/>
        <w:numPr>
          <w:ilvl w:val="0"/>
          <w:numId w:val="21"/>
        </w:numPr>
      </w:pPr>
      <w:r w:rsidRPr="00085D0E">
        <w:t xml:space="preserve">Currently, section 19AL of the </w:t>
      </w:r>
      <w:r w:rsidRPr="00085D0E">
        <w:rPr>
          <w:i/>
        </w:rPr>
        <w:t>Crimes Act 1914</w:t>
      </w:r>
      <w:r w:rsidRPr="00085D0E">
        <w:t xml:space="preserve"> provides that the Attorney-General must, before the end of a non-parole period for a federal offender, either make, or refuse to make, an order directing that the person be released from prison on parole. Subsection 19AL(2) provides that if the Attorney-General refuses to make a parole order the Attorney-General must give the person a written notice that includes a statement of reasons for the refusal. Schedule 13 to the bill proposes amending this so that a person would not be entitled to a copy of a report or another document (or a part of it) or any information about the content of the report of another document, if its provision to the person is, in the opinion of the Attorney-General, likely to prejudice national security.</w:t>
      </w:r>
    </w:p>
    <w:p w:rsidR="006F5996" w:rsidRPr="00085D0E" w:rsidRDefault="006F5996" w:rsidP="006F5996">
      <w:pPr>
        <w:pStyle w:val="Level12"/>
        <w:numPr>
          <w:ilvl w:val="0"/>
          <w:numId w:val="21"/>
        </w:numPr>
      </w:pPr>
      <w:r w:rsidRPr="00085D0E">
        <w:t>The right to receive reasons as to why parole has been refused is an important element of the right to procedural fairness. The courts have found that procedural fairness in parole applications 'requires that an applicant's attention be drawn to the main issues or factors militating against success, so that an adequate opportunity is afforded to deal with them'.</w:t>
      </w:r>
      <w:r w:rsidRPr="00085D0E">
        <w:rPr>
          <w:rStyle w:val="FootnoteReference"/>
        </w:rPr>
        <w:footnoteReference w:id="155"/>
      </w:r>
      <w:r w:rsidRPr="00085D0E">
        <w:t xml:space="preserve"> This does not require access to all documents but does require that 'an applicant knows of, or anticipates, the facts and matters assuming significance in a decision to decline a parole application'.</w:t>
      </w:r>
      <w:r w:rsidRPr="00085D0E">
        <w:rPr>
          <w:rStyle w:val="FootnoteReference"/>
        </w:rPr>
        <w:footnoteReference w:id="156"/>
      </w:r>
    </w:p>
    <w:p w:rsidR="006F5996" w:rsidRPr="00085D0E" w:rsidRDefault="006F5996" w:rsidP="006F5996">
      <w:pPr>
        <w:pStyle w:val="Level12"/>
        <w:numPr>
          <w:ilvl w:val="0"/>
          <w:numId w:val="21"/>
        </w:numPr>
      </w:pPr>
      <w:r w:rsidRPr="00085D0E">
        <w:t>The explanatory memorandum recognises that this amendment 'limits the procedural fairness afforded to federal offenders', however it argues that it only does so 'to the extent necessary and proportional to protect national security and the public interest'.</w:t>
      </w:r>
      <w:r w:rsidRPr="00085D0E">
        <w:rPr>
          <w:rStyle w:val="FootnoteReference"/>
        </w:rPr>
        <w:footnoteReference w:id="157"/>
      </w:r>
      <w:r w:rsidRPr="00085D0E">
        <w:t xml:space="preserve"> The statement of compatibility states that the measure is necessary to protect confidential information, such as intelligence information, and that there is a sufficiently high bar in place as it would only apply if the Attorney-</w:t>
      </w:r>
      <w:r w:rsidRPr="00085D0E">
        <w:lastRenderedPageBreak/>
        <w:t>General is satisfied that disclosure of the information would be likely to prejudice national security.</w:t>
      </w:r>
      <w:r w:rsidRPr="00085D0E">
        <w:rPr>
          <w:rStyle w:val="FootnoteReference"/>
        </w:rPr>
        <w:footnoteReference w:id="158"/>
      </w:r>
    </w:p>
    <w:p w:rsidR="006F5996" w:rsidRPr="00085D0E" w:rsidRDefault="006F5996" w:rsidP="006F5996">
      <w:pPr>
        <w:pStyle w:val="Level12"/>
        <w:numPr>
          <w:ilvl w:val="0"/>
          <w:numId w:val="21"/>
        </w:numPr>
      </w:pPr>
      <w:r w:rsidRPr="00085D0E">
        <w:t xml:space="preserve">However, the committee notes that the explanatory materials provide limited reasoning as to why this provision is necessary, or whether there have been any instances where information has had to be disclosed under the current provisions that would have been likely to affect national security. In addition, the committee notes that the only requirement that needs to be satisfied is that in the Attorney-General's subjective opinion the information is likely to prejudice national security. There are no grounds which the Attorney-General must have regard to when making this assessment, and there is no requirement that the assessment be made on reasonable grounds. There is also no provision for independent review of any such decision. While judicial review of decisions in relation to release on parole or licence is available under the </w:t>
      </w:r>
      <w:r w:rsidRPr="00085D0E">
        <w:rPr>
          <w:i/>
        </w:rPr>
        <w:t>Administrative Decisions (Judicial Review) Act 1977</w:t>
      </w:r>
      <w:r w:rsidRPr="00085D0E">
        <w:t>, judicial review is only available on limited grounds and if a person is unaware as to the reasons as to why parole has been refused, it would be difficult to challenge such a refusal.</w:t>
      </w:r>
    </w:p>
    <w:p w:rsidR="006F5996" w:rsidRPr="00085D0E" w:rsidRDefault="006F5996" w:rsidP="006F5996">
      <w:pPr>
        <w:pStyle w:val="Level12"/>
        <w:numPr>
          <w:ilvl w:val="0"/>
          <w:numId w:val="21"/>
        </w:numPr>
      </w:pPr>
      <w:r w:rsidRPr="00085D0E">
        <w:t>The committee therefore requests the Minister's detailed advice as to:</w:t>
      </w:r>
    </w:p>
    <w:p w:rsidR="006F5996" w:rsidRPr="00085D0E" w:rsidRDefault="006F5996" w:rsidP="006F5996">
      <w:pPr>
        <w:pStyle w:val="Bullet1"/>
      </w:pPr>
      <w:r w:rsidRPr="00085D0E">
        <w:t xml:space="preserve">why it is necessary to empower the Attorney-General to refuse to provide any reasons as to why parole has been refused, and if the absence of this provision has caused difficulties when providing reasons for parole refusals (and if so, on how many occasions); </w:t>
      </w:r>
    </w:p>
    <w:p w:rsidR="006F5996" w:rsidRPr="00085D0E" w:rsidRDefault="006F5996" w:rsidP="006F5996">
      <w:pPr>
        <w:pStyle w:val="Bullet1"/>
      </w:pPr>
      <w:r w:rsidRPr="00085D0E">
        <w:t xml:space="preserve">why the Attorney-General's decision is based on the Attorney's subjective 'opinion' rather than on objective criteria; </w:t>
      </w:r>
    </w:p>
    <w:p w:rsidR="006F5996" w:rsidRPr="00085D0E" w:rsidRDefault="006F5996" w:rsidP="006F5996">
      <w:pPr>
        <w:pStyle w:val="Bullet1"/>
      </w:pPr>
      <w:r w:rsidRPr="00085D0E">
        <w:t>why the relevant information could not, at least, be provided to the applicant's legal representative and the gist of the information provided to the offender; and</w:t>
      </w:r>
    </w:p>
    <w:p w:rsidR="006F5996" w:rsidRPr="00085D0E" w:rsidRDefault="006F5996" w:rsidP="006F5996">
      <w:pPr>
        <w:pStyle w:val="Bullet1"/>
        <w:spacing w:after="240"/>
      </w:pPr>
      <w:r w:rsidRPr="00085D0E">
        <w:t>why the Attorney-General's decision is not subject to merits review.</w:t>
      </w:r>
    </w:p>
    <w:p w:rsidR="006F5996" w:rsidRPr="00085D0E" w:rsidRDefault="006F5996" w:rsidP="006F5996">
      <w:pPr>
        <w:pStyle w:val="Level11"/>
        <w:tabs>
          <w:tab w:val="clear" w:pos="850"/>
        </w:tabs>
        <w:rPr>
          <w:b/>
          <w:i/>
        </w:rPr>
      </w:pPr>
      <w:r w:rsidRPr="00085D0E">
        <w:rPr>
          <w:b/>
          <w:i/>
        </w:rPr>
        <w:t>Minister's response</w:t>
      </w:r>
    </w:p>
    <w:p w:rsidR="006F5996" w:rsidRPr="00085D0E" w:rsidRDefault="006F5996" w:rsidP="006F5996">
      <w:pPr>
        <w:pStyle w:val="Level11"/>
        <w:numPr>
          <w:ilvl w:val="0"/>
          <w:numId w:val="21"/>
        </w:numPr>
      </w:pPr>
      <w:r w:rsidRPr="00085D0E">
        <w:t>The Minister advised:</w:t>
      </w:r>
    </w:p>
    <w:p w:rsidR="006F5996" w:rsidRPr="00085D0E" w:rsidRDefault="006F5996" w:rsidP="006F5996">
      <w:pPr>
        <w:pStyle w:val="Quote"/>
        <w:rPr>
          <w:szCs w:val="24"/>
        </w:rPr>
      </w:pPr>
      <w:r w:rsidRPr="00085D0E">
        <w:rPr>
          <w:szCs w:val="24"/>
          <w:lang w:eastAsia="en-AU"/>
        </w:rPr>
        <w:t xml:space="preserve">The Bill introduces a provision to protect the security of reports, documents and information obtained for the purposes of informing parole decisions and ensures that information that could prejudice national security is not disclosed as a result of the operation of Part 1B of the </w:t>
      </w:r>
      <w:r w:rsidRPr="00085D0E">
        <w:rPr>
          <w:i/>
          <w:iCs/>
          <w:szCs w:val="24"/>
          <w:lang w:eastAsia="en-AU"/>
        </w:rPr>
        <w:t xml:space="preserve">Crimes Act. </w:t>
      </w:r>
      <w:r w:rsidRPr="00085D0E">
        <w:rPr>
          <w:szCs w:val="24"/>
          <w:lang w:eastAsia="en-AU"/>
        </w:rPr>
        <w:t xml:space="preserve">It is in the public interest to restrict certain information used as part of the decision to release an offender from custody. In practice, the measures are likely to only apply to offenders with terrorist links. For example, information may be provided to the Attorney-General's </w:t>
      </w:r>
      <w:r w:rsidRPr="00085D0E">
        <w:rPr>
          <w:szCs w:val="24"/>
          <w:lang w:eastAsia="en-AU"/>
        </w:rPr>
        <w:lastRenderedPageBreak/>
        <w:t>Department which relates to ongoing intelligence matters or investigations. The release of that information to the offender could jeopardise not only ongoing law enforcement matters but put the community at risk where that information relates to the capabilities or methodology of law enforcement or intelligence agencies.</w:t>
      </w:r>
    </w:p>
    <w:p w:rsidR="006F5996" w:rsidRPr="00085D0E" w:rsidRDefault="006F5996" w:rsidP="006F5996">
      <w:pPr>
        <w:pStyle w:val="Quote"/>
      </w:pPr>
      <w:r w:rsidRPr="00085D0E">
        <w:rPr>
          <w:lang w:eastAsia="en-AU"/>
        </w:rPr>
        <w:t>A person sentenced to imprisonment does not have a right to be granted parole. Parole decisions are made giving consideration to the protection of the community, the rehabilitation of the offender and their reintegration into the community. It would be a perverse outcome if one of the fundamental pillars of parole considerations-the protection of the community-could be undermined because national security information that informed a parole refusal had to be disclosed to the offe</w:t>
      </w:r>
      <w:r>
        <w:rPr>
          <w:lang w:eastAsia="en-AU"/>
        </w:rPr>
        <w:t>n</w:t>
      </w:r>
      <w:r w:rsidRPr="00085D0E">
        <w:rPr>
          <w:lang w:eastAsia="en-AU"/>
        </w:rPr>
        <w:t>der in the notice of refusal.</w:t>
      </w:r>
    </w:p>
    <w:p w:rsidR="006F5996" w:rsidRPr="00561B28" w:rsidRDefault="006F5996" w:rsidP="006F5996">
      <w:pPr>
        <w:pStyle w:val="Quote"/>
        <w:rPr>
          <w:i/>
          <w:lang w:eastAsia="en-AU"/>
        </w:rPr>
      </w:pPr>
      <w:r w:rsidRPr="00561B28">
        <w:rPr>
          <w:i/>
          <w:lang w:eastAsia="en-AU"/>
        </w:rPr>
        <w:t>Why the Attorney-General's decision is based on the Attorney's subjective 'opinion' rather than on objective criteria</w:t>
      </w:r>
    </w:p>
    <w:p w:rsidR="006F5996" w:rsidRPr="00085D0E" w:rsidRDefault="006F5996" w:rsidP="006F5996">
      <w:pPr>
        <w:pStyle w:val="Quote"/>
      </w:pPr>
      <w:r w:rsidRPr="00085D0E">
        <w:rPr>
          <w:lang w:eastAsia="en-AU"/>
        </w:rPr>
        <w:t>The agency that has provided the information-such as the AFP or ASIO-will advise the Attorney-General or a delegate as to whether information is likely to prejudice national security. The Attorney-General would make his assessment based on this advice and the circumstances of the case.</w:t>
      </w:r>
    </w:p>
    <w:p w:rsidR="006F5996" w:rsidRPr="00561B28" w:rsidRDefault="006F5996" w:rsidP="006F5996">
      <w:pPr>
        <w:pStyle w:val="Quote"/>
        <w:rPr>
          <w:i/>
          <w:lang w:eastAsia="en-AU"/>
        </w:rPr>
      </w:pPr>
      <w:r w:rsidRPr="00561B28">
        <w:rPr>
          <w:i/>
          <w:lang w:eastAsia="en-AU"/>
        </w:rPr>
        <w:t>Why the relevant information could not, at least, be provided to the applicant's legal representative and the gist of the information provided to the offender</w:t>
      </w:r>
    </w:p>
    <w:p w:rsidR="006F5996" w:rsidRPr="00085D0E" w:rsidRDefault="006F5996" w:rsidP="006F5996">
      <w:pPr>
        <w:pStyle w:val="Quote"/>
        <w:rPr>
          <w:szCs w:val="24"/>
        </w:rPr>
      </w:pPr>
      <w:r w:rsidRPr="00085D0E">
        <w:rPr>
          <w:szCs w:val="24"/>
          <w:lang w:eastAsia="en-AU"/>
        </w:rPr>
        <w:t xml:space="preserve">The reforms do not prevent the Attorney-General from providing a person with an overview of the information considered as part of making a parole decision. Such an overview could be given providing the information set out did not prejudice national security. All Commonwealth parole decisions are subject to judicial review in the Federal Court under the </w:t>
      </w:r>
      <w:r w:rsidRPr="00085D0E">
        <w:rPr>
          <w:i/>
          <w:iCs/>
          <w:szCs w:val="24"/>
          <w:lang w:eastAsia="en-AU"/>
        </w:rPr>
        <w:t xml:space="preserve">Administrative Decisions (Judicial Review) Act 1977, </w:t>
      </w:r>
      <w:r w:rsidRPr="00085D0E">
        <w:rPr>
          <w:szCs w:val="24"/>
          <w:lang w:eastAsia="en-AU"/>
        </w:rPr>
        <w:t xml:space="preserve">including those which are refused on national security grounds. </w:t>
      </w:r>
    </w:p>
    <w:p w:rsidR="006F5996" w:rsidRPr="00561B28" w:rsidRDefault="006F5996" w:rsidP="006F5996">
      <w:pPr>
        <w:pStyle w:val="Quote"/>
        <w:rPr>
          <w:i/>
          <w:szCs w:val="24"/>
          <w:lang w:eastAsia="en-AU"/>
        </w:rPr>
      </w:pPr>
      <w:r w:rsidRPr="00561B28">
        <w:rPr>
          <w:i/>
          <w:szCs w:val="24"/>
          <w:lang w:eastAsia="en-AU"/>
        </w:rPr>
        <w:t>Why the Attorney-General's decision is not subject to merits review</w:t>
      </w:r>
    </w:p>
    <w:p w:rsidR="006F5996" w:rsidRPr="00085D0E" w:rsidRDefault="006F5996" w:rsidP="006F5996">
      <w:pPr>
        <w:pStyle w:val="Quote"/>
      </w:pPr>
      <w:r w:rsidRPr="00085D0E">
        <w:rPr>
          <w:szCs w:val="24"/>
          <w:lang w:eastAsia="en-AU"/>
        </w:rPr>
        <w:t xml:space="preserve">Parole decisions under Part 1B of the </w:t>
      </w:r>
      <w:r w:rsidRPr="00085D0E">
        <w:rPr>
          <w:i/>
          <w:iCs/>
          <w:szCs w:val="24"/>
          <w:lang w:eastAsia="en-AU"/>
        </w:rPr>
        <w:t xml:space="preserve">Crimes Act </w:t>
      </w:r>
      <w:r w:rsidRPr="00085D0E">
        <w:rPr>
          <w:szCs w:val="24"/>
          <w:lang w:eastAsia="en-AU"/>
        </w:rPr>
        <w:t xml:space="preserve">are judicially reviewable under the </w:t>
      </w:r>
      <w:r w:rsidRPr="00085D0E">
        <w:rPr>
          <w:i/>
          <w:iCs/>
          <w:szCs w:val="24"/>
          <w:lang w:eastAsia="en-AU"/>
        </w:rPr>
        <w:t xml:space="preserve">Administrative Decisions (Judicial Review) Act 1977 </w:t>
      </w:r>
      <w:r w:rsidRPr="00085D0E">
        <w:rPr>
          <w:szCs w:val="24"/>
          <w:lang w:eastAsia="en-AU"/>
        </w:rPr>
        <w:t xml:space="preserve">but are not subject to merits review. This is in line with the </w:t>
      </w:r>
      <w:r w:rsidRPr="00085D0E">
        <w:rPr>
          <w:lang w:eastAsia="en-AU"/>
        </w:rPr>
        <w:t>approach taken by State and Territory parole authorities and reflects the fact that an offender has been convicted and sentenced through the judicial process, exhausted appeal avenues they may have wished to pursue, and that release on parole is not a right. The Attorney-General or his or her delegate must exercise discretion and consider whether to grant an offender release on parole by considering the protection of the community, rehabilitation of the offender and their reintegration into the community. This aspect is not altered by the Bill.</w:t>
      </w:r>
    </w:p>
    <w:p w:rsidR="006F5996" w:rsidRPr="00085D0E" w:rsidRDefault="006F5996" w:rsidP="006F5996">
      <w:pPr>
        <w:pStyle w:val="Level11"/>
        <w:tabs>
          <w:tab w:val="clear" w:pos="850"/>
        </w:tabs>
        <w:rPr>
          <w:b/>
          <w:i/>
        </w:rPr>
      </w:pPr>
      <w:r w:rsidRPr="00085D0E">
        <w:rPr>
          <w:b/>
          <w:i/>
        </w:rPr>
        <w:t>Committee comment</w:t>
      </w:r>
    </w:p>
    <w:p w:rsidR="006F5996" w:rsidRDefault="006F5996" w:rsidP="006F5996">
      <w:pPr>
        <w:pStyle w:val="Level11"/>
        <w:numPr>
          <w:ilvl w:val="0"/>
          <w:numId w:val="21"/>
        </w:numPr>
      </w:pPr>
      <w:r w:rsidRPr="00085D0E">
        <w:lastRenderedPageBreak/>
        <w:t>The committee thanks the Minister for this response. The committee n</w:t>
      </w:r>
      <w:r>
        <w:t>otes the Minister's advice that in practice these measures are likely to only apply to offenders with terrorist links as information may be provided relating to ongoing intelligence matters or investigations. The committee also notes the Minister's advice that the Attorney-General would make his or her assessment on the basis of advice provided by an agency, such as the AFP or ASIO, and the circumstances of the case, which is why the decision is based on the Attorney-General's subjective opinion rather than objective criteria. The committee also notes the Minister's advice that the reforms 'do not prevent' the Attorney-General from providing a person with an overview of the relevant information, so long as it did not prejudice national security. The Minister also advised that parole decisions are not subject to merits review, which reflects the fact that release on parole is not a right.</w:t>
      </w:r>
    </w:p>
    <w:p w:rsidR="006F5996" w:rsidRDefault="006F5996" w:rsidP="006F5996">
      <w:pPr>
        <w:pStyle w:val="Level11"/>
        <w:numPr>
          <w:ilvl w:val="0"/>
          <w:numId w:val="21"/>
        </w:numPr>
      </w:pPr>
      <w:r>
        <w:t xml:space="preserve">The committee notes that while it is expected that the Attorney-General would make his or her assessment on the basis of advice provided to him or her, the only condition for the exercise of the power is that 'in the opinion of the Attorney-General' the information is likely to prejudice national security. The committee notes that judicial review is of limited practical utility where a power is conditioned on a subjective opinion. In the absence of merits review, the committee notes that a requirement that the assessment be made on 'reasonable grounds' may encourage a more demanding form of judicial review. </w:t>
      </w:r>
    </w:p>
    <w:p w:rsidR="006F5996" w:rsidRPr="00085D0E" w:rsidRDefault="006F5996" w:rsidP="006F5996">
      <w:pPr>
        <w:pStyle w:val="Level11"/>
        <w:numPr>
          <w:ilvl w:val="0"/>
          <w:numId w:val="21"/>
        </w:numPr>
      </w:pPr>
      <w:r>
        <w:t xml:space="preserve">The committee also notes the Minister's advice that nothing prevents the Attorney-General from providing an overview of relevant information if it did not prejudice national security. However, there is nothing in the legislation requiring that this be provided. </w:t>
      </w:r>
      <w:r w:rsidRPr="00085D0E">
        <w:t xml:space="preserve">The </w:t>
      </w:r>
      <w:r>
        <w:t xml:space="preserve">committee emphasises that the </w:t>
      </w:r>
      <w:r w:rsidRPr="00085D0E">
        <w:t xml:space="preserve">right </w:t>
      </w:r>
      <w:r>
        <w:t xml:space="preserve">of a person to reply to adverse information against them </w:t>
      </w:r>
      <w:r w:rsidRPr="00085D0E">
        <w:t>is an important element of the right to procedural fairness. The courts have found that procedural fairness in parole applications 'requires that an applicant's attention be drawn to the main issues or factors militating against success, so that an adequate opportunity is afforded to deal with them'.</w:t>
      </w:r>
      <w:r w:rsidRPr="00085D0E">
        <w:rPr>
          <w:rStyle w:val="FootnoteReference"/>
        </w:rPr>
        <w:footnoteReference w:id="159"/>
      </w:r>
      <w:r w:rsidRPr="00085D0E">
        <w:t xml:space="preserve"> This does not require access to all documents but does require that 'an applicant knows of, or anticipates, the facts and matters assuming significance in a decision to decline a parole application'.</w:t>
      </w:r>
      <w:r w:rsidRPr="00085D0E">
        <w:rPr>
          <w:rStyle w:val="FootnoteReference"/>
        </w:rPr>
        <w:footnoteReference w:id="160"/>
      </w:r>
    </w:p>
    <w:p w:rsidR="006F5996" w:rsidRPr="001B7427" w:rsidRDefault="006F5996" w:rsidP="006F5996">
      <w:pPr>
        <w:pStyle w:val="Level11"/>
        <w:numPr>
          <w:ilvl w:val="0"/>
          <w:numId w:val="21"/>
        </w:numPr>
        <w:rPr>
          <w:b/>
        </w:rPr>
      </w:pPr>
      <w:r w:rsidRPr="001B7427">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1B7427">
        <w:rPr>
          <w:b/>
          <w:i/>
        </w:rPr>
        <w:t>Acts Interpretation Act 1901</w:t>
      </w:r>
      <w:r w:rsidRPr="001B7427">
        <w:rPr>
          <w:b/>
        </w:rPr>
        <w:t>).</w:t>
      </w:r>
    </w:p>
    <w:p w:rsidR="006F5996" w:rsidRPr="00DE7ABD" w:rsidRDefault="006F5996" w:rsidP="006F5996">
      <w:pPr>
        <w:pStyle w:val="Level11"/>
        <w:numPr>
          <w:ilvl w:val="0"/>
          <w:numId w:val="21"/>
        </w:numPr>
        <w:rPr>
          <w:b/>
        </w:rPr>
      </w:pPr>
      <w:r w:rsidRPr="00AB590B">
        <w:rPr>
          <w:b/>
        </w:rPr>
        <w:lastRenderedPageBreak/>
        <w:t xml:space="preserve">The committee considers it would be appropriate, at a minimum, for the bill to </w:t>
      </w:r>
      <w:r>
        <w:rPr>
          <w:b/>
        </w:rPr>
        <w:t xml:space="preserve">be </w:t>
      </w:r>
      <w:r w:rsidRPr="00AB590B">
        <w:rPr>
          <w:b/>
        </w:rPr>
        <w:t>amended to</w:t>
      </w:r>
      <w:r>
        <w:rPr>
          <w:b/>
        </w:rPr>
        <w:t xml:space="preserve"> </w:t>
      </w:r>
      <w:r w:rsidRPr="00DE7ABD">
        <w:rPr>
          <w:b/>
        </w:rPr>
        <w:t>require that, where it would not prejudice national security, the person be provided with an overview of the relevant information or document</w:t>
      </w:r>
      <w:r>
        <w:rPr>
          <w:b/>
        </w:rPr>
        <w:t>, prior to the making of the parole decision</w:t>
      </w:r>
      <w:r w:rsidRPr="00DE7ABD">
        <w:rPr>
          <w:b/>
        </w:rPr>
        <w:t>.</w:t>
      </w:r>
    </w:p>
    <w:p w:rsidR="006F5996" w:rsidRPr="00AB590B" w:rsidRDefault="006F5996" w:rsidP="006F5996">
      <w:pPr>
        <w:pStyle w:val="Level11"/>
        <w:numPr>
          <w:ilvl w:val="0"/>
          <w:numId w:val="21"/>
        </w:numPr>
        <w:rPr>
          <w:b/>
        </w:rPr>
      </w:pPr>
      <w:r w:rsidRPr="00AB590B">
        <w:rPr>
          <w:b/>
        </w:rPr>
        <w:t>The committee otherwise draws its scrutiny concerns to the attention of Senators and leaves to the Senate as a whole the appropriateness of empowering the Attorney-General to refuse to provide any reasons as to why parole has been refused.</w:t>
      </w:r>
    </w:p>
    <w:p w:rsidR="006F5996" w:rsidRDefault="006F5996" w:rsidP="006F5996">
      <w:pPr>
        <w:pStyle w:val="Bullet1"/>
        <w:numPr>
          <w:ilvl w:val="0"/>
          <w:numId w:val="0"/>
        </w:numPr>
        <w:ind w:left="851"/>
        <w:rPr>
          <w:b/>
        </w:rPr>
        <w:sectPr w:rsidR="006F5996" w:rsidSect="006F5996">
          <w:headerReference w:type="first" r:id="rId157"/>
          <w:footerReference w:type="first" r:id="rId158"/>
          <w:pgSz w:w="11906" w:h="16838" w:code="9"/>
          <w:pgMar w:top="1440" w:right="1440" w:bottom="1202" w:left="1440" w:header="1134" w:footer="720" w:gutter="0"/>
          <w:pgNumType w:start="67"/>
          <w:cols w:space="720"/>
          <w:titlePg/>
        </w:sectPr>
      </w:pPr>
    </w:p>
    <w:p w:rsidR="006F5996" w:rsidRDefault="006F5996" w:rsidP="006F5996">
      <w:pPr>
        <w:sectPr w:rsidR="006F5996" w:rsidSect="006F5996">
          <w:type w:val="continuous"/>
          <w:pgSz w:w="11906" w:h="16838" w:code="9"/>
          <w:pgMar w:top="1440" w:right="1440" w:bottom="1202" w:left="1440" w:header="1134" w:footer="720" w:gutter="0"/>
          <w:cols w:space="720"/>
          <w:titlePg/>
        </w:sectPr>
      </w:pPr>
    </w:p>
    <w:p w:rsidR="006F5996" w:rsidRPr="006D3A5A" w:rsidRDefault="006F5996" w:rsidP="006F5996">
      <w:pPr>
        <w:pStyle w:val="Heading1"/>
        <w:spacing w:after="240"/>
        <w:jc w:val="both"/>
      </w:pPr>
      <w:r w:rsidRPr="006D3A5A">
        <w:lastRenderedPageBreak/>
        <w:t>Defence Legislation Amendment (Instrument Making)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5996" w:rsidRPr="006D3A5A" w:rsidTr="006F5996">
        <w:tc>
          <w:tcPr>
            <w:tcW w:w="2660" w:type="dxa"/>
            <w:tcBorders>
              <w:top w:val="single" w:sz="12" w:space="0" w:color="auto"/>
              <w:right w:val="single" w:sz="12" w:space="0" w:color="auto"/>
            </w:tcBorders>
          </w:tcPr>
          <w:p w:rsidR="006F5996" w:rsidRPr="006D3A5A" w:rsidRDefault="006F5996" w:rsidP="006F5996">
            <w:pPr>
              <w:rPr>
                <w:b/>
                <w:sz w:val="24"/>
                <w:szCs w:val="24"/>
              </w:rPr>
            </w:pPr>
            <w:r w:rsidRPr="006D3A5A">
              <w:rPr>
                <w:b/>
                <w:sz w:val="24"/>
                <w:szCs w:val="24"/>
              </w:rPr>
              <w:t>Purpose</w:t>
            </w:r>
          </w:p>
        </w:tc>
        <w:tc>
          <w:tcPr>
            <w:tcW w:w="6582" w:type="dxa"/>
            <w:tcBorders>
              <w:top w:val="single" w:sz="12" w:space="0" w:color="auto"/>
              <w:left w:val="single" w:sz="12" w:space="0" w:color="auto"/>
            </w:tcBorders>
          </w:tcPr>
          <w:p w:rsidR="006F5996" w:rsidRPr="006D3A5A" w:rsidRDefault="006F5996" w:rsidP="006F5996">
            <w:pPr>
              <w:spacing w:after="60"/>
            </w:pPr>
            <w:r w:rsidRPr="006D3A5A">
              <w:rPr>
                <w:sz w:val="24"/>
                <w:szCs w:val="24"/>
              </w:rPr>
              <w:t xml:space="preserve">This bill seeks to amend the instrument making powers in the </w:t>
            </w:r>
            <w:r w:rsidRPr="006D3A5A">
              <w:rPr>
                <w:i/>
                <w:sz w:val="24"/>
                <w:szCs w:val="24"/>
              </w:rPr>
              <w:t>Defence Act 1903</w:t>
            </w:r>
            <w:r w:rsidRPr="006D3A5A">
              <w:rPr>
                <w:sz w:val="24"/>
                <w:szCs w:val="24"/>
              </w:rPr>
              <w:t xml:space="preserve"> (the Act) to ensure that, when re-making certain instruments made under the Act in the future, the instruments can reflect policy requirements and approaches to drafting</w:t>
            </w:r>
          </w:p>
        </w:tc>
      </w:tr>
      <w:tr w:rsidR="006F5996" w:rsidRPr="006D3A5A" w:rsidTr="006F5996">
        <w:tc>
          <w:tcPr>
            <w:tcW w:w="2660" w:type="dxa"/>
            <w:tcBorders>
              <w:right w:val="single" w:sz="12" w:space="0" w:color="auto"/>
            </w:tcBorders>
          </w:tcPr>
          <w:p w:rsidR="006F5996" w:rsidRPr="006D3A5A" w:rsidRDefault="006F5996" w:rsidP="006F5996">
            <w:pPr>
              <w:rPr>
                <w:b/>
                <w:sz w:val="24"/>
                <w:szCs w:val="24"/>
              </w:rPr>
            </w:pPr>
            <w:r w:rsidRPr="006D3A5A">
              <w:rPr>
                <w:b/>
                <w:sz w:val="24"/>
                <w:szCs w:val="24"/>
              </w:rPr>
              <w:t>Portfolio</w:t>
            </w:r>
          </w:p>
        </w:tc>
        <w:tc>
          <w:tcPr>
            <w:tcW w:w="6582" w:type="dxa"/>
            <w:tcBorders>
              <w:left w:val="single" w:sz="12" w:space="0" w:color="auto"/>
            </w:tcBorders>
          </w:tcPr>
          <w:p w:rsidR="006F5996" w:rsidRPr="006D3A5A" w:rsidRDefault="006F5996" w:rsidP="006F5996">
            <w:pPr>
              <w:rPr>
                <w:sz w:val="24"/>
                <w:szCs w:val="24"/>
              </w:rPr>
            </w:pPr>
            <w:r w:rsidRPr="006D3A5A">
              <w:rPr>
                <w:sz w:val="24"/>
                <w:szCs w:val="24"/>
              </w:rPr>
              <w:t>Defence</w:t>
            </w:r>
          </w:p>
        </w:tc>
      </w:tr>
      <w:tr w:rsidR="006F5996" w:rsidRPr="006D3A5A" w:rsidTr="006F5996">
        <w:tc>
          <w:tcPr>
            <w:tcW w:w="2660" w:type="dxa"/>
            <w:tcBorders>
              <w:right w:val="single" w:sz="12" w:space="0" w:color="auto"/>
            </w:tcBorders>
          </w:tcPr>
          <w:p w:rsidR="006F5996" w:rsidRPr="006D3A5A" w:rsidRDefault="006F5996" w:rsidP="006F5996">
            <w:pPr>
              <w:rPr>
                <w:b/>
                <w:sz w:val="24"/>
                <w:szCs w:val="24"/>
              </w:rPr>
            </w:pPr>
            <w:r w:rsidRPr="006D3A5A">
              <w:rPr>
                <w:b/>
                <w:sz w:val="24"/>
                <w:szCs w:val="24"/>
              </w:rPr>
              <w:t>Introduced</w:t>
            </w:r>
          </w:p>
        </w:tc>
        <w:tc>
          <w:tcPr>
            <w:tcW w:w="6582" w:type="dxa"/>
            <w:tcBorders>
              <w:left w:val="single" w:sz="12" w:space="0" w:color="auto"/>
            </w:tcBorders>
          </w:tcPr>
          <w:p w:rsidR="006F5996" w:rsidRPr="006D3A5A" w:rsidRDefault="006F5996" w:rsidP="006F5996">
            <w:pPr>
              <w:rPr>
                <w:sz w:val="24"/>
                <w:szCs w:val="24"/>
              </w:rPr>
            </w:pPr>
            <w:r w:rsidRPr="006D3A5A">
              <w:rPr>
                <w:sz w:val="24"/>
                <w:szCs w:val="24"/>
              </w:rPr>
              <w:t>House of Representatives on 14 September 2017</w:t>
            </w:r>
          </w:p>
        </w:tc>
      </w:tr>
      <w:tr w:rsidR="006F5996" w:rsidRPr="006D3A5A" w:rsidTr="006F5996">
        <w:tc>
          <w:tcPr>
            <w:tcW w:w="2660" w:type="dxa"/>
            <w:tcBorders>
              <w:right w:val="single" w:sz="12" w:space="0" w:color="auto"/>
            </w:tcBorders>
          </w:tcPr>
          <w:p w:rsidR="006F5996" w:rsidRPr="006D3A5A" w:rsidRDefault="006F5996" w:rsidP="006F5996">
            <w:pPr>
              <w:rPr>
                <w:b/>
                <w:sz w:val="24"/>
                <w:szCs w:val="24"/>
              </w:rPr>
            </w:pPr>
            <w:r>
              <w:rPr>
                <w:b/>
                <w:sz w:val="24"/>
                <w:szCs w:val="24"/>
              </w:rPr>
              <w:t>Bill status</w:t>
            </w:r>
          </w:p>
        </w:tc>
        <w:tc>
          <w:tcPr>
            <w:tcW w:w="6582" w:type="dxa"/>
            <w:tcBorders>
              <w:left w:val="single" w:sz="12" w:space="0" w:color="auto"/>
            </w:tcBorders>
          </w:tcPr>
          <w:p w:rsidR="006F5996" w:rsidRPr="006D3A5A" w:rsidRDefault="006F5996" w:rsidP="006F5996">
            <w:pPr>
              <w:rPr>
                <w:sz w:val="24"/>
                <w:szCs w:val="24"/>
              </w:rPr>
            </w:pPr>
            <w:r>
              <w:rPr>
                <w:sz w:val="24"/>
                <w:szCs w:val="24"/>
              </w:rPr>
              <w:t>Before the Senate</w:t>
            </w:r>
          </w:p>
        </w:tc>
      </w:tr>
      <w:tr w:rsidR="006F5996" w:rsidRPr="006D3A5A" w:rsidTr="006F5996">
        <w:tc>
          <w:tcPr>
            <w:tcW w:w="2660" w:type="dxa"/>
            <w:tcBorders>
              <w:bottom w:val="single" w:sz="12" w:space="0" w:color="auto"/>
              <w:right w:val="single" w:sz="12" w:space="0" w:color="auto"/>
            </w:tcBorders>
          </w:tcPr>
          <w:p w:rsidR="006F5996" w:rsidRPr="006D3A5A" w:rsidRDefault="006F5996" w:rsidP="006F5996">
            <w:pPr>
              <w:rPr>
                <w:b/>
                <w:sz w:val="24"/>
                <w:szCs w:val="24"/>
              </w:rPr>
            </w:pPr>
            <w:r w:rsidRPr="006D3A5A">
              <w:rPr>
                <w:b/>
                <w:sz w:val="24"/>
                <w:szCs w:val="24"/>
              </w:rPr>
              <w:t>Scrutiny principles</w:t>
            </w:r>
          </w:p>
        </w:tc>
        <w:tc>
          <w:tcPr>
            <w:tcW w:w="6582" w:type="dxa"/>
            <w:tcBorders>
              <w:left w:val="single" w:sz="12" w:space="0" w:color="auto"/>
              <w:bottom w:val="single" w:sz="12" w:space="0" w:color="auto"/>
            </w:tcBorders>
          </w:tcPr>
          <w:p w:rsidR="006F5996" w:rsidRPr="006D3A5A" w:rsidRDefault="006F5996" w:rsidP="006F5996">
            <w:pPr>
              <w:rPr>
                <w:sz w:val="24"/>
                <w:szCs w:val="24"/>
              </w:rPr>
            </w:pPr>
            <w:r w:rsidRPr="006D3A5A">
              <w:rPr>
                <w:sz w:val="24"/>
                <w:szCs w:val="24"/>
              </w:rPr>
              <w:t>Standing Order 24(1)(a)(ii), (iv)</w:t>
            </w:r>
          </w:p>
        </w:tc>
      </w:tr>
    </w:tbl>
    <w:p w:rsidR="006F5996" w:rsidRPr="006D3A5A" w:rsidRDefault="006F5996" w:rsidP="006F5996">
      <w:pPr>
        <w:pStyle w:val="Level13"/>
        <w:numPr>
          <w:ilvl w:val="0"/>
          <w:numId w:val="21"/>
        </w:numPr>
        <w:spacing w:before="240"/>
      </w:pPr>
      <w:r w:rsidRPr="006D3A5A">
        <w:t xml:space="preserve">The committee dealt with this bill in </w:t>
      </w:r>
      <w:r w:rsidRPr="006D3A5A">
        <w:rPr>
          <w:i/>
        </w:rPr>
        <w:t>Scrutiny Digest No. 12 of 2017</w:t>
      </w:r>
      <w:r w:rsidRPr="006D3A5A">
        <w:t>. The Minister responded to the committee</w:t>
      </w:r>
      <w:r>
        <w:t>'</w:t>
      </w:r>
      <w:r w:rsidRPr="006D3A5A">
        <w:t>s comments in a letter dated 26 October 2017. Set out below are extracts from the committee</w:t>
      </w:r>
      <w:r>
        <w:t>'</w:t>
      </w:r>
      <w:r w:rsidRPr="006D3A5A">
        <w:t>s initial scrutiny of the bill and the Minister</w:t>
      </w:r>
      <w:r>
        <w:t>'</w:t>
      </w:r>
      <w:r w:rsidRPr="006D3A5A">
        <w:t>s response followed by the committee</w:t>
      </w:r>
      <w:r>
        <w:t>'</w:t>
      </w:r>
      <w:r w:rsidRPr="006D3A5A">
        <w:t>s comments on the response. A copy of the letter is available on the committee</w:t>
      </w:r>
      <w:r>
        <w:t>'</w:t>
      </w:r>
      <w:r w:rsidRPr="006D3A5A">
        <w:t>s website.</w:t>
      </w:r>
      <w:r w:rsidRPr="006D3A5A">
        <w:rPr>
          <w:rStyle w:val="FootnoteReference"/>
        </w:rPr>
        <w:footnoteReference w:id="161"/>
      </w:r>
    </w:p>
    <w:p w:rsidR="006F5996" w:rsidRPr="006D3A5A" w:rsidRDefault="006F5996" w:rsidP="006F5996">
      <w:pPr>
        <w:pStyle w:val="Heading3"/>
      </w:pPr>
      <w:r w:rsidRPr="006D3A5A">
        <w:t>Significant matters in delegated legislation</w:t>
      </w:r>
      <w:r w:rsidRPr="006D3A5A">
        <w:rPr>
          <w:rStyle w:val="FootnoteReference"/>
          <w:b w:val="0"/>
        </w:rPr>
        <w:footnoteReference w:id="162"/>
      </w:r>
    </w:p>
    <w:p w:rsidR="006F5996" w:rsidRPr="006D3A5A" w:rsidRDefault="006F5996" w:rsidP="006F5996">
      <w:pPr>
        <w:rPr>
          <w:b/>
          <w:i/>
        </w:rPr>
      </w:pPr>
      <w:r w:rsidRPr="006D3A5A">
        <w:rPr>
          <w:b/>
          <w:i/>
        </w:rPr>
        <w:t>Initial scrutiny – extract</w:t>
      </w:r>
    </w:p>
    <w:p w:rsidR="006F5996" w:rsidRPr="006D3A5A" w:rsidRDefault="006F5996" w:rsidP="006F5996">
      <w:pPr>
        <w:pStyle w:val="Level131"/>
        <w:numPr>
          <w:ilvl w:val="0"/>
          <w:numId w:val="21"/>
        </w:numPr>
      </w:pPr>
      <w:r w:rsidRPr="006D3A5A">
        <w:t xml:space="preserve">Part 1 of Schedule 1 seeks to amend the regulation-making powers in the </w:t>
      </w:r>
      <w:r w:rsidRPr="006D3A5A">
        <w:rPr>
          <w:i/>
        </w:rPr>
        <w:t>Defence Act 1903</w:t>
      </w:r>
      <w:r w:rsidRPr="006D3A5A">
        <w:t xml:space="preserve"> relating to inquiries. Currently the regulation-making power enables regulations to be made for or relating to the appointment, procedures and powers of courts of inquiry, boards of inquiry, Chief of Defence Force commissions of inquiry and inquiry officers. The proposed amendments would instead provide for a more general power to make regulations relating to inquiries into matters concerning the Defence Force, including their appointment, procedures and powers.</w:t>
      </w:r>
    </w:p>
    <w:p w:rsidR="006F5996" w:rsidRPr="006D3A5A" w:rsidRDefault="006F5996" w:rsidP="006F5996">
      <w:pPr>
        <w:pStyle w:val="Level131"/>
        <w:numPr>
          <w:ilvl w:val="0"/>
          <w:numId w:val="21"/>
        </w:numPr>
      </w:pPr>
      <w:r w:rsidRPr="006D3A5A">
        <w:t>The committee notes that the power to appoint a commission of inquiry and the detail of the inquiry</w:t>
      </w:r>
      <w:r>
        <w:t>'</w:t>
      </w:r>
      <w:r w:rsidRPr="006D3A5A">
        <w:t xml:space="preserve">s procedures and powers contain matters that go beyond mere technical detail. The committee notes the regulations currently made using the existing powers contain offence provisions and significant detail about how an </w:t>
      </w:r>
      <w:r w:rsidRPr="006D3A5A">
        <w:lastRenderedPageBreak/>
        <w:t>inquiry is to be conducted.</w:t>
      </w:r>
      <w:r w:rsidRPr="006D3A5A">
        <w:rPr>
          <w:rStyle w:val="FootnoteReference"/>
        </w:rPr>
        <w:footnoteReference w:id="163"/>
      </w:r>
      <w:r w:rsidRPr="006D3A5A">
        <w:t xml:space="preserve"> The committee</w:t>
      </w:r>
      <w:r>
        <w:t>'</w:t>
      </w:r>
      <w:r w:rsidRPr="006D3A5A">
        <w:t xml:space="preserve">s view is that significant matters such as these should be included in primary legislation unless a sound justification for the use of delegated legislation is provided. </w:t>
      </w:r>
    </w:p>
    <w:p w:rsidR="006F5996" w:rsidRPr="006D3A5A" w:rsidRDefault="006F5996" w:rsidP="006F5996">
      <w:pPr>
        <w:pStyle w:val="Level131"/>
        <w:numPr>
          <w:ilvl w:val="0"/>
          <w:numId w:val="21"/>
        </w:numPr>
      </w:pPr>
      <w:r w:rsidRPr="006D3A5A">
        <w:t>The committee notes that the explanatory memorandum simply states that the bill does not make any changes to the ability to make regulations to compel a person to appear before and answer questions at an inquiry.</w:t>
      </w:r>
      <w:r w:rsidRPr="006D3A5A">
        <w:rPr>
          <w:rStyle w:val="FootnoteReference"/>
        </w:rPr>
        <w:footnoteReference w:id="164"/>
      </w:r>
      <w:r w:rsidRPr="006D3A5A">
        <w:t xml:space="preserve"> It does not state whether consideration was given as to whether the details regarding commissions of inquiry would be more appropriate for inclusion in the primary legislation. </w:t>
      </w:r>
    </w:p>
    <w:p w:rsidR="006F5996" w:rsidRPr="006D3A5A" w:rsidRDefault="006F5996" w:rsidP="006F5996">
      <w:pPr>
        <w:pStyle w:val="Level131"/>
        <w:numPr>
          <w:ilvl w:val="0"/>
          <w:numId w:val="21"/>
        </w:numPr>
      </w:pPr>
      <w:r w:rsidRPr="006D3A5A">
        <w:t xml:space="preserve">In addition, Part 2 of Schedule 1 provides that the regulations may prescribe matters relating to the regulation or prohibition of all types of hazards to aviation and aviation-related communications within a defence aviation area, including what objects can be brought within defence aviation areas. It also provides that provisions of the regulations are subject to monitoring under the </w:t>
      </w:r>
      <w:r w:rsidRPr="006D3A5A">
        <w:rPr>
          <w:i/>
        </w:rPr>
        <w:t>Regulatory Powers (Standard Provisions) Act 2014</w:t>
      </w:r>
      <w:r w:rsidRPr="006D3A5A">
        <w:t>.</w:t>
      </w:r>
      <w:r w:rsidRPr="006D3A5A">
        <w:rPr>
          <w:rStyle w:val="FootnoteReference"/>
        </w:rPr>
        <w:footnoteReference w:id="165"/>
      </w:r>
      <w:r w:rsidRPr="006D3A5A">
        <w:t xml:space="preserve"> The explanatory memorandum states that consideration was given to whether the scheme as a whole should be moved into the principal Act, rather than being established in delegated legislation, but it was decided that it was appropriate to continue the scheme in delegated legislation to provide the necessary flexibility and consistency with similar legislation.</w:t>
      </w:r>
      <w:r w:rsidRPr="006D3A5A">
        <w:rPr>
          <w:rStyle w:val="FootnoteReference"/>
        </w:rPr>
        <w:footnoteReference w:id="166"/>
      </w:r>
      <w:r w:rsidRPr="006D3A5A">
        <w:t xml:space="preserve"> However, the committee notes that the regulation of all types of hazards to aviation and aviation-related communications, which includes prohibiting the construction or use of buildings, structures or objects within a defence aviation area, is a significant matter that may be more appropriate for inclusion in primary legislation, noting that a legislative instrument, made by the executive, is not subject to the full range of parliamentary scrutiny inherent in bringing proposed changes in the form of an amending bill.</w:t>
      </w:r>
    </w:p>
    <w:p w:rsidR="006F5996" w:rsidRPr="006D3A5A" w:rsidRDefault="006F5996" w:rsidP="006F5996">
      <w:pPr>
        <w:pStyle w:val="Level131"/>
        <w:numPr>
          <w:ilvl w:val="0"/>
          <w:numId w:val="21"/>
        </w:numPr>
        <w:rPr>
          <w:rFonts w:ascii="Calibri" w:hAnsi="Calibri"/>
        </w:rPr>
      </w:pPr>
      <w:r w:rsidRPr="006D3A5A">
        <w:t>The committee</w:t>
      </w:r>
      <w:r>
        <w:t>'</w:t>
      </w:r>
      <w:r w:rsidRPr="006D3A5A">
        <w:t>s view is that significant matters should be included in primary legislation unless a sound justification for the use of delegated legislation is provided. In this regard, the committee:</w:t>
      </w:r>
    </w:p>
    <w:p w:rsidR="006F5996" w:rsidRPr="006D3A5A" w:rsidRDefault="006F5996" w:rsidP="006F5996">
      <w:pPr>
        <w:pStyle w:val="Bullet1"/>
        <w:rPr>
          <w:rFonts w:ascii="Calibri" w:hAnsi="Calibri"/>
        </w:rPr>
      </w:pPr>
      <w:r w:rsidRPr="006D3A5A">
        <w:t>seeks the Minister</w:t>
      </w:r>
      <w:r>
        <w:t>'</w:t>
      </w:r>
      <w:r w:rsidRPr="006D3A5A">
        <w:t>s advice as to why details regarding the appointment, procedures and powers of a defence force commission of inquiry are left to delegated legislation rather than set out in primary legislation (Part 1 of Schedule 1)</w:t>
      </w:r>
      <w:r w:rsidRPr="006D3A5A">
        <w:rPr>
          <w:rFonts w:ascii="Calibri" w:hAnsi="Calibri"/>
        </w:rPr>
        <w:t>; and</w:t>
      </w:r>
    </w:p>
    <w:p w:rsidR="006F5996" w:rsidRPr="006D3A5A" w:rsidRDefault="006F5996" w:rsidP="006F5996">
      <w:pPr>
        <w:pStyle w:val="Bullet1"/>
      </w:pPr>
      <w:bookmarkStart w:id="14" w:name="OLE_LINK51"/>
      <w:r w:rsidRPr="006D3A5A">
        <w:t>leaves to the Senate as a whole the appropriateness of</w:t>
      </w:r>
      <w:bookmarkEnd w:id="14"/>
      <w:r w:rsidRPr="006D3A5A">
        <w:t xml:space="preserve"> leaving to delegated legislation the power to regulate or prohibit matters in defence aviation areas (Part 2 of Schedule 1).</w:t>
      </w:r>
    </w:p>
    <w:p w:rsidR="006F5996" w:rsidRPr="006D3A5A" w:rsidRDefault="006F5996" w:rsidP="006F5996">
      <w:pPr>
        <w:pStyle w:val="Level13"/>
        <w:tabs>
          <w:tab w:val="clear" w:pos="850"/>
        </w:tabs>
        <w:rPr>
          <w:b/>
          <w:i/>
        </w:rPr>
      </w:pPr>
      <w:r w:rsidRPr="006D3A5A">
        <w:rPr>
          <w:b/>
          <w:i/>
        </w:rPr>
        <w:lastRenderedPageBreak/>
        <w:t>Minister</w:t>
      </w:r>
      <w:r>
        <w:rPr>
          <w:b/>
          <w:i/>
        </w:rPr>
        <w:t>'</w:t>
      </w:r>
      <w:r w:rsidRPr="006D3A5A">
        <w:rPr>
          <w:b/>
          <w:i/>
        </w:rPr>
        <w:t>s response</w:t>
      </w:r>
    </w:p>
    <w:p w:rsidR="006F5996" w:rsidRPr="006D3A5A" w:rsidRDefault="006F5996" w:rsidP="006F5996">
      <w:pPr>
        <w:pStyle w:val="Level13"/>
        <w:numPr>
          <w:ilvl w:val="0"/>
          <w:numId w:val="21"/>
        </w:numPr>
      </w:pPr>
      <w:r w:rsidRPr="006D3A5A">
        <w:t>The Minister advised:</w:t>
      </w:r>
    </w:p>
    <w:p w:rsidR="006F5996" w:rsidRPr="006D3A5A" w:rsidRDefault="006F5996" w:rsidP="006F5996">
      <w:pPr>
        <w:pStyle w:val="Quote"/>
        <w:rPr>
          <w:lang w:eastAsia="en-AU"/>
        </w:rPr>
      </w:pPr>
      <w:r w:rsidRPr="006D3A5A">
        <w:rPr>
          <w:lang w:eastAsia="en-AU"/>
        </w:rPr>
        <w:t>I understand the Committee is seeking advice as to why details regarding the appointment, procedures and powers of a Defence Force commission of inquiry are left to delegated legislation rather than set out in primary legislation (Part 1 of Schedule 1 of the Bill).</w:t>
      </w:r>
    </w:p>
    <w:p w:rsidR="006F5996" w:rsidRPr="006D3A5A" w:rsidRDefault="006F5996" w:rsidP="006F5996">
      <w:pPr>
        <w:pStyle w:val="Quote"/>
        <w:rPr>
          <w:lang w:eastAsia="en-AU"/>
        </w:rPr>
      </w:pPr>
      <w:r w:rsidRPr="006D3A5A">
        <w:rPr>
          <w:lang w:eastAsia="en-AU"/>
        </w:rPr>
        <w:t>Matters relating to the appointment, procedures and powers of inquiries concerning the Defence Force have been dealt with under Regulations for many decades. Defence is not aware that any of the numerous reviews about military justice (including inquiry arrangements) recommended that delegated legislation relating to Defence inquiries be incorporated in primary legislation, or proposing a model which would maintain sufficient flexibility to meet the needs of the Defence Force in respect of such inquiries.</w:t>
      </w:r>
    </w:p>
    <w:p w:rsidR="006F5996" w:rsidRPr="006D3A5A" w:rsidRDefault="006F5996" w:rsidP="006F5996">
      <w:pPr>
        <w:pStyle w:val="Quote"/>
      </w:pPr>
      <w:r w:rsidRPr="006D3A5A">
        <w:rPr>
          <w:lang w:eastAsia="en-AU"/>
        </w:rPr>
        <w:t xml:space="preserve">The </w:t>
      </w:r>
      <w:r w:rsidRPr="006D3A5A">
        <w:rPr>
          <w:i/>
          <w:iCs/>
          <w:lang w:eastAsia="en-AU"/>
        </w:rPr>
        <w:t xml:space="preserve">Defence Act 1903 </w:t>
      </w:r>
      <w:r w:rsidRPr="006D3A5A">
        <w:rPr>
          <w:lang w:eastAsia="en-AU"/>
        </w:rPr>
        <w:t>(the Defence Act) has long permitted such regulations by expressly authorising provisions in regulations that, for example, create offences and compel individuals to provide evidence to Defence inquiries. When compared to current provisions in the Defence Act, this Bill does not propose changes that would permit increased powers concerning the appointment, procedures and powers of inquiries in Defence, including their capacity to affect personal rights and liabilities.</w:t>
      </w:r>
    </w:p>
    <w:p w:rsidR="006F5996" w:rsidRPr="006D3A5A" w:rsidRDefault="006F5996" w:rsidP="006F5996">
      <w:pPr>
        <w:pStyle w:val="Quote"/>
        <w:rPr>
          <w:i/>
          <w:iCs/>
          <w:lang w:eastAsia="en-AU"/>
        </w:rPr>
      </w:pPr>
      <w:r w:rsidRPr="006D3A5A">
        <w:rPr>
          <w:lang w:eastAsia="en-AU"/>
        </w:rPr>
        <w:t xml:space="preserve">The current arrangements permit a necessary degree of flexibility for the Australian Government to determine forms of inquiry in the Defence Force, having regard to administrative, organisational and operational changes that occur from time to time. At the same time, appropriate Parliamentary oversight of the content of such regulations is maintained by the Senate Standing Committee on Regulations and Ordinances, as well as sunsetting arrangements under the </w:t>
      </w:r>
      <w:r w:rsidRPr="006D3A5A">
        <w:rPr>
          <w:i/>
          <w:iCs/>
          <w:lang w:eastAsia="en-AU"/>
        </w:rPr>
        <w:t>Legislation Act 2003.</w:t>
      </w:r>
    </w:p>
    <w:p w:rsidR="006F5996" w:rsidRPr="006D3A5A" w:rsidRDefault="006F5996" w:rsidP="006F5996">
      <w:pPr>
        <w:pStyle w:val="Quote"/>
        <w:rPr>
          <w:lang w:eastAsia="en-AU"/>
        </w:rPr>
      </w:pPr>
      <w:r w:rsidRPr="006D3A5A">
        <w:rPr>
          <w:lang w:eastAsia="en-AU"/>
        </w:rPr>
        <w:t xml:space="preserve">Further, it is noted that as recently as 2015, the regulation making powers in the Defence Act were modified to enable the creation of a separate regulation permitting the Inspector General Australian Defence Force </w:t>
      </w:r>
      <w:r>
        <w:rPr>
          <w:lang w:eastAsia="en-AU"/>
        </w:rPr>
        <w:t>(</w:t>
      </w:r>
      <w:r w:rsidRPr="006D3A5A">
        <w:rPr>
          <w:lang w:eastAsia="en-AU"/>
        </w:rPr>
        <w:t>IGADF) to conduct inquiries into a range of matters concerning the Defence Force, including the procedures, powers and reporting requirements concerning such inquiries.</w:t>
      </w:r>
    </w:p>
    <w:p w:rsidR="006F5996" w:rsidRPr="006D3A5A" w:rsidRDefault="006F5996" w:rsidP="006F5996">
      <w:pPr>
        <w:pStyle w:val="Quote"/>
      </w:pPr>
      <w:r w:rsidRPr="006D3A5A">
        <w:rPr>
          <w:lang w:eastAsia="en-AU"/>
        </w:rPr>
        <w:t xml:space="preserve">Lastly, it is noted that in its correspondence, the Committee referred to commissions of inquiry. This type of inquiry was generally used to inquire into Service-related deaths in the Defence Force. Following the recent amendments to the Defence Act in 2015, IGADF is now responsible for inquiring into Service-related deaths under the </w:t>
      </w:r>
      <w:r w:rsidRPr="006D3A5A">
        <w:rPr>
          <w:i/>
          <w:iCs/>
          <w:lang w:eastAsia="en-AU"/>
        </w:rPr>
        <w:t xml:space="preserve">Inspector-General of the Australian Defence Force Regulation 2016, </w:t>
      </w:r>
      <w:r w:rsidRPr="006D3A5A">
        <w:rPr>
          <w:lang w:eastAsia="en-AU"/>
        </w:rPr>
        <w:t>which means that commissions of inquiry have largely moved on from their original intended purpose.</w:t>
      </w:r>
    </w:p>
    <w:p w:rsidR="006F5996" w:rsidRDefault="006F5996" w:rsidP="006F5996">
      <w:pPr>
        <w:spacing w:before="0" w:after="0"/>
        <w:jc w:val="left"/>
        <w:rPr>
          <w:b/>
          <w:i/>
        </w:rPr>
      </w:pPr>
      <w:r>
        <w:rPr>
          <w:b/>
          <w:i/>
        </w:rPr>
        <w:br w:type="page"/>
      </w:r>
    </w:p>
    <w:p w:rsidR="006F5996" w:rsidRPr="006D3A5A" w:rsidRDefault="006F5996" w:rsidP="006F5996">
      <w:pPr>
        <w:pStyle w:val="Level13"/>
        <w:tabs>
          <w:tab w:val="clear" w:pos="850"/>
        </w:tabs>
        <w:rPr>
          <w:b/>
          <w:i/>
        </w:rPr>
      </w:pPr>
      <w:r w:rsidRPr="006D3A5A">
        <w:rPr>
          <w:b/>
          <w:i/>
        </w:rPr>
        <w:lastRenderedPageBreak/>
        <w:t>Committee comment</w:t>
      </w:r>
    </w:p>
    <w:p w:rsidR="006F5996" w:rsidRDefault="006F5996" w:rsidP="006F5996">
      <w:pPr>
        <w:pStyle w:val="Level13"/>
        <w:numPr>
          <w:ilvl w:val="0"/>
          <w:numId w:val="21"/>
        </w:numPr>
      </w:pPr>
      <w:r w:rsidRPr="006D3A5A">
        <w:t>The committee thanks the Minister for this response. The committee notes the Minister</w:t>
      </w:r>
      <w:r>
        <w:t>'</w:t>
      </w:r>
      <w:r w:rsidRPr="006D3A5A">
        <w:t>s advice that</w:t>
      </w:r>
      <w:r>
        <w:t xml:space="preserve"> matters relating to the appointment, procedures and powers of inquiries concerning the Defence Force have been dealt with under regulations for many decades, no reviews have recommended that these matters be dealt with by primary legislation and this bill does not propose increasing any powers. The committee also notes the Minister's advice that the current arrangements permit a necessary degree of flexibility to determine forms of inquiry having regard to administrative, organisational and operational changes that occur from time to time.</w:t>
      </w:r>
    </w:p>
    <w:p w:rsidR="006F5996" w:rsidRPr="006D3A5A" w:rsidRDefault="006F5996" w:rsidP="006F5996">
      <w:pPr>
        <w:pStyle w:val="Level13"/>
        <w:numPr>
          <w:ilvl w:val="0"/>
          <w:numId w:val="21"/>
        </w:numPr>
      </w:pPr>
      <w:r>
        <w:t xml:space="preserve">The committee notes that the fact that certain powers have been contained in delegated legislation for many years without any recommendation that they be moved to primary legislation does not address the question of whether they </w:t>
      </w:r>
      <w:r w:rsidRPr="006D3A5A">
        <w:t>would be more appropriate for inclusion in primary legislation</w:t>
      </w:r>
      <w:r>
        <w:t>.</w:t>
      </w:r>
    </w:p>
    <w:p w:rsidR="006F5996" w:rsidRPr="006D3A5A" w:rsidRDefault="006F5996" w:rsidP="006F5996">
      <w:pPr>
        <w:pStyle w:val="Level131"/>
        <w:numPr>
          <w:ilvl w:val="0"/>
          <w:numId w:val="21"/>
        </w:numPr>
      </w:pPr>
      <w:r w:rsidRPr="006D3A5A">
        <w:t xml:space="preserve">The committee </w:t>
      </w:r>
      <w:r>
        <w:t xml:space="preserve">reiterates its view </w:t>
      </w:r>
      <w:r w:rsidRPr="006D3A5A">
        <w:t>that the power to appoint a commission of inquiry and the detail of the inquiry</w:t>
      </w:r>
      <w:r>
        <w:t>'</w:t>
      </w:r>
      <w:r w:rsidRPr="006D3A5A">
        <w:t>s procedures and powers contain matters that go beyond mere technical detail</w:t>
      </w:r>
      <w:r>
        <w:t xml:space="preserve"> and the </w:t>
      </w:r>
      <w:r w:rsidRPr="006D3A5A">
        <w:t>committee</w:t>
      </w:r>
      <w:r>
        <w:t>'</w:t>
      </w:r>
      <w:r w:rsidRPr="006D3A5A">
        <w:t xml:space="preserve">s </w:t>
      </w:r>
      <w:r>
        <w:t xml:space="preserve">longstanding </w:t>
      </w:r>
      <w:r w:rsidRPr="006D3A5A">
        <w:t xml:space="preserve">view is that significant matters such as these should be included in primary legislation unless a sound justification for the use of delegated legislation is provided. </w:t>
      </w:r>
      <w:r>
        <w:t>In this instance, the justification provided is that the current arrangements permit a necessary degree of flexibility to determine forms of inquiry. However, the committee notes that it would appear to be possible to include significant matters regarding an inquiry's procedures and powers in primary legislation while leaving the details that may be affected by changes that may occur from time to time to the administrative, organisational and operational requirements to delegated legislation.</w:t>
      </w:r>
    </w:p>
    <w:p w:rsidR="006F5996" w:rsidRPr="005B216C" w:rsidRDefault="006F5996" w:rsidP="006F5996">
      <w:pPr>
        <w:pStyle w:val="Level13"/>
        <w:numPr>
          <w:ilvl w:val="0"/>
          <w:numId w:val="21"/>
        </w:numPr>
        <w:rPr>
          <w:b/>
        </w:rPr>
      </w:pPr>
      <w:r w:rsidRPr="005B216C">
        <w:rPr>
          <w:b/>
        </w:rPr>
        <w:t xml:space="preserve">The committee draws its scrutiny concerns to the attention of Senators and leaves to the Senate as a whole the appropriateness of leaving the appointment, procedures and powers of </w:t>
      </w:r>
      <w:r>
        <w:rPr>
          <w:b/>
        </w:rPr>
        <w:t>D</w:t>
      </w:r>
      <w:r w:rsidRPr="005B216C">
        <w:rPr>
          <w:b/>
        </w:rPr>
        <w:t xml:space="preserve">efence </w:t>
      </w:r>
      <w:r>
        <w:rPr>
          <w:b/>
        </w:rPr>
        <w:t>F</w:t>
      </w:r>
      <w:r w:rsidRPr="005B216C">
        <w:rPr>
          <w:b/>
        </w:rPr>
        <w:t>orce inquiries to delegated legislation rather than set</w:t>
      </w:r>
      <w:r>
        <w:rPr>
          <w:b/>
        </w:rPr>
        <w:t>ting these out in primary legislation.</w:t>
      </w:r>
    </w:p>
    <w:p w:rsidR="006F5996" w:rsidRPr="006D3A5A" w:rsidRDefault="006F5996" w:rsidP="006F5996">
      <w:pPr>
        <w:spacing w:after="240"/>
        <w:ind w:left="2268" w:right="2223"/>
      </w:pPr>
      <w:r>
        <w:pict>
          <v:rect id="_x0000_i1030" style="width:0;height:1.5pt" o:hralign="center" o:hrstd="t" o:hr="t" fillcolor="#a0a0a0" stroked="f"/>
        </w:pict>
      </w:r>
    </w:p>
    <w:p w:rsidR="006F5996" w:rsidRPr="006D3A5A" w:rsidRDefault="006F5996" w:rsidP="006F5996">
      <w:pPr>
        <w:pStyle w:val="Heading3"/>
      </w:pPr>
      <w:bookmarkStart w:id="15" w:name="_Toc492910195"/>
      <w:r w:rsidRPr="006D3A5A">
        <w:t>Broad delegation of administrative power</w:t>
      </w:r>
      <w:bookmarkEnd w:id="15"/>
      <w:r w:rsidRPr="006D3A5A">
        <w:rPr>
          <w:rStyle w:val="FootnoteReference"/>
          <w:b w:val="0"/>
        </w:rPr>
        <w:footnoteReference w:id="167"/>
      </w:r>
    </w:p>
    <w:p w:rsidR="006F5996" w:rsidRPr="006D3A5A" w:rsidRDefault="006F5996" w:rsidP="006F5996">
      <w:pPr>
        <w:rPr>
          <w:b/>
          <w:i/>
        </w:rPr>
      </w:pPr>
      <w:r w:rsidRPr="006D3A5A">
        <w:rPr>
          <w:b/>
          <w:i/>
        </w:rPr>
        <w:t>Initial scrutiny – extract</w:t>
      </w:r>
    </w:p>
    <w:p w:rsidR="006F5996" w:rsidRPr="006D3A5A" w:rsidRDefault="006F5996" w:rsidP="006F5996">
      <w:pPr>
        <w:pStyle w:val="Level131"/>
        <w:numPr>
          <w:ilvl w:val="0"/>
          <w:numId w:val="21"/>
        </w:numPr>
      </w:pPr>
      <w:r w:rsidRPr="006D3A5A">
        <w:t xml:space="preserve">Proposed section 117AE triggers the monitoring powers under the </w:t>
      </w:r>
      <w:r w:rsidRPr="006D3A5A">
        <w:rPr>
          <w:i/>
        </w:rPr>
        <w:t>Regulatory Powers (Standard Provisions) Act 2014</w:t>
      </w:r>
      <w:r w:rsidRPr="006D3A5A">
        <w:t xml:space="preserve"> in relation to provisions of the regulations made for the purpose of proposed section 117AD. Proposed subsection 117AE(4) provides that an authorised person may be assisted </w:t>
      </w:r>
      <w:r>
        <w:t>'</w:t>
      </w:r>
      <w:r w:rsidRPr="006D3A5A">
        <w:t>by other persons</w:t>
      </w:r>
      <w:r>
        <w:t>'</w:t>
      </w:r>
      <w:r w:rsidRPr="006D3A5A">
        <w:t xml:space="preserve"> in </w:t>
      </w:r>
      <w:r w:rsidRPr="006D3A5A">
        <w:lastRenderedPageBreak/>
        <w:t xml:space="preserve">exercising powers or performing functions or duties in relation to monitoring. The committee notes that the powers conferred on a person assisting also include a power to use force against things when executing a monitoring warrant. The explanatory memorandum does not explain the categories of </w:t>
      </w:r>
      <w:r>
        <w:t>'</w:t>
      </w:r>
      <w:r w:rsidRPr="006D3A5A">
        <w:t>other persons</w:t>
      </w:r>
      <w:r>
        <w:t>'</w:t>
      </w:r>
      <w:r w:rsidRPr="006D3A5A">
        <w:t xml:space="preserve"> who may be granted such powers and the bill does not confine who may exercise the powers by reference to any particular expertise or training. </w:t>
      </w:r>
    </w:p>
    <w:p w:rsidR="006F5996" w:rsidRPr="006D3A5A" w:rsidRDefault="006F5996" w:rsidP="006F5996">
      <w:pPr>
        <w:pStyle w:val="Level131"/>
        <w:numPr>
          <w:ilvl w:val="0"/>
          <w:numId w:val="21"/>
        </w:numPr>
      </w:pPr>
      <w:r w:rsidRPr="006D3A5A">
        <w:t>The committee therefore requests the Minister</w:t>
      </w:r>
      <w:r>
        <w:t>'</w:t>
      </w:r>
      <w:r w:rsidRPr="006D3A5A">
        <w:t xml:space="preserve">s advice as to why it is necessary to confer monitoring powers on any </w:t>
      </w:r>
      <w:r>
        <w:t>'</w:t>
      </w:r>
      <w:r w:rsidRPr="006D3A5A">
        <w:t>other person</w:t>
      </w:r>
      <w:r>
        <w:t>'</w:t>
      </w:r>
      <w:r w:rsidRPr="006D3A5A">
        <w:t xml:space="preserve"> to assist an authorised person and whether it would be appropriate to amend the bill to require that any person assisting an authorised person have specified skills, training or experience.</w:t>
      </w:r>
    </w:p>
    <w:p w:rsidR="006F5996" w:rsidRPr="006D3A5A" w:rsidRDefault="006F5996" w:rsidP="006F5996">
      <w:pPr>
        <w:pStyle w:val="Level13"/>
        <w:tabs>
          <w:tab w:val="clear" w:pos="850"/>
        </w:tabs>
        <w:rPr>
          <w:b/>
          <w:i/>
        </w:rPr>
      </w:pPr>
      <w:r w:rsidRPr="006D3A5A">
        <w:rPr>
          <w:b/>
          <w:i/>
        </w:rPr>
        <w:t>Minister</w:t>
      </w:r>
      <w:r>
        <w:rPr>
          <w:b/>
          <w:i/>
        </w:rPr>
        <w:t>'</w:t>
      </w:r>
      <w:r w:rsidRPr="006D3A5A">
        <w:rPr>
          <w:b/>
          <w:i/>
        </w:rPr>
        <w:t>s response</w:t>
      </w:r>
    </w:p>
    <w:p w:rsidR="006F5996" w:rsidRPr="006D3A5A" w:rsidRDefault="006F5996" w:rsidP="006F5996">
      <w:pPr>
        <w:pStyle w:val="Level13"/>
        <w:numPr>
          <w:ilvl w:val="0"/>
          <w:numId w:val="21"/>
        </w:numPr>
      </w:pPr>
      <w:r w:rsidRPr="006D3A5A">
        <w:t>The Minister advised:</w:t>
      </w:r>
    </w:p>
    <w:p w:rsidR="006F5996" w:rsidRPr="006D3A5A" w:rsidRDefault="006F5996" w:rsidP="006F5996">
      <w:pPr>
        <w:pStyle w:val="Quote"/>
        <w:rPr>
          <w:lang w:eastAsia="en-AU"/>
        </w:rPr>
      </w:pPr>
      <w:r w:rsidRPr="006D3A5A">
        <w:rPr>
          <w:lang w:eastAsia="en-AU"/>
        </w:rPr>
        <w:t xml:space="preserve">I understand the Committee is also seeking a detailed justification as to why it is necessary and appropriate to confer monitoring powers on any </w:t>
      </w:r>
      <w:r>
        <w:rPr>
          <w:lang w:eastAsia="en-AU"/>
        </w:rPr>
        <w:t>'</w:t>
      </w:r>
      <w:r w:rsidRPr="006D3A5A">
        <w:rPr>
          <w:lang w:eastAsia="en-AU"/>
        </w:rPr>
        <w:t>other person</w:t>
      </w:r>
      <w:r>
        <w:rPr>
          <w:lang w:eastAsia="en-AU"/>
        </w:rPr>
        <w:t>'</w:t>
      </w:r>
      <w:r w:rsidRPr="006D3A5A">
        <w:rPr>
          <w:lang w:eastAsia="en-AU"/>
        </w:rPr>
        <w:t xml:space="preserve"> to assist an authorised person in a defence aviation area, and whether it would be appropriate to amend the Bill to require that any person assisting an authorised person have specified skills, training or experience.</w:t>
      </w:r>
    </w:p>
    <w:p w:rsidR="006F5996" w:rsidRPr="006D3A5A" w:rsidRDefault="006F5996" w:rsidP="006F5996">
      <w:pPr>
        <w:pStyle w:val="Quote"/>
        <w:rPr>
          <w:lang w:eastAsia="en-AU"/>
        </w:rPr>
      </w:pPr>
      <w:r w:rsidRPr="006D3A5A">
        <w:rPr>
          <w:lang w:eastAsia="en-AU"/>
        </w:rPr>
        <w:t>Authorised persons for the purpose of the scheme are appointed by the Secretary or the Chief of the Defence Force, and must have the knowledge, training or experience necessary to properly exercise the powers of an authorised person in a defence aviation area.</w:t>
      </w:r>
    </w:p>
    <w:p w:rsidR="006F5996" w:rsidRPr="006D3A5A" w:rsidRDefault="006F5996" w:rsidP="006F5996">
      <w:pPr>
        <w:pStyle w:val="Quote"/>
      </w:pPr>
      <w:r w:rsidRPr="006D3A5A">
        <w:rPr>
          <w:lang w:eastAsia="en-AU"/>
        </w:rPr>
        <w:t>In the majority of cases, Defence is able to reach agreements with landowners in relation to aviation hazards. However, there may be limited circumstances where it is necessary to engage an external expert to assist Defence in assessing the situation and determining what actions are appropriate and necessary. For example, Defence may require the assistance of:</w:t>
      </w:r>
    </w:p>
    <w:p w:rsidR="006F5996" w:rsidRPr="006D3A5A" w:rsidRDefault="006F5996" w:rsidP="006F5996">
      <w:pPr>
        <w:pStyle w:val="Bullet22"/>
        <w:numPr>
          <w:ilvl w:val="0"/>
          <w:numId w:val="4"/>
        </w:numPr>
        <w:tabs>
          <w:tab w:val="clear" w:pos="1134"/>
        </w:tabs>
        <w:ind w:left="1418" w:right="804"/>
        <w:rPr>
          <w:sz w:val="24"/>
          <w:szCs w:val="24"/>
          <w:lang w:eastAsia="en-AU"/>
        </w:rPr>
      </w:pPr>
      <w:r w:rsidRPr="006D3A5A">
        <w:rPr>
          <w:sz w:val="24"/>
          <w:szCs w:val="24"/>
          <w:lang w:eastAsia="en-AU"/>
        </w:rPr>
        <w:t>a qualified surveyor to provide Defence with specialist advice on a structure</w:t>
      </w:r>
      <w:r>
        <w:rPr>
          <w:sz w:val="24"/>
          <w:szCs w:val="24"/>
          <w:lang w:eastAsia="en-AU"/>
        </w:rPr>
        <w:t>'</w:t>
      </w:r>
      <w:r w:rsidRPr="006D3A5A">
        <w:rPr>
          <w:sz w:val="24"/>
          <w:szCs w:val="24"/>
          <w:lang w:eastAsia="en-AU"/>
        </w:rPr>
        <w:t>s height;</w:t>
      </w:r>
    </w:p>
    <w:p w:rsidR="006F5996" w:rsidRPr="006D3A5A" w:rsidRDefault="006F5996" w:rsidP="006F5996">
      <w:pPr>
        <w:pStyle w:val="Bullet22"/>
        <w:numPr>
          <w:ilvl w:val="0"/>
          <w:numId w:val="4"/>
        </w:numPr>
        <w:tabs>
          <w:tab w:val="clear" w:pos="1134"/>
        </w:tabs>
        <w:ind w:left="1418" w:right="804"/>
        <w:rPr>
          <w:sz w:val="24"/>
          <w:szCs w:val="24"/>
          <w:lang w:eastAsia="en-AU"/>
        </w:rPr>
      </w:pPr>
      <w:r w:rsidRPr="006D3A5A">
        <w:rPr>
          <w:sz w:val="24"/>
          <w:szCs w:val="24"/>
          <w:lang w:eastAsia="en-AU"/>
        </w:rPr>
        <w:t>an engineer to provide general advice on the site; and/or</w:t>
      </w:r>
    </w:p>
    <w:p w:rsidR="006F5996" w:rsidRPr="006D3A5A" w:rsidRDefault="006F5996" w:rsidP="006F5996">
      <w:pPr>
        <w:pStyle w:val="Bullet22"/>
        <w:numPr>
          <w:ilvl w:val="0"/>
          <w:numId w:val="4"/>
        </w:numPr>
        <w:tabs>
          <w:tab w:val="clear" w:pos="1134"/>
        </w:tabs>
        <w:ind w:left="1418" w:right="804"/>
        <w:rPr>
          <w:sz w:val="24"/>
          <w:szCs w:val="24"/>
        </w:rPr>
      </w:pPr>
      <w:r w:rsidRPr="006D3A5A">
        <w:rPr>
          <w:sz w:val="24"/>
          <w:szCs w:val="24"/>
          <w:lang w:eastAsia="en-AU"/>
        </w:rPr>
        <w:t>an arborist to provide advice in relation to tree lopping.</w:t>
      </w:r>
    </w:p>
    <w:p w:rsidR="006F5996" w:rsidRPr="006D3A5A" w:rsidRDefault="006F5996" w:rsidP="006F5996">
      <w:pPr>
        <w:pStyle w:val="Quote"/>
      </w:pPr>
      <w:r w:rsidRPr="006D3A5A">
        <w:rPr>
          <w:lang w:eastAsia="en-AU"/>
        </w:rPr>
        <w:t xml:space="preserve">The intent of the proposed measure is allow Defence to use external experts with specialist skills that Defence may not have internally, in dealing with a particular situation. Further, it is intended that a person assisting an authorised person is only authorised to use force against </w:t>
      </w:r>
      <w:r>
        <w:rPr>
          <w:lang w:eastAsia="en-AU"/>
        </w:rPr>
        <w:t>'</w:t>
      </w:r>
      <w:r w:rsidRPr="006D3A5A">
        <w:rPr>
          <w:lang w:eastAsia="en-AU"/>
        </w:rPr>
        <w:t>things</w:t>
      </w:r>
      <w:r>
        <w:rPr>
          <w:lang w:eastAsia="en-AU"/>
        </w:rPr>
        <w:t>'</w:t>
      </w:r>
      <w:r w:rsidRPr="006D3A5A">
        <w:rPr>
          <w:lang w:eastAsia="en-AU"/>
        </w:rPr>
        <w:t xml:space="preserve"> (e.g. hazards and obstacles), not </w:t>
      </w:r>
      <w:r>
        <w:rPr>
          <w:lang w:eastAsia="en-AU"/>
        </w:rPr>
        <w:t>'</w:t>
      </w:r>
      <w:r w:rsidRPr="006D3A5A">
        <w:rPr>
          <w:lang w:eastAsia="en-AU"/>
        </w:rPr>
        <w:t>persons</w:t>
      </w:r>
      <w:r>
        <w:rPr>
          <w:lang w:eastAsia="en-AU"/>
        </w:rPr>
        <w:t>'</w:t>
      </w:r>
      <w:r w:rsidRPr="006D3A5A">
        <w:rPr>
          <w:lang w:eastAsia="en-AU"/>
        </w:rPr>
        <w:t>.</w:t>
      </w:r>
    </w:p>
    <w:p w:rsidR="006F5996" w:rsidRPr="006D3A5A" w:rsidRDefault="006F5996" w:rsidP="006F5996">
      <w:pPr>
        <w:pStyle w:val="Quote"/>
      </w:pPr>
      <w:r w:rsidRPr="006D3A5A">
        <w:rPr>
          <w:lang w:eastAsia="en-AU"/>
        </w:rPr>
        <w:t xml:space="preserve">The nature of defence aviation and the nature of hazards to aviation are rapidly changing. It is critical that the regulation of those hazards is flexible enough to address change as it happens. The current arrangements permit a necessary degree of flexibility for Defence to determine the specific skills, training or experience required to assist Defence in dealing with </w:t>
      </w:r>
      <w:r w:rsidRPr="006D3A5A">
        <w:rPr>
          <w:lang w:eastAsia="en-AU"/>
        </w:rPr>
        <w:lastRenderedPageBreak/>
        <w:t>aviation hazards, particularly in emergency situations. Therefore, it would not be appropriate to amend the Bill to require that any person assisting an authorised person have specific skills, training or experience. This matter is best dealt with on a case by case basis, depending on the particular hazard, site or situation.</w:t>
      </w:r>
    </w:p>
    <w:p w:rsidR="006F5996" w:rsidRPr="006D3A5A" w:rsidRDefault="006F5996" w:rsidP="006F5996">
      <w:pPr>
        <w:pStyle w:val="Level13"/>
        <w:tabs>
          <w:tab w:val="clear" w:pos="850"/>
        </w:tabs>
        <w:rPr>
          <w:b/>
          <w:i/>
        </w:rPr>
      </w:pPr>
      <w:r w:rsidRPr="006D3A5A">
        <w:rPr>
          <w:b/>
          <w:i/>
        </w:rPr>
        <w:t>Committee comment</w:t>
      </w:r>
    </w:p>
    <w:p w:rsidR="006F5996" w:rsidRDefault="006F5996" w:rsidP="006F5996">
      <w:pPr>
        <w:pStyle w:val="Level13"/>
        <w:numPr>
          <w:ilvl w:val="0"/>
          <w:numId w:val="21"/>
        </w:numPr>
      </w:pPr>
      <w:r w:rsidRPr="006D3A5A">
        <w:t>The committee thanks the Minister for this response. The committee notes the Minister</w:t>
      </w:r>
      <w:r>
        <w:t>'</w:t>
      </w:r>
      <w:r w:rsidRPr="006D3A5A">
        <w:t>s advice that</w:t>
      </w:r>
      <w:r>
        <w:t xml:space="preserve"> there may be limited circumstances in which it is necessary to engage an external expert, such as a qualified surveyor, engineer or arborist, to assist Defence in assessing the situation and determining what actions are appropriate and necessary. The committee also notes the Minister's advice that the nature of defence aviation and its hazards are rapidly changing and the current arrangements permit a degree of flexibility for Defence to determine the specific skills, training or experience required to assist Defence in dealing with aviation hazards, particularly in emergency situations. The committee also notes the advice that a person assisting an authorised person is authorised only to use force against 'things' not 'persons'.</w:t>
      </w:r>
    </w:p>
    <w:p w:rsidR="006F5996" w:rsidRPr="00164389" w:rsidRDefault="006F5996" w:rsidP="006F5996">
      <w:pPr>
        <w:pStyle w:val="Level13"/>
        <w:numPr>
          <w:ilvl w:val="0"/>
          <w:numId w:val="21"/>
        </w:numPr>
        <w:rPr>
          <w:rFonts w:ascii="Calibri" w:hAnsi="Calibri"/>
          <w:szCs w:val="26"/>
        </w:rPr>
      </w:pPr>
      <w:r w:rsidRPr="00164389">
        <w:rPr>
          <w:szCs w:val="26"/>
        </w:rPr>
        <w:t>The committee</w:t>
      </w:r>
      <w:r>
        <w:rPr>
          <w:szCs w:val="26"/>
        </w:rPr>
        <w:t>'</w:t>
      </w:r>
      <w:r w:rsidRPr="00164389">
        <w:rPr>
          <w:szCs w:val="26"/>
        </w:rPr>
        <w:t xml:space="preserve">s consistent scrutiny position in relation to the exercise of coercive powers is that persons authorised to use such powers should have received appropriate training. The </w:t>
      </w:r>
      <w:r w:rsidRPr="00945331">
        <w:rPr>
          <w:szCs w:val="26"/>
        </w:rPr>
        <w:t>committee understands the need for flexibility in determining who may be appropriate 'other persons' in the particular circumstances of a</w:t>
      </w:r>
      <w:r>
        <w:rPr>
          <w:szCs w:val="26"/>
        </w:rPr>
        <w:t xml:space="preserve"> defence aviation area.</w:t>
      </w:r>
      <w:r w:rsidRPr="00945331">
        <w:rPr>
          <w:szCs w:val="26"/>
        </w:rPr>
        <w:t xml:space="preserve"> </w:t>
      </w:r>
      <w:r>
        <w:rPr>
          <w:szCs w:val="26"/>
        </w:rPr>
        <w:t>H</w:t>
      </w:r>
      <w:r w:rsidRPr="00945331">
        <w:rPr>
          <w:szCs w:val="26"/>
        </w:rPr>
        <w:t>owever</w:t>
      </w:r>
      <w:r>
        <w:rPr>
          <w:szCs w:val="26"/>
        </w:rPr>
        <w:t>,</w:t>
      </w:r>
      <w:r w:rsidRPr="00945331">
        <w:rPr>
          <w:szCs w:val="26"/>
        </w:rPr>
        <w:t xml:space="preserve"> the committee remains concerned that 'other persons' will be authorised to assist in monitoring</w:t>
      </w:r>
      <w:r>
        <w:rPr>
          <w:szCs w:val="26"/>
        </w:rPr>
        <w:t>, and in this case use force against things,</w:t>
      </w:r>
      <w:r w:rsidRPr="00945331">
        <w:rPr>
          <w:szCs w:val="26"/>
        </w:rPr>
        <w:t xml:space="preserve"> without any requirement for them to have received training in the use of the relevant monitoring powers</w:t>
      </w:r>
      <w:r w:rsidRPr="00164389">
        <w:rPr>
          <w:szCs w:val="26"/>
        </w:rPr>
        <w:t>.</w:t>
      </w:r>
    </w:p>
    <w:p w:rsidR="006F5996" w:rsidRPr="00164389" w:rsidRDefault="006F5996" w:rsidP="006F5996">
      <w:pPr>
        <w:pStyle w:val="Level13"/>
        <w:numPr>
          <w:ilvl w:val="0"/>
          <w:numId w:val="21"/>
        </w:numPr>
        <w:rPr>
          <w:rFonts w:ascii="Calibri" w:hAnsi="Calibri"/>
          <w:b/>
          <w:szCs w:val="26"/>
        </w:rPr>
      </w:pPr>
      <w:r w:rsidRPr="00164389">
        <w:rPr>
          <w:b/>
          <w:szCs w:val="26"/>
        </w:rPr>
        <w:t xml:space="preserve">The committee draws its scrutiny concerns to the attention of Senators and leaves to the Senate as a whole the appropriateness of allowing </w:t>
      </w:r>
      <w:r>
        <w:rPr>
          <w:b/>
          <w:szCs w:val="26"/>
        </w:rPr>
        <w:t>'</w:t>
      </w:r>
      <w:r w:rsidRPr="00164389">
        <w:rPr>
          <w:b/>
          <w:szCs w:val="26"/>
        </w:rPr>
        <w:t>other persons</w:t>
      </w:r>
      <w:r>
        <w:rPr>
          <w:b/>
          <w:szCs w:val="26"/>
        </w:rPr>
        <w:t>'</w:t>
      </w:r>
      <w:r w:rsidRPr="00164389">
        <w:rPr>
          <w:b/>
          <w:szCs w:val="26"/>
        </w:rPr>
        <w:t xml:space="preserve"> to assist authorised </w:t>
      </w:r>
      <w:r>
        <w:rPr>
          <w:b/>
          <w:szCs w:val="26"/>
        </w:rPr>
        <w:t>persons</w:t>
      </w:r>
      <w:r w:rsidRPr="00164389">
        <w:rPr>
          <w:b/>
          <w:szCs w:val="26"/>
        </w:rPr>
        <w:t xml:space="preserve"> in exercising potentially coercive powers</w:t>
      </w:r>
      <w:r>
        <w:rPr>
          <w:b/>
          <w:szCs w:val="26"/>
        </w:rPr>
        <w:t>,</w:t>
      </w:r>
      <w:r w:rsidRPr="00164389">
        <w:rPr>
          <w:rStyle w:val="FootnoteReference"/>
          <w:b/>
          <w:szCs w:val="26"/>
        </w:rPr>
        <w:footnoteReference w:id="168"/>
      </w:r>
      <w:r w:rsidRPr="00164389">
        <w:rPr>
          <w:b/>
          <w:szCs w:val="26"/>
        </w:rPr>
        <w:t xml:space="preserve"> </w:t>
      </w:r>
      <w:r>
        <w:rPr>
          <w:b/>
          <w:szCs w:val="26"/>
        </w:rPr>
        <w:t xml:space="preserve">including the use of force against 'things', </w:t>
      </w:r>
      <w:r w:rsidRPr="00164389">
        <w:rPr>
          <w:b/>
          <w:szCs w:val="26"/>
        </w:rPr>
        <w:t xml:space="preserve">in circumstances where there is no legislative guidance about the appropriate skills and training required of those </w:t>
      </w:r>
      <w:r>
        <w:rPr>
          <w:b/>
          <w:szCs w:val="26"/>
        </w:rPr>
        <w:t>'</w:t>
      </w:r>
      <w:r w:rsidRPr="00164389">
        <w:rPr>
          <w:b/>
          <w:szCs w:val="26"/>
        </w:rPr>
        <w:t>other persons</w:t>
      </w:r>
      <w:r>
        <w:rPr>
          <w:b/>
          <w:szCs w:val="26"/>
        </w:rPr>
        <w:t>'</w:t>
      </w:r>
      <w:r w:rsidRPr="00164389">
        <w:rPr>
          <w:b/>
          <w:szCs w:val="26"/>
        </w:rPr>
        <w:t>.</w:t>
      </w:r>
    </w:p>
    <w:p w:rsidR="006F5996" w:rsidRPr="006D3A5A" w:rsidRDefault="006F5996" w:rsidP="006F5996">
      <w:pPr>
        <w:spacing w:after="240"/>
        <w:ind w:left="2268" w:right="2223"/>
      </w:pPr>
      <w:r>
        <w:pict>
          <v:rect id="_x0000_i1031" style="width:0;height:1.5pt" o:hralign="center" o:hrstd="t" o:hr="t" fillcolor="#a0a0a0" stroked="f"/>
        </w:pict>
      </w:r>
    </w:p>
    <w:p w:rsidR="006F5996" w:rsidRPr="006D3A5A" w:rsidRDefault="006F5996" w:rsidP="006F5996">
      <w:pPr>
        <w:pStyle w:val="Heading3"/>
      </w:pPr>
      <w:r w:rsidRPr="006D3A5A">
        <w:t>Use of force</w:t>
      </w:r>
      <w:r w:rsidRPr="006D3A5A">
        <w:rPr>
          <w:rStyle w:val="FootnoteReference"/>
          <w:rFonts w:asciiTheme="minorHAnsi" w:hAnsiTheme="minorHAnsi"/>
          <w:b w:val="0"/>
        </w:rPr>
        <w:footnoteReference w:id="169"/>
      </w:r>
    </w:p>
    <w:p w:rsidR="006F5996" w:rsidRPr="006D3A5A" w:rsidRDefault="006F5996" w:rsidP="006F5996">
      <w:pPr>
        <w:rPr>
          <w:b/>
          <w:i/>
        </w:rPr>
      </w:pPr>
      <w:r w:rsidRPr="006D3A5A">
        <w:rPr>
          <w:b/>
          <w:i/>
        </w:rPr>
        <w:t>Initial scrutiny – extract</w:t>
      </w:r>
    </w:p>
    <w:p w:rsidR="006F5996" w:rsidRPr="006D3A5A" w:rsidRDefault="006F5996" w:rsidP="006F5996">
      <w:pPr>
        <w:pStyle w:val="Level131"/>
        <w:numPr>
          <w:ilvl w:val="0"/>
          <w:numId w:val="21"/>
        </w:numPr>
      </w:pPr>
      <w:r w:rsidRPr="006D3A5A">
        <w:t xml:space="preserve">Proposed subsection 117AF(3) provides that in executing a monitoring warrant for the purpose of ensuring compliance with a relevant provision of the </w:t>
      </w:r>
      <w:r w:rsidRPr="006D3A5A">
        <w:lastRenderedPageBreak/>
        <w:t xml:space="preserve">regulations, an authorised person may use such force against persons and things, and a person assisting may use such force against things, as is necessary and reasonable in the circumstances. This goes beyond the standard powers available in relation to monitoring as provided for in the </w:t>
      </w:r>
      <w:r w:rsidRPr="006D3A5A">
        <w:rPr>
          <w:i/>
        </w:rPr>
        <w:t>Regulatory Powers (Standard Provisions) Act 2014</w:t>
      </w:r>
      <w:r w:rsidRPr="006D3A5A">
        <w:t>.</w:t>
      </w:r>
    </w:p>
    <w:p w:rsidR="006F5996" w:rsidRPr="006D3A5A" w:rsidRDefault="006F5996" w:rsidP="006F5996">
      <w:pPr>
        <w:pStyle w:val="Level131"/>
        <w:numPr>
          <w:ilvl w:val="0"/>
          <w:numId w:val="21"/>
        </w:numPr>
      </w:pPr>
      <w:r w:rsidRPr="006D3A5A">
        <w:t xml:space="preserve">The explanatory memorandum explains that it is necessary to modify the relevant Part of the </w:t>
      </w:r>
      <w:r w:rsidRPr="006D3A5A">
        <w:rPr>
          <w:i/>
        </w:rPr>
        <w:t>Regulatory Powers (Standard Provisions) Act 2014</w:t>
      </w:r>
      <w:r w:rsidRPr="006D3A5A">
        <w:t xml:space="preserve"> as it is necessary to enable authorised persons to enter land and premises for a range of purposes, including removing or marking hazardous objects, such as removing destroying or modifying a building, structure or object.</w:t>
      </w:r>
      <w:r w:rsidRPr="006D3A5A">
        <w:rPr>
          <w:rStyle w:val="FootnoteReference"/>
        </w:rPr>
        <w:footnoteReference w:id="170"/>
      </w:r>
      <w:r w:rsidRPr="006D3A5A">
        <w:t xml:space="preserve"> The explanatory memorandum also states that it is important to ensure there is a mechanism to deal with hazardous objects if people are unwilling to comply with requirements. Thus, it may be inferred that a provision enabling the use of force against </w:t>
      </w:r>
      <w:r>
        <w:t>'</w:t>
      </w:r>
      <w:r w:rsidRPr="006D3A5A">
        <w:t>things</w:t>
      </w:r>
      <w:r>
        <w:t>'</w:t>
      </w:r>
      <w:r w:rsidRPr="006D3A5A">
        <w:t xml:space="preserve"> may be necessary. However, no explanation is given as to why a provision enabling the use of force against </w:t>
      </w:r>
      <w:r>
        <w:t>'</w:t>
      </w:r>
      <w:r w:rsidRPr="006D3A5A">
        <w:t>persons</w:t>
      </w:r>
      <w:r>
        <w:t>'</w:t>
      </w:r>
      <w:r w:rsidRPr="006D3A5A">
        <w:t xml:space="preserve"> is necessary. The committee notes that the </w:t>
      </w:r>
      <w:r w:rsidRPr="006D3A5A">
        <w:rPr>
          <w:i/>
        </w:rPr>
        <w:t xml:space="preserve">Guide to Framing Commonwealth Offences </w:t>
      </w:r>
      <w:r w:rsidRPr="006D3A5A">
        <w:t>states that the use of force against persons and things should be examined and justified separately, and that generally it will be easier to demonstrate a need for a provision authorising the use of force against things to execute a warrant, than it will be to demonstrate the need for a provision authorising the use of force against persons for regulatory regimes governing compliance.</w:t>
      </w:r>
      <w:r w:rsidRPr="006D3A5A">
        <w:rPr>
          <w:rStyle w:val="FootnoteReference"/>
        </w:rPr>
        <w:footnoteReference w:id="171"/>
      </w:r>
    </w:p>
    <w:p w:rsidR="006F5996" w:rsidRPr="006D3A5A" w:rsidRDefault="006F5996" w:rsidP="006F5996">
      <w:pPr>
        <w:pStyle w:val="Level131"/>
        <w:numPr>
          <w:ilvl w:val="0"/>
          <w:numId w:val="21"/>
        </w:numPr>
      </w:pPr>
      <w:r w:rsidRPr="006D3A5A">
        <w:t>The committee seeks the Minister</w:t>
      </w:r>
      <w:r>
        <w:t>'</w:t>
      </w:r>
      <w:r w:rsidRPr="006D3A5A">
        <w:t>s detailed justification as to why it is necessary and appropriate to empower an authorised person to use force against persons in executing a monitoring warrant in a defence aviation area.</w:t>
      </w:r>
    </w:p>
    <w:p w:rsidR="006F5996" w:rsidRPr="006D3A5A" w:rsidRDefault="006F5996" w:rsidP="006F5996">
      <w:pPr>
        <w:pStyle w:val="Level13"/>
        <w:tabs>
          <w:tab w:val="clear" w:pos="850"/>
        </w:tabs>
        <w:rPr>
          <w:b/>
          <w:i/>
        </w:rPr>
      </w:pPr>
      <w:r w:rsidRPr="006D3A5A">
        <w:rPr>
          <w:b/>
          <w:i/>
        </w:rPr>
        <w:t>Minister</w:t>
      </w:r>
      <w:r>
        <w:rPr>
          <w:b/>
          <w:i/>
        </w:rPr>
        <w:t>'</w:t>
      </w:r>
      <w:r w:rsidRPr="006D3A5A">
        <w:rPr>
          <w:b/>
          <w:i/>
        </w:rPr>
        <w:t>s response</w:t>
      </w:r>
    </w:p>
    <w:p w:rsidR="006F5996" w:rsidRPr="006D3A5A" w:rsidRDefault="006F5996" w:rsidP="006F5996">
      <w:pPr>
        <w:pStyle w:val="Level13"/>
        <w:numPr>
          <w:ilvl w:val="0"/>
          <w:numId w:val="21"/>
        </w:numPr>
      </w:pPr>
      <w:r w:rsidRPr="006D3A5A">
        <w:t>The Minister advised:</w:t>
      </w:r>
    </w:p>
    <w:p w:rsidR="006F5996" w:rsidRPr="006D3A5A" w:rsidRDefault="006F5996" w:rsidP="006F5996">
      <w:pPr>
        <w:pStyle w:val="Quote"/>
      </w:pPr>
      <w:r w:rsidRPr="006D3A5A">
        <w:rPr>
          <w:lang w:eastAsia="en-AU"/>
        </w:rPr>
        <w:t>I understand the Committee is also seeking detailed justification as to why it is necessary and appropriate to empower an authorised person to use force against persons in executing a monitoring warrant in a defence aviation area.</w:t>
      </w:r>
    </w:p>
    <w:p w:rsidR="006F5996" w:rsidRPr="006D3A5A" w:rsidRDefault="006F5996" w:rsidP="006F5996">
      <w:pPr>
        <w:pStyle w:val="Quote"/>
      </w:pPr>
      <w:r w:rsidRPr="006D3A5A">
        <w:rPr>
          <w:lang w:eastAsia="en-AU"/>
        </w:rPr>
        <w:t>The proposed measures provide for authorised persons to enter land and premises for a range of purposes, including removing or marking hazardous objects. These powers are important aspects of the scheme ensuring that there is a mechanism to deal with hazardous objects if people are unwilling to comply with requirements.</w:t>
      </w:r>
    </w:p>
    <w:p w:rsidR="006F5996" w:rsidRPr="006D3A5A" w:rsidRDefault="006F5996" w:rsidP="006F5996">
      <w:pPr>
        <w:pStyle w:val="Quote"/>
      </w:pPr>
      <w:r w:rsidRPr="006D3A5A">
        <w:rPr>
          <w:lang w:eastAsia="en-AU"/>
        </w:rPr>
        <w:t xml:space="preserve">In the vast majority of cases, Defence is able to reach agreement with landowners in relation to aviation hazards. However, there may be </w:t>
      </w:r>
      <w:r w:rsidRPr="006D3A5A">
        <w:rPr>
          <w:lang w:eastAsia="en-AU"/>
        </w:rPr>
        <w:lastRenderedPageBreak/>
        <w:t>situations where an authorised person may be required to enter land to inspect or remove a hazard against the wishes of a landowner. For example:</w:t>
      </w:r>
    </w:p>
    <w:p w:rsidR="006F5996" w:rsidRPr="006D3A5A" w:rsidRDefault="006F5996" w:rsidP="006F5996">
      <w:pPr>
        <w:pStyle w:val="Bullet22"/>
        <w:numPr>
          <w:ilvl w:val="0"/>
          <w:numId w:val="4"/>
        </w:numPr>
        <w:tabs>
          <w:tab w:val="clear" w:pos="1134"/>
        </w:tabs>
        <w:ind w:left="1418" w:right="804"/>
        <w:rPr>
          <w:sz w:val="24"/>
          <w:szCs w:val="24"/>
          <w:lang w:eastAsia="en-AU"/>
        </w:rPr>
      </w:pPr>
      <w:r w:rsidRPr="006D3A5A">
        <w:rPr>
          <w:sz w:val="24"/>
          <w:szCs w:val="24"/>
          <w:lang w:eastAsia="en-AU"/>
        </w:rPr>
        <w:t>a crane operator under pressure from a client may not wish to have their crane lowered to a safe level;</w:t>
      </w:r>
    </w:p>
    <w:p w:rsidR="006F5996" w:rsidRPr="006D3A5A" w:rsidRDefault="006F5996" w:rsidP="006F5996">
      <w:pPr>
        <w:pStyle w:val="Bullet22"/>
        <w:numPr>
          <w:ilvl w:val="0"/>
          <w:numId w:val="4"/>
        </w:numPr>
        <w:tabs>
          <w:tab w:val="clear" w:pos="1134"/>
        </w:tabs>
        <w:ind w:left="1418" w:right="804"/>
        <w:rPr>
          <w:sz w:val="24"/>
          <w:szCs w:val="24"/>
          <w:lang w:eastAsia="en-AU"/>
        </w:rPr>
      </w:pPr>
      <w:r w:rsidRPr="006D3A5A">
        <w:rPr>
          <w:sz w:val="24"/>
          <w:szCs w:val="24"/>
          <w:lang w:eastAsia="en-AU"/>
        </w:rPr>
        <w:t>a landowner may refuse to move obstacles that have been erected without approval; and/or</w:t>
      </w:r>
    </w:p>
    <w:p w:rsidR="006F5996" w:rsidRPr="006D3A5A" w:rsidRDefault="006F5996" w:rsidP="006F5996">
      <w:pPr>
        <w:pStyle w:val="Bullet22"/>
        <w:numPr>
          <w:ilvl w:val="0"/>
          <w:numId w:val="4"/>
        </w:numPr>
        <w:tabs>
          <w:tab w:val="clear" w:pos="1134"/>
        </w:tabs>
        <w:ind w:left="1418" w:right="804"/>
        <w:rPr>
          <w:sz w:val="24"/>
          <w:szCs w:val="24"/>
        </w:rPr>
      </w:pPr>
      <w:r w:rsidRPr="006D3A5A">
        <w:rPr>
          <w:sz w:val="24"/>
          <w:szCs w:val="24"/>
          <w:lang w:eastAsia="en-AU"/>
        </w:rPr>
        <w:t>a landowner may try to stop an authorised officer investigating or dismantling an obstacle or lopping a hazardous tree.</w:t>
      </w:r>
    </w:p>
    <w:p w:rsidR="006F5996" w:rsidRPr="006D3A5A" w:rsidRDefault="006F5996" w:rsidP="006F5996">
      <w:pPr>
        <w:pStyle w:val="Quote"/>
        <w:rPr>
          <w:szCs w:val="24"/>
          <w:lang w:eastAsia="en-AU"/>
        </w:rPr>
      </w:pPr>
      <w:r w:rsidRPr="006D3A5A">
        <w:rPr>
          <w:szCs w:val="24"/>
          <w:lang w:eastAsia="en-AU"/>
        </w:rPr>
        <w:t>It is critical that authorised persons are able to use necessary and reasonable force against persons or things, given the potential significant impact on aviation safety and Defence operation capability.</w:t>
      </w:r>
    </w:p>
    <w:p w:rsidR="006F5996" w:rsidRPr="006D3A5A" w:rsidRDefault="006F5996" w:rsidP="006F5996">
      <w:pPr>
        <w:pStyle w:val="Quote"/>
        <w:rPr>
          <w:szCs w:val="24"/>
        </w:rPr>
      </w:pPr>
      <w:r w:rsidRPr="006D3A5A">
        <w:rPr>
          <w:szCs w:val="24"/>
          <w:lang w:eastAsia="en-AU"/>
        </w:rPr>
        <w:t xml:space="preserve">I have been advised that civilian authorities currently have similar powers in the </w:t>
      </w:r>
      <w:r>
        <w:rPr>
          <w:i/>
          <w:iCs/>
          <w:szCs w:val="24"/>
          <w:lang w:eastAsia="en-AU"/>
        </w:rPr>
        <w:t>Civil Aviation (</w:t>
      </w:r>
      <w:r w:rsidRPr="006D3A5A">
        <w:rPr>
          <w:i/>
          <w:iCs/>
          <w:szCs w:val="24"/>
          <w:lang w:eastAsia="en-AU"/>
        </w:rPr>
        <w:t xml:space="preserve">Buildings Control) Regulations 1988 </w:t>
      </w:r>
      <w:r w:rsidRPr="006D3A5A">
        <w:rPr>
          <w:szCs w:val="24"/>
          <w:lang w:eastAsia="en-AU"/>
        </w:rPr>
        <w:t xml:space="preserve">which provides that </w:t>
      </w:r>
      <w:r>
        <w:rPr>
          <w:i/>
          <w:iCs/>
          <w:szCs w:val="24"/>
          <w:lang w:eastAsia="en-AU"/>
        </w:rPr>
        <w:t>'</w:t>
      </w:r>
      <w:r w:rsidRPr="006D3A5A">
        <w:rPr>
          <w:i/>
          <w:iCs/>
          <w:szCs w:val="24"/>
          <w:lang w:eastAsia="en-AU"/>
        </w:rPr>
        <w:t>the Authority may authorise any necessary action and the use of any reasonable force for the purpose of preventing a contravention of, or securing compliance with, these Regulations</w:t>
      </w:r>
      <w:r>
        <w:rPr>
          <w:i/>
          <w:iCs/>
          <w:szCs w:val="24"/>
          <w:lang w:eastAsia="en-AU"/>
        </w:rPr>
        <w:t>'</w:t>
      </w:r>
      <w:r w:rsidRPr="006D3A5A">
        <w:rPr>
          <w:i/>
          <w:iCs/>
          <w:szCs w:val="24"/>
          <w:lang w:eastAsia="en-AU"/>
        </w:rPr>
        <w:t xml:space="preserve"> </w:t>
      </w:r>
      <w:r w:rsidRPr="006D3A5A">
        <w:rPr>
          <w:szCs w:val="24"/>
          <w:lang w:eastAsia="en-AU"/>
        </w:rPr>
        <w:t>(see subsection 15(2)).</w:t>
      </w:r>
    </w:p>
    <w:p w:rsidR="006F5996" w:rsidRPr="006D3A5A" w:rsidRDefault="006F5996" w:rsidP="006F5996">
      <w:pPr>
        <w:pStyle w:val="Level13"/>
        <w:tabs>
          <w:tab w:val="clear" w:pos="850"/>
        </w:tabs>
        <w:rPr>
          <w:b/>
          <w:i/>
        </w:rPr>
      </w:pPr>
      <w:r w:rsidRPr="006D3A5A">
        <w:rPr>
          <w:b/>
          <w:i/>
        </w:rPr>
        <w:t>Committee comment</w:t>
      </w:r>
    </w:p>
    <w:p w:rsidR="006F5996" w:rsidRDefault="006F5996" w:rsidP="006F5996">
      <w:pPr>
        <w:pStyle w:val="Level13"/>
        <w:numPr>
          <w:ilvl w:val="0"/>
          <w:numId w:val="21"/>
        </w:numPr>
      </w:pPr>
      <w:r w:rsidRPr="006D3A5A">
        <w:t>The committee thanks the Minister for this response. The committee notes the Minister</w:t>
      </w:r>
      <w:r>
        <w:t>'</w:t>
      </w:r>
      <w:r w:rsidRPr="006D3A5A">
        <w:t>s advice that</w:t>
      </w:r>
      <w:r>
        <w:t xml:space="preserve"> the proposed measures provide for authorised persons to enter land and premises for a range of purposes, including removing or marking hazardous objects and there may be situations where authorised persons may be required to enter property against the wishes of a landowner. The committee notes the examples given by the Minister as to when an authorised person may need to enter without the landowners consent and the Minister's view that it is 'critical that </w:t>
      </w:r>
      <w:r w:rsidRPr="00A30558">
        <w:t>authorised persons are able to use necessary and reasonable force against persons or things, given the potential significant impact on aviation safety and Defence operation capability</w:t>
      </w:r>
      <w:r>
        <w:t>'.</w:t>
      </w:r>
    </w:p>
    <w:p w:rsidR="006F5996" w:rsidRDefault="006F5996" w:rsidP="006F5996">
      <w:pPr>
        <w:pStyle w:val="Level13"/>
        <w:numPr>
          <w:ilvl w:val="0"/>
          <w:numId w:val="21"/>
        </w:numPr>
      </w:pPr>
      <w:r>
        <w:t>The committee notes that the examples provided by the committee appear to demonstrate the need for an authorised person to be able to use force against 'things' but does not necessarily provide a justification for empowering an authorised person to use force against 'persons'. The Minister's response does not specifically explain what use of force against persons could be required in the examples provided. It is unclear to the committee from the Minister's response whether, if persons are refusing to allow authorised persons to move equipment or obstacles or lop hazardous trees, it is intended that the authorised person could, using force, physically restrain or detain the landowner.</w:t>
      </w:r>
    </w:p>
    <w:p w:rsidR="006F5996" w:rsidRDefault="006F5996" w:rsidP="006F5996">
      <w:r>
        <w:br w:type="page"/>
      </w:r>
    </w:p>
    <w:p w:rsidR="006F5996" w:rsidRPr="00A34A2C" w:rsidRDefault="006F5996" w:rsidP="006F5996">
      <w:pPr>
        <w:pStyle w:val="Level13"/>
        <w:numPr>
          <w:ilvl w:val="0"/>
          <w:numId w:val="21"/>
        </w:numPr>
        <w:rPr>
          <w:b/>
        </w:rPr>
      </w:pPr>
      <w:r w:rsidRPr="00A34A2C">
        <w:rPr>
          <w:b/>
        </w:rPr>
        <w:lastRenderedPageBreak/>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A34A2C">
        <w:rPr>
          <w:b/>
          <w:i/>
        </w:rPr>
        <w:t>Acts Interpretation Act 1901</w:t>
      </w:r>
      <w:r w:rsidRPr="00A34A2C">
        <w:rPr>
          <w:b/>
        </w:rPr>
        <w:t>).</w:t>
      </w:r>
    </w:p>
    <w:p w:rsidR="006F5996" w:rsidRPr="00A34A2C" w:rsidRDefault="006F5996" w:rsidP="006F5996">
      <w:pPr>
        <w:pStyle w:val="Level13"/>
        <w:numPr>
          <w:ilvl w:val="0"/>
          <w:numId w:val="21"/>
        </w:numPr>
        <w:rPr>
          <w:b/>
        </w:rPr>
      </w:pPr>
      <w:r w:rsidRPr="00A34A2C">
        <w:rPr>
          <w:b/>
        </w:rPr>
        <w:t xml:space="preserve">The committee draws its scrutiny concerns to the attention of Senators and leaves to the Senate as a whole the appropriateness of </w:t>
      </w:r>
      <w:r>
        <w:rPr>
          <w:b/>
        </w:rPr>
        <w:t>empowering authorised persons to use force against persons when executing a monitoring warrant in a defence aviation area.</w:t>
      </w:r>
      <w:r w:rsidRPr="00A34A2C">
        <w:rPr>
          <w:b/>
        </w:rPr>
        <w:t xml:space="preserve"> </w:t>
      </w:r>
    </w:p>
    <w:p w:rsidR="006F5996" w:rsidRPr="006D3A5A" w:rsidRDefault="006F5996" w:rsidP="006F5996">
      <w:pPr>
        <w:pStyle w:val="Level13"/>
        <w:tabs>
          <w:tab w:val="clear" w:pos="850"/>
        </w:tabs>
      </w:pPr>
    </w:p>
    <w:p w:rsidR="006F5996" w:rsidRPr="006D3A5A" w:rsidRDefault="006F5996" w:rsidP="006F5996">
      <w:pPr>
        <w:pStyle w:val="Level13"/>
        <w:tabs>
          <w:tab w:val="clear" w:pos="850"/>
        </w:tabs>
      </w:pPr>
    </w:p>
    <w:p w:rsidR="006F5996" w:rsidRDefault="006F5996" w:rsidP="006F5996">
      <w:pPr>
        <w:pStyle w:val="Level131"/>
        <w:tabs>
          <w:tab w:val="clear" w:pos="850"/>
        </w:tabs>
        <w:sectPr w:rsidR="006F5996" w:rsidSect="00194588">
          <w:headerReference w:type="even" r:id="rId159"/>
          <w:headerReference w:type="default" r:id="rId160"/>
          <w:footerReference w:type="even" r:id="rId161"/>
          <w:footerReference w:type="default" r:id="rId162"/>
          <w:headerReference w:type="first" r:id="rId163"/>
          <w:footerReference w:type="first" r:id="rId164"/>
          <w:pgSz w:w="11906" w:h="16838" w:code="9"/>
          <w:pgMar w:top="1440" w:right="1440" w:bottom="1202" w:left="1440" w:header="1134" w:footer="720" w:gutter="0"/>
          <w:cols w:space="720"/>
          <w:titlePg/>
        </w:sectPr>
      </w:pPr>
    </w:p>
    <w:p w:rsidR="006F5996" w:rsidRDefault="006F5996" w:rsidP="006F5996">
      <w:pPr>
        <w:sectPr w:rsidR="006F5996" w:rsidSect="006F5996">
          <w:type w:val="continuous"/>
          <w:pgSz w:w="11906" w:h="16838" w:code="9"/>
          <w:pgMar w:top="1440" w:right="1440" w:bottom="1202" w:left="1440" w:header="1134" w:footer="720" w:gutter="0"/>
          <w:cols w:space="720"/>
          <w:titlePg/>
        </w:sectPr>
      </w:pPr>
    </w:p>
    <w:p w:rsidR="006F5996" w:rsidRPr="005C050F" w:rsidRDefault="006F5996" w:rsidP="006F5996">
      <w:pPr>
        <w:pStyle w:val="Heading1"/>
        <w:spacing w:after="240"/>
        <w:jc w:val="both"/>
        <w:rPr>
          <w:rFonts w:asciiTheme="minorHAnsi" w:hAnsiTheme="minorHAnsi"/>
          <w:szCs w:val="40"/>
        </w:rPr>
      </w:pPr>
      <w:r w:rsidRPr="005C050F">
        <w:rPr>
          <w:rFonts w:asciiTheme="minorHAnsi" w:hAnsiTheme="minorHAnsi" w:cs="Arial"/>
          <w:szCs w:val="40"/>
        </w:rPr>
        <w:lastRenderedPageBreak/>
        <w:t>Family Ass</w:t>
      </w:r>
      <w:r w:rsidRPr="005C050F">
        <w:rPr>
          <w:rFonts w:asciiTheme="minorHAnsi" w:hAnsiTheme="minorHAnsi"/>
          <w:szCs w:val="40"/>
        </w:rPr>
        <w:t>i</w:t>
      </w:r>
      <w:r w:rsidRPr="005C050F">
        <w:rPr>
          <w:rFonts w:asciiTheme="minorHAnsi" w:hAnsiTheme="minorHAnsi" w:cs="Arial"/>
          <w:szCs w:val="40"/>
        </w:rPr>
        <w:t>stance and Child Support Legislation Amendment (Protecting Children)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5996" w:rsidRPr="005C050F" w:rsidTr="006F5996">
        <w:tc>
          <w:tcPr>
            <w:tcW w:w="2660" w:type="dxa"/>
            <w:tcBorders>
              <w:top w:val="single" w:sz="12" w:space="0" w:color="auto"/>
              <w:right w:val="single" w:sz="12" w:space="0" w:color="auto"/>
            </w:tcBorders>
          </w:tcPr>
          <w:p w:rsidR="006F5996" w:rsidRPr="005C050F" w:rsidRDefault="006F5996" w:rsidP="006F5996">
            <w:pPr>
              <w:rPr>
                <w:b/>
                <w:sz w:val="24"/>
                <w:szCs w:val="24"/>
              </w:rPr>
            </w:pPr>
            <w:r w:rsidRPr="005C050F">
              <w:rPr>
                <w:b/>
                <w:sz w:val="24"/>
                <w:szCs w:val="24"/>
              </w:rPr>
              <w:t>Purpose</w:t>
            </w:r>
          </w:p>
        </w:tc>
        <w:tc>
          <w:tcPr>
            <w:tcW w:w="6582" w:type="dxa"/>
            <w:tcBorders>
              <w:top w:val="single" w:sz="12" w:space="0" w:color="auto"/>
              <w:left w:val="single" w:sz="12" w:space="0" w:color="auto"/>
            </w:tcBorders>
          </w:tcPr>
          <w:p w:rsidR="006F5996" w:rsidRPr="005C050F" w:rsidRDefault="006F5996" w:rsidP="006F5996">
            <w:pPr>
              <w:spacing w:after="60"/>
              <w:rPr>
                <w:sz w:val="24"/>
                <w:szCs w:val="24"/>
              </w:rPr>
            </w:pPr>
            <w:r w:rsidRPr="005C050F">
              <w:rPr>
                <w:sz w:val="24"/>
                <w:szCs w:val="24"/>
              </w:rPr>
              <w:t>This bill seeks to amend various Acts relating to family assistance and child support</w:t>
            </w:r>
          </w:p>
          <w:p w:rsidR="006F5996" w:rsidRPr="005C050F" w:rsidRDefault="006F5996" w:rsidP="006F5996">
            <w:pPr>
              <w:spacing w:before="0" w:after="60"/>
              <w:rPr>
                <w:sz w:val="24"/>
                <w:szCs w:val="24"/>
              </w:rPr>
            </w:pPr>
            <w:r w:rsidRPr="005C050F">
              <w:rPr>
                <w:sz w:val="24"/>
                <w:szCs w:val="24"/>
              </w:rPr>
              <w:t>Schedule 1 amends the child support scheme to:</w:t>
            </w:r>
          </w:p>
          <w:p w:rsidR="006F5996" w:rsidRPr="005C050F" w:rsidRDefault="006F5996" w:rsidP="006F5996">
            <w:pPr>
              <w:pStyle w:val="Bullet1"/>
              <w:tabs>
                <w:tab w:val="clear" w:pos="851"/>
                <w:tab w:val="left" w:pos="459"/>
              </w:tabs>
              <w:spacing w:after="60"/>
              <w:ind w:left="459" w:hanging="425"/>
              <w:rPr>
                <w:sz w:val="24"/>
                <w:szCs w:val="24"/>
              </w:rPr>
            </w:pPr>
            <w:r w:rsidRPr="005C050F">
              <w:rPr>
                <w:sz w:val="24"/>
                <w:szCs w:val="24"/>
              </w:rPr>
              <w:t>extend the interim period that applies for recently-established court-ordered care arrangements and provide incentives for the person with increased care to take reasonable action to participate in family dispute resolution;</w:t>
            </w:r>
          </w:p>
          <w:p w:rsidR="006F5996" w:rsidRPr="005C050F" w:rsidRDefault="006F5996" w:rsidP="006F5996">
            <w:pPr>
              <w:pStyle w:val="Bullet1"/>
              <w:tabs>
                <w:tab w:val="clear" w:pos="851"/>
                <w:tab w:val="left" w:pos="459"/>
              </w:tabs>
              <w:ind w:left="459" w:hanging="425"/>
              <w:rPr>
                <w:sz w:val="24"/>
                <w:szCs w:val="24"/>
              </w:rPr>
            </w:pPr>
            <w:r w:rsidRPr="005C050F">
              <w:rPr>
                <w:sz w:val="24"/>
                <w:szCs w:val="24"/>
              </w:rPr>
              <w:t>allow tax assessment to be taken into account for child support purposes in a broader range of circumstances;</w:t>
            </w:r>
          </w:p>
          <w:p w:rsidR="006F5996" w:rsidRPr="005C050F" w:rsidRDefault="006F5996" w:rsidP="006F5996">
            <w:pPr>
              <w:pStyle w:val="Bullet1"/>
              <w:tabs>
                <w:tab w:val="clear" w:pos="851"/>
                <w:tab w:val="left" w:pos="459"/>
              </w:tabs>
              <w:ind w:left="459" w:hanging="425"/>
              <w:rPr>
                <w:sz w:val="24"/>
                <w:szCs w:val="24"/>
              </w:rPr>
            </w:pPr>
            <w:r w:rsidRPr="005C050F">
              <w:rPr>
                <w:sz w:val="24"/>
                <w:szCs w:val="24"/>
              </w:rPr>
              <w:t>allow for courts to set aside child support agreements made before 1 July 2008, as well as allowing all child support agreements to be set aside without having to go to court if certain circumstances change; and</w:t>
            </w:r>
          </w:p>
          <w:p w:rsidR="006F5996" w:rsidRPr="005C050F" w:rsidRDefault="006F5996" w:rsidP="006F5996">
            <w:pPr>
              <w:pStyle w:val="Bullet1"/>
              <w:tabs>
                <w:tab w:val="clear" w:pos="851"/>
                <w:tab w:val="left" w:pos="459"/>
              </w:tabs>
              <w:ind w:left="459" w:hanging="425"/>
              <w:rPr>
                <w:sz w:val="24"/>
                <w:szCs w:val="24"/>
              </w:rPr>
            </w:pPr>
            <w:r w:rsidRPr="005C050F">
              <w:rPr>
                <w:sz w:val="24"/>
                <w:szCs w:val="24"/>
              </w:rPr>
              <w:t>amend methods in relation to recovering child support debts and make consequential amendments</w:t>
            </w:r>
          </w:p>
          <w:p w:rsidR="006F5996" w:rsidRPr="005C050F" w:rsidRDefault="006F5996" w:rsidP="006F5996">
            <w:pPr>
              <w:pStyle w:val="Bullet1"/>
              <w:numPr>
                <w:ilvl w:val="0"/>
                <w:numId w:val="0"/>
              </w:numPr>
              <w:tabs>
                <w:tab w:val="clear" w:pos="851"/>
                <w:tab w:val="left" w:pos="459"/>
              </w:tabs>
              <w:ind w:left="34"/>
              <w:rPr>
                <w:sz w:val="24"/>
                <w:szCs w:val="24"/>
              </w:rPr>
            </w:pPr>
            <w:r w:rsidRPr="005C050F">
              <w:rPr>
                <w:sz w:val="24"/>
                <w:szCs w:val="24"/>
              </w:rPr>
              <w:t>Schedule 2 replaces the current FTB Part A immunisation requirement arrangements with new compliance arrangements</w:t>
            </w:r>
          </w:p>
        </w:tc>
      </w:tr>
      <w:tr w:rsidR="006F5996" w:rsidRPr="005C050F" w:rsidTr="006F5996">
        <w:tc>
          <w:tcPr>
            <w:tcW w:w="2660" w:type="dxa"/>
            <w:tcBorders>
              <w:right w:val="single" w:sz="12" w:space="0" w:color="auto"/>
            </w:tcBorders>
          </w:tcPr>
          <w:p w:rsidR="006F5996" w:rsidRPr="005C050F" w:rsidRDefault="006F5996" w:rsidP="006F5996">
            <w:pPr>
              <w:rPr>
                <w:b/>
                <w:sz w:val="24"/>
                <w:szCs w:val="24"/>
              </w:rPr>
            </w:pPr>
            <w:r w:rsidRPr="005C050F">
              <w:rPr>
                <w:b/>
                <w:sz w:val="24"/>
                <w:szCs w:val="24"/>
              </w:rPr>
              <w:t>Portfolio</w:t>
            </w:r>
          </w:p>
        </w:tc>
        <w:tc>
          <w:tcPr>
            <w:tcW w:w="6582" w:type="dxa"/>
            <w:tcBorders>
              <w:left w:val="single" w:sz="12" w:space="0" w:color="auto"/>
            </w:tcBorders>
          </w:tcPr>
          <w:p w:rsidR="006F5996" w:rsidRPr="005C050F" w:rsidRDefault="006F5996" w:rsidP="006F5996">
            <w:pPr>
              <w:rPr>
                <w:sz w:val="24"/>
                <w:szCs w:val="24"/>
              </w:rPr>
            </w:pPr>
            <w:r w:rsidRPr="005C050F">
              <w:rPr>
                <w:sz w:val="24"/>
                <w:szCs w:val="24"/>
              </w:rPr>
              <w:t>Social Services</w:t>
            </w:r>
          </w:p>
        </w:tc>
      </w:tr>
      <w:tr w:rsidR="006F5996" w:rsidRPr="005C050F" w:rsidTr="006F5996">
        <w:tc>
          <w:tcPr>
            <w:tcW w:w="2660" w:type="dxa"/>
            <w:tcBorders>
              <w:right w:val="single" w:sz="12" w:space="0" w:color="auto"/>
            </w:tcBorders>
          </w:tcPr>
          <w:p w:rsidR="006F5996" w:rsidRPr="005C050F" w:rsidRDefault="006F5996" w:rsidP="006F5996">
            <w:pPr>
              <w:rPr>
                <w:b/>
                <w:sz w:val="24"/>
                <w:szCs w:val="24"/>
              </w:rPr>
            </w:pPr>
            <w:r w:rsidRPr="005C050F">
              <w:rPr>
                <w:b/>
                <w:sz w:val="24"/>
                <w:szCs w:val="24"/>
              </w:rPr>
              <w:t>Introduced</w:t>
            </w:r>
          </w:p>
        </w:tc>
        <w:tc>
          <w:tcPr>
            <w:tcW w:w="6582" w:type="dxa"/>
            <w:tcBorders>
              <w:left w:val="single" w:sz="12" w:space="0" w:color="auto"/>
            </w:tcBorders>
          </w:tcPr>
          <w:p w:rsidR="006F5996" w:rsidRPr="005C050F" w:rsidRDefault="006F5996" w:rsidP="006F5996">
            <w:pPr>
              <w:rPr>
                <w:sz w:val="24"/>
                <w:szCs w:val="24"/>
              </w:rPr>
            </w:pPr>
            <w:r w:rsidRPr="005C050F">
              <w:rPr>
                <w:sz w:val="24"/>
                <w:szCs w:val="24"/>
              </w:rPr>
              <w:t>House of Representatives on 14 September 2017</w:t>
            </w:r>
          </w:p>
        </w:tc>
      </w:tr>
      <w:tr w:rsidR="006F5996" w:rsidRPr="005C050F" w:rsidTr="006F5996">
        <w:tc>
          <w:tcPr>
            <w:tcW w:w="2660" w:type="dxa"/>
            <w:tcBorders>
              <w:right w:val="single" w:sz="12" w:space="0" w:color="auto"/>
            </w:tcBorders>
          </w:tcPr>
          <w:p w:rsidR="006F5996" w:rsidRPr="005C050F" w:rsidRDefault="006F5996" w:rsidP="006F5996">
            <w:pPr>
              <w:rPr>
                <w:b/>
                <w:sz w:val="24"/>
                <w:szCs w:val="24"/>
              </w:rPr>
            </w:pPr>
            <w:r>
              <w:rPr>
                <w:b/>
                <w:sz w:val="24"/>
                <w:szCs w:val="24"/>
              </w:rPr>
              <w:t>Bill status</w:t>
            </w:r>
          </w:p>
        </w:tc>
        <w:tc>
          <w:tcPr>
            <w:tcW w:w="6582" w:type="dxa"/>
            <w:tcBorders>
              <w:left w:val="single" w:sz="12" w:space="0" w:color="auto"/>
            </w:tcBorders>
          </w:tcPr>
          <w:p w:rsidR="006F5996" w:rsidRPr="005C050F" w:rsidRDefault="006F5996" w:rsidP="006F5996">
            <w:pPr>
              <w:rPr>
                <w:sz w:val="24"/>
                <w:szCs w:val="24"/>
              </w:rPr>
            </w:pPr>
            <w:r>
              <w:rPr>
                <w:sz w:val="24"/>
                <w:szCs w:val="24"/>
              </w:rPr>
              <w:t>Before the House of Representatives</w:t>
            </w:r>
          </w:p>
        </w:tc>
      </w:tr>
      <w:tr w:rsidR="006F5996" w:rsidRPr="005C050F" w:rsidTr="006F5996">
        <w:tc>
          <w:tcPr>
            <w:tcW w:w="2660" w:type="dxa"/>
            <w:tcBorders>
              <w:bottom w:val="single" w:sz="12" w:space="0" w:color="auto"/>
              <w:right w:val="single" w:sz="12" w:space="0" w:color="auto"/>
            </w:tcBorders>
          </w:tcPr>
          <w:p w:rsidR="006F5996" w:rsidRPr="005C050F" w:rsidRDefault="006F5996" w:rsidP="006F5996">
            <w:pPr>
              <w:rPr>
                <w:b/>
                <w:sz w:val="24"/>
                <w:szCs w:val="24"/>
              </w:rPr>
            </w:pPr>
            <w:r w:rsidRPr="005C050F">
              <w:rPr>
                <w:b/>
                <w:sz w:val="24"/>
                <w:szCs w:val="24"/>
              </w:rPr>
              <w:t>Scrutiny principles</w:t>
            </w:r>
          </w:p>
        </w:tc>
        <w:tc>
          <w:tcPr>
            <w:tcW w:w="6582" w:type="dxa"/>
            <w:tcBorders>
              <w:left w:val="single" w:sz="12" w:space="0" w:color="auto"/>
              <w:bottom w:val="single" w:sz="12" w:space="0" w:color="auto"/>
            </w:tcBorders>
          </w:tcPr>
          <w:p w:rsidR="006F5996" w:rsidRPr="005C050F" w:rsidRDefault="006F5996" w:rsidP="006F5996">
            <w:pPr>
              <w:rPr>
                <w:sz w:val="24"/>
                <w:szCs w:val="24"/>
              </w:rPr>
            </w:pPr>
            <w:r w:rsidRPr="005C050F">
              <w:rPr>
                <w:sz w:val="24"/>
                <w:szCs w:val="24"/>
              </w:rPr>
              <w:t>Standing Order 24(1)(a)(i) and (iii)</w:t>
            </w:r>
          </w:p>
        </w:tc>
      </w:tr>
    </w:tbl>
    <w:p w:rsidR="006F5996" w:rsidRPr="005C050F" w:rsidRDefault="006F5996" w:rsidP="006F5996">
      <w:pPr>
        <w:pStyle w:val="Level14"/>
        <w:numPr>
          <w:ilvl w:val="0"/>
          <w:numId w:val="21"/>
        </w:numPr>
        <w:spacing w:before="240"/>
      </w:pPr>
      <w:r w:rsidRPr="005C050F">
        <w:t xml:space="preserve">The committee dealt with this bill in </w:t>
      </w:r>
      <w:r w:rsidRPr="005C050F">
        <w:rPr>
          <w:i/>
        </w:rPr>
        <w:t>Scrutiny Digest No. 12 of 2017</w:t>
      </w:r>
      <w:r w:rsidRPr="005C050F">
        <w:t>. The Minister responded to the committee's comments in a letter dated 7 November 2017. Set out below are extracts from the committee's initial scrutiny of the bill and the Minister's response followed by the committee's comments on the response. A copy of the letter is available on the committee's website.</w:t>
      </w:r>
      <w:r w:rsidRPr="005C050F">
        <w:rPr>
          <w:rStyle w:val="FootnoteReference"/>
        </w:rPr>
        <w:footnoteReference w:id="172"/>
      </w:r>
    </w:p>
    <w:p w:rsidR="006F5996" w:rsidRDefault="006F5996" w:rsidP="006F5996">
      <w:pPr>
        <w:spacing w:before="0" w:after="0"/>
        <w:jc w:val="left"/>
      </w:pPr>
      <w:r>
        <w:br w:type="page"/>
      </w:r>
    </w:p>
    <w:p w:rsidR="006F5996" w:rsidRPr="005C050F" w:rsidRDefault="006F5996" w:rsidP="006F5996">
      <w:pPr>
        <w:pStyle w:val="Heading3"/>
      </w:pPr>
      <w:r w:rsidRPr="005C050F">
        <w:lastRenderedPageBreak/>
        <w:t>Retrospective effect</w:t>
      </w:r>
      <w:r w:rsidRPr="005C050F">
        <w:rPr>
          <w:rStyle w:val="FootnoteReference"/>
          <w:b w:val="0"/>
        </w:rPr>
        <w:footnoteReference w:id="173"/>
      </w:r>
    </w:p>
    <w:p w:rsidR="006F5996" w:rsidRPr="005C050F" w:rsidRDefault="006F5996" w:rsidP="006F5996">
      <w:pPr>
        <w:rPr>
          <w:b/>
          <w:i/>
        </w:rPr>
      </w:pPr>
      <w:r w:rsidRPr="005C050F">
        <w:rPr>
          <w:b/>
          <w:i/>
        </w:rPr>
        <w:t>Initial scrutiny – extract</w:t>
      </w:r>
    </w:p>
    <w:p w:rsidR="006F5996" w:rsidRPr="005C050F" w:rsidRDefault="006F5996" w:rsidP="006F5996">
      <w:pPr>
        <w:pStyle w:val="Level15"/>
        <w:numPr>
          <w:ilvl w:val="0"/>
          <w:numId w:val="21"/>
        </w:numPr>
      </w:pPr>
      <w:r w:rsidRPr="005C050F">
        <w:t>A number of provisions</w:t>
      </w:r>
      <w:r w:rsidRPr="005C050F">
        <w:rPr>
          <w:rStyle w:val="FootnoteReference"/>
        </w:rPr>
        <w:footnoteReference w:id="174"/>
      </w:r>
      <w:r w:rsidRPr="005C050F">
        <w:t xml:space="preserve"> in the bill appear to operate on past events, for example, agreements which exist, or assessments which were made, prior to commencement. In addition, item 174 refers to matters for ascertaining or determining components of certain income for periods before 1 July 2008. The explanatory memorandum provides no explanation as to whether any of these provisions, which operate on past events, would have a retrospective effect on any individual. </w:t>
      </w:r>
      <w:bookmarkStart w:id="16" w:name="OLE_LINK10"/>
      <w:r w:rsidRPr="005C050F">
        <w:t>The committee has a long-standing scrutiny concern about provisions that have the effect of applying retrospectively, as it challenges a basic value of the rule of law that, in general, laws should only operate prospectively (not retrospectively). The committee has a particular concern if the legislation will, or might, have a detrimental effect on individuals.</w:t>
      </w:r>
    </w:p>
    <w:p w:rsidR="006F5996" w:rsidRPr="005C050F" w:rsidRDefault="006F5996" w:rsidP="006F5996">
      <w:pPr>
        <w:pStyle w:val="Level15"/>
        <w:numPr>
          <w:ilvl w:val="0"/>
          <w:numId w:val="21"/>
        </w:numPr>
      </w:pPr>
      <w:r w:rsidRPr="005C050F">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bookmarkEnd w:id="16"/>
    <w:p w:rsidR="006F5996" w:rsidRPr="005C050F" w:rsidRDefault="006F5996" w:rsidP="006F5996">
      <w:pPr>
        <w:pStyle w:val="Level15"/>
        <w:numPr>
          <w:ilvl w:val="0"/>
          <w:numId w:val="21"/>
        </w:numPr>
      </w:pPr>
      <w:r w:rsidRPr="005C050F">
        <w:t>It is unclear from the bill or the explanatory materials as to whether these provisions would have a retrospective effect, and if so, if any individual would suffer any detriment as a result.</w:t>
      </w:r>
    </w:p>
    <w:p w:rsidR="006F5996" w:rsidRPr="005C050F" w:rsidRDefault="006F5996" w:rsidP="006F5996">
      <w:pPr>
        <w:pStyle w:val="Level15"/>
        <w:numPr>
          <w:ilvl w:val="0"/>
          <w:numId w:val="21"/>
        </w:numPr>
      </w:pPr>
      <w:r w:rsidRPr="005C050F">
        <w:t>The committee therefore requests the Minister's advice as to whether any of the provisions listed above would have a retrospective effect, and if so, whether any person would suffer any detriment as a result.</w:t>
      </w:r>
    </w:p>
    <w:p w:rsidR="006F5996" w:rsidRPr="005C050F" w:rsidRDefault="006F5996" w:rsidP="006F5996">
      <w:pPr>
        <w:pStyle w:val="Level14"/>
        <w:tabs>
          <w:tab w:val="clear" w:pos="850"/>
        </w:tabs>
        <w:rPr>
          <w:b/>
          <w:i/>
        </w:rPr>
      </w:pPr>
      <w:r w:rsidRPr="005C050F">
        <w:rPr>
          <w:b/>
          <w:i/>
        </w:rPr>
        <w:t>Minister's response</w:t>
      </w:r>
    </w:p>
    <w:p w:rsidR="006F5996" w:rsidRPr="005C050F" w:rsidRDefault="006F5996" w:rsidP="006F5996">
      <w:pPr>
        <w:pStyle w:val="Level14"/>
        <w:numPr>
          <w:ilvl w:val="0"/>
          <w:numId w:val="21"/>
        </w:numPr>
      </w:pPr>
      <w:r w:rsidRPr="005C050F">
        <w:t>The Minister advised:</w:t>
      </w:r>
    </w:p>
    <w:p w:rsidR="006F5996" w:rsidRPr="005C050F" w:rsidRDefault="006F5996" w:rsidP="006F5996">
      <w:pPr>
        <w:pStyle w:val="Quote"/>
        <w:rPr>
          <w:b/>
          <w:szCs w:val="24"/>
          <w:lang w:eastAsia="en-AU"/>
        </w:rPr>
      </w:pPr>
      <w:r w:rsidRPr="005C050F">
        <w:rPr>
          <w:b/>
          <w:szCs w:val="24"/>
          <w:lang w:eastAsia="en-AU"/>
        </w:rPr>
        <w:t>Amended tax assessments: Part 2, Schedule 1 of the Bill</w:t>
      </w:r>
    </w:p>
    <w:p w:rsidR="006F5996" w:rsidRPr="005C050F" w:rsidRDefault="006F5996" w:rsidP="006F5996">
      <w:pPr>
        <w:pStyle w:val="Quote"/>
        <w:rPr>
          <w:szCs w:val="24"/>
        </w:rPr>
      </w:pPr>
      <w:r w:rsidRPr="005C050F">
        <w:rPr>
          <w:szCs w:val="24"/>
          <w:lang w:eastAsia="en-AU"/>
        </w:rPr>
        <w:t xml:space="preserve">Items 40 and 43 make amendments to sections 56 and 58A of the </w:t>
      </w:r>
      <w:r w:rsidRPr="005C050F">
        <w:rPr>
          <w:i/>
          <w:iCs/>
          <w:szCs w:val="24"/>
          <w:lang w:eastAsia="en-AU"/>
        </w:rPr>
        <w:t xml:space="preserve">Child Support (Assessment) Act 1989 </w:t>
      </w:r>
      <w:r w:rsidRPr="005C050F">
        <w:rPr>
          <w:szCs w:val="24"/>
          <w:lang w:eastAsia="en-AU"/>
        </w:rPr>
        <w:t>(CSA Act), by providing for an amended tax assessment that is issued on or after 1 January 2018 to apply to a child support assessment retrospectively in certain circumstances.</w:t>
      </w:r>
    </w:p>
    <w:p w:rsidR="006F5996" w:rsidRPr="005C050F" w:rsidRDefault="006F5996" w:rsidP="006F5996">
      <w:pPr>
        <w:pStyle w:val="Quote"/>
        <w:rPr>
          <w:szCs w:val="24"/>
        </w:rPr>
      </w:pPr>
      <w:r w:rsidRPr="005C050F">
        <w:rPr>
          <w:szCs w:val="24"/>
          <w:lang w:eastAsia="en-AU"/>
        </w:rPr>
        <w:t xml:space="preserve">Where the Australian Taxation Office (ATO) issues an amended tax assessment that is higher than the previous tax assessment (for the same financial year) on or after </w:t>
      </w:r>
      <w:r w:rsidRPr="005C050F">
        <w:rPr>
          <w:rFonts w:cs="Arial"/>
          <w:bCs/>
          <w:szCs w:val="24"/>
          <w:lang w:eastAsia="en-AU"/>
        </w:rPr>
        <w:t xml:space="preserve">1 </w:t>
      </w:r>
      <w:r w:rsidRPr="005C050F">
        <w:rPr>
          <w:szCs w:val="24"/>
          <w:lang w:eastAsia="en-AU"/>
        </w:rPr>
        <w:t xml:space="preserve">January 2018, it will always be applied retrospectively to the relevant child support period, regardless of the </w:t>
      </w:r>
      <w:r w:rsidRPr="005C050F">
        <w:rPr>
          <w:szCs w:val="24"/>
          <w:lang w:eastAsia="en-AU"/>
        </w:rPr>
        <w:lastRenderedPageBreak/>
        <w:t>financial year for which the amendment is made. This may result in a child support overpayment or underpayment debt being raised against the person with the higher amended tax assessment. This outcome supports the principle that parents take financial responsibility for the costs of raising their children in line with their financial capacity to do so, and aligns with existing rules governing the retrospective application of taxable income (see subsections 58A(2) and 58A(3) of the CSA Act, which are being retained).</w:t>
      </w:r>
    </w:p>
    <w:p w:rsidR="006F5996" w:rsidRPr="005C050F" w:rsidRDefault="006F5996" w:rsidP="006F5996">
      <w:pPr>
        <w:pStyle w:val="Quote"/>
        <w:rPr>
          <w:szCs w:val="24"/>
        </w:rPr>
      </w:pPr>
      <w:r w:rsidRPr="005C050F">
        <w:rPr>
          <w:szCs w:val="24"/>
          <w:lang w:eastAsia="en-AU"/>
        </w:rPr>
        <w:t xml:space="preserve">Where the ATO issues a lower amended tax assessment on or after </w:t>
      </w:r>
      <w:r>
        <w:rPr>
          <w:szCs w:val="24"/>
          <w:lang w:eastAsia="en-AU"/>
        </w:rPr>
        <w:t>1 </w:t>
      </w:r>
      <w:r w:rsidRPr="005C050F">
        <w:rPr>
          <w:szCs w:val="24"/>
          <w:lang w:eastAsia="en-AU"/>
        </w:rPr>
        <w:t>January 2018, the lower income will only be applied retrospectively to a child support assessment if the person took action to amend the assessment:</w:t>
      </w:r>
    </w:p>
    <w:p w:rsidR="006F5996" w:rsidRPr="005C050F" w:rsidRDefault="006F5996" w:rsidP="006F5996">
      <w:pPr>
        <w:pStyle w:val="Bullet23"/>
        <w:numPr>
          <w:ilvl w:val="0"/>
          <w:numId w:val="4"/>
        </w:numPr>
        <w:tabs>
          <w:tab w:val="clear" w:pos="1134"/>
        </w:tabs>
        <w:ind w:left="1418" w:right="804"/>
        <w:rPr>
          <w:sz w:val="24"/>
          <w:szCs w:val="24"/>
          <w:lang w:eastAsia="en-AU"/>
        </w:rPr>
      </w:pPr>
      <w:r w:rsidRPr="005C050F">
        <w:rPr>
          <w:sz w:val="24"/>
          <w:szCs w:val="24"/>
          <w:lang w:eastAsia="en-AU"/>
        </w:rPr>
        <w:t>within the lodgement timeframe for the original assessment; or</w:t>
      </w:r>
    </w:p>
    <w:p w:rsidR="006F5996" w:rsidRPr="005C050F" w:rsidRDefault="006F5996" w:rsidP="006F5996">
      <w:pPr>
        <w:pStyle w:val="Bullet23"/>
        <w:numPr>
          <w:ilvl w:val="0"/>
          <w:numId w:val="4"/>
        </w:numPr>
        <w:tabs>
          <w:tab w:val="clear" w:pos="1134"/>
        </w:tabs>
        <w:ind w:left="1418" w:right="804"/>
        <w:rPr>
          <w:sz w:val="24"/>
          <w:szCs w:val="24"/>
          <w:lang w:eastAsia="en-AU"/>
        </w:rPr>
      </w:pPr>
      <w:r w:rsidRPr="005C050F">
        <w:rPr>
          <w:sz w:val="24"/>
          <w:szCs w:val="24"/>
          <w:lang w:eastAsia="en-AU"/>
        </w:rPr>
        <w:t>within 28 days of being notified of the original assessment; or</w:t>
      </w:r>
    </w:p>
    <w:p w:rsidR="006F5996" w:rsidRPr="005C050F" w:rsidRDefault="006F5996" w:rsidP="006F5996">
      <w:pPr>
        <w:pStyle w:val="Bullet23"/>
        <w:numPr>
          <w:ilvl w:val="0"/>
          <w:numId w:val="4"/>
        </w:numPr>
        <w:tabs>
          <w:tab w:val="clear" w:pos="1134"/>
        </w:tabs>
        <w:ind w:left="1418" w:right="804"/>
        <w:rPr>
          <w:sz w:val="24"/>
          <w:szCs w:val="24"/>
        </w:rPr>
      </w:pPr>
      <w:r w:rsidRPr="005C050F">
        <w:rPr>
          <w:sz w:val="24"/>
          <w:szCs w:val="24"/>
          <w:lang w:eastAsia="en-AU"/>
        </w:rPr>
        <w:t>within 28 days of becoming aware of the error in the previous assessment (if the reason for not applying for an amendment earlier was due to reasons beyond the person's knowledge or control), or where special circumstances apply.</w:t>
      </w:r>
    </w:p>
    <w:p w:rsidR="006F5996" w:rsidRPr="009F7227" w:rsidRDefault="006F5996" w:rsidP="006F5996">
      <w:pPr>
        <w:pStyle w:val="Quote"/>
      </w:pPr>
      <w:r w:rsidRPr="009F7227">
        <w:rPr>
          <w:lang w:eastAsia="en-AU"/>
        </w:rPr>
        <w:t>This will result in a retrospective adjustment to the child support assessment, and may create an overpayment or underpayment debt being raised against the other pa</w:t>
      </w:r>
      <w:r>
        <w:rPr>
          <w:lang w:eastAsia="en-AU"/>
        </w:rPr>
        <w:t>r</w:t>
      </w:r>
      <w:r w:rsidRPr="009F7227">
        <w:rPr>
          <w:lang w:eastAsia="en-AU"/>
        </w:rPr>
        <w:t>ty in the child support case. Where the parent with the lower amended taxable income has taken timely action to amend their tax assessment, any debt raised against the other parent will be minimal. This outcome supports the fairer treatment of child support parents who take timely action to correct any errors made in their tax assessment, particularly where the error was made by another party, such as a tax agent or the ATO. These provisions also provide fairer outcomes for parents who, due to circumstances beyond their knowledge or control, or special circumstances such as serious ill health or natural disaster, are unable to amend their tax assessment earlier.</w:t>
      </w:r>
    </w:p>
    <w:p w:rsidR="006F5996" w:rsidRPr="005C050F" w:rsidRDefault="006F5996" w:rsidP="006F5996">
      <w:pPr>
        <w:pStyle w:val="Quote"/>
        <w:rPr>
          <w:lang w:eastAsia="en-AU"/>
        </w:rPr>
      </w:pPr>
      <w:r w:rsidRPr="005C050F">
        <w:rPr>
          <w:lang w:eastAsia="en-AU"/>
        </w:rPr>
        <w:t xml:space="preserve">Backdating of a lower amended taxable income is also limited by the timeliness of the lodgement of the person's original tax assessment. Under current provisions, where a parent has not lodged their tax return when a new child support period starts, a provisional income is used. </w:t>
      </w:r>
      <w:r w:rsidRPr="005C050F">
        <w:rPr>
          <w:rFonts w:cs="Arial"/>
          <w:lang w:eastAsia="en-AU"/>
        </w:rPr>
        <w:t xml:space="preserve">If </w:t>
      </w:r>
      <w:r w:rsidRPr="005C050F">
        <w:rPr>
          <w:lang w:eastAsia="en-AU"/>
        </w:rPr>
        <w:t xml:space="preserve">the parent's original tax assessment is lodged late and is lower than the provisional income, the taxable income will only apply prospectively. </w:t>
      </w:r>
      <w:r w:rsidRPr="005C050F">
        <w:rPr>
          <w:rFonts w:cs="Arial"/>
          <w:lang w:eastAsia="en-AU"/>
        </w:rPr>
        <w:t xml:space="preserve">If </w:t>
      </w:r>
      <w:r w:rsidRPr="005C050F">
        <w:rPr>
          <w:lang w:eastAsia="en-AU"/>
        </w:rPr>
        <w:t>the parent then meets the relevant criteria under Item 43 (proposed new subsections 58A(3C) or 58A(3D) of the CSA Act) for retrospectively applying a lower amended tax assessment, the lower amended tax assessment would only retrospectively replace the original tax assessment, and would not replace the higher provisional income.</w:t>
      </w:r>
    </w:p>
    <w:p w:rsidR="006F5996" w:rsidRPr="005C050F" w:rsidRDefault="006F5996" w:rsidP="006F5996">
      <w:pPr>
        <w:spacing w:before="0" w:after="0"/>
        <w:jc w:val="left"/>
        <w:rPr>
          <w:b/>
          <w:sz w:val="24"/>
          <w:lang w:eastAsia="en-AU"/>
        </w:rPr>
      </w:pPr>
      <w:r w:rsidRPr="005C050F">
        <w:rPr>
          <w:b/>
          <w:lang w:eastAsia="en-AU"/>
        </w:rPr>
        <w:br w:type="page"/>
      </w:r>
    </w:p>
    <w:p w:rsidR="006F5996" w:rsidRPr="005C050F" w:rsidRDefault="006F5996" w:rsidP="006F5996">
      <w:pPr>
        <w:pStyle w:val="Quote"/>
        <w:rPr>
          <w:b/>
          <w:lang w:eastAsia="en-AU"/>
        </w:rPr>
      </w:pPr>
      <w:r w:rsidRPr="005C050F">
        <w:rPr>
          <w:b/>
          <w:lang w:eastAsia="en-AU"/>
        </w:rPr>
        <w:lastRenderedPageBreak/>
        <w:t>Child support agreements: Part 3, Schedule 1 of the Bill</w:t>
      </w:r>
    </w:p>
    <w:p w:rsidR="006F5996" w:rsidRPr="005C050F" w:rsidRDefault="006F5996" w:rsidP="006F5996">
      <w:pPr>
        <w:pStyle w:val="Quote"/>
        <w:rPr>
          <w:u w:val="single"/>
          <w:lang w:eastAsia="en-AU"/>
        </w:rPr>
      </w:pPr>
      <w:r w:rsidRPr="005C050F">
        <w:rPr>
          <w:u w:val="single"/>
          <w:lang w:eastAsia="en-AU"/>
        </w:rPr>
        <w:t>Item 51</w:t>
      </w:r>
    </w:p>
    <w:p w:rsidR="006F5996" w:rsidRPr="005C050F" w:rsidRDefault="006F5996" w:rsidP="006F5996">
      <w:pPr>
        <w:pStyle w:val="Quote"/>
        <w:rPr>
          <w:lang w:eastAsia="en-AU"/>
        </w:rPr>
      </w:pPr>
      <w:r w:rsidRPr="005C050F">
        <w:rPr>
          <w:lang w:eastAsia="en-AU"/>
        </w:rPr>
        <w:t xml:space="preserve">Items 46 and 47 make amendments to sections 35C and 95 of the </w:t>
      </w:r>
      <w:r w:rsidRPr="005C050F">
        <w:rPr>
          <w:i/>
          <w:iCs/>
          <w:lang w:eastAsia="en-AU"/>
        </w:rPr>
        <w:t xml:space="preserve">Child Support (Assessment) Act 1989 </w:t>
      </w:r>
      <w:r w:rsidRPr="005C050F">
        <w:rPr>
          <w:lang w:eastAsia="en-AU"/>
        </w:rPr>
        <w:t>(the CSA Act) to ensure that where a child support agreement contains provisions that are taken to be an order made by consent by a court under Division 4 of Part 7 of the CSA Act, section 142 of the CSA Act (which provides for when such an order would cease to be in force) would also have effect.</w:t>
      </w:r>
    </w:p>
    <w:p w:rsidR="006F5996" w:rsidRPr="005C050F" w:rsidRDefault="006F5996" w:rsidP="006F5996">
      <w:pPr>
        <w:pStyle w:val="Quote"/>
        <w:rPr>
          <w:lang w:eastAsia="en-AU"/>
        </w:rPr>
      </w:pPr>
      <w:r w:rsidRPr="005C050F">
        <w:rPr>
          <w:lang w:eastAsia="en-AU"/>
        </w:rPr>
        <w:t>These amendments are consistent with current policy that certain provisions in child support agreements would cease to have effect when a child support terminating event occurs due to section 142, for example where a child leaves their parents' care to live independently or becomes a member of a couple. However, the Government has put forward amendments to place the current policy beyond doubt given differing judicial opinions in a recent case.</w:t>
      </w:r>
      <w:r w:rsidRPr="005C050F">
        <w:rPr>
          <w:rStyle w:val="FootnoteReference"/>
          <w:lang w:eastAsia="en-AU"/>
        </w:rPr>
        <w:footnoteReference w:id="175"/>
      </w:r>
    </w:p>
    <w:p w:rsidR="006F5996" w:rsidRPr="005C050F" w:rsidRDefault="006F5996" w:rsidP="006F5996">
      <w:pPr>
        <w:pStyle w:val="Quote"/>
        <w:rPr>
          <w:lang w:eastAsia="en-AU"/>
        </w:rPr>
      </w:pPr>
      <w:r w:rsidRPr="005C050F">
        <w:rPr>
          <w:lang w:eastAsia="en-AU"/>
        </w:rPr>
        <w:t>The application provision for these amendments at item 51 provides that items 46 and 47 would apply to days in a child support period that occurs on or after commencement of item 51, but would apply regardless of whether the child support agreement was made before or after commencement of item 51. This is because the amendments affirm how the current policy has always been intended to operate and would therefore not result in detriment to any person.</w:t>
      </w:r>
    </w:p>
    <w:p w:rsidR="006F5996" w:rsidRPr="005C050F" w:rsidRDefault="006F5996" w:rsidP="006F5996">
      <w:pPr>
        <w:pStyle w:val="Quote"/>
        <w:rPr>
          <w:u w:val="single"/>
          <w:lang w:eastAsia="en-AU"/>
        </w:rPr>
      </w:pPr>
      <w:r w:rsidRPr="005C050F">
        <w:rPr>
          <w:u w:val="single"/>
          <w:lang w:eastAsia="en-AU"/>
        </w:rPr>
        <w:t>Subitems 74(3) and (6)</w:t>
      </w:r>
    </w:p>
    <w:p w:rsidR="006F5996" w:rsidRPr="005C050F" w:rsidRDefault="006F5996" w:rsidP="006F5996">
      <w:pPr>
        <w:pStyle w:val="Quote"/>
        <w:rPr>
          <w:lang w:eastAsia="en-AU"/>
        </w:rPr>
      </w:pPr>
      <w:r w:rsidRPr="005C050F">
        <w:rPr>
          <w:lang w:eastAsia="en-AU"/>
        </w:rPr>
        <w:t>Division 2 of Part 3, Schedule 1 of the Bill inse</w:t>
      </w:r>
      <w:r>
        <w:rPr>
          <w:lang w:eastAsia="en-AU"/>
        </w:rPr>
        <w:t>rt</w:t>
      </w:r>
      <w:r w:rsidRPr="005C050F">
        <w:rPr>
          <w:lang w:eastAsia="en-AU"/>
        </w:rPr>
        <w:t>s new provisions which enable the te</w:t>
      </w:r>
      <w:r>
        <w:rPr>
          <w:lang w:eastAsia="en-AU"/>
        </w:rPr>
        <w:t>r</w:t>
      </w:r>
      <w:r w:rsidRPr="005C050F">
        <w:rPr>
          <w:lang w:eastAsia="en-AU"/>
        </w:rPr>
        <w:t>mination or suspension of a child support agreement for a child where the payee under the agreement ceases to be an eligible carer for the child. It is contrary to the objectives of the CSA Act for a person who does not have care of a child to be receiving child support payments.</w:t>
      </w:r>
    </w:p>
    <w:p w:rsidR="006F5996" w:rsidRPr="005C050F" w:rsidRDefault="006F5996" w:rsidP="006F5996">
      <w:pPr>
        <w:pStyle w:val="Quote"/>
        <w:rPr>
          <w:lang w:eastAsia="en-AU"/>
        </w:rPr>
      </w:pPr>
      <w:r w:rsidRPr="005C050F">
        <w:rPr>
          <w:lang w:eastAsia="en-AU"/>
        </w:rPr>
        <w:t>Subitem 74(3) provides that where a payee under the agreement ceased to be an eligible carer of a child before commencement of item 74, continues not to be an eligible carer immediately before commencement of item 74 and the agreement would have otherwise been terminated under the new provisions, the chil</w:t>
      </w:r>
      <w:r>
        <w:rPr>
          <w:lang w:eastAsia="en-AU"/>
        </w:rPr>
        <w:t>d support agreement would be ter</w:t>
      </w:r>
      <w:r w:rsidRPr="005C050F">
        <w:rPr>
          <w:lang w:eastAsia="en-AU"/>
        </w:rPr>
        <w:t xml:space="preserve">minated from commencement of item 74. This provision ensures the preservation of entitlements before commencement, while </w:t>
      </w:r>
      <w:r w:rsidRPr="005C050F">
        <w:rPr>
          <w:szCs w:val="24"/>
          <w:lang w:eastAsia="en-AU"/>
        </w:rPr>
        <w:t xml:space="preserve">all </w:t>
      </w:r>
      <w:r w:rsidRPr="005C050F">
        <w:rPr>
          <w:lang w:eastAsia="en-AU"/>
        </w:rPr>
        <w:t xml:space="preserve">child support assessment from commencement would reflect the new policy, regardless of when the child support agreement was entered into. This is important as it would remove the unfair outcome under the current policy where a parent may be required to continue paying child support to a </w:t>
      </w:r>
      <w:r w:rsidRPr="005C050F">
        <w:rPr>
          <w:lang w:eastAsia="en-AU"/>
        </w:rPr>
        <w:lastRenderedPageBreak/>
        <w:t>parent who has ceased to be an eligible carer for a child. Subitem 74(4) provides that item 74 does not affect the operation of a child support agreement for any other purpose and therefore, for example, a parent who has ceased to be an eligible carer for a child may still have the option to privately enforce contractual obligations.</w:t>
      </w:r>
    </w:p>
    <w:p w:rsidR="006F5996" w:rsidRDefault="006F5996" w:rsidP="006F5996">
      <w:pPr>
        <w:pStyle w:val="Quote"/>
        <w:rPr>
          <w:lang w:eastAsia="en-AU"/>
        </w:rPr>
      </w:pPr>
      <w:r w:rsidRPr="005C050F">
        <w:rPr>
          <w:lang w:eastAsia="en-AU"/>
        </w:rPr>
        <w:t>Subitem 74(6) ensures an outcome similar to subitem 74(3) for the suspension of child support agreements in cases of temporary care changes.</w:t>
      </w:r>
    </w:p>
    <w:p w:rsidR="006F5996" w:rsidRPr="005C050F" w:rsidRDefault="006F5996" w:rsidP="006F5996">
      <w:pPr>
        <w:pStyle w:val="Quote"/>
        <w:rPr>
          <w:b/>
          <w:lang w:eastAsia="en-AU"/>
        </w:rPr>
      </w:pPr>
      <w:r w:rsidRPr="005C050F">
        <w:rPr>
          <w:b/>
          <w:lang w:eastAsia="en-AU"/>
        </w:rPr>
        <w:t>Overpayments: Part 4, Schedule 1 of the Bill</w:t>
      </w:r>
    </w:p>
    <w:p w:rsidR="006F5996" w:rsidRPr="005C050F" w:rsidRDefault="006F5996" w:rsidP="006F5996">
      <w:pPr>
        <w:pStyle w:val="Quote"/>
        <w:rPr>
          <w:u w:val="single"/>
          <w:lang w:eastAsia="en-AU"/>
        </w:rPr>
      </w:pPr>
      <w:r w:rsidRPr="005C050F">
        <w:rPr>
          <w:u w:val="single"/>
          <w:lang w:eastAsia="en-AU"/>
        </w:rPr>
        <w:t>Subitems 172(2) and (4)</w:t>
      </w:r>
    </w:p>
    <w:p w:rsidR="006F5996" w:rsidRPr="005C050F" w:rsidRDefault="006F5996" w:rsidP="006F5996">
      <w:pPr>
        <w:pStyle w:val="Quote"/>
      </w:pPr>
      <w:r w:rsidRPr="005C050F">
        <w:rPr>
          <w:lang w:eastAsia="en-AU"/>
        </w:rPr>
        <w:t xml:space="preserve">Division </w:t>
      </w:r>
      <w:r w:rsidRPr="005C050F">
        <w:rPr>
          <w:szCs w:val="24"/>
          <w:lang w:eastAsia="en-AU"/>
        </w:rPr>
        <w:t xml:space="preserve">1 </w:t>
      </w:r>
      <w:r w:rsidRPr="005C050F">
        <w:rPr>
          <w:lang w:eastAsia="en-AU"/>
        </w:rPr>
        <w:t xml:space="preserve">of Part </w:t>
      </w:r>
      <w:r w:rsidRPr="005C050F">
        <w:rPr>
          <w:szCs w:val="24"/>
          <w:lang w:eastAsia="en-AU"/>
        </w:rPr>
        <w:t xml:space="preserve">4, </w:t>
      </w:r>
      <w:r w:rsidRPr="005C050F">
        <w:rPr>
          <w:lang w:eastAsia="en-AU"/>
        </w:rPr>
        <w:t xml:space="preserve">Schedule 1 of the </w:t>
      </w:r>
      <w:r w:rsidRPr="005C050F">
        <w:rPr>
          <w:szCs w:val="24"/>
          <w:lang w:eastAsia="en-AU"/>
        </w:rPr>
        <w:t xml:space="preserve">Bill </w:t>
      </w:r>
      <w:r w:rsidRPr="005C050F">
        <w:rPr>
          <w:lang w:eastAsia="en-AU"/>
        </w:rPr>
        <w:t>inse</w:t>
      </w:r>
      <w:r>
        <w:rPr>
          <w:lang w:eastAsia="en-AU"/>
        </w:rPr>
        <w:t>r</w:t>
      </w:r>
      <w:r w:rsidRPr="005C050F">
        <w:rPr>
          <w:lang w:eastAsia="en-AU"/>
        </w:rPr>
        <w:t>ts new provisions which extend existing administrative and court recovery mechanisms for child support debts to carer liabilities, which occur where a parent has been overpaid child supp</w:t>
      </w:r>
      <w:r>
        <w:rPr>
          <w:lang w:eastAsia="en-AU"/>
        </w:rPr>
        <w:t>or</w:t>
      </w:r>
      <w:r w:rsidRPr="005C050F">
        <w:rPr>
          <w:lang w:eastAsia="en-AU"/>
        </w:rPr>
        <w:t>t. This is to ensure equitable and consistent treatment in the .collection of payer and payee debts.</w:t>
      </w:r>
    </w:p>
    <w:p w:rsidR="006F5996" w:rsidRPr="005C050F" w:rsidRDefault="006F5996" w:rsidP="006F5996">
      <w:pPr>
        <w:pStyle w:val="Quote"/>
      </w:pPr>
      <w:r w:rsidRPr="005C050F">
        <w:rPr>
          <w:lang w:eastAsia="en-AU"/>
        </w:rPr>
        <w:t>Subitem 172(2) allows the expanded recovery mechanisms to be used where a payee was overpaid an amount before commencement of item 17</w:t>
      </w:r>
      <w:r>
        <w:rPr>
          <w:lang w:eastAsia="en-AU"/>
        </w:rPr>
        <w:t>2. To enable this, subitem 172(</w:t>
      </w:r>
      <w:r w:rsidRPr="005C050F">
        <w:rPr>
          <w:lang w:eastAsia="en-AU"/>
        </w:rPr>
        <w:t xml:space="preserve">4) provides that a debt raised under section 79 of the </w:t>
      </w:r>
      <w:r w:rsidRPr="005C050F">
        <w:rPr>
          <w:i/>
          <w:iCs/>
          <w:lang w:eastAsia="en-AU"/>
        </w:rPr>
        <w:t xml:space="preserve">Child Support (Registration and Collection) Act 1988 </w:t>
      </w:r>
      <w:r w:rsidRPr="005C050F">
        <w:rPr>
          <w:lang w:eastAsia="en-AU"/>
        </w:rPr>
        <w:t>before commencement is taken to be a carer debt for the purpose of the expanded recovery mechanism provisions under Part 4. In these cases, the Department of Human Services would first consider whether recovery of the overpayment could occur through a reduction in future child support entitlements or through cash repayment arrangements (that is, through mechanisms currently available to them). The expanded recovery mechanisms would only be used where recovery from future child support entitlements is not possible or where negotiation with the payee on cash repayment arrangements has not been successful. Currently, the only alternative for the payer is to pursue recovery through the courts, in contrast with the range of options available for the recovery of payer debts.</w:t>
      </w:r>
    </w:p>
    <w:p w:rsidR="006F5996" w:rsidRPr="005C050F" w:rsidRDefault="006F5996" w:rsidP="006F5996">
      <w:pPr>
        <w:pStyle w:val="Quote"/>
        <w:rPr>
          <w:u w:val="single"/>
          <w:lang w:eastAsia="en-AU"/>
        </w:rPr>
      </w:pPr>
      <w:r w:rsidRPr="005C050F">
        <w:rPr>
          <w:u w:val="single"/>
          <w:lang w:eastAsia="en-AU"/>
        </w:rPr>
        <w:t>Item 174</w:t>
      </w:r>
    </w:p>
    <w:p w:rsidR="006F5996" w:rsidRPr="005C050F" w:rsidRDefault="006F5996" w:rsidP="006F5996">
      <w:pPr>
        <w:pStyle w:val="Quote"/>
      </w:pPr>
      <w:r w:rsidRPr="005C050F">
        <w:rPr>
          <w:lang w:eastAsia="en-AU"/>
        </w:rPr>
        <w:t>This amendment aligns the tax return rules for pre-1 July 2008 periods with those that apply for post-1 July 2008 periods where a tax return was lodged outside the Australian Tax Office lodgement timeframe and a provisional income had been applied in the child support assessment. These amendments are necessary to ensure that child support arrears or overpayments are not raised against parents, where it is through no fault of their own and is due to the other parent not complying with their legal obligations.</w:t>
      </w:r>
    </w:p>
    <w:p w:rsidR="006F5996" w:rsidRPr="005C050F" w:rsidRDefault="006F5996" w:rsidP="006F5996">
      <w:pPr>
        <w:pStyle w:val="Quote"/>
      </w:pPr>
      <w:r w:rsidRPr="005C050F">
        <w:rPr>
          <w:lang w:eastAsia="en-AU"/>
        </w:rPr>
        <w:t xml:space="preserve">Currently, where a parent lodges a tax return for a period before 1 July 2008, there is no limitation to retrospectively applying a taxable income to a child support assessment. For tax returns lodged in respect of periods from 1 July 2008, a lower taxable income would not be applied where that </w:t>
      </w:r>
      <w:r w:rsidRPr="005C050F">
        <w:rPr>
          <w:lang w:eastAsia="en-AU"/>
        </w:rPr>
        <w:lastRenderedPageBreak/>
        <w:t>tax return was lodged outside the Australian Tax Office lodgement timeframe. This change was enacted so that a parent could not be disadvantaged in their child support assessment by the other parent not lodging a tax return in line with legal requirements.</w:t>
      </w:r>
    </w:p>
    <w:p w:rsidR="006F5996" w:rsidRPr="009F7227" w:rsidRDefault="006F5996" w:rsidP="006F5996">
      <w:pPr>
        <w:pStyle w:val="Quote"/>
      </w:pPr>
      <w:r w:rsidRPr="009F7227">
        <w:rPr>
          <w:lang w:eastAsia="en-AU"/>
        </w:rPr>
        <w:t>The continuation of the pre-1 July 2008 rules has been raised by the Commonwealth Ombudsman as they have resulted in large overpayments being raised against payees who had received and spent the child support received in good faith (based on a provisional income).</w:t>
      </w:r>
      <w:r w:rsidRPr="009F7227">
        <w:rPr>
          <w:rStyle w:val="FootnoteReference"/>
          <w:lang w:eastAsia="en-AU"/>
        </w:rPr>
        <w:footnoteReference w:id="176"/>
      </w:r>
      <w:r w:rsidRPr="009F7227">
        <w:rPr>
          <w:rFonts w:ascii="Arial" w:hAnsi="Arial" w:cs="Arial"/>
          <w:sz w:val="27"/>
          <w:szCs w:val="27"/>
          <w:lang w:eastAsia="en-AU"/>
        </w:rPr>
        <w:t xml:space="preserve"> </w:t>
      </w:r>
      <w:r w:rsidRPr="009F7227">
        <w:rPr>
          <w:lang w:eastAsia="en-AU"/>
        </w:rPr>
        <w:t>Generally where a taxable income has been applied retrospectively and was not reflective of the other parent's earning capacity, a parent could seek a review under departure provisions. However parents can no longer access the departure provisions in these cases given the time elapsed and the seven year limitation on backdating departure orders.</w:t>
      </w:r>
    </w:p>
    <w:p w:rsidR="006F5996" w:rsidRPr="009F7227" w:rsidRDefault="006F5996" w:rsidP="006F5996">
      <w:pPr>
        <w:pStyle w:val="Quote"/>
        <w:rPr>
          <w:u w:val="single"/>
          <w:lang w:eastAsia="en-AU"/>
        </w:rPr>
      </w:pPr>
      <w:r w:rsidRPr="009F7227">
        <w:rPr>
          <w:u w:val="single"/>
          <w:lang w:eastAsia="en-AU"/>
        </w:rPr>
        <w:t>Items 176 and 183</w:t>
      </w:r>
    </w:p>
    <w:p w:rsidR="006F5996" w:rsidRPr="009F7227" w:rsidRDefault="006F5996" w:rsidP="006F5996">
      <w:pPr>
        <w:pStyle w:val="Quote"/>
      </w:pPr>
      <w:r w:rsidRPr="009F7227">
        <w:rPr>
          <w:lang w:eastAsia="en-AU"/>
        </w:rPr>
        <w:t>At present, a new care percentage would only have effect from the date of notification where notification of the care change is delayed (more than 28 days after the care change). Item 176 amends the current rules so that a decreased care percentage would be reflected in the child support assessment from the date of event (an increased care percentage would continue to be reflected from the date of notification).</w:t>
      </w:r>
    </w:p>
    <w:p w:rsidR="006F5996" w:rsidRPr="009F7227" w:rsidRDefault="006F5996" w:rsidP="006F5996">
      <w:pPr>
        <w:pStyle w:val="Quote"/>
        <w:rPr>
          <w:lang w:eastAsia="en-AU"/>
        </w:rPr>
      </w:pPr>
      <w:r w:rsidRPr="009F7227">
        <w:rPr>
          <w:lang w:eastAsia="en-AU"/>
        </w:rPr>
        <w:t>Item 183 provides that these new rules would apply in general for care changes that occur after item 183 commences. However, where a care change occurs before item 183 commences but notification is received more than 26 weeks after item 183 commences, the new care percentage date of effect rules would also apply to those care changes. This provides parents who have delayed in notifying of a care change with a transitional 'grace' period of 26 weeks from commencement to notify of the care change before they become subject to the new care percentage date of effect rules.</w:t>
      </w:r>
    </w:p>
    <w:p w:rsidR="006F5996" w:rsidRPr="009F7227" w:rsidRDefault="006F5996" w:rsidP="006F5996">
      <w:pPr>
        <w:pStyle w:val="Quote"/>
      </w:pPr>
      <w:r w:rsidRPr="009F7227">
        <w:rPr>
          <w:lang w:eastAsia="en-AU"/>
        </w:rPr>
        <w:t>As a result, a parent who had reduced their care of a child before commencement but failed to notify of the change until more than 26 weeks later, would have that reduced care percentage reflected in their child support assessment from the date of the care change. This could lead to a child support overpayment or arrears debt being raised against that parent in some cases. However, this is appropriate given the reduced care percentage is an accurate measure of the lower care costs incurred by that parent since the date of the care change and the ability to notify within a timely manner was within the parent's control.</w:t>
      </w:r>
    </w:p>
    <w:p w:rsidR="006F5996" w:rsidRDefault="006F5996" w:rsidP="006F5996">
      <w:pPr>
        <w:pStyle w:val="Quote"/>
        <w:rPr>
          <w:lang w:eastAsia="en-AU"/>
        </w:rPr>
      </w:pPr>
    </w:p>
    <w:p w:rsidR="006F5996" w:rsidRPr="005C050F" w:rsidRDefault="006F5996" w:rsidP="006F5996">
      <w:pPr>
        <w:pStyle w:val="Quote"/>
        <w:rPr>
          <w:lang w:eastAsia="en-AU"/>
        </w:rPr>
      </w:pPr>
    </w:p>
    <w:p w:rsidR="006F5996" w:rsidRPr="005C050F" w:rsidRDefault="006F5996" w:rsidP="006F5996">
      <w:pPr>
        <w:pStyle w:val="Level14"/>
        <w:tabs>
          <w:tab w:val="clear" w:pos="850"/>
        </w:tabs>
        <w:rPr>
          <w:b/>
          <w:i/>
        </w:rPr>
      </w:pPr>
      <w:r w:rsidRPr="005C050F">
        <w:rPr>
          <w:b/>
          <w:i/>
        </w:rPr>
        <w:lastRenderedPageBreak/>
        <w:t>Committee comment</w:t>
      </w:r>
    </w:p>
    <w:p w:rsidR="006F5996" w:rsidRPr="00ED1B08" w:rsidRDefault="006F5996" w:rsidP="006F5996">
      <w:pPr>
        <w:pStyle w:val="Level14"/>
        <w:numPr>
          <w:ilvl w:val="0"/>
          <w:numId w:val="21"/>
        </w:numPr>
      </w:pPr>
      <w:r w:rsidRPr="005C050F">
        <w:t xml:space="preserve">The committee thanks the Minister for this </w:t>
      </w:r>
      <w:r>
        <w:t xml:space="preserve">detailed </w:t>
      </w:r>
      <w:r w:rsidRPr="005C050F">
        <w:t xml:space="preserve">response. </w:t>
      </w:r>
      <w:r>
        <w:t xml:space="preserve">In relation to items 40 and 43, the committee notes </w:t>
      </w:r>
      <w:r w:rsidDel="00C44D04">
        <w:t xml:space="preserve"> </w:t>
      </w:r>
      <w:r>
        <w:t xml:space="preserve">the Minister's advice that these provisions provide for an amended tax assessment that is either issued on or after 1 January 2018 to apply a child support assessment retrospectively. The committee also notes the Minister's advice that when the ATO issues an amended tax assessment that is higher than the previous tax assessment (for the same financial year) it will always be applied retrospectively to the relevant child support period as it aligns with </w:t>
      </w:r>
      <w:r w:rsidRPr="00ED1B08">
        <w:t xml:space="preserve">existing rules governing the retrospective application of taxable income, but that this supports the principle that parents take financial responsibility for the costs of raising their children in line with their financial capacity to do so. </w:t>
      </w:r>
    </w:p>
    <w:p w:rsidR="006F5996" w:rsidRPr="00ED1B08" w:rsidRDefault="006F5996" w:rsidP="006F5996">
      <w:pPr>
        <w:pStyle w:val="Level14"/>
        <w:numPr>
          <w:ilvl w:val="0"/>
          <w:numId w:val="21"/>
        </w:numPr>
      </w:pPr>
      <w:r w:rsidRPr="00ED1B08">
        <w:t>In relation to item 51 the committee notes the Minister's advice that the amendments provide for items 46 and 47 to apply to the days in a child support period that occur on or after commencement of this provision, but would apply regardless of whether the child support agreement was made before or after commencement of item 51. The committee notes the Minister's advice that these amendments affirm how the current policy has always been intended to operate and would therefore not result in detriment to any person. However, the committee notes that the Minister has also advised that the government has put forward amendments because of differing judicial opinions in a recent case. The committee considers that although the justification provided is sufficient to justify amending the law with prospective application, the fact that a court has interpreted a law contrary to the executive government’s understanding of the original provisions ‘intended meaning’ may not be a sufficient justification to apply the law retrospectively. It is unclear whether the proposed changes would apply to any cases currently before the courts involving the interpretation of the existing provisions.</w:t>
      </w:r>
    </w:p>
    <w:p w:rsidR="006F5996" w:rsidRDefault="006F5996" w:rsidP="006F5996">
      <w:pPr>
        <w:pStyle w:val="Level14"/>
        <w:numPr>
          <w:ilvl w:val="0"/>
          <w:numId w:val="21"/>
        </w:numPr>
      </w:pPr>
      <w:r w:rsidRPr="00ED1B08">
        <w:t>In relation to subitems 74(3) and (6) the committee notes the Minister's advice that these provisions ensures that all child</w:t>
      </w:r>
      <w:r>
        <w:t xml:space="preserve"> support assessments from commencement would reflect the new policy, regardless of when the agreement was entered into, as this removes the unfair outcome under the current policy where a parent may be required to continue paying child support to a parent who has ceased to be an eligible carer for a child.</w:t>
      </w:r>
    </w:p>
    <w:p w:rsidR="006F5996" w:rsidRDefault="006F5996" w:rsidP="006F5996">
      <w:pPr>
        <w:pStyle w:val="Level14"/>
        <w:numPr>
          <w:ilvl w:val="0"/>
          <w:numId w:val="21"/>
        </w:numPr>
      </w:pPr>
      <w:r w:rsidRPr="00801C30">
        <w:t>In relation to subitems 172(2) and (4)</w:t>
      </w:r>
      <w:r>
        <w:t xml:space="preserve"> the committee notes the Minister's advice that these new provisions extend existing administrative and court recovery mechanisms for child support debts to carer liabilities and the provisions allow the expanded recovery mechanisms to be used where a payee was overpaid an amount before commencement. The committee also notes the Minister advice that the expanded recovery mechanisms would only be used where recovery from future child support entitlements is not possible or where negotiation with the payee on cash repayment arrangements has not be successful.</w:t>
      </w:r>
    </w:p>
    <w:p w:rsidR="006F5996" w:rsidRDefault="006F5996" w:rsidP="006F5996">
      <w:pPr>
        <w:pStyle w:val="Level14"/>
        <w:numPr>
          <w:ilvl w:val="0"/>
          <w:numId w:val="21"/>
        </w:numPr>
      </w:pPr>
      <w:r>
        <w:t xml:space="preserve">In relation to item 174 the committee notes the Minister's advice that this provision aligns the tax return rules for pre-1 July 2008 periods with those that apply </w:t>
      </w:r>
      <w:r>
        <w:lastRenderedPageBreak/>
        <w:t>for post-1 July 2008 periods where a tax return was lodged outside the ATO lodgement timeframe and a provisional income had been applied in the child support assessment, and that these amendment are necessary to ensure that child support arrears or overpayment are not raised against parents, where it is through no fault of their own and is due to the other parent not complying with their legal obligations.</w:t>
      </w:r>
    </w:p>
    <w:p w:rsidR="006F5996" w:rsidRDefault="006F5996" w:rsidP="006F5996">
      <w:pPr>
        <w:pStyle w:val="Level14"/>
        <w:numPr>
          <w:ilvl w:val="0"/>
          <w:numId w:val="21"/>
        </w:numPr>
      </w:pPr>
      <w:r>
        <w:t xml:space="preserve">In relation to items 176 and 183 the committee notes the Minister's advice that generally the new rules apply for care changes that occur after item 183 commences, but where notification is delayed the new care </w:t>
      </w:r>
      <w:r w:rsidRPr="009F7227">
        <w:rPr>
          <w:lang w:eastAsia="en-AU"/>
        </w:rPr>
        <w:t>percentage date of effect rules would also apply to those care changes.</w:t>
      </w:r>
      <w:r>
        <w:rPr>
          <w:lang w:eastAsia="en-AU"/>
        </w:rPr>
        <w:t xml:space="preserve"> The committee notes the Minister's advice that this provides parents who have delayed notifying of a change of care with a grace period of 26 weeks from commencement to notify of the change before they become subject to the new rules. The committee notes the Minister's advice that as a</w:t>
      </w:r>
      <w:r w:rsidRPr="009F7227">
        <w:rPr>
          <w:lang w:eastAsia="en-AU"/>
        </w:rPr>
        <w:t xml:space="preserve"> result, a parent would have that reduced care percentage reflected in their child support assessment from the date of the care change</w:t>
      </w:r>
      <w:r>
        <w:rPr>
          <w:lang w:eastAsia="en-AU"/>
        </w:rPr>
        <w:t xml:space="preserve">, but </w:t>
      </w:r>
      <w:r w:rsidRPr="009F7227">
        <w:rPr>
          <w:lang w:eastAsia="en-AU"/>
        </w:rPr>
        <w:t>this is appropriate given the reduced care percentage is an accurate measure of the lower care costs incurred by that parent since the date of the care change and the ability to notify within a timely manner.</w:t>
      </w:r>
    </w:p>
    <w:p w:rsidR="006F5996" w:rsidRPr="00E71B0B" w:rsidRDefault="006F5996" w:rsidP="006F5996">
      <w:pPr>
        <w:pStyle w:val="Level14"/>
        <w:numPr>
          <w:ilvl w:val="0"/>
          <w:numId w:val="21"/>
        </w:numPr>
        <w:rPr>
          <w:b/>
        </w:rPr>
      </w:pPr>
      <w:r w:rsidRPr="00E71B0B">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E71B0B">
        <w:rPr>
          <w:b/>
          <w:i/>
        </w:rPr>
        <w:t>Acts Interpretation Act 1901</w:t>
      </w:r>
      <w:r w:rsidRPr="00E71B0B">
        <w:rPr>
          <w:b/>
        </w:rPr>
        <w:t>).</w:t>
      </w:r>
    </w:p>
    <w:p w:rsidR="006F5996" w:rsidRPr="00ED1B08" w:rsidRDefault="006F5996" w:rsidP="006F5996">
      <w:pPr>
        <w:pStyle w:val="Level14"/>
        <w:numPr>
          <w:ilvl w:val="0"/>
          <w:numId w:val="21"/>
        </w:numPr>
        <w:rPr>
          <w:b/>
        </w:rPr>
      </w:pPr>
      <w:r w:rsidRPr="00ED1B08">
        <w:rPr>
          <w:b/>
        </w:rPr>
        <w:t>In light of the detailed information provided in relation to items 40, 43, 176 and 183 and subitems 74(3) and (6), 172(2) and (4), the committee makes no further comment on these matters.</w:t>
      </w:r>
    </w:p>
    <w:p w:rsidR="006F5996" w:rsidRDefault="006F5996" w:rsidP="006F5996">
      <w:pPr>
        <w:pStyle w:val="Level14"/>
        <w:numPr>
          <w:ilvl w:val="0"/>
          <w:numId w:val="21"/>
        </w:numPr>
        <w:rPr>
          <w:b/>
        </w:rPr>
      </w:pPr>
      <w:r w:rsidRPr="00ED1B08">
        <w:rPr>
          <w:b/>
        </w:rPr>
        <w:t xml:space="preserve">In relation to item 51, the committee seeks the Minister's further advice as to whether the retrospective application of the provision would have any effect on cases currently before the courts involving an interpretation of existing sections 35C and 95 of the </w:t>
      </w:r>
      <w:r w:rsidRPr="00ED1B08">
        <w:rPr>
          <w:b/>
          <w:i/>
        </w:rPr>
        <w:t>Child Support (Assessment) Act 1989</w:t>
      </w:r>
      <w:r w:rsidRPr="00ED1B08">
        <w:rPr>
          <w:b/>
        </w:rPr>
        <w:t>.</w:t>
      </w:r>
    </w:p>
    <w:p w:rsidR="006F5996" w:rsidRDefault="006F5996" w:rsidP="006F5996">
      <w:pPr>
        <w:pStyle w:val="Level14"/>
        <w:numPr>
          <w:ilvl w:val="0"/>
          <w:numId w:val="21"/>
        </w:numPr>
        <w:rPr>
          <w:b/>
        </w:rPr>
        <w:sectPr w:rsidR="006F5996" w:rsidSect="00194588">
          <w:headerReference w:type="even" r:id="rId165"/>
          <w:headerReference w:type="default" r:id="rId166"/>
          <w:footerReference w:type="even" r:id="rId167"/>
          <w:footerReference w:type="default" r:id="rId168"/>
          <w:headerReference w:type="first" r:id="rId169"/>
          <w:footerReference w:type="first" r:id="rId170"/>
          <w:pgSz w:w="11906" w:h="16838" w:code="9"/>
          <w:pgMar w:top="1440" w:right="1440" w:bottom="1202" w:left="1440" w:header="1134" w:footer="720" w:gutter="0"/>
          <w:cols w:space="720"/>
          <w:titlePg/>
        </w:sectPr>
      </w:pPr>
    </w:p>
    <w:p w:rsidR="006F5996" w:rsidRDefault="006F5996" w:rsidP="006F5996">
      <w:pPr>
        <w:sectPr w:rsidR="006F5996" w:rsidSect="006F5996">
          <w:type w:val="continuous"/>
          <w:pgSz w:w="11906" w:h="16838" w:code="9"/>
          <w:pgMar w:top="1440" w:right="1440" w:bottom="1202" w:left="1440" w:header="1134" w:footer="720" w:gutter="0"/>
          <w:cols w:space="720"/>
          <w:titlePg/>
        </w:sectPr>
      </w:pPr>
    </w:p>
    <w:p w:rsidR="006F5996" w:rsidRPr="006E234F" w:rsidRDefault="006F5996" w:rsidP="006F5996">
      <w:pPr>
        <w:pStyle w:val="Heading1"/>
        <w:spacing w:after="240"/>
        <w:jc w:val="both"/>
        <w:rPr>
          <w:rFonts w:asciiTheme="minorHAnsi" w:hAnsiTheme="minorHAnsi"/>
          <w:szCs w:val="40"/>
        </w:rPr>
      </w:pPr>
      <w:r w:rsidRPr="006E234F">
        <w:rPr>
          <w:rFonts w:asciiTheme="minorHAnsi" w:hAnsiTheme="minorHAnsi" w:cs="Arial"/>
          <w:szCs w:val="40"/>
        </w:rPr>
        <w:lastRenderedPageBreak/>
        <w:t>Investigation and Prosecution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5996" w:rsidRPr="00B847FE" w:rsidTr="006F5996">
        <w:tc>
          <w:tcPr>
            <w:tcW w:w="2660" w:type="dxa"/>
            <w:tcBorders>
              <w:top w:val="single" w:sz="12" w:space="0" w:color="auto"/>
              <w:right w:val="single" w:sz="12" w:space="0" w:color="auto"/>
            </w:tcBorders>
          </w:tcPr>
          <w:p w:rsidR="006F5996" w:rsidRPr="00B847FE" w:rsidRDefault="006F5996" w:rsidP="006F599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F5996" w:rsidRDefault="006F5996" w:rsidP="006F5996">
            <w:pPr>
              <w:spacing w:after="60"/>
              <w:rPr>
                <w:sz w:val="24"/>
                <w:szCs w:val="24"/>
              </w:rPr>
            </w:pPr>
            <w:r w:rsidRPr="00B847FE">
              <w:rPr>
                <w:sz w:val="24"/>
                <w:szCs w:val="24"/>
              </w:rPr>
              <w:t>This bill seeks to amend</w:t>
            </w:r>
            <w:r>
              <w:rPr>
                <w:sz w:val="24"/>
                <w:szCs w:val="24"/>
              </w:rPr>
              <w:t xml:space="preserve"> various Acts relating to the Independent Commission Against Corruption and the prosecution of offences on Norfolk Island to:</w:t>
            </w:r>
          </w:p>
          <w:p w:rsidR="006F5996" w:rsidRPr="0096799F" w:rsidRDefault="006F5996" w:rsidP="006F5996">
            <w:pPr>
              <w:pStyle w:val="Bullet1"/>
              <w:tabs>
                <w:tab w:val="clear" w:pos="851"/>
                <w:tab w:val="left" w:pos="459"/>
              </w:tabs>
              <w:spacing w:after="60"/>
              <w:ind w:left="459" w:hanging="459"/>
              <w:rPr>
                <w:sz w:val="24"/>
                <w:szCs w:val="24"/>
              </w:rPr>
            </w:pPr>
            <w:r>
              <w:rPr>
                <w:sz w:val="24"/>
                <w:szCs w:val="24"/>
              </w:rPr>
              <w:t xml:space="preserve">support </w:t>
            </w:r>
            <w:r w:rsidRPr="0096799F">
              <w:rPr>
                <w:sz w:val="24"/>
                <w:szCs w:val="24"/>
              </w:rPr>
              <w:t>the restructure of the New South Wales Independent Commission Against Corruption; and</w:t>
            </w:r>
          </w:p>
          <w:p w:rsidR="006F5996" w:rsidRPr="006E234F" w:rsidRDefault="006F5996" w:rsidP="006F5996">
            <w:pPr>
              <w:pStyle w:val="Bullet1"/>
              <w:tabs>
                <w:tab w:val="clear" w:pos="851"/>
                <w:tab w:val="left" w:pos="459"/>
              </w:tabs>
              <w:ind w:left="459" w:hanging="459"/>
            </w:pPr>
            <w:r w:rsidRPr="00062368">
              <w:rPr>
                <w:sz w:val="24"/>
                <w:szCs w:val="24"/>
              </w:rPr>
              <w:t>extend the functions, powers and duties of the Commonwealth Director of Public Prosecutions to laws of Norfolk Island</w:t>
            </w:r>
          </w:p>
        </w:tc>
      </w:tr>
      <w:tr w:rsidR="006F5996" w:rsidRPr="00B847FE" w:rsidTr="006F5996">
        <w:tc>
          <w:tcPr>
            <w:tcW w:w="2660" w:type="dxa"/>
            <w:tcBorders>
              <w:right w:val="single" w:sz="12" w:space="0" w:color="auto"/>
            </w:tcBorders>
          </w:tcPr>
          <w:p w:rsidR="006F5996" w:rsidRPr="00B847FE" w:rsidRDefault="006F5996" w:rsidP="006F5996">
            <w:pPr>
              <w:rPr>
                <w:b/>
                <w:sz w:val="24"/>
                <w:szCs w:val="24"/>
              </w:rPr>
            </w:pPr>
            <w:r w:rsidRPr="00B847FE">
              <w:rPr>
                <w:b/>
                <w:sz w:val="24"/>
                <w:szCs w:val="24"/>
              </w:rPr>
              <w:t>Portfolio</w:t>
            </w:r>
          </w:p>
        </w:tc>
        <w:tc>
          <w:tcPr>
            <w:tcW w:w="6582" w:type="dxa"/>
            <w:tcBorders>
              <w:left w:val="single" w:sz="12" w:space="0" w:color="auto"/>
            </w:tcBorders>
          </w:tcPr>
          <w:p w:rsidR="006F5996" w:rsidRPr="00B847FE" w:rsidRDefault="006F5996" w:rsidP="006F5996">
            <w:pPr>
              <w:rPr>
                <w:sz w:val="24"/>
                <w:szCs w:val="24"/>
              </w:rPr>
            </w:pPr>
            <w:r>
              <w:rPr>
                <w:sz w:val="24"/>
                <w:szCs w:val="24"/>
              </w:rPr>
              <w:t>Attorney-General</w:t>
            </w:r>
          </w:p>
        </w:tc>
      </w:tr>
      <w:tr w:rsidR="006F5996" w:rsidRPr="00B847FE" w:rsidTr="006F5996">
        <w:tc>
          <w:tcPr>
            <w:tcW w:w="2660" w:type="dxa"/>
            <w:tcBorders>
              <w:right w:val="single" w:sz="12" w:space="0" w:color="auto"/>
            </w:tcBorders>
          </w:tcPr>
          <w:p w:rsidR="006F5996" w:rsidRPr="00B847FE" w:rsidRDefault="006F5996" w:rsidP="006F5996">
            <w:pPr>
              <w:rPr>
                <w:b/>
                <w:sz w:val="24"/>
                <w:szCs w:val="24"/>
              </w:rPr>
            </w:pPr>
            <w:r w:rsidRPr="00B847FE">
              <w:rPr>
                <w:b/>
                <w:sz w:val="24"/>
                <w:szCs w:val="24"/>
              </w:rPr>
              <w:t>Introduced</w:t>
            </w:r>
          </w:p>
        </w:tc>
        <w:tc>
          <w:tcPr>
            <w:tcW w:w="6582" w:type="dxa"/>
            <w:tcBorders>
              <w:left w:val="single" w:sz="12" w:space="0" w:color="auto"/>
            </w:tcBorders>
          </w:tcPr>
          <w:p w:rsidR="006F5996" w:rsidRPr="00B847FE" w:rsidRDefault="006F5996" w:rsidP="006F5996">
            <w:pPr>
              <w:rPr>
                <w:sz w:val="24"/>
                <w:szCs w:val="24"/>
              </w:rPr>
            </w:pPr>
            <w:r>
              <w:rPr>
                <w:sz w:val="24"/>
                <w:szCs w:val="24"/>
              </w:rPr>
              <w:t>House of Representatives on 13 September 2017</w:t>
            </w:r>
          </w:p>
        </w:tc>
      </w:tr>
      <w:tr w:rsidR="006F5996" w:rsidRPr="00B847FE" w:rsidTr="006F5996">
        <w:tc>
          <w:tcPr>
            <w:tcW w:w="2660" w:type="dxa"/>
            <w:tcBorders>
              <w:right w:val="single" w:sz="12" w:space="0" w:color="auto"/>
            </w:tcBorders>
          </w:tcPr>
          <w:p w:rsidR="006F5996" w:rsidRPr="00B847FE" w:rsidRDefault="006F5996" w:rsidP="006F5996">
            <w:pPr>
              <w:rPr>
                <w:b/>
                <w:sz w:val="24"/>
                <w:szCs w:val="24"/>
              </w:rPr>
            </w:pPr>
            <w:r>
              <w:rPr>
                <w:b/>
                <w:sz w:val="24"/>
                <w:szCs w:val="24"/>
              </w:rPr>
              <w:t>Bill status</w:t>
            </w:r>
          </w:p>
        </w:tc>
        <w:tc>
          <w:tcPr>
            <w:tcW w:w="6582" w:type="dxa"/>
            <w:tcBorders>
              <w:left w:val="single" w:sz="12" w:space="0" w:color="auto"/>
            </w:tcBorders>
          </w:tcPr>
          <w:p w:rsidR="006F5996" w:rsidRDefault="006F5996" w:rsidP="006F5996">
            <w:pPr>
              <w:rPr>
                <w:sz w:val="24"/>
                <w:szCs w:val="24"/>
              </w:rPr>
            </w:pPr>
            <w:r>
              <w:rPr>
                <w:sz w:val="24"/>
                <w:szCs w:val="24"/>
              </w:rPr>
              <w:t>Before House of Representatives</w:t>
            </w:r>
          </w:p>
        </w:tc>
      </w:tr>
      <w:tr w:rsidR="006F5996" w:rsidRPr="00B847FE" w:rsidTr="006F5996">
        <w:tc>
          <w:tcPr>
            <w:tcW w:w="2660" w:type="dxa"/>
            <w:tcBorders>
              <w:bottom w:val="single" w:sz="12" w:space="0" w:color="auto"/>
              <w:right w:val="single" w:sz="12" w:space="0" w:color="auto"/>
            </w:tcBorders>
          </w:tcPr>
          <w:p w:rsidR="006F5996" w:rsidRPr="00B847FE" w:rsidRDefault="006F5996" w:rsidP="006F5996">
            <w:pPr>
              <w:rPr>
                <w:b/>
                <w:sz w:val="24"/>
                <w:szCs w:val="24"/>
              </w:rPr>
            </w:pPr>
            <w:r>
              <w:rPr>
                <w:b/>
                <w:sz w:val="24"/>
                <w:szCs w:val="24"/>
              </w:rPr>
              <w:t>Scrutiny principle</w:t>
            </w:r>
          </w:p>
        </w:tc>
        <w:tc>
          <w:tcPr>
            <w:tcW w:w="6582" w:type="dxa"/>
            <w:tcBorders>
              <w:left w:val="single" w:sz="12" w:space="0" w:color="auto"/>
              <w:bottom w:val="single" w:sz="12" w:space="0" w:color="auto"/>
            </w:tcBorders>
          </w:tcPr>
          <w:p w:rsidR="006F5996" w:rsidRDefault="006F5996" w:rsidP="006F5996">
            <w:pPr>
              <w:rPr>
                <w:sz w:val="24"/>
                <w:szCs w:val="24"/>
              </w:rPr>
            </w:pPr>
            <w:r>
              <w:rPr>
                <w:sz w:val="24"/>
                <w:szCs w:val="24"/>
              </w:rPr>
              <w:t>Standing Order 24(1)(a)(i)</w:t>
            </w:r>
          </w:p>
        </w:tc>
      </w:tr>
    </w:tbl>
    <w:p w:rsidR="006F5996" w:rsidRPr="001202FC" w:rsidRDefault="006F5996" w:rsidP="006F5996">
      <w:pPr>
        <w:pStyle w:val="Level16"/>
        <w:numPr>
          <w:ilvl w:val="0"/>
          <w:numId w:val="21"/>
        </w:numPr>
        <w:spacing w:before="240"/>
      </w:pPr>
      <w:r w:rsidRPr="001202FC">
        <w:t xml:space="preserve">The committee dealt with this bill in </w:t>
      </w:r>
      <w:r w:rsidRPr="001202FC">
        <w:rPr>
          <w:i/>
        </w:rPr>
        <w:t xml:space="preserve">Scrutiny Digest No. </w:t>
      </w:r>
      <w:r>
        <w:rPr>
          <w:i/>
        </w:rPr>
        <w:t>12</w:t>
      </w:r>
      <w:r w:rsidRPr="001202FC">
        <w:rPr>
          <w:i/>
        </w:rPr>
        <w:t xml:space="preserve"> of 2017</w:t>
      </w:r>
      <w:r w:rsidRPr="001202FC">
        <w:t xml:space="preserve">. The </w:t>
      </w:r>
      <w:r>
        <w:t xml:space="preserve">Attorney-General </w:t>
      </w:r>
      <w:r w:rsidRPr="001202FC">
        <w:t>responded to the committee</w:t>
      </w:r>
      <w:r>
        <w:t>'</w:t>
      </w:r>
      <w:r w:rsidRPr="001202FC">
        <w:t xml:space="preserve">s comments in a letter </w:t>
      </w:r>
      <w:r>
        <w:t>dated 9 November 2017</w:t>
      </w:r>
      <w:r w:rsidRPr="001202FC">
        <w:t>. Set out below are extracts from the committee</w:t>
      </w:r>
      <w:r>
        <w:t>'</w:t>
      </w:r>
      <w:r w:rsidRPr="001202FC">
        <w:t>s initial scrutiny of the bill and the Minister</w:t>
      </w:r>
      <w:r>
        <w:t>'</w:t>
      </w:r>
      <w:r w:rsidRPr="001202FC">
        <w:t>s response followed by the committee</w:t>
      </w:r>
      <w:r>
        <w:t>'</w:t>
      </w:r>
      <w:r w:rsidRPr="001202FC">
        <w:t>s comments on the response. A copy of the letter is available on the committee</w:t>
      </w:r>
      <w:r>
        <w:t>'</w:t>
      </w:r>
      <w:r w:rsidRPr="001202FC">
        <w:t>s website.</w:t>
      </w:r>
      <w:r w:rsidRPr="001202FC">
        <w:rPr>
          <w:rStyle w:val="FootnoteReference"/>
        </w:rPr>
        <w:footnoteReference w:id="177"/>
      </w:r>
    </w:p>
    <w:p w:rsidR="006F5996" w:rsidRDefault="006F5996" w:rsidP="006F5996">
      <w:pPr>
        <w:pStyle w:val="Heading3"/>
      </w:pPr>
      <w:r>
        <w:t>Retrospective effect</w:t>
      </w:r>
      <w:r w:rsidRPr="004474CF">
        <w:rPr>
          <w:rStyle w:val="FootnoteReference"/>
          <w:b w:val="0"/>
        </w:rPr>
        <w:footnoteReference w:id="178"/>
      </w:r>
    </w:p>
    <w:p w:rsidR="006F5996" w:rsidRDefault="006F5996" w:rsidP="006F5996">
      <w:pPr>
        <w:rPr>
          <w:b/>
          <w:i/>
        </w:rPr>
      </w:pPr>
      <w:r>
        <w:rPr>
          <w:b/>
          <w:i/>
        </w:rPr>
        <w:t>Initial scrutiny – extract</w:t>
      </w:r>
    </w:p>
    <w:p w:rsidR="006F5996" w:rsidRDefault="006F5996" w:rsidP="006F5996">
      <w:pPr>
        <w:pStyle w:val="Level161"/>
        <w:numPr>
          <w:ilvl w:val="0"/>
          <w:numId w:val="21"/>
        </w:numPr>
      </w:pPr>
      <w:r>
        <w:t xml:space="preserve">Schedule 2 to the bill seeks to amend the </w:t>
      </w:r>
      <w:r w:rsidRPr="00395093">
        <w:rPr>
          <w:i/>
        </w:rPr>
        <w:t>Director of Public Prosecution</w:t>
      </w:r>
      <w:r>
        <w:rPr>
          <w:i/>
        </w:rPr>
        <w:t>s</w:t>
      </w:r>
      <w:r w:rsidRPr="00395093">
        <w:rPr>
          <w:i/>
        </w:rPr>
        <w:t xml:space="preserve"> Act 1983 </w:t>
      </w:r>
      <w:r>
        <w:t>(DPP Act) to extend the functions, powers and duties of the Commonwealth Director of Public Prosecutions to Norfolk Island.</w:t>
      </w:r>
    </w:p>
    <w:p w:rsidR="006F5996" w:rsidRDefault="006F5996" w:rsidP="006F5996">
      <w:pPr>
        <w:pStyle w:val="Level161"/>
        <w:numPr>
          <w:ilvl w:val="0"/>
          <w:numId w:val="21"/>
        </w:numPr>
      </w:pPr>
      <w:r>
        <w:t xml:space="preserve">Specifically, the definition of 'laws of the Commonwealth' in subsection 3(1) of the DPP Act currently includes a law of a territory, but explicitly excludes the </w:t>
      </w:r>
      <w:r w:rsidRPr="005B7FEA">
        <w:rPr>
          <w:i/>
        </w:rPr>
        <w:t>Norfolk Island Act</w:t>
      </w:r>
      <w:r>
        <w:t xml:space="preserve"> </w:t>
      </w:r>
      <w:r w:rsidRPr="005B7FEA">
        <w:rPr>
          <w:i/>
        </w:rPr>
        <w:t>1979</w:t>
      </w:r>
      <w:r>
        <w:t xml:space="preserve"> and laws made under or continued in force by that Act. The bill seeks to remove this limitation and item 3 of Schedule 2 provides that, for the purposes of the DPP Act and any instrument made under it, a reference to a law of a Territory includes a reference to 'a law in force in Norfolk Island at any time, whether before or after the commencement of this item.'</w:t>
      </w:r>
    </w:p>
    <w:p w:rsidR="006F5996" w:rsidRDefault="006F5996" w:rsidP="006F5996">
      <w:pPr>
        <w:pStyle w:val="Level161"/>
        <w:numPr>
          <w:ilvl w:val="0"/>
          <w:numId w:val="21"/>
        </w:numPr>
      </w:pPr>
      <w:r>
        <w:lastRenderedPageBreak/>
        <w:t xml:space="preserve">Item 4 of Schedule 2 seeks to validate things done under the </w:t>
      </w:r>
      <w:r w:rsidRPr="00C77E5A">
        <w:rPr>
          <w:i/>
        </w:rPr>
        <w:t xml:space="preserve">Director of Public Prosecutions Regulations </w:t>
      </w:r>
      <w:r w:rsidRPr="00E44BA6">
        <w:rPr>
          <w:i/>
        </w:rPr>
        <w:t>1984</w:t>
      </w:r>
      <w:r>
        <w:t xml:space="preserve">, as </w:t>
      </w:r>
      <w:r w:rsidRPr="00524EBD">
        <w:t>amend</w:t>
      </w:r>
      <w:r>
        <w:t xml:space="preserve">ed by the </w:t>
      </w:r>
      <w:r w:rsidRPr="00C77E5A">
        <w:rPr>
          <w:i/>
        </w:rPr>
        <w:t>Director of Public Prosecutions Amendment (Norfolk Island) Regulations 2017</w:t>
      </w:r>
      <w:r>
        <w:t xml:space="preserve"> (DPP Regulations), in the event that they are found to be invalid. The DPP Regulations, which came into effect on 4 August 2017,</w:t>
      </w:r>
      <w:r w:rsidRPr="00BE19DE">
        <w:t xml:space="preserve"> </w:t>
      </w:r>
      <w:r>
        <w:t>purportedly prescribed functions, powers and duties of the Director of Public Prosecutions in relation to Norfolk Island.</w:t>
      </w:r>
    </w:p>
    <w:p w:rsidR="006F5996" w:rsidRDefault="006F5996" w:rsidP="006F5996">
      <w:pPr>
        <w:pStyle w:val="Level161"/>
        <w:numPr>
          <w:ilvl w:val="0"/>
          <w:numId w:val="21"/>
        </w:numPr>
      </w:pPr>
      <w:r>
        <w:t xml:space="preserve">The committee notes that item 4 would have a retrospective effect in that it seeks to validate actions already taken in reliance on regulations </w:t>
      </w:r>
      <w:r w:rsidRPr="00A25DFB">
        <w:t>in</w:t>
      </w:r>
      <w:r>
        <w:t xml:space="preserve"> the event that the latter regulations are found to be invalid.</w:t>
      </w:r>
      <w:r>
        <w:rPr>
          <w:rStyle w:val="FootnoteReference"/>
        </w:rPr>
        <w:footnoteReference w:id="179"/>
      </w:r>
      <w:r>
        <w:t xml:space="preserve"> If the DPP Regulations, as amended in August 2017, are invalid, any action taken by the Director of Public Prosecutions in relation to Norfolk Island is likely to have not been lawfully authorised. As such, validating any action taken by the Director of Prosecutions between August 2017 and when this bill may pass would have a retrospective effect.</w:t>
      </w:r>
    </w:p>
    <w:p w:rsidR="006F5996" w:rsidRDefault="006F5996" w:rsidP="006F5996">
      <w:pPr>
        <w:pStyle w:val="Level161"/>
        <w:numPr>
          <w:ilvl w:val="0"/>
          <w:numId w:val="21"/>
        </w:numPr>
      </w:pPr>
      <w:r w:rsidRPr="00A25DFB">
        <w:t>The committee has a long-standing scrutiny concern about provisions that have the effect of applying retrospectively, as it challenges a basic value of the rule of law that, in general, laws should only operate prospectively (not retrospectively). The committee has a particular concern if the legislation will, or might, have a detrimental effect on individuals.</w:t>
      </w:r>
    </w:p>
    <w:p w:rsidR="006F5996" w:rsidRDefault="006F5996" w:rsidP="006F5996">
      <w:pPr>
        <w:pStyle w:val="Level161"/>
        <w:numPr>
          <w:ilvl w:val="0"/>
          <w:numId w:val="21"/>
        </w:numPr>
      </w:pPr>
      <w:r w:rsidRPr="00A25DFB">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6F5996" w:rsidRDefault="006F5996" w:rsidP="006F5996">
      <w:pPr>
        <w:pStyle w:val="Level161"/>
        <w:numPr>
          <w:ilvl w:val="0"/>
          <w:numId w:val="21"/>
        </w:numPr>
      </w:pPr>
      <w:r>
        <w:t>The explanatory memorandum to the bill outlines the intended effect of item 4, but does not provide any reasons as to why such a provision is necessary. Although the statement of compatibility states that the provisions do not 'change any criminal offences, penalties or sanctions applicable to those subject to the laws of Norfolk Island',</w:t>
      </w:r>
      <w:r>
        <w:rPr>
          <w:rStyle w:val="FootnoteReference"/>
        </w:rPr>
        <w:footnoteReference w:id="180"/>
      </w:r>
      <w:r>
        <w:t xml:space="preserve"> the issue of any other possible detrimental effects the provisions may have on individuals has not been addressed in the explanatory material.</w:t>
      </w:r>
    </w:p>
    <w:p w:rsidR="006F5996" w:rsidRDefault="006F5996" w:rsidP="006F5996">
      <w:pPr>
        <w:pStyle w:val="Level161"/>
        <w:numPr>
          <w:ilvl w:val="0"/>
          <w:numId w:val="21"/>
        </w:numPr>
      </w:pPr>
      <w:r w:rsidRPr="00E031D1">
        <w:t xml:space="preserve">The committee therefore requests the Attorney-General's advice as to why it is necessary to validate with retrospective effect the </w:t>
      </w:r>
      <w:r w:rsidRPr="00E031D1">
        <w:rPr>
          <w:i/>
        </w:rPr>
        <w:t>Director of Public Prosecutions Regulations 1984</w:t>
      </w:r>
      <w:r w:rsidRPr="00E031D1">
        <w:t xml:space="preserve">, as amended by the </w:t>
      </w:r>
      <w:r w:rsidRPr="00E031D1">
        <w:rPr>
          <w:i/>
        </w:rPr>
        <w:t>Director of Public Prosecutions Amendment (Norfolk Island) Regulations 2017</w:t>
      </w:r>
      <w:r w:rsidRPr="00E031D1">
        <w:t>, and whether this measure may have a detrimental effect on any individual.</w:t>
      </w:r>
    </w:p>
    <w:p w:rsidR="006F5996" w:rsidRDefault="006F5996" w:rsidP="006F5996">
      <w:pPr>
        <w:spacing w:before="0" w:after="0"/>
        <w:jc w:val="left"/>
      </w:pPr>
      <w:r>
        <w:br w:type="page"/>
      </w:r>
    </w:p>
    <w:p w:rsidR="006F5996" w:rsidRDefault="006F5996" w:rsidP="006F5996">
      <w:pPr>
        <w:pStyle w:val="Level16"/>
        <w:tabs>
          <w:tab w:val="clear" w:pos="850"/>
        </w:tabs>
        <w:rPr>
          <w:b/>
          <w:i/>
        </w:rPr>
      </w:pPr>
      <w:r>
        <w:rPr>
          <w:b/>
          <w:i/>
        </w:rPr>
        <w:lastRenderedPageBreak/>
        <w:t>Attorney-General's response</w:t>
      </w:r>
    </w:p>
    <w:p w:rsidR="006F5996" w:rsidRPr="0035426C" w:rsidRDefault="006F5996" w:rsidP="006F5996">
      <w:pPr>
        <w:pStyle w:val="Level16"/>
        <w:numPr>
          <w:ilvl w:val="0"/>
          <w:numId w:val="21"/>
        </w:numPr>
      </w:pPr>
      <w:r>
        <w:t>The Attorney-General advised:</w:t>
      </w:r>
    </w:p>
    <w:p w:rsidR="006F5996" w:rsidRPr="00E031D1" w:rsidRDefault="006F5996" w:rsidP="006F5996">
      <w:pPr>
        <w:pStyle w:val="Quote"/>
      </w:pPr>
      <w:r w:rsidRPr="00E031D1">
        <w:rPr>
          <w:lang w:eastAsia="en-AU"/>
        </w:rPr>
        <w:t>Part 3 of Schedule 2 of the Bill applies only if the amending Regulations were to be challenged and found to be invalid. Therefore, the retrospective application of that Part would only operate to validate anything done under the amending Regulations.</w:t>
      </w:r>
    </w:p>
    <w:p w:rsidR="006F5996" w:rsidRPr="00E031D1" w:rsidRDefault="006F5996" w:rsidP="006F5996">
      <w:pPr>
        <w:pStyle w:val="Quote"/>
      </w:pPr>
      <w:r w:rsidRPr="00E031D1">
        <w:rPr>
          <w:lang w:eastAsia="en-AU"/>
        </w:rPr>
        <w:t xml:space="preserve">The Australian Government considers it appropriate to include a provision to this effect as a precaution to avoid any detrimental impact should the amending Regulations be found to be invalid. </w:t>
      </w:r>
      <w:r w:rsidRPr="00E031D1">
        <w:rPr>
          <w:sz w:val="22"/>
          <w:szCs w:val="22"/>
          <w:lang w:eastAsia="en-AU"/>
        </w:rPr>
        <w:t xml:space="preserve">It </w:t>
      </w:r>
      <w:r w:rsidRPr="00E031D1">
        <w:rPr>
          <w:lang w:eastAsia="en-AU"/>
        </w:rPr>
        <w:t>is important to ensure the validity of any prosecutions conducted on Norfolk Island in reliance on the amending Regulations. To do otherwise would undermine the effective enforcement of the criminal law during this period. While the Australian Government considers the risk of invalidity to be small, the consequence would be significant for all concerned, not least of all the victims and defendants involved in any prosecutions.</w:t>
      </w:r>
    </w:p>
    <w:p w:rsidR="006F5996" w:rsidRPr="00E031D1" w:rsidRDefault="006F5996" w:rsidP="006F5996">
      <w:pPr>
        <w:pStyle w:val="Quote"/>
        <w:rPr>
          <w:szCs w:val="24"/>
        </w:rPr>
      </w:pPr>
      <w:r w:rsidRPr="00E031D1">
        <w:rPr>
          <w:szCs w:val="24"/>
          <w:lang w:eastAsia="en-AU"/>
        </w:rPr>
        <w:t xml:space="preserve">It is important to note that the retrospective application of Part 3 of Schedule 2 of the Bill would not have any detrimental effect on an individual, or change the rights or liabilities of any person subject to prosecution during the period in which the amending Regulations were </w:t>
      </w:r>
      <w:r>
        <w:rPr>
          <w:szCs w:val="24"/>
          <w:lang w:eastAsia="en-AU"/>
        </w:rPr>
        <w:t>purport</w:t>
      </w:r>
      <w:r w:rsidRPr="00E031D1">
        <w:rPr>
          <w:szCs w:val="24"/>
          <w:lang w:eastAsia="en-AU"/>
        </w:rPr>
        <w:t>edly in force. The Bill does not in any way change the circumstances under which a person may be found to have committed a criminal act. The provision merely ensures the availability of an effective mechanism for prosecuting such acts.</w:t>
      </w:r>
    </w:p>
    <w:p w:rsidR="006F5996" w:rsidRPr="0035426C" w:rsidRDefault="006F5996" w:rsidP="006F5996">
      <w:pPr>
        <w:pStyle w:val="Level16"/>
        <w:tabs>
          <w:tab w:val="clear" w:pos="850"/>
        </w:tabs>
        <w:rPr>
          <w:b/>
          <w:i/>
        </w:rPr>
      </w:pPr>
      <w:r>
        <w:rPr>
          <w:b/>
          <w:i/>
        </w:rPr>
        <w:t>Committee comment</w:t>
      </w:r>
    </w:p>
    <w:p w:rsidR="006F5996" w:rsidRDefault="006F5996" w:rsidP="006F5996">
      <w:pPr>
        <w:pStyle w:val="Level16"/>
        <w:numPr>
          <w:ilvl w:val="0"/>
          <w:numId w:val="21"/>
        </w:numPr>
      </w:pPr>
      <w:r>
        <w:t>The committee thanks the Attorney-General for this response. The committee notes the Attorney-General's advice that the retrospective validation of the regulations would only operate if the amending regulations were found to be invalid, and that the government considers the risk of invalidity to be small but that it is appropriate to include such a provision to avoid any detrimental impact that might arise as to do otherwise would undermine the effective enforcement of the criminal law during this period. The committee further notes the Attorney-General's advice that the retrospective validation would not have any detrimental effect on any individual, or change the rights or liabilities of any person subject to prosecution during the period the regulations were purportedly in force.</w:t>
      </w:r>
    </w:p>
    <w:p w:rsidR="006F5996" w:rsidRDefault="006F5996" w:rsidP="006F5996">
      <w:pPr>
        <w:pStyle w:val="Level16"/>
        <w:numPr>
          <w:ilvl w:val="0"/>
          <w:numId w:val="21"/>
        </w:numPr>
      </w:pPr>
      <w:r>
        <w:t xml:space="preserve">Although the Attorney-General has stated that the risk of invalidity is considered small, the committee notes that the Attorney's response does not answer the committee's question as to why it is necessary to validate these regulations (i.e. what are the features of the amending regulations that caused the government to believe there is any risk of invalidity). The committee also notes the difficulty in reconciling the Attorney-General's advice that it is necessary to ensure the validity of the amending regulations because the consequence of invalidity would be 'significant for all concerned', with the advice that the validation would not have any </w:t>
      </w:r>
      <w:r>
        <w:lastRenderedPageBreak/>
        <w:t>detrimental effect on an individual, or change the rights or liabilities of any person subject to prosecution.</w:t>
      </w:r>
    </w:p>
    <w:p w:rsidR="006F5996" w:rsidRPr="004725FA" w:rsidRDefault="006F5996" w:rsidP="006F5996">
      <w:pPr>
        <w:pStyle w:val="Level16"/>
        <w:numPr>
          <w:ilvl w:val="0"/>
          <w:numId w:val="21"/>
        </w:numPr>
        <w:rPr>
          <w:b/>
        </w:rPr>
      </w:pPr>
      <w:r w:rsidRPr="004725FA">
        <w:rPr>
          <w:b/>
        </w:rPr>
        <w:t xml:space="preserve">The committee requests that the key information provided by the </w:t>
      </w:r>
      <w:r>
        <w:rPr>
          <w:b/>
        </w:rPr>
        <w:t xml:space="preserve">Attorney-General </w:t>
      </w:r>
      <w:r w:rsidRPr="004725FA">
        <w:rPr>
          <w:b/>
        </w:rPr>
        <w:t xml:space="preserve">be included in the explanatory memorandum, noting the importance of this document as a point of access to understanding the law and, if needed, as extrinsic material to assist with interpretation (see section 15AB of the </w:t>
      </w:r>
      <w:r w:rsidRPr="004725FA">
        <w:rPr>
          <w:b/>
          <w:i/>
        </w:rPr>
        <w:t>Acts Interpretation Act 1901</w:t>
      </w:r>
      <w:r w:rsidRPr="004725FA">
        <w:rPr>
          <w:b/>
        </w:rPr>
        <w:t>).</w:t>
      </w:r>
    </w:p>
    <w:p w:rsidR="006F5996" w:rsidRDefault="006F5996" w:rsidP="006F5996">
      <w:pPr>
        <w:pStyle w:val="Level16"/>
        <w:numPr>
          <w:ilvl w:val="0"/>
          <w:numId w:val="21"/>
        </w:numPr>
        <w:rPr>
          <w:b/>
        </w:rPr>
      </w:pPr>
      <w:bookmarkStart w:id="17" w:name="OLE_LINK91"/>
      <w:r w:rsidRPr="001A7C45">
        <w:rPr>
          <w:b/>
        </w:rPr>
        <w:t xml:space="preserve">In light of the information provided, </w:t>
      </w:r>
      <w:r>
        <w:rPr>
          <w:b/>
        </w:rPr>
        <w:t xml:space="preserve">including the Attorney-General's assurance that the retrospective validation of the DPP Regulations would not have any detrimental effect on any individual, </w:t>
      </w:r>
      <w:r w:rsidRPr="001A7C45">
        <w:rPr>
          <w:b/>
        </w:rPr>
        <w:t>the committee makes no further comment on this matter.</w:t>
      </w:r>
      <w:bookmarkEnd w:id="17"/>
    </w:p>
    <w:p w:rsidR="006F5996" w:rsidRDefault="006F5996" w:rsidP="006F5996">
      <w:pPr>
        <w:pStyle w:val="Level16"/>
        <w:numPr>
          <w:ilvl w:val="0"/>
          <w:numId w:val="21"/>
        </w:numPr>
        <w:rPr>
          <w:b/>
        </w:rPr>
        <w:sectPr w:rsidR="006F5996" w:rsidSect="00194588">
          <w:headerReference w:type="even" r:id="rId171"/>
          <w:headerReference w:type="default" r:id="rId172"/>
          <w:footerReference w:type="even" r:id="rId173"/>
          <w:footerReference w:type="default" r:id="rId174"/>
          <w:headerReference w:type="first" r:id="rId175"/>
          <w:footerReference w:type="first" r:id="rId176"/>
          <w:pgSz w:w="11906" w:h="16838" w:code="9"/>
          <w:pgMar w:top="1440" w:right="1440" w:bottom="1202" w:left="1440" w:header="1134" w:footer="720" w:gutter="0"/>
          <w:cols w:space="720"/>
          <w:titlePg/>
        </w:sectPr>
      </w:pPr>
    </w:p>
    <w:p w:rsidR="006F5996" w:rsidRDefault="006F5996" w:rsidP="006F5996">
      <w:pPr>
        <w:sectPr w:rsidR="006F5996" w:rsidSect="006F5996">
          <w:type w:val="continuous"/>
          <w:pgSz w:w="11906" w:h="16838" w:code="9"/>
          <w:pgMar w:top="1440" w:right="1440" w:bottom="1202" w:left="1440" w:header="1134" w:footer="720" w:gutter="0"/>
          <w:cols w:space="720"/>
          <w:titlePg/>
        </w:sectPr>
      </w:pPr>
    </w:p>
    <w:p w:rsidR="006F5996" w:rsidRPr="00BE6DEF" w:rsidRDefault="006F5996" w:rsidP="006F5996">
      <w:pPr>
        <w:pStyle w:val="Heading1"/>
        <w:spacing w:after="240"/>
        <w:jc w:val="both"/>
        <w:rPr>
          <w:rFonts w:asciiTheme="minorHAnsi" w:hAnsiTheme="minorHAnsi"/>
          <w:szCs w:val="40"/>
        </w:rPr>
      </w:pPr>
      <w:r w:rsidRPr="00BE6DEF">
        <w:rPr>
          <w:rFonts w:asciiTheme="minorHAnsi" w:hAnsiTheme="minorHAnsi" w:cs="Arial"/>
          <w:szCs w:val="40"/>
        </w:rPr>
        <w:lastRenderedPageBreak/>
        <w:t>Migration Amendment (Prohibiting Items in Immigration Detention Facilities)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5996" w:rsidRPr="00BE6DEF" w:rsidTr="006F5996">
        <w:tc>
          <w:tcPr>
            <w:tcW w:w="2660" w:type="dxa"/>
            <w:tcBorders>
              <w:top w:val="single" w:sz="12" w:space="0" w:color="auto"/>
              <w:right w:val="single" w:sz="12" w:space="0" w:color="auto"/>
            </w:tcBorders>
          </w:tcPr>
          <w:p w:rsidR="006F5996" w:rsidRPr="00BE6DEF" w:rsidRDefault="006F5996" w:rsidP="006F5996">
            <w:pPr>
              <w:rPr>
                <w:b/>
                <w:sz w:val="24"/>
                <w:szCs w:val="24"/>
              </w:rPr>
            </w:pPr>
            <w:r w:rsidRPr="00BE6DEF">
              <w:rPr>
                <w:b/>
                <w:sz w:val="24"/>
                <w:szCs w:val="24"/>
              </w:rPr>
              <w:t>Purpose</w:t>
            </w:r>
          </w:p>
        </w:tc>
        <w:tc>
          <w:tcPr>
            <w:tcW w:w="6582" w:type="dxa"/>
            <w:tcBorders>
              <w:top w:val="single" w:sz="12" w:space="0" w:color="auto"/>
              <w:left w:val="single" w:sz="12" w:space="0" w:color="auto"/>
            </w:tcBorders>
          </w:tcPr>
          <w:p w:rsidR="006F5996" w:rsidRPr="00BE6DEF" w:rsidRDefault="006F5996" w:rsidP="006F5996">
            <w:pPr>
              <w:spacing w:after="60"/>
              <w:rPr>
                <w:sz w:val="24"/>
                <w:szCs w:val="24"/>
              </w:rPr>
            </w:pPr>
            <w:r w:rsidRPr="00BE6DEF">
              <w:rPr>
                <w:sz w:val="24"/>
                <w:szCs w:val="24"/>
              </w:rPr>
              <w:t xml:space="preserve">This bill seeks to amend the </w:t>
            </w:r>
            <w:r w:rsidRPr="00BE6DEF">
              <w:rPr>
                <w:i/>
                <w:sz w:val="24"/>
                <w:szCs w:val="24"/>
              </w:rPr>
              <w:t>Migration Act 1958</w:t>
            </w:r>
            <w:r w:rsidRPr="00BE6DEF">
              <w:rPr>
                <w:sz w:val="24"/>
                <w:szCs w:val="24"/>
              </w:rPr>
              <w:t xml:space="preserve"> to prohibit narcotic drugs, mobile phones, SIM cards and other things of concern in relation to persons in immigration detention facilities</w:t>
            </w:r>
          </w:p>
          <w:p w:rsidR="006F5996" w:rsidRPr="00BE6DEF" w:rsidRDefault="006F5996" w:rsidP="006F5996">
            <w:pPr>
              <w:spacing w:after="60"/>
            </w:pPr>
            <w:r w:rsidRPr="00BE6DEF">
              <w:rPr>
                <w:sz w:val="24"/>
                <w:szCs w:val="24"/>
              </w:rPr>
              <w:t>The bill also amends the search and seizure powers, including the use of detector dogs for screening procedures</w:t>
            </w:r>
          </w:p>
        </w:tc>
      </w:tr>
      <w:tr w:rsidR="006F5996" w:rsidRPr="00BE6DEF" w:rsidTr="006F5996">
        <w:tc>
          <w:tcPr>
            <w:tcW w:w="2660" w:type="dxa"/>
            <w:tcBorders>
              <w:right w:val="single" w:sz="12" w:space="0" w:color="auto"/>
            </w:tcBorders>
          </w:tcPr>
          <w:p w:rsidR="006F5996" w:rsidRPr="00BE6DEF" w:rsidRDefault="006F5996" w:rsidP="006F5996">
            <w:pPr>
              <w:rPr>
                <w:b/>
                <w:sz w:val="24"/>
                <w:szCs w:val="24"/>
              </w:rPr>
            </w:pPr>
            <w:r w:rsidRPr="00BE6DEF">
              <w:rPr>
                <w:b/>
                <w:sz w:val="24"/>
                <w:szCs w:val="24"/>
              </w:rPr>
              <w:t>Portfolio</w:t>
            </w:r>
          </w:p>
        </w:tc>
        <w:tc>
          <w:tcPr>
            <w:tcW w:w="6582" w:type="dxa"/>
            <w:tcBorders>
              <w:left w:val="single" w:sz="12" w:space="0" w:color="auto"/>
            </w:tcBorders>
          </w:tcPr>
          <w:p w:rsidR="006F5996" w:rsidRPr="00BE6DEF" w:rsidRDefault="006F5996" w:rsidP="006F5996">
            <w:pPr>
              <w:rPr>
                <w:sz w:val="24"/>
                <w:szCs w:val="24"/>
              </w:rPr>
            </w:pPr>
            <w:r w:rsidRPr="00BE6DEF">
              <w:rPr>
                <w:sz w:val="24"/>
                <w:szCs w:val="24"/>
              </w:rPr>
              <w:t>Immigration and Border Protection</w:t>
            </w:r>
          </w:p>
        </w:tc>
      </w:tr>
      <w:tr w:rsidR="006F5996" w:rsidRPr="00BE6DEF" w:rsidTr="006F5996">
        <w:tc>
          <w:tcPr>
            <w:tcW w:w="2660" w:type="dxa"/>
            <w:tcBorders>
              <w:right w:val="single" w:sz="12" w:space="0" w:color="auto"/>
            </w:tcBorders>
          </w:tcPr>
          <w:p w:rsidR="006F5996" w:rsidRPr="00BE6DEF" w:rsidRDefault="006F5996" w:rsidP="006F5996">
            <w:pPr>
              <w:rPr>
                <w:b/>
                <w:sz w:val="24"/>
                <w:szCs w:val="24"/>
              </w:rPr>
            </w:pPr>
            <w:r w:rsidRPr="00BE6DEF">
              <w:rPr>
                <w:b/>
                <w:sz w:val="24"/>
                <w:szCs w:val="24"/>
              </w:rPr>
              <w:t>Introduced</w:t>
            </w:r>
          </w:p>
        </w:tc>
        <w:tc>
          <w:tcPr>
            <w:tcW w:w="6582" w:type="dxa"/>
            <w:tcBorders>
              <w:left w:val="single" w:sz="12" w:space="0" w:color="auto"/>
            </w:tcBorders>
          </w:tcPr>
          <w:p w:rsidR="006F5996" w:rsidRPr="00BE6DEF" w:rsidRDefault="006F5996" w:rsidP="006F5996">
            <w:pPr>
              <w:rPr>
                <w:sz w:val="24"/>
                <w:szCs w:val="24"/>
              </w:rPr>
            </w:pPr>
            <w:r w:rsidRPr="00BE6DEF">
              <w:rPr>
                <w:sz w:val="24"/>
                <w:szCs w:val="24"/>
              </w:rPr>
              <w:t>House of Representatives on 13 September 2017</w:t>
            </w:r>
          </w:p>
        </w:tc>
      </w:tr>
      <w:tr w:rsidR="006F5996" w:rsidRPr="00BE6DEF" w:rsidTr="006F5996">
        <w:tc>
          <w:tcPr>
            <w:tcW w:w="2660" w:type="dxa"/>
            <w:tcBorders>
              <w:right w:val="single" w:sz="12" w:space="0" w:color="auto"/>
            </w:tcBorders>
          </w:tcPr>
          <w:p w:rsidR="006F5996" w:rsidRPr="00BE6DEF" w:rsidRDefault="006F5996" w:rsidP="006F5996">
            <w:pPr>
              <w:rPr>
                <w:b/>
                <w:sz w:val="24"/>
                <w:szCs w:val="24"/>
              </w:rPr>
            </w:pPr>
            <w:r>
              <w:rPr>
                <w:b/>
                <w:sz w:val="24"/>
                <w:szCs w:val="24"/>
              </w:rPr>
              <w:t>Bill status</w:t>
            </w:r>
          </w:p>
        </w:tc>
        <w:tc>
          <w:tcPr>
            <w:tcW w:w="6582" w:type="dxa"/>
            <w:tcBorders>
              <w:left w:val="single" w:sz="12" w:space="0" w:color="auto"/>
            </w:tcBorders>
          </w:tcPr>
          <w:p w:rsidR="006F5996" w:rsidRPr="00BE6DEF" w:rsidRDefault="006F5996" w:rsidP="006F5996">
            <w:pPr>
              <w:rPr>
                <w:sz w:val="24"/>
                <w:szCs w:val="24"/>
              </w:rPr>
            </w:pPr>
            <w:r>
              <w:rPr>
                <w:sz w:val="24"/>
                <w:szCs w:val="24"/>
              </w:rPr>
              <w:t>Before the House of Representatives</w:t>
            </w:r>
          </w:p>
        </w:tc>
      </w:tr>
      <w:tr w:rsidR="006F5996" w:rsidRPr="00BE6DEF" w:rsidTr="006F5996">
        <w:tc>
          <w:tcPr>
            <w:tcW w:w="2660" w:type="dxa"/>
            <w:tcBorders>
              <w:bottom w:val="single" w:sz="12" w:space="0" w:color="auto"/>
              <w:right w:val="single" w:sz="12" w:space="0" w:color="auto"/>
            </w:tcBorders>
          </w:tcPr>
          <w:p w:rsidR="006F5996" w:rsidRPr="00BE6DEF" w:rsidRDefault="006F5996" w:rsidP="006F5996">
            <w:pPr>
              <w:rPr>
                <w:b/>
                <w:sz w:val="24"/>
                <w:szCs w:val="24"/>
              </w:rPr>
            </w:pPr>
            <w:r w:rsidRPr="00BE6DEF">
              <w:rPr>
                <w:b/>
                <w:sz w:val="24"/>
                <w:szCs w:val="24"/>
              </w:rPr>
              <w:t>Scrutiny principles</w:t>
            </w:r>
          </w:p>
        </w:tc>
        <w:tc>
          <w:tcPr>
            <w:tcW w:w="6582" w:type="dxa"/>
            <w:tcBorders>
              <w:left w:val="single" w:sz="12" w:space="0" w:color="auto"/>
              <w:bottom w:val="single" w:sz="12" w:space="0" w:color="auto"/>
            </w:tcBorders>
          </w:tcPr>
          <w:p w:rsidR="006F5996" w:rsidRPr="00BE6DEF" w:rsidRDefault="006F5996" w:rsidP="006F5996">
            <w:pPr>
              <w:rPr>
                <w:sz w:val="24"/>
                <w:szCs w:val="24"/>
              </w:rPr>
            </w:pPr>
            <w:r w:rsidRPr="00BE6DEF">
              <w:rPr>
                <w:sz w:val="24"/>
                <w:szCs w:val="24"/>
              </w:rPr>
              <w:t>Standing Order 24(1)(a)(i), (ii), (iv) and (iv)</w:t>
            </w:r>
          </w:p>
        </w:tc>
      </w:tr>
    </w:tbl>
    <w:p w:rsidR="006F5996" w:rsidRPr="001202FC" w:rsidRDefault="006F5996" w:rsidP="006F5996">
      <w:pPr>
        <w:pStyle w:val="Level17"/>
        <w:numPr>
          <w:ilvl w:val="0"/>
          <w:numId w:val="21"/>
        </w:numPr>
        <w:spacing w:before="240"/>
      </w:pPr>
      <w:r w:rsidRPr="001202FC">
        <w:t xml:space="preserve">The committee dealt with this bill in </w:t>
      </w:r>
      <w:r w:rsidRPr="001202FC">
        <w:rPr>
          <w:i/>
        </w:rPr>
        <w:t xml:space="preserve">Scrutiny Digest No. </w:t>
      </w:r>
      <w:r>
        <w:rPr>
          <w:i/>
        </w:rPr>
        <w:t>12</w:t>
      </w:r>
      <w:r w:rsidRPr="001202FC">
        <w:rPr>
          <w:i/>
        </w:rPr>
        <w:t xml:space="preserve"> of 2017</w:t>
      </w:r>
      <w:r w:rsidRPr="001202FC">
        <w:t>. The Minister responded to the committee</w:t>
      </w:r>
      <w:r>
        <w:t>'</w:t>
      </w:r>
      <w:r w:rsidRPr="001202FC">
        <w:t xml:space="preserve">s comments in a letter </w:t>
      </w:r>
      <w:r>
        <w:t>dated 2 November 2017</w:t>
      </w:r>
      <w:r w:rsidRPr="001202FC">
        <w:t>. Set out below are extracts from the committee</w:t>
      </w:r>
      <w:r>
        <w:t>'</w:t>
      </w:r>
      <w:r w:rsidRPr="001202FC">
        <w:t>s initial scrutiny of the bill and the Minister</w:t>
      </w:r>
      <w:r>
        <w:t>'</w:t>
      </w:r>
      <w:r w:rsidRPr="001202FC">
        <w:t>s response followed by the committee</w:t>
      </w:r>
      <w:r>
        <w:t>'</w:t>
      </w:r>
      <w:r w:rsidRPr="001202FC">
        <w:t>s comments on the response. A copy of the letter is available on the committee</w:t>
      </w:r>
      <w:r>
        <w:t>'</w:t>
      </w:r>
      <w:r w:rsidRPr="001202FC">
        <w:t>s website.</w:t>
      </w:r>
      <w:r w:rsidRPr="001202FC">
        <w:rPr>
          <w:rStyle w:val="FootnoteReference"/>
        </w:rPr>
        <w:footnoteReference w:id="181"/>
      </w:r>
    </w:p>
    <w:p w:rsidR="006F5996" w:rsidRDefault="006F5996" w:rsidP="006F5996">
      <w:pPr>
        <w:pStyle w:val="Heading3"/>
      </w:pPr>
      <w:r w:rsidRPr="00BE6DEF">
        <w:t>Undue trespass on personal rights and liberties</w:t>
      </w:r>
      <w:r w:rsidRPr="00BE6DEF">
        <w:rPr>
          <w:rStyle w:val="FootnoteReference"/>
          <w:b w:val="0"/>
        </w:rPr>
        <w:footnoteReference w:id="182"/>
      </w:r>
    </w:p>
    <w:p w:rsidR="006F5996" w:rsidRDefault="006F5996" w:rsidP="006F5996">
      <w:pPr>
        <w:spacing w:after="0"/>
        <w:rPr>
          <w:b/>
          <w:i/>
        </w:rPr>
      </w:pPr>
      <w:r>
        <w:rPr>
          <w:b/>
          <w:i/>
        </w:rPr>
        <w:t>Initial scrutiny – extract</w:t>
      </w:r>
    </w:p>
    <w:p w:rsidR="006F5996" w:rsidRPr="00BE6DEF" w:rsidRDefault="006F5996" w:rsidP="006F5996">
      <w:pPr>
        <w:pStyle w:val="Level18"/>
        <w:numPr>
          <w:ilvl w:val="0"/>
          <w:numId w:val="21"/>
        </w:numPr>
      </w:pPr>
      <w:r w:rsidRPr="00BE6DEF">
        <w:t xml:space="preserve">This bill seeks to amend the </w:t>
      </w:r>
      <w:r w:rsidRPr="00BE6DEF">
        <w:rPr>
          <w:i/>
        </w:rPr>
        <w:t>Migration Act 1958</w:t>
      </w:r>
      <w:r w:rsidRPr="00BE6DEF">
        <w:t xml:space="preserve"> (Migration Act) to enable the Minister to determine, by legislative instrument, that any 'thing' is prohibited in an immigration detention centre, if satisfied that possession of the thing is prohibited by law or possession or use of the thing in the detention facility 'might be a risk to the health, safety or security of persons in the facility, or to the order of the facility'.</w:t>
      </w:r>
      <w:r w:rsidRPr="00BE6DEF">
        <w:rPr>
          <w:rStyle w:val="FootnoteReference"/>
        </w:rPr>
        <w:footnoteReference w:id="183"/>
      </w:r>
      <w:r w:rsidRPr="00BE6DEF">
        <w:t xml:space="preserve"> A note in the bill gives examples of the things that might be considered to pose such a risk as including mobile phones; SIM cards; computers and tablets; medications or health care supplements in specified circumstances and publications or other material that could incite violence, racism or hatred. </w:t>
      </w:r>
    </w:p>
    <w:p w:rsidR="006F5996" w:rsidRPr="00BE6DEF" w:rsidRDefault="006F5996" w:rsidP="006F5996">
      <w:pPr>
        <w:pStyle w:val="Level18"/>
        <w:numPr>
          <w:ilvl w:val="0"/>
          <w:numId w:val="21"/>
        </w:numPr>
      </w:pPr>
      <w:r w:rsidRPr="00BE6DEF">
        <w:t>The bill also proposes to give or extend powers to:</w:t>
      </w:r>
    </w:p>
    <w:p w:rsidR="006F5996" w:rsidRPr="00BE6DEF" w:rsidRDefault="006F5996" w:rsidP="006F5996">
      <w:pPr>
        <w:pStyle w:val="Bullet1"/>
      </w:pPr>
      <w:r w:rsidRPr="00BE6DEF">
        <w:lastRenderedPageBreak/>
        <w:t>search a detainee's person, clothing and property to find out whether a prohibited thing is hidden on the person, in the clothing or in their property;</w:t>
      </w:r>
      <w:r w:rsidRPr="00BE6DEF">
        <w:rPr>
          <w:rStyle w:val="FootnoteReference"/>
        </w:rPr>
        <w:footnoteReference w:id="184"/>
      </w:r>
    </w:p>
    <w:p w:rsidR="006F5996" w:rsidRPr="00BE6DEF" w:rsidRDefault="006F5996" w:rsidP="006F5996">
      <w:pPr>
        <w:pStyle w:val="Bullet1"/>
      </w:pPr>
      <w:r w:rsidRPr="00BE6DEF">
        <w:t>require a detainee, or their possessions, to be strip-searched or screened by screening equipment to find out whether a prohibited thing is hidden on the person, in their clothing or in their possession;</w:t>
      </w:r>
      <w:r w:rsidRPr="00BE6DEF">
        <w:rPr>
          <w:rStyle w:val="FootnoteReference"/>
        </w:rPr>
        <w:footnoteReference w:id="185"/>
      </w:r>
      <w:r w:rsidRPr="00BE6DEF">
        <w:t xml:space="preserve"> and</w:t>
      </w:r>
    </w:p>
    <w:p w:rsidR="006F5996" w:rsidRPr="00BE6DEF" w:rsidRDefault="006F5996" w:rsidP="006F5996">
      <w:pPr>
        <w:pStyle w:val="Bullet1"/>
      </w:pPr>
      <w:r w:rsidRPr="00BE6DEF">
        <w:t>enable authorised officers and their assistants to search, without a warrant, the rooms and personal effects of immigration detainees to find out if a prohibited thing, weapon or other thing capable of being used to inflict injury or help a detainee escape is in the detention facility (and to use detector dogs for this purpose).</w:t>
      </w:r>
      <w:r w:rsidRPr="00BE6DEF">
        <w:rPr>
          <w:rStyle w:val="FootnoteReference"/>
        </w:rPr>
        <w:footnoteReference w:id="186"/>
      </w:r>
    </w:p>
    <w:p w:rsidR="006F5996" w:rsidRPr="00BE6DEF" w:rsidRDefault="006F5996" w:rsidP="006F5996">
      <w:pPr>
        <w:pStyle w:val="Level18"/>
        <w:numPr>
          <w:ilvl w:val="0"/>
          <w:numId w:val="21"/>
        </w:numPr>
      </w:pPr>
      <w:r w:rsidRPr="00BE6DEF">
        <w:t>The bill also indirectly empowers authorised officers to use force against a person or property when conducting a search so long as it is reasonably necessary in order to conduct the search.</w:t>
      </w:r>
      <w:r w:rsidRPr="00BE6DEF">
        <w:rPr>
          <w:rStyle w:val="FootnoteReference"/>
        </w:rPr>
        <w:footnoteReference w:id="187"/>
      </w:r>
    </w:p>
    <w:p w:rsidR="006F5996" w:rsidRPr="00BE6DEF" w:rsidRDefault="006F5996" w:rsidP="006F5996">
      <w:pPr>
        <w:pStyle w:val="Level18"/>
        <w:numPr>
          <w:ilvl w:val="0"/>
          <w:numId w:val="21"/>
        </w:numPr>
      </w:pPr>
      <w:r w:rsidRPr="00BE6DEF">
        <w:t>The explanatory memorandum gives the reason for the amendments as being because the profile of the detainees in immigration detention facilities has changed significantly over the past two years, with facilities now accommodating a number of higher risk detainees, including child sex offenders and members of organised crime groups.</w:t>
      </w:r>
      <w:r w:rsidRPr="00BE6DEF">
        <w:rPr>
          <w:rStyle w:val="FootnoteReference"/>
        </w:rPr>
        <w:footnoteReference w:id="188"/>
      </w:r>
      <w:r w:rsidRPr="00BE6DEF">
        <w:t xml:space="preserve"> The explanatory memorandum also states that evidence indicates that detainees are using mobile phones 'to coordinate and assist escape efforts, as a commodity of exchange, to aid the movement of contraband, and to convey threats'.</w:t>
      </w:r>
      <w:r w:rsidRPr="00BE6DEF">
        <w:rPr>
          <w:rStyle w:val="FootnoteReference"/>
        </w:rPr>
        <w:footnoteReference w:id="189"/>
      </w:r>
      <w:r w:rsidRPr="00BE6DEF">
        <w:t xml:space="preserve"> It also states that the existing search and seizure powers in the Migration Act are not sufficient to manage narcotic drugs, mobile phones, SIM cards or other things that are of concern in immigration detention facilities, and the amendments in the bill seek to enhance the health, safety and security of persons within the facilities.</w:t>
      </w:r>
      <w:r w:rsidRPr="00BE6DEF">
        <w:rPr>
          <w:rStyle w:val="FootnoteReference"/>
        </w:rPr>
        <w:footnoteReference w:id="190"/>
      </w:r>
    </w:p>
    <w:p w:rsidR="006F5996" w:rsidRPr="00BE6DEF" w:rsidRDefault="006F5996" w:rsidP="006F5996">
      <w:pPr>
        <w:pStyle w:val="Level18"/>
        <w:numPr>
          <w:ilvl w:val="0"/>
          <w:numId w:val="21"/>
        </w:numPr>
      </w:pPr>
      <w:r w:rsidRPr="00BE6DEF">
        <w:t xml:space="preserve">The committee notes that the amendments in the bill, in restricting the possessions a detainee may have inside immigration detention and empowering authorised officers to search a detainee without a warrant (including strip-searches and searches of a detainee's room and personal effects), trespass on the detainee's rights and liberties, particularly their right to privacy. The committee's terms of </w:t>
      </w:r>
      <w:r w:rsidRPr="00BE6DEF">
        <w:lastRenderedPageBreak/>
        <w:t xml:space="preserve">reference require it to consider whether provisions </w:t>
      </w:r>
      <w:r w:rsidRPr="00BE6DEF">
        <w:rPr>
          <w:i/>
        </w:rPr>
        <w:t>unduly</w:t>
      </w:r>
      <w:r w:rsidRPr="00BE6DEF">
        <w:t xml:space="preserve"> trespass on rights and liberties.</w:t>
      </w:r>
      <w:r w:rsidRPr="00BE6DEF">
        <w:rPr>
          <w:rStyle w:val="FootnoteReference"/>
        </w:rPr>
        <w:footnoteReference w:id="191"/>
      </w:r>
      <w:r w:rsidRPr="00BE6DEF">
        <w:t xml:space="preserve"> In this instance, the committee acknowledges the difficulties posed by detainees with serious criminal histories, and appreciates there may be a need to restrict access for high-risk detainees to items that could be used to attempt to commit offences. </w:t>
      </w:r>
    </w:p>
    <w:p w:rsidR="006F5996" w:rsidRPr="00BE6DEF" w:rsidRDefault="006F5996" w:rsidP="006F5996">
      <w:pPr>
        <w:pStyle w:val="Level18"/>
        <w:numPr>
          <w:ilvl w:val="0"/>
          <w:numId w:val="21"/>
        </w:numPr>
      </w:pPr>
      <w:r w:rsidRPr="00BE6DEF">
        <w:t>However, the committee notes that persons detained in immigration detention facilities are detained on the basis that they are non-citizens who do not possess a valid visa. They are not detained, as is the case for those in prisons, as punishment for having committed a crime. The level of risk posed by persons detained due to the exercise of the Minister's character ground visa cancellation powers is likely to be very different to that posed by people seeking to be recognised as refugees or a tourist having overstayed their visa. Yet, the proposed amendments in the bill would apply to all immigration detainees equally, despite the fact that around half the detention population is not made up of high-risk individuals.</w:t>
      </w:r>
      <w:r w:rsidRPr="00BE6DEF">
        <w:rPr>
          <w:rStyle w:val="FootnoteReference"/>
        </w:rPr>
        <w:footnoteReference w:id="192"/>
      </w:r>
      <w:r w:rsidRPr="00BE6DEF">
        <w:t xml:space="preserve"> </w:t>
      </w:r>
    </w:p>
    <w:p w:rsidR="006F5996" w:rsidRPr="007774BB" w:rsidRDefault="006F5996" w:rsidP="006F5996">
      <w:pPr>
        <w:pStyle w:val="Level18"/>
        <w:numPr>
          <w:ilvl w:val="0"/>
          <w:numId w:val="21"/>
        </w:numPr>
      </w:pPr>
      <w:r w:rsidRPr="007774BB">
        <w:t>As the amendments in the bill would apply regardless of the level of risk posed by different detainees, the committee considers that the bill, in restricting individual privacy and autonomy by denying detainees the ability to possess things, such as mobile phones or computers, and the extensive search powers (without the need to obtain a warrant), unduly trespasses on personal rights and liberties. The committee notes these scrutiny concerns are heightened by the broad power given to the Minister to prescribe any 'thing' as being prohibited so long as the Minister is satisfied that possession or use of the thing 'might' be a risk to the health, safety or security of persons in the facility or to the order of the facility (as noted below at paragraphs [</w:t>
      </w:r>
      <w:r w:rsidRPr="007774BB">
        <w:fldChar w:fldCharType="begin"/>
      </w:r>
      <w:r w:rsidRPr="007774BB">
        <w:instrText xml:space="preserve"> REF _Ref494979935 \r \h  \* MERGEFORMAT </w:instrText>
      </w:r>
      <w:r w:rsidRPr="007774BB">
        <w:fldChar w:fldCharType="separate"/>
      </w:r>
      <w:r>
        <w:t>2.133</w:t>
      </w:r>
      <w:r w:rsidRPr="007774BB">
        <w:fldChar w:fldCharType="end"/>
      </w:r>
      <w:r w:rsidRPr="007774BB">
        <w:t>] to [</w:t>
      </w:r>
      <w:r w:rsidRPr="007774BB">
        <w:fldChar w:fldCharType="begin"/>
      </w:r>
      <w:r w:rsidRPr="007774BB">
        <w:instrText xml:space="preserve"> REF _Ref494979947 \r \h  \* MERGEFORMAT </w:instrText>
      </w:r>
      <w:r w:rsidRPr="007774BB">
        <w:fldChar w:fldCharType="separate"/>
      </w:r>
      <w:r>
        <w:t>2.137</w:t>
      </w:r>
      <w:r w:rsidRPr="007774BB">
        <w:fldChar w:fldCharType="end"/>
      </w:r>
      <w:r w:rsidRPr="007774BB">
        <w:t>]).</w:t>
      </w:r>
    </w:p>
    <w:p w:rsidR="006F5996" w:rsidRPr="007774BB" w:rsidRDefault="006F5996" w:rsidP="006F5996">
      <w:pPr>
        <w:pStyle w:val="Level18"/>
        <w:numPr>
          <w:ilvl w:val="0"/>
          <w:numId w:val="21"/>
        </w:numPr>
      </w:pPr>
      <w:r w:rsidRPr="007774BB">
        <w:t xml:space="preserve">The committee draws these scrutiny concerns to the attention of Senators and </w:t>
      </w:r>
      <w:bookmarkStart w:id="18" w:name="OLE_LINK52"/>
      <w:r w:rsidRPr="007774BB">
        <w:t>leaves to the Senate as a whole the appropriateness of</w:t>
      </w:r>
      <w:bookmarkEnd w:id="18"/>
      <w:r w:rsidRPr="007774BB">
        <w:t xml:space="preserve"> the amendments impacting on individual liberties made by this bill.</w:t>
      </w:r>
    </w:p>
    <w:p w:rsidR="006F5996" w:rsidRDefault="006F5996" w:rsidP="006F5996">
      <w:pPr>
        <w:pStyle w:val="Level17"/>
        <w:tabs>
          <w:tab w:val="clear" w:pos="850"/>
        </w:tabs>
        <w:rPr>
          <w:b/>
          <w:i/>
        </w:rPr>
      </w:pPr>
      <w:r>
        <w:rPr>
          <w:b/>
          <w:i/>
        </w:rPr>
        <w:t>Minister's response</w:t>
      </w:r>
    </w:p>
    <w:p w:rsidR="006F5996" w:rsidRPr="0035426C" w:rsidRDefault="006F5996" w:rsidP="006F5996">
      <w:pPr>
        <w:pStyle w:val="Level17"/>
        <w:numPr>
          <w:ilvl w:val="0"/>
          <w:numId w:val="21"/>
        </w:numPr>
      </w:pPr>
      <w:r>
        <w:t>The Minister advised:</w:t>
      </w:r>
    </w:p>
    <w:p w:rsidR="006F5996" w:rsidRPr="00C214E0" w:rsidRDefault="006F5996" w:rsidP="006F5996">
      <w:pPr>
        <w:pStyle w:val="Quote"/>
        <w:rPr>
          <w:lang w:eastAsia="en-AU"/>
        </w:rPr>
      </w:pPr>
      <w:r w:rsidRPr="00C214E0">
        <w:rPr>
          <w:lang w:eastAsia="en-AU"/>
        </w:rPr>
        <w:t>Immigration detention facilities (IDFs) contain detainees who are in immigration detention for different reasons, including:</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illegal maritime arrivals (IMAs);</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people who have overstayed their visa; and</w:t>
      </w:r>
    </w:p>
    <w:p w:rsidR="006F5996" w:rsidRPr="00C214E0" w:rsidRDefault="006F5996" w:rsidP="006F5996">
      <w:pPr>
        <w:pStyle w:val="Bullet25"/>
        <w:numPr>
          <w:ilvl w:val="0"/>
          <w:numId w:val="4"/>
        </w:numPr>
        <w:tabs>
          <w:tab w:val="clear" w:pos="1134"/>
        </w:tabs>
        <w:ind w:left="1418" w:right="804"/>
        <w:rPr>
          <w:sz w:val="24"/>
          <w:szCs w:val="24"/>
        </w:rPr>
      </w:pPr>
      <w:r w:rsidRPr="00C214E0">
        <w:rPr>
          <w:sz w:val="24"/>
          <w:szCs w:val="24"/>
          <w:lang w:eastAsia="en-AU"/>
        </w:rPr>
        <w:t>people who have had their visas cancelled, including on character grounds.</w:t>
      </w:r>
    </w:p>
    <w:p w:rsidR="006F5996" w:rsidRPr="00C214E0" w:rsidRDefault="006F5996" w:rsidP="006F5996">
      <w:pPr>
        <w:pStyle w:val="Quote"/>
      </w:pPr>
      <w:r w:rsidRPr="00C214E0">
        <w:rPr>
          <w:lang w:eastAsia="en-AU"/>
        </w:rPr>
        <w:lastRenderedPageBreak/>
        <w:t>These people are not lawfully permitted to remain in the Australian community unless or until they hold a visa.</w:t>
      </w:r>
    </w:p>
    <w:p w:rsidR="006F5996" w:rsidRPr="00C214E0" w:rsidRDefault="006F5996" w:rsidP="006F5996">
      <w:pPr>
        <w:pStyle w:val="Quote"/>
      </w:pPr>
      <w:r w:rsidRPr="00C214E0">
        <w:rPr>
          <w:lang w:eastAsia="en-AU"/>
        </w:rPr>
        <w:t>Almost three quarters of the detainee population consists of high-risk individuals who do not hold a visa and includes individuals that have been transferred from a correctional facility, pending their removal from Australia. Members of this cohort have significant criminal histories, such as child sex offences or links to criminal gangs such as outlaw motorcycle gangs and other organised crime groups.</w:t>
      </w:r>
    </w:p>
    <w:p w:rsidR="006F5996" w:rsidRPr="00C214E0" w:rsidRDefault="006F5996" w:rsidP="006F5996">
      <w:pPr>
        <w:pStyle w:val="Quote"/>
      </w:pPr>
      <w:r w:rsidRPr="00C214E0">
        <w:rPr>
          <w:lang w:eastAsia="en-AU"/>
        </w:rPr>
        <w:t>IMAs make up around 25 per cent of the detention population. This cohort is complex and includes people with criminal histories or other security concerns which present a risk to the Australian community.</w:t>
      </w:r>
    </w:p>
    <w:p w:rsidR="006F5996" w:rsidRPr="00C214E0" w:rsidRDefault="006F5996" w:rsidP="006F5996">
      <w:pPr>
        <w:pStyle w:val="Quote"/>
      </w:pPr>
      <w:r w:rsidRPr="00C214E0">
        <w:rPr>
          <w:lang w:eastAsia="en-AU"/>
        </w:rPr>
        <w:t>The change to the demographics of the detention population is due to the Government's successful border protection policy and the increase in visa refusal or cancellation on character grounds.</w:t>
      </w:r>
    </w:p>
    <w:p w:rsidR="006F5996" w:rsidRPr="00C214E0" w:rsidRDefault="006F5996" w:rsidP="006F5996">
      <w:pPr>
        <w:pStyle w:val="Quote"/>
      </w:pPr>
      <w:r w:rsidRPr="00C214E0">
        <w:rPr>
          <w:lang w:eastAsia="en-AU"/>
        </w:rPr>
        <w:t>As a result of the changing demographic of detainees, items such as mobile phones and food items being used to facilitate illegal activity within immigration detention facilities.</w:t>
      </w:r>
    </w:p>
    <w:p w:rsidR="006F5996" w:rsidRPr="00C214E0" w:rsidRDefault="006F5996" w:rsidP="006F5996">
      <w:pPr>
        <w:pStyle w:val="Bullet25"/>
        <w:ind w:right="804"/>
        <w:rPr>
          <w:sz w:val="24"/>
          <w:szCs w:val="24"/>
          <w:lang w:eastAsia="en-AU"/>
        </w:rPr>
      </w:pPr>
      <w:r w:rsidRPr="00C214E0">
        <w:rPr>
          <w:sz w:val="24"/>
          <w:szCs w:val="24"/>
          <w:lang w:eastAsia="en-AU"/>
        </w:rPr>
        <w:t>Activities facilitated or assisted by mobile phone usage include:</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drug distribution</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maintenance of criminal enterprises within and outside of immigration detention facilities</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as commodity of exchange or currency</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owners of mobile phones being subjected to intimidation tactics (including theft of the phone)</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facilitating threats and /or assaults between detainees including an attempted contract killing</w:t>
      </w:r>
    </w:p>
    <w:p w:rsidR="006F5996" w:rsidRPr="00C214E0" w:rsidRDefault="006F5996" w:rsidP="006F5996">
      <w:pPr>
        <w:pStyle w:val="Bullet25"/>
        <w:numPr>
          <w:ilvl w:val="0"/>
          <w:numId w:val="4"/>
        </w:numPr>
        <w:tabs>
          <w:tab w:val="clear" w:pos="1134"/>
        </w:tabs>
        <w:ind w:left="1418" w:right="804"/>
        <w:rPr>
          <w:sz w:val="24"/>
          <w:szCs w:val="24"/>
        </w:rPr>
      </w:pPr>
      <w:r w:rsidRPr="00C214E0">
        <w:rPr>
          <w:sz w:val="24"/>
          <w:szCs w:val="24"/>
          <w:lang w:eastAsia="en-AU"/>
        </w:rPr>
        <w:t>accessing child pornography.</w:t>
      </w:r>
    </w:p>
    <w:p w:rsidR="006F5996" w:rsidRPr="00C214E0" w:rsidRDefault="006F5996" w:rsidP="006F5996">
      <w:pPr>
        <w:pStyle w:val="Quote"/>
      </w:pPr>
      <w:r w:rsidRPr="00C214E0">
        <w:rPr>
          <w:lang w:eastAsia="en-AU"/>
        </w:rPr>
        <w:t>Specific examples of mobile phones and other things being a risk to the health, safety or security of persons in the facility or to the order of the facility include:</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A detainee being held on Christmas Island used a mobile phone to arrange an attempted contract killing on another detainee being held at Maribyrnong Immigration Detention Centre. Another detainee used a mobile phone to successfully coordinate an escape from the Villawood Immigration Detention Centre by climbing a wall to a waiting car.</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Food items are also being used as a method for concealing contraband being brought into immigration detention facilities, this includes narcotic drugs and prescription medications.</w:t>
      </w:r>
    </w:p>
    <w:p w:rsidR="006F5996" w:rsidRPr="00C214E0" w:rsidRDefault="006F5996" w:rsidP="006F5996">
      <w:pPr>
        <w:pStyle w:val="Bullet25"/>
        <w:numPr>
          <w:ilvl w:val="0"/>
          <w:numId w:val="4"/>
        </w:numPr>
        <w:tabs>
          <w:tab w:val="clear" w:pos="1134"/>
        </w:tabs>
        <w:ind w:left="1418" w:right="804"/>
        <w:rPr>
          <w:sz w:val="24"/>
          <w:szCs w:val="24"/>
          <w:lang w:eastAsia="en-AU"/>
        </w:rPr>
      </w:pPr>
      <w:r w:rsidRPr="00C214E0">
        <w:rPr>
          <w:sz w:val="24"/>
          <w:szCs w:val="24"/>
          <w:lang w:eastAsia="en-AU"/>
        </w:rPr>
        <w:t xml:space="preserve">Recent screening procedures conducted on food being brought into detention facilities highlighted the lengths to which detainees will go </w:t>
      </w:r>
      <w:r w:rsidRPr="00C214E0">
        <w:rPr>
          <w:sz w:val="24"/>
          <w:szCs w:val="24"/>
          <w:lang w:eastAsia="en-AU"/>
        </w:rPr>
        <w:lastRenderedPageBreak/>
        <w:t>to smuggle illicit substances into immigration detention facilities. Narcotic drugs were discovered concealed in food items such as bread and chocolate bars.</w:t>
      </w:r>
    </w:p>
    <w:p w:rsidR="006F5996" w:rsidRPr="00C214E0" w:rsidRDefault="006F5996" w:rsidP="006F5996">
      <w:pPr>
        <w:pStyle w:val="Bullet25"/>
        <w:numPr>
          <w:ilvl w:val="0"/>
          <w:numId w:val="4"/>
        </w:numPr>
        <w:tabs>
          <w:tab w:val="clear" w:pos="1134"/>
        </w:tabs>
        <w:ind w:left="1418" w:right="804"/>
        <w:rPr>
          <w:sz w:val="24"/>
          <w:szCs w:val="24"/>
        </w:rPr>
      </w:pPr>
      <w:r w:rsidRPr="00C214E0">
        <w:rPr>
          <w:sz w:val="24"/>
          <w:szCs w:val="24"/>
          <w:lang w:eastAsia="en-AU"/>
        </w:rPr>
        <w:t>Medications or health care supplements in specified circumstances are listed in a note at the end of proposed subsection 251A(2) of the Bill. This is intended to capture circumstances where a person in an immigration detention facility may be in possession of medication that has been prescribed for another person. There has been a significant increase of prescription medication such as Xanax and Suboxone being found in the possession of detainees who do not hold a prescription for these medications. The misuse of medications poses a serious risk to health and safety of detainees and they are also being used as a form of currency.</w:t>
      </w:r>
    </w:p>
    <w:p w:rsidR="006F5996" w:rsidRPr="00C214E0" w:rsidRDefault="006F5996" w:rsidP="006F5996">
      <w:pPr>
        <w:pStyle w:val="Quote"/>
      </w:pPr>
      <w:r w:rsidRPr="00C214E0">
        <w:rPr>
          <w:lang w:eastAsia="en-AU"/>
        </w:rPr>
        <w:t>The examples set out above highlight the need for me to have the ability to determine things to be prohibited things where I am satisfied that possession or use of the thing might be a risk to the health, safety or security of persons in an IDF or to the order of an IDF.</w:t>
      </w:r>
    </w:p>
    <w:p w:rsidR="006F5996" w:rsidRPr="00C214E0" w:rsidRDefault="006F5996" w:rsidP="006F5996">
      <w:pPr>
        <w:pStyle w:val="Quote"/>
      </w:pPr>
      <w:r w:rsidRPr="00C214E0">
        <w:rPr>
          <w:lang w:eastAsia="en-AU"/>
        </w:rPr>
        <w:t>The necessary corollary to the restriction of such items is the ability to search for, and take possession of, these items.</w:t>
      </w:r>
    </w:p>
    <w:p w:rsidR="006F5996" w:rsidRPr="00C214E0" w:rsidRDefault="006F5996" w:rsidP="006F5996">
      <w:pPr>
        <w:pStyle w:val="Quote"/>
      </w:pPr>
      <w:r w:rsidRPr="00C214E0">
        <w:rPr>
          <w:lang w:eastAsia="en-AU"/>
        </w:rPr>
        <w:t>The measures in the Bill need to apply to all individuals accommodated within an IDF, as well as people visiting an IDF. The current two-tiered approach has resulted in abusive and aggressive altercations between detainees, stand-over tactics and threats and an increase in use of force incidents as a result of having to remove controlled items. The proposed amendments in the Bill provide a consistent single-tier policy that mitigates the risks associated with allowing only some</w:t>
      </w:r>
      <w:r>
        <w:rPr>
          <w:lang w:eastAsia="en-AU"/>
        </w:rPr>
        <w:t xml:space="preserve"> </w:t>
      </w:r>
      <w:r w:rsidRPr="00C214E0">
        <w:rPr>
          <w:lang w:eastAsia="en-AU"/>
        </w:rPr>
        <w:t>detainees access to items which may pose a risk to the health, safety and security of staff and detainees within IDFs, or to the order of the facilities.</w:t>
      </w:r>
    </w:p>
    <w:p w:rsidR="006F5996" w:rsidRPr="00C214E0" w:rsidRDefault="006F5996" w:rsidP="006F5996">
      <w:pPr>
        <w:pStyle w:val="Quote"/>
      </w:pPr>
      <w:r w:rsidRPr="00C214E0">
        <w:rPr>
          <w:lang w:eastAsia="en-AU"/>
        </w:rPr>
        <w:t>For the reasons set out above, I do not consider that these amendments will unduly trespass on personal rights and liberties. Applying the new arrangements equally across the IDF is necessary and proportionate to maintain the health, safety and security of persons in an IDF and order of an IDF, and to manage the threat that things, including as mobile phones, pose to an IDF.</w:t>
      </w:r>
    </w:p>
    <w:p w:rsidR="006F5996" w:rsidRPr="0035426C" w:rsidRDefault="006F5996" w:rsidP="006F5996">
      <w:pPr>
        <w:pStyle w:val="Level17"/>
        <w:tabs>
          <w:tab w:val="clear" w:pos="850"/>
        </w:tabs>
        <w:rPr>
          <w:b/>
          <w:i/>
        </w:rPr>
      </w:pPr>
      <w:r>
        <w:rPr>
          <w:b/>
          <w:i/>
        </w:rPr>
        <w:t>Committee comment</w:t>
      </w:r>
    </w:p>
    <w:p w:rsidR="006F5996" w:rsidRDefault="006F5996" w:rsidP="006F5996">
      <w:pPr>
        <w:pStyle w:val="Level17"/>
        <w:numPr>
          <w:ilvl w:val="0"/>
          <w:numId w:val="21"/>
        </w:numPr>
      </w:pPr>
      <w:r>
        <w:t>The committee thanks the Minister for this response. The committee notes the Minister's advice regarding the demographics of the detainee population</w:t>
      </w:r>
      <w:r>
        <w:rPr>
          <w:rStyle w:val="FootnoteReference"/>
        </w:rPr>
        <w:footnoteReference w:id="193"/>
      </w:r>
      <w:r>
        <w:t xml:space="preserve"> and the examples given of things considered to be a risk to the health, safety or security </w:t>
      </w:r>
      <w:r>
        <w:lastRenderedPageBreak/>
        <w:t>of persons in the facility or the order of the facility, including mobile phones and food items. The committee also notes the Minister's advice that the measures in the bill need to apply to all people detained in, and all people visiting, immigration detention facilities as the current two-tiered approach has resulted in abusive and aggressive altercations between detainees and this single-tier policy seeks to mitigate the risks associated with allowing only some detainees access to items which may pose a risk.</w:t>
      </w:r>
    </w:p>
    <w:p w:rsidR="006F5996" w:rsidRDefault="006F5996" w:rsidP="006F5996">
      <w:pPr>
        <w:pStyle w:val="Level18"/>
        <w:numPr>
          <w:ilvl w:val="0"/>
          <w:numId w:val="21"/>
        </w:numPr>
      </w:pPr>
      <w:r>
        <w:t xml:space="preserve">The committee acknowledges </w:t>
      </w:r>
      <w:r w:rsidRPr="00BE6DEF">
        <w:t xml:space="preserve">the difficulties posed by detainees with serious criminal histories, and appreciates there may be a need to restrict access for high-risk detainees to items that could be used to attempt to commit offences. However, the committee </w:t>
      </w:r>
      <w:r>
        <w:t xml:space="preserve">reiterates </w:t>
      </w:r>
      <w:r w:rsidRPr="00BE6DEF">
        <w:t xml:space="preserve">that persons detained in immigration detention facilities are detained on the basis that they are non-citizens who do not possess a valid visa. They are not detained, as is the case for those in prisons, as punishment for having committed a crime. </w:t>
      </w:r>
      <w:r>
        <w:t xml:space="preserve">The committee notes the difficulties in having a two-tiered approach to allowing different detainees access to things such as mobile phones, but notes that removing such access for persons that do not pose a risk effectively punishes those persons for the actions of others. The committee notes that much of the concerns appear to arise because high risk detainees are housed in the same facilities as low risk detainees. </w:t>
      </w:r>
    </w:p>
    <w:p w:rsidR="006F5996" w:rsidRPr="008024B7" w:rsidRDefault="006F5996" w:rsidP="006F5996">
      <w:pPr>
        <w:pStyle w:val="Level18"/>
        <w:numPr>
          <w:ilvl w:val="0"/>
          <w:numId w:val="21"/>
        </w:numPr>
      </w:pPr>
      <w:r>
        <w:t>The committee reiterates that a</w:t>
      </w:r>
      <w:r w:rsidRPr="007774BB">
        <w:t xml:space="preserve">s the amendments in the bill would apply regardless of the level of risk posed by different detainees, the committee considers that the bill, in restricting individual privacy and autonomy by denying detainees the ability to possess things, such as mobile phones or computers, and the extensive search powers (without the need to obtain a warrant), unduly trespasses on personal rights and liberties. The committee notes these scrutiny concerns are heightened by the broad power given to the Minister to prescribe any 'thing' as being prohibited so long as the Minister is satisfied that possession or use of the thing 'might' be a risk to the health, safety or security of persons in the facility or to the order of the facility (as noted below at </w:t>
      </w:r>
      <w:r w:rsidRPr="008024B7">
        <w:t>paragraphs [</w:t>
      </w:r>
      <w:r w:rsidRPr="008024B7">
        <w:fldChar w:fldCharType="begin"/>
      </w:r>
      <w:r w:rsidRPr="008024B7">
        <w:instrText xml:space="preserve"> REF _Ref494979935 \r \h </w:instrText>
      </w:r>
      <w:r>
        <w:instrText xml:space="preserve"> \* MERGEFORMAT </w:instrText>
      </w:r>
      <w:r w:rsidRPr="008024B7">
        <w:fldChar w:fldCharType="separate"/>
      </w:r>
      <w:r>
        <w:t>2.133</w:t>
      </w:r>
      <w:r w:rsidRPr="008024B7">
        <w:fldChar w:fldCharType="end"/>
      </w:r>
      <w:r w:rsidRPr="008024B7">
        <w:t>] to [</w:t>
      </w:r>
      <w:r w:rsidRPr="008024B7">
        <w:fldChar w:fldCharType="begin"/>
      </w:r>
      <w:r w:rsidRPr="008024B7">
        <w:instrText xml:space="preserve"> REF _Ref498507965 \r \h </w:instrText>
      </w:r>
      <w:r>
        <w:instrText xml:space="preserve"> \* MERGEFORMAT </w:instrText>
      </w:r>
      <w:r w:rsidRPr="008024B7">
        <w:fldChar w:fldCharType="separate"/>
      </w:r>
      <w:r>
        <w:t>2.142</w:t>
      </w:r>
      <w:r w:rsidRPr="008024B7">
        <w:fldChar w:fldCharType="end"/>
      </w:r>
      <w:r w:rsidRPr="008024B7">
        <w:t>]).</w:t>
      </w:r>
    </w:p>
    <w:p w:rsidR="006F5996" w:rsidRPr="00277784" w:rsidRDefault="006F5996" w:rsidP="006F5996">
      <w:pPr>
        <w:pStyle w:val="Level18"/>
        <w:numPr>
          <w:ilvl w:val="0"/>
          <w:numId w:val="21"/>
        </w:numPr>
        <w:rPr>
          <w:b/>
        </w:rPr>
      </w:pPr>
      <w:r w:rsidRPr="00277784">
        <w:rPr>
          <w:b/>
        </w:rPr>
        <w:t>The committee draws these scrutiny concerns to the attention of Senators and leaves to the Senate as a whole the appropriateness of the amendments impacting on individual liberties made by this bill.</w:t>
      </w:r>
    </w:p>
    <w:p w:rsidR="006F5996" w:rsidRPr="00BE6DEF" w:rsidRDefault="006F5996" w:rsidP="006F5996">
      <w:pPr>
        <w:spacing w:after="240"/>
        <w:ind w:left="2268" w:right="2223"/>
      </w:pPr>
      <w:r>
        <w:pict>
          <v:rect id="_x0000_i1032" style="width:0;height:1.5pt" o:hralign="center" o:hrstd="t" o:hr="t" fillcolor="#a0a0a0" stroked="f"/>
        </w:pict>
      </w:r>
    </w:p>
    <w:p w:rsidR="006F5996" w:rsidRDefault="006F5996" w:rsidP="006F5996">
      <w:pPr>
        <w:pStyle w:val="Heading3"/>
      </w:pPr>
      <w:r w:rsidRPr="00BE6DEF">
        <w:t>Significant matters in delegated legislation</w:t>
      </w:r>
      <w:r w:rsidRPr="00BE6DEF">
        <w:rPr>
          <w:rStyle w:val="FootnoteReference"/>
          <w:b w:val="0"/>
        </w:rPr>
        <w:footnoteReference w:id="194"/>
      </w:r>
    </w:p>
    <w:p w:rsidR="006F5996" w:rsidRDefault="006F5996" w:rsidP="006F5996">
      <w:pPr>
        <w:rPr>
          <w:b/>
          <w:i/>
        </w:rPr>
      </w:pPr>
      <w:r>
        <w:rPr>
          <w:b/>
          <w:i/>
        </w:rPr>
        <w:t>Initial scrutiny – extract</w:t>
      </w:r>
    </w:p>
    <w:p w:rsidR="006F5996" w:rsidRPr="00BE6DEF" w:rsidRDefault="006F5996" w:rsidP="006F5996">
      <w:pPr>
        <w:pStyle w:val="Level18"/>
        <w:numPr>
          <w:ilvl w:val="0"/>
          <w:numId w:val="21"/>
        </w:numPr>
      </w:pPr>
      <w:bookmarkStart w:id="19" w:name="_Ref494979935"/>
      <w:r w:rsidRPr="00BE6DEF">
        <w:lastRenderedPageBreak/>
        <w:t>As noted above, proposed subsection 251A(2) of the bill enables the Minister to make a legislative instrument that can determine that any 'thing' is prohibited in an immigration detention facility. The power can be exercised where the Minister is satisfied that possession of the thing is prohibited by law or possession or use of the thing in the detention facility 'might be a risk to the health, safety or security of persons in the facility, or to the order of the facility'.</w:t>
      </w:r>
      <w:r w:rsidRPr="00BE6DEF">
        <w:rPr>
          <w:rStyle w:val="FootnoteReference"/>
        </w:rPr>
        <w:footnoteReference w:id="195"/>
      </w:r>
      <w:r w:rsidRPr="00BE6DEF">
        <w:t xml:space="preserve"> There is otherwise no limit on the type of 'things' that the Minister may prescribe as being prohibited.</w:t>
      </w:r>
      <w:bookmarkEnd w:id="19"/>
    </w:p>
    <w:p w:rsidR="006F5996" w:rsidRPr="00BE6DEF" w:rsidRDefault="006F5996" w:rsidP="006F5996">
      <w:pPr>
        <w:pStyle w:val="Level18"/>
        <w:numPr>
          <w:ilvl w:val="0"/>
          <w:numId w:val="21"/>
        </w:numPr>
      </w:pPr>
      <w:bookmarkStart w:id="20" w:name="OLE_LINK8"/>
      <w:r w:rsidRPr="00BE6DEF">
        <w:t>The committee's view is that significant matters, such as what is prohibited in immigration detention facilities, should be included in primary legislation unless a sound justification for the use of delegated legislation is provided. In this case the explanatory memorandum states that the instrument will give the Minister flexibility to respond quickly if operational requirements change and, as a result, the things determined by the Minister and the things to be prohibited need to be amended'.</w:t>
      </w:r>
      <w:r w:rsidRPr="00BE6DEF">
        <w:rPr>
          <w:rStyle w:val="FootnoteReference"/>
        </w:rPr>
        <w:footnoteReference w:id="196"/>
      </w:r>
      <w:r w:rsidRPr="00BE6DEF">
        <w:t xml:space="preserve"> The explanatory memorandum also provides that it is currently intended to determine that narcotic drugs and child pornography will be prohibited using the power to prohibit unlawful things, and that the broader power to prohibit any thing that the Minister is satisfied might pose a risk is clarified by the note in the bill that gives examples of the things that might be considered to pose a risk.</w:t>
      </w:r>
      <w:bookmarkEnd w:id="20"/>
      <w:r w:rsidRPr="00BE6DEF">
        <w:t xml:space="preserve"> However, the committee notes that the bill does not directly prohibit any things; the actual things that are to be prohibited are left to be determined in delegated legislation. The committee notes that a legislative instrument, made by the executive, is not subject to the full range of parliamentary scrutiny inherent in bringing proposed changes in the form of an amending bill. </w:t>
      </w:r>
    </w:p>
    <w:p w:rsidR="006F5996" w:rsidRPr="00BE6DEF" w:rsidRDefault="006F5996" w:rsidP="006F5996">
      <w:pPr>
        <w:pStyle w:val="Level18"/>
        <w:numPr>
          <w:ilvl w:val="0"/>
          <w:numId w:val="21"/>
        </w:numPr>
      </w:pPr>
      <w:r w:rsidRPr="00BE6DEF">
        <w:t xml:space="preserve">Generally the committee expects that matters left to be dealt with in delegated legislation should be technical or administrative in nature and should not involve substantive policy questions. In this case the question of what is appropriate to be prohibited in an immigration detention facility would appear to differ depending on the risk factor posed by the individual detainee. As noted above, the risk posed by a person seeking asylum or a tourist having overstayed their visa, in possessing things such as mobile phones, is likely to be much lower than the risk posed by those with serious criminal records (who have had their visa cancelled on character grounds). As such, any decision to determine that certain things are to be prohibited for possession by </w:t>
      </w:r>
      <w:r w:rsidRPr="00BE6DEF">
        <w:rPr>
          <w:i/>
        </w:rPr>
        <w:t xml:space="preserve">all </w:t>
      </w:r>
      <w:r w:rsidRPr="00BE6DEF">
        <w:t>immigration detainees appears to be an important policy consideration. From a scrutiny perspective, the committee considers that giving this power to the Minister delegates important policy, as opposed to operational, decisions, which has not been appropriately justified in the explanatory materials.</w:t>
      </w:r>
    </w:p>
    <w:p w:rsidR="006F5996" w:rsidRPr="00BE6DEF" w:rsidRDefault="006F5996" w:rsidP="006F5996">
      <w:pPr>
        <w:pStyle w:val="Level18"/>
        <w:numPr>
          <w:ilvl w:val="0"/>
          <w:numId w:val="21"/>
        </w:numPr>
      </w:pPr>
      <w:r w:rsidRPr="00BE6DEF">
        <w:lastRenderedPageBreak/>
        <w:t xml:space="preserve">In addition, where the Parliament delegates its legislative power in relation to significant matters the committee considers that it is appropriate that specific consultation obligations (beyond those in section 17 of the </w:t>
      </w:r>
      <w:r w:rsidRPr="00BE6DEF">
        <w:rPr>
          <w:i/>
        </w:rPr>
        <w:t>Legislation Act 2003</w:t>
      </w:r>
      <w:r w:rsidRPr="00BE6DEF">
        <w:t xml:space="preserve">) are included in the bill and that compliance with these obligations is a condition of the validity of the legislative instrument. </w:t>
      </w:r>
      <w:r w:rsidRPr="00BE6DEF">
        <w:rPr>
          <w:lang w:eastAsia="en-AU"/>
        </w:rPr>
        <w:t xml:space="preserve">The committee notes that section 17 of the </w:t>
      </w:r>
      <w:r w:rsidRPr="00BE6DEF">
        <w:rPr>
          <w:i/>
          <w:lang w:eastAsia="en-AU"/>
        </w:rPr>
        <w:t>Legislation Act 2003</w:t>
      </w:r>
      <w:r w:rsidRPr="00BE6DEF">
        <w:rPr>
          <w:lang w:eastAsia="en-AU"/>
        </w:rPr>
        <w:t xml:space="preserve"> sets out the consultation to be undertaken before making a legislative instrument. However, section 17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BE6DEF">
        <w:rPr>
          <w:i/>
          <w:lang w:eastAsia="en-AU"/>
        </w:rPr>
        <w:t>Legislation Act 2003</w:t>
      </w:r>
      <w:r w:rsidRPr="00BE6DEF">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sidRPr="00BE6DEF">
        <w:rPr>
          <w:rStyle w:val="FootnoteReference"/>
          <w:lang w:eastAsia="en-AU"/>
        </w:rPr>
        <w:footnoteReference w:id="197"/>
      </w:r>
    </w:p>
    <w:p w:rsidR="006F5996" w:rsidRPr="007774BB" w:rsidRDefault="006F5996" w:rsidP="006F5996">
      <w:pPr>
        <w:pStyle w:val="Level18"/>
        <w:numPr>
          <w:ilvl w:val="0"/>
          <w:numId w:val="21"/>
        </w:numPr>
      </w:pPr>
      <w:bookmarkStart w:id="21" w:name="_Ref494979947"/>
      <w:r w:rsidRPr="007774BB">
        <w:t>The committee's scrutiny view is that significant matters, such as the type of things that are prohibited within an immigration detention facility, should be included in primary legislation unless a sound justification for the use of delegated legislation is provided. In this regard, the committee requests the Minister's detailed advice as to:</w:t>
      </w:r>
      <w:bookmarkEnd w:id="21"/>
    </w:p>
    <w:p w:rsidR="006F5996" w:rsidRPr="007774BB" w:rsidRDefault="006F5996" w:rsidP="006F5996">
      <w:pPr>
        <w:pStyle w:val="Bullet1"/>
      </w:pPr>
      <w:r w:rsidRPr="007774BB">
        <w:t>why it is considered necessary and appropriate to delegate to the Minister the decision as to what items are to be prohibited in immigration detention facilities, particularly where such prohibitions will apply to all detainees regardless of their risk level; and</w:t>
      </w:r>
    </w:p>
    <w:p w:rsidR="006F5996" w:rsidRDefault="006F5996" w:rsidP="006F5996">
      <w:pPr>
        <w:pStyle w:val="Bullet1"/>
      </w:pPr>
      <w:r w:rsidRPr="007774BB">
        <w:t xml:space="preserve">the type of consultation that it is envisaged will be conducted prior to the making of the instrument and whether specific consultation obligations (beyond those in section 17 of the </w:t>
      </w:r>
      <w:r w:rsidRPr="007774BB">
        <w:rPr>
          <w:i/>
        </w:rPr>
        <w:t>Legislation Act 2003</w:t>
      </w:r>
      <w:r w:rsidRPr="007774BB">
        <w:t>) can be included in the legislation (with compliance with such obligations a condition of the validity of the legislative instrument).</w:t>
      </w:r>
    </w:p>
    <w:p w:rsidR="006F5996" w:rsidRDefault="006F5996" w:rsidP="006F5996">
      <w:pPr>
        <w:pStyle w:val="Level17"/>
        <w:tabs>
          <w:tab w:val="clear" w:pos="850"/>
        </w:tabs>
        <w:rPr>
          <w:b/>
          <w:i/>
        </w:rPr>
      </w:pPr>
      <w:r>
        <w:rPr>
          <w:b/>
          <w:i/>
        </w:rPr>
        <w:t>Minister's response</w:t>
      </w:r>
    </w:p>
    <w:p w:rsidR="006F5996" w:rsidRPr="0035426C" w:rsidRDefault="006F5996" w:rsidP="006F5996">
      <w:pPr>
        <w:pStyle w:val="Level17"/>
        <w:numPr>
          <w:ilvl w:val="0"/>
          <w:numId w:val="21"/>
        </w:numPr>
      </w:pPr>
      <w:r>
        <w:t>The Minister advised:</w:t>
      </w:r>
    </w:p>
    <w:p w:rsidR="006F5996" w:rsidRDefault="006F5996" w:rsidP="006F5996">
      <w:pPr>
        <w:pStyle w:val="Quote"/>
      </w:pPr>
      <w:r>
        <w:rPr>
          <w:lang w:eastAsia="en-AU"/>
        </w:rPr>
        <w:t xml:space="preserve">The list of lawful things which are prohibited things within the context of an IDF has not been included in the primary legislation. The things to be captured in the list are items which are not covered by the definition of 'prohibited thing' in proposed subsection 251A(1)(a)(i) and may be lawful in Australian community, but present a risk to the health, safety, security of detainees and visitors to IDFs or order of IDFs </w:t>
      </w:r>
    </w:p>
    <w:p w:rsidR="006F5996" w:rsidRDefault="006F5996" w:rsidP="006F5996">
      <w:pPr>
        <w:pStyle w:val="Quote"/>
      </w:pPr>
      <w:r>
        <w:rPr>
          <w:lang w:eastAsia="en-AU"/>
        </w:rPr>
        <w:t xml:space="preserve">It is necessary and appropriate for the Minister to determine things to be prohibited things by legislative instrument, as this will enable the Minister </w:t>
      </w:r>
      <w:r>
        <w:rPr>
          <w:lang w:eastAsia="en-AU"/>
        </w:rPr>
        <w:lastRenderedPageBreak/>
        <w:t>to respond quickly and flexibly to emerging threats to the health, safety or security of all persons in an IDF or the order of these facilities. This will also allow the Minister to amend the list at short notice to remove things that are no longer considered to be a risk. If the list of prohibited things was included in the primary legislation this would undermine the ability of the Minister to quickly respond to emerging threats across IDFs.</w:t>
      </w:r>
    </w:p>
    <w:p w:rsidR="006F5996" w:rsidRDefault="006F5996" w:rsidP="006F5996">
      <w:pPr>
        <w:pStyle w:val="Quote"/>
      </w:pPr>
      <w:r>
        <w:rPr>
          <w:lang w:eastAsia="en-AU"/>
        </w:rPr>
        <w:t>Proposed subsection 251A(2) of the Bill includes a note which lists of the kind of things which are the most common things currently being used to facilitate violence and anti-social behaviour and to disrupt the order within IDFs. This note has been included in the Bill to provide guidance as to the type of things the Department is seeking to prevent in IDFs in addition to things which are prohibited because of a law of the Commonwealth, or a State or Territory in which the person is detained.</w:t>
      </w:r>
    </w:p>
    <w:p w:rsidR="006F5996" w:rsidRDefault="006F5996" w:rsidP="006F5996">
      <w:pPr>
        <w:pStyle w:val="Quote"/>
      </w:pPr>
      <w:r>
        <w:rPr>
          <w:lang w:eastAsia="en-AU"/>
        </w:rPr>
        <w:t>The legislative instrument containing the list of prohibited things will be tabled in both Houses of Parliament for scrutiny; however, as the instrument will fall within the exemptions under the Legislation (Exemptions and Other Matters) Regulation 2015, it will not be disallowable.</w:t>
      </w:r>
    </w:p>
    <w:p w:rsidR="006F5996" w:rsidRDefault="006F5996" w:rsidP="006F5996">
      <w:pPr>
        <w:pStyle w:val="Quote"/>
      </w:pPr>
      <w:r>
        <w:rPr>
          <w:lang w:eastAsia="en-AU"/>
        </w:rPr>
        <w:t>Ongoing assessment will be undertaken in order to update this list to remove things which are no longer considered to be a threat or to add things which have become a risk, based on changing operational requirements within IDFs.</w:t>
      </w:r>
    </w:p>
    <w:p w:rsidR="006F5996" w:rsidRDefault="006F5996" w:rsidP="006F5996">
      <w:pPr>
        <w:pStyle w:val="Quote"/>
      </w:pPr>
      <w:r>
        <w:t>I will consult with my Department in order to determine those items to be included in the list of prohibited things. Due to the nature of the subject matter, I do not consider that it is appropriate that specific consultation obligations be included in the legislation (with compliance with such obligations a condition of the validity of the legislative instrument).</w:t>
      </w:r>
    </w:p>
    <w:p w:rsidR="006F5996" w:rsidRPr="0035426C" w:rsidRDefault="006F5996" w:rsidP="006F5996">
      <w:pPr>
        <w:pStyle w:val="Level17"/>
        <w:tabs>
          <w:tab w:val="clear" w:pos="850"/>
        </w:tabs>
        <w:rPr>
          <w:b/>
          <w:i/>
        </w:rPr>
      </w:pPr>
      <w:r>
        <w:rPr>
          <w:b/>
          <w:i/>
        </w:rPr>
        <w:t>Committee comment</w:t>
      </w:r>
    </w:p>
    <w:p w:rsidR="006F5996" w:rsidRDefault="006F5996" w:rsidP="006F5996">
      <w:pPr>
        <w:pStyle w:val="Level17"/>
        <w:numPr>
          <w:ilvl w:val="0"/>
          <w:numId w:val="21"/>
        </w:numPr>
      </w:pPr>
      <w:r>
        <w:t>The committee thanks the Minister for this response. The committee notes the Minister's advice that determining things to be prohibited via legislative instrument will enable the Minister to respond quickly and flexibly to emerging threats and also allow the Minister to amend the list at short notice to remove things that are no longer considered to be a risk. The committee also notes the Minister's advice that the instrument will fall within the exemptions under the Legislation (Exemptions and Other Matters) Regulation 2015 and so will not be disallowable. The committee also notes the Minister's advice that he will consult within the Department of Immigration and Border Protection to determine the items to be included in the list of prohibited things but that the Minister does not consider it appropriate to include specific consultation obligations in the legislation, because of the nature of the subject matter.</w:t>
      </w:r>
    </w:p>
    <w:p w:rsidR="006F5996" w:rsidRDefault="006F5996" w:rsidP="006F5996">
      <w:pPr>
        <w:pStyle w:val="Level17"/>
        <w:numPr>
          <w:ilvl w:val="0"/>
          <w:numId w:val="21"/>
        </w:numPr>
      </w:pPr>
      <w:r>
        <w:t xml:space="preserve">The committee has particular scrutiny concerns that the Minister will be able to prohibit any 'thing' in an immigration detention facility and the list of things to be prohibited will not be subject to disallowance by the Parliament. As such, if the </w:t>
      </w:r>
      <w:r>
        <w:lastRenderedPageBreak/>
        <w:t xml:space="preserve">Parliament were to delegate such significant matters to the Minister it would lose any oversight as to what type of 'things' are appropriate to be prohibited, and searched for, in immigration detention facilities. The committee notes that the explanatory materials accompanying the bill do not state that the legislative instrument prescribing such things is exempt from disallowance. </w:t>
      </w:r>
      <w:r w:rsidRPr="00AA7EDB">
        <w:t>The committee has consistently taken the view that removing parliamentary oversight is a serious matter and any exemption of delegated legislation from the usual disallowance process should be fully justified in the explanatory memorandum.</w:t>
      </w:r>
      <w:r>
        <w:t xml:space="preserve"> The committee notes that the Minister's response does not provide any justification as to why such a legislative instrument should be exempt from disallowance.</w:t>
      </w:r>
    </w:p>
    <w:p w:rsidR="006F5996" w:rsidRPr="00BE6DEF" w:rsidRDefault="006F5996" w:rsidP="006F5996">
      <w:pPr>
        <w:pStyle w:val="Level18"/>
        <w:numPr>
          <w:ilvl w:val="0"/>
          <w:numId w:val="21"/>
        </w:numPr>
      </w:pPr>
      <w:r>
        <w:t xml:space="preserve">The committee reiterates that it generally </w:t>
      </w:r>
      <w:r w:rsidRPr="00BE6DEF">
        <w:t xml:space="preserve">expects that matters left to be dealt with in delegated legislation should be technical or administrative in nature and should not involve substantive policy questions. In this case the question of what is appropriate to be prohibited in an immigration detention facility would appear to differ depending on the risk factor posed by the individual detainee. As noted above, the risk posed by a person seeking asylum or a tourist having overstayed their visa, in possessing things such as mobile phones, is likely to be much lower than the risk posed by those with serious criminal records (who have had their visa cancelled on character grounds). As such, any decision to determine that certain things are to be prohibited for possession by </w:t>
      </w:r>
      <w:r w:rsidRPr="00BE6DEF">
        <w:rPr>
          <w:i/>
        </w:rPr>
        <w:t xml:space="preserve">all </w:t>
      </w:r>
      <w:r w:rsidRPr="00BE6DEF">
        <w:t xml:space="preserve">immigration detainees appears to be an important policy consideration. From a scrutiny perspective, the committee </w:t>
      </w:r>
      <w:r>
        <w:t xml:space="preserve">reiterates </w:t>
      </w:r>
      <w:r w:rsidRPr="00BE6DEF">
        <w:t>that giving this power to the Minister delegates important policy, as opposed to operational, decisions, which has not been appropriately justified in the explanatory materials.</w:t>
      </w:r>
    </w:p>
    <w:p w:rsidR="006F5996" w:rsidRPr="008F3D0F" w:rsidRDefault="006F5996" w:rsidP="006F5996">
      <w:pPr>
        <w:pStyle w:val="Level17"/>
        <w:numPr>
          <w:ilvl w:val="0"/>
          <w:numId w:val="21"/>
        </w:numPr>
        <w:rPr>
          <w:b/>
        </w:rPr>
      </w:pPr>
      <w:bookmarkStart w:id="22" w:name="_Ref498507965"/>
      <w:r w:rsidRPr="008F3D0F">
        <w:rPr>
          <w:b/>
        </w:rPr>
        <w:t xml:space="preserve">The committee seeks the Minister's detailed justification as to the appropriateness of exempting from </w:t>
      </w:r>
      <w:r>
        <w:rPr>
          <w:b/>
        </w:rPr>
        <w:t xml:space="preserve">the usual parliamentary </w:t>
      </w:r>
      <w:r w:rsidRPr="008F3D0F">
        <w:rPr>
          <w:b/>
        </w:rPr>
        <w:t>disallowance</w:t>
      </w:r>
      <w:r>
        <w:rPr>
          <w:b/>
        </w:rPr>
        <w:t xml:space="preserve"> process</w:t>
      </w:r>
      <w:r w:rsidRPr="008F3D0F">
        <w:rPr>
          <w:b/>
        </w:rPr>
        <w:t xml:space="preserve"> a legislative instrument made by the Minister prohibiting </w:t>
      </w:r>
      <w:r>
        <w:rPr>
          <w:b/>
        </w:rPr>
        <w:t xml:space="preserve">possession of </w:t>
      </w:r>
      <w:r w:rsidRPr="008F3D0F">
        <w:rPr>
          <w:b/>
        </w:rPr>
        <w:t>any 'thing' in an immigration detention facility</w:t>
      </w:r>
      <w:r>
        <w:rPr>
          <w:b/>
        </w:rPr>
        <w:t xml:space="preserve"> </w:t>
      </w:r>
      <w:r w:rsidRPr="00132429">
        <w:rPr>
          <w:b/>
        </w:rPr>
        <w:t>(such as mobile phones or food)</w:t>
      </w:r>
      <w:r>
        <w:rPr>
          <w:b/>
        </w:rPr>
        <w:t>.</w:t>
      </w:r>
      <w:bookmarkEnd w:id="22"/>
      <w:r w:rsidRPr="008F3D0F">
        <w:rPr>
          <w:b/>
        </w:rPr>
        <w:t xml:space="preserve"> </w:t>
      </w:r>
    </w:p>
    <w:p w:rsidR="006F5996" w:rsidRPr="00BE6DEF" w:rsidRDefault="006F5996" w:rsidP="006F5996">
      <w:pPr>
        <w:spacing w:after="240"/>
        <w:ind w:left="2268" w:right="2223"/>
      </w:pPr>
      <w:r>
        <w:pict>
          <v:rect id="_x0000_i1033" style="width:0;height:1.5pt" o:hralign="center" o:hrstd="t" o:hr="t" fillcolor="#a0a0a0" stroked="f"/>
        </w:pict>
      </w:r>
    </w:p>
    <w:p w:rsidR="006F5996" w:rsidRDefault="006F5996" w:rsidP="006F5996">
      <w:pPr>
        <w:pStyle w:val="Heading3"/>
      </w:pPr>
      <w:r w:rsidRPr="00BE6DEF">
        <w:t>Broad delegation of administrative power</w:t>
      </w:r>
      <w:r w:rsidRPr="00BE6DEF">
        <w:rPr>
          <w:rStyle w:val="FootnoteReference"/>
          <w:b w:val="0"/>
        </w:rPr>
        <w:footnoteReference w:id="198"/>
      </w:r>
    </w:p>
    <w:p w:rsidR="006F5996" w:rsidRDefault="006F5996" w:rsidP="006F5996">
      <w:pPr>
        <w:rPr>
          <w:b/>
          <w:i/>
        </w:rPr>
      </w:pPr>
      <w:r>
        <w:rPr>
          <w:b/>
          <w:i/>
        </w:rPr>
        <w:t>Initial scrutiny – extract</w:t>
      </w:r>
    </w:p>
    <w:p w:rsidR="006F5996" w:rsidRPr="00BE6DEF" w:rsidRDefault="006F5996" w:rsidP="006F5996">
      <w:pPr>
        <w:pStyle w:val="Level18"/>
        <w:numPr>
          <w:ilvl w:val="0"/>
          <w:numId w:val="21"/>
        </w:numPr>
      </w:pPr>
      <w:r w:rsidRPr="00BE6DEF">
        <w:t xml:space="preserve">Proposed section 252BA provides that an authorised officer may, without warrant, conduct a search of a wide range of areas in immigration detention facilities, including of detainees' personal effects and rooms to find out whether certain things, including 'a prohibited thing', are at the facility. Proposed section 252BB provides that an authorised officer may be assisted by other persons in exercising these search powers if that assistance is necessary and reasonable. This </w:t>
      </w:r>
      <w:r w:rsidRPr="00BE6DEF">
        <w:lastRenderedPageBreak/>
        <w:t>is a new general statutory search power. The explanatory memorandum explains that currently common law is relied on to search for prohibited items within an immigration detention facility to ensure the safety and security of people within the facility.</w:t>
      </w:r>
      <w:r w:rsidRPr="00BE6DEF">
        <w:rPr>
          <w:rStyle w:val="FootnoteReference"/>
        </w:rPr>
        <w:footnoteReference w:id="199"/>
      </w:r>
      <w:r w:rsidRPr="00BE6DEF">
        <w:t xml:space="preserve"> Proposed subsection 252BA also effectively gives an authorised officer the power to use force against a person or property, but no more than is reasonably necessary in order to conduct the search.</w:t>
      </w:r>
    </w:p>
    <w:p w:rsidR="006F5996" w:rsidRPr="00BE6DEF" w:rsidRDefault="006F5996" w:rsidP="006F5996">
      <w:pPr>
        <w:pStyle w:val="Level18"/>
        <w:numPr>
          <w:ilvl w:val="0"/>
          <w:numId w:val="21"/>
        </w:numPr>
      </w:pPr>
      <w:r w:rsidRPr="00BE6DEF">
        <w:t>The explanatory memorandum provides no information as to the persons that will be authorised to use these coercive powers. The committee notes that section 5 of the Migration Act defines 'authorised officer' as an officer authorised in writing by the Minister, the Secretary or the Australian Border Force Commissioner. An 'officer' is defined in the same section as including any person, or classes of persons, authorised in writing by the Minister to be an officer. There is no requirement that these are to be government employees. In relation to an authorised officer's assistant, there appears to be no legislative guidance as to who these persons are, whether they are to have any particular expertise or training, or how they are to be appointed.</w:t>
      </w:r>
    </w:p>
    <w:p w:rsidR="006F5996" w:rsidRPr="00BE6DEF" w:rsidRDefault="006F5996" w:rsidP="006F5996">
      <w:pPr>
        <w:pStyle w:val="Level18"/>
        <w:numPr>
          <w:ilvl w:val="0"/>
          <w:numId w:val="21"/>
        </w:numPr>
      </w:pPr>
      <w:r w:rsidRPr="00BE6DEF">
        <w:t xml:space="preserve">The committee's consistent scrutiny position is that coercive powers should generally only be conferred on government employees with appropriate training. This is particularly so when powers authorise the use of force against persons. </w:t>
      </w:r>
      <w:r w:rsidRPr="00BE6DEF">
        <w:rPr>
          <w:rFonts w:ascii="Calibri" w:hAnsi="Calibri"/>
        </w:rPr>
        <w:t xml:space="preserve">Limiting the exercise of such powers to government employees has the benefit that the powers will be exercised within a particular culture of public service and values, which is supported by ethical and legal obligations under public service or police legislation. Although the </w:t>
      </w:r>
      <w:r w:rsidRPr="00BE6DEF">
        <w:rPr>
          <w:rFonts w:ascii="Calibri" w:hAnsi="Calibri"/>
          <w:i/>
        </w:rPr>
        <w:t>Guide to Framing of Commonwealth Offences</w:t>
      </w:r>
      <w:r w:rsidRPr="00BE6DEF">
        <w:rPr>
          <w:rStyle w:val="FootnoteReference"/>
          <w:rFonts w:ascii="Calibri" w:hAnsi="Calibri"/>
        </w:rPr>
        <w:footnoteReference w:id="200"/>
      </w:r>
      <w:r w:rsidRPr="00BE6DEF">
        <w:rPr>
          <w:rFonts w:ascii="Calibri" w:hAnsi="Calibri"/>
        </w:rPr>
        <w:t xml:space="preserve"> indicates that there may be rare circumstances in which it is necessary for an agency to give coercive powers to non-government employees, it is noted that this will most likely be where special expertise or training is required. The examples given relate to the need to appoint technical specialists in the collection of certain sorts of information. </w:t>
      </w:r>
    </w:p>
    <w:p w:rsidR="006F5996" w:rsidRPr="007774BB" w:rsidRDefault="006F5996" w:rsidP="006F5996">
      <w:pPr>
        <w:pStyle w:val="Level18"/>
        <w:numPr>
          <w:ilvl w:val="0"/>
          <w:numId w:val="21"/>
        </w:numPr>
      </w:pPr>
      <w:r w:rsidRPr="007774BB">
        <w:t>The committee therefore requests the Minister's advice as to:</w:t>
      </w:r>
    </w:p>
    <w:p w:rsidR="006F5996" w:rsidRPr="007774BB" w:rsidRDefault="006F5996" w:rsidP="006F5996">
      <w:pPr>
        <w:pStyle w:val="Bullet1"/>
      </w:pPr>
      <w:r w:rsidRPr="007774BB">
        <w:t>who it is intended will be authorised as an 'authorised officer' and an 'authorised officer's assistant' to carry out coercive searches in immigration detention facilities and whether these will include non-government employees;</w:t>
      </w:r>
    </w:p>
    <w:p w:rsidR="006F5996" w:rsidRPr="007774BB" w:rsidRDefault="006F5996" w:rsidP="006F5996">
      <w:pPr>
        <w:pStyle w:val="Bullet1"/>
      </w:pPr>
      <w:r w:rsidRPr="007774BB">
        <w:t>why it is necessary to confer coercive powers on 'other persons' to assist an authorised person and how such a person is to be appointed; and</w:t>
      </w:r>
    </w:p>
    <w:p w:rsidR="006F5996" w:rsidRPr="007774BB" w:rsidRDefault="006F5996" w:rsidP="006F5996">
      <w:pPr>
        <w:pStyle w:val="Bullet1"/>
      </w:pPr>
      <w:r w:rsidRPr="007774BB">
        <w:t xml:space="preserve">what training and qualifications will be required of persons conferred with these powers, and why the bill does not provide any legislative guidance </w:t>
      </w:r>
      <w:r w:rsidRPr="007774BB">
        <w:lastRenderedPageBreak/>
        <w:t>about the appropriate training and qualifications required of authorised persons and assistants.</w:t>
      </w:r>
    </w:p>
    <w:p w:rsidR="006F5996" w:rsidRDefault="006F5996" w:rsidP="006F5996">
      <w:pPr>
        <w:pStyle w:val="Level17"/>
        <w:tabs>
          <w:tab w:val="clear" w:pos="850"/>
        </w:tabs>
        <w:rPr>
          <w:b/>
          <w:i/>
        </w:rPr>
      </w:pPr>
      <w:r>
        <w:rPr>
          <w:b/>
          <w:i/>
        </w:rPr>
        <w:t>Minister's response</w:t>
      </w:r>
    </w:p>
    <w:p w:rsidR="006F5996" w:rsidRPr="0035426C" w:rsidRDefault="006F5996" w:rsidP="006F5996">
      <w:pPr>
        <w:pStyle w:val="Level17"/>
        <w:numPr>
          <w:ilvl w:val="0"/>
          <w:numId w:val="21"/>
        </w:numPr>
      </w:pPr>
      <w:r>
        <w:t>The Minister advised:</w:t>
      </w:r>
    </w:p>
    <w:p w:rsidR="006F5996" w:rsidRDefault="006F5996" w:rsidP="006F5996">
      <w:pPr>
        <w:pStyle w:val="Quote"/>
      </w:pPr>
      <w:r>
        <w:rPr>
          <w:lang w:eastAsia="en-AU"/>
        </w:rPr>
        <w:t>As noted in the Explanatory Memorandum, authorised officers conducting searches will include departmental officers, and Serco officers who are non-government employees.</w:t>
      </w:r>
    </w:p>
    <w:p w:rsidR="006F5996" w:rsidRDefault="006F5996" w:rsidP="006F5996">
      <w:pPr>
        <w:pStyle w:val="Quote"/>
      </w:pPr>
      <w:r>
        <w:rPr>
          <w:lang w:eastAsia="en-AU"/>
        </w:rPr>
        <w:t>The term 'authorised officer's assistant' has been included in the Bill to cover people who are sometimes required to assist with a search under section 2528A or 252C or 252CA where assistance is necessary and reasonable. An example of such assistance would be if a locksmith is required on a one-off basis to unlock a door within an IDF in order to facilitate a search of that premises. The Bill does not require that "authorised officer's assistant" be appointed - they will be deployed as and when their skills are required in accordance with new section 25288.</w:t>
      </w:r>
    </w:p>
    <w:p w:rsidR="006F5996" w:rsidRDefault="006F5996" w:rsidP="006F5996">
      <w:pPr>
        <w:pStyle w:val="Quote"/>
      </w:pPr>
      <w:r>
        <w:rPr>
          <w:lang w:eastAsia="en-AU"/>
        </w:rPr>
        <w:t>Officers authorised to carry out searches in IDFs will be subject to strict training and qualification requirements whether they are departmental officers or non-government employees.</w:t>
      </w:r>
    </w:p>
    <w:p w:rsidR="006F5996" w:rsidRDefault="006F5996" w:rsidP="006F5996">
      <w:pPr>
        <w:pStyle w:val="Quote"/>
      </w:pPr>
      <w:r>
        <w:rPr>
          <w:lang w:eastAsia="en-AU"/>
        </w:rPr>
        <w:t>Under the existing contractual arrangements with Serco (detailed in the Facilities and Detainee Services Provider (FDSP) contract) all Service Provider Personnel who, in the performance of their duties exercise a search or seizure power in relation to detainees and persons entering an IDF must, prior to undertaking those duties successfully complete a training course provided by a Registered Training Organisation and delivered by a level IV accredited trainer. This training covers the proper exercise of these duties and, upon successful completion, the person will be issued with a certificate that demonstrates that the person has the competencies required to perform the power. The FDSP contract also requires a biennial rolling program of refresher training to ensure staff maintain their qualifications in the use of reasonable force.</w:t>
      </w:r>
    </w:p>
    <w:p w:rsidR="006F5996" w:rsidRDefault="006F5996" w:rsidP="006F5996">
      <w:pPr>
        <w:pStyle w:val="Quote"/>
        <w:rPr>
          <w:lang w:eastAsia="en-AU"/>
        </w:rPr>
      </w:pPr>
      <w:r>
        <w:rPr>
          <w:lang w:eastAsia="en-AU"/>
        </w:rPr>
        <w:t>In addition, all authorised officers must attend regular refresher training on the use of reasonable force in an IDF, the curriculum of which includes:</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legal responsibilities;</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duty of care and human rights;</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cultural awareness;</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occupational health and safety;</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mental health awareness;</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managing conflict through negotiation; and</w:t>
      </w:r>
    </w:p>
    <w:p w:rsidR="006F5996" w:rsidRPr="00192BF8" w:rsidRDefault="006F5996" w:rsidP="006F5996">
      <w:pPr>
        <w:pStyle w:val="Bullet25"/>
        <w:numPr>
          <w:ilvl w:val="0"/>
          <w:numId w:val="4"/>
        </w:numPr>
        <w:tabs>
          <w:tab w:val="clear" w:pos="1134"/>
        </w:tabs>
        <w:ind w:left="1418"/>
        <w:rPr>
          <w:sz w:val="24"/>
          <w:szCs w:val="24"/>
        </w:rPr>
      </w:pPr>
      <w:r w:rsidRPr="00192BF8">
        <w:rPr>
          <w:sz w:val="24"/>
          <w:szCs w:val="24"/>
          <w:lang w:eastAsia="en-AU"/>
        </w:rPr>
        <w:t>de-escalation techniques.</w:t>
      </w:r>
    </w:p>
    <w:p w:rsidR="006F5996" w:rsidRDefault="006F5996" w:rsidP="006F5996">
      <w:pPr>
        <w:pStyle w:val="Quote"/>
      </w:pPr>
      <w:r>
        <w:rPr>
          <w:lang w:eastAsia="en-AU"/>
        </w:rPr>
        <w:t xml:space="preserve">Under Ministerial Direction No. 51 - Strip search of immigration detainees, any individual who is appointed as an authorised officer for the purposes </w:t>
      </w:r>
      <w:r>
        <w:rPr>
          <w:lang w:eastAsia="en-AU"/>
        </w:rPr>
        <w:lastRenderedPageBreak/>
        <w:t>of conducting a strip search under section 252A must satisfy the minimum training and qualification requirements, which include training in the following areas:</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civil rights and liberties;</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cultural awareness;</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the grounds for conducting a strip search;</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the pre-conditions for a strip search;</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the role of officers involved in conducting a strip search;</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the procedures for conducting a strip search;</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the procedures relating to items retained during a strip search;</w:t>
      </w:r>
    </w:p>
    <w:p w:rsidR="006F5996" w:rsidRPr="00192BF8" w:rsidRDefault="006F5996" w:rsidP="006F5996">
      <w:pPr>
        <w:pStyle w:val="Bullet25"/>
        <w:numPr>
          <w:ilvl w:val="0"/>
          <w:numId w:val="4"/>
        </w:numPr>
        <w:tabs>
          <w:tab w:val="clear" w:pos="1134"/>
        </w:tabs>
        <w:ind w:left="1418"/>
        <w:rPr>
          <w:sz w:val="24"/>
          <w:szCs w:val="24"/>
          <w:lang w:eastAsia="en-AU"/>
        </w:rPr>
      </w:pPr>
      <w:r w:rsidRPr="00192BF8">
        <w:rPr>
          <w:sz w:val="24"/>
          <w:szCs w:val="24"/>
          <w:lang w:eastAsia="en-AU"/>
        </w:rPr>
        <w:t>record keeping; and</w:t>
      </w:r>
    </w:p>
    <w:p w:rsidR="006F5996" w:rsidRPr="00192BF8" w:rsidRDefault="006F5996" w:rsidP="006F5996">
      <w:pPr>
        <w:pStyle w:val="Bullet25"/>
        <w:numPr>
          <w:ilvl w:val="0"/>
          <w:numId w:val="4"/>
        </w:numPr>
        <w:tabs>
          <w:tab w:val="clear" w:pos="1134"/>
        </w:tabs>
        <w:ind w:left="1418"/>
        <w:rPr>
          <w:sz w:val="24"/>
          <w:szCs w:val="24"/>
        </w:rPr>
      </w:pPr>
      <w:r w:rsidRPr="00192BF8">
        <w:rPr>
          <w:sz w:val="24"/>
          <w:szCs w:val="24"/>
          <w:lang w:eastAsia="en-AU"/>
        </w:rPr>
        <w:t>reporting.</w:t>
      </w:r>
    </w:p>
    <w:p w:rsidR="006F5996" w:rsidRDefault="006F5996" w:rsidP="006F5996">
      <w:pPr>
        <w:pStyle w:val="Quote"/>
      </w:pPr>
      <w:r>
        <w:rPr>
          <w:lang w:eastAsia="en-AU"/>
        </w:rPr>
        <w:t>As outlined in the Explanatory Memorandum to the Bill, officers authorised to use dogs for searches under section 252AA and 252A will also be required to undergo specific training in relation to handling dogs to ensure the dog is prevented from touching any person and is kept under control for the duration of the search.</w:t>
      </w:r>
    </w:p>
    <w:p w:rsidR="006F5996" w:rsidRPr="0035426C" w:rsidRDefault="006F5996" w:rsidP="006F5996">
      <w:pPr>
        <w:pStyle w:val="Level17"/>
        <w:tabs>
          <w:tab w:val="clear" w:pos="850"/>
        </w:tabs>
        <w:rPr>
          <w:b/>
          <w:i/>
        </w:rPr>
      </w:pPr>
      <w:r>
        <w:rPr>
          <w:b/>
          <w:i/>
        </w:rPr>
        <w:t>Committee comment</w:t>
      </w:r>
    </w:p>
    <w:p w:rsidR="006F5996" w:rsidRDefault="006F5996" w:rsidP="006F5996">
      <w:pPr>
        <w:pStyle w:val="Level17"/>
        <w:numPr>
          <w:ilvl w:val="0"/>
          <w:numId w:val="21"/>
        </w:numPr>
      </w:pPr>
      <w:r>
        <w:t>The committee thanks the Minister for this response. The committee notes the Minister's advice that authorised officers conducting searches will include government and non-government employees, and authorised officers' assistants will include any person necessary and reasonable to assist with a search, such as a locksmith; such persons will not be appointed, they will be deployed as and when their skills are required. The committee also notes the Minister's advice that officers authorised to carry out searches will be subject to strict training and qualification requirements, as set out under the existing contractual arrangements with Serco and under a ministerial direction.</w:t>
      </w:r>
    </w:p>
    <w:p w:rsidR="006F5996" w:rsidRPr="009C1DF9" w:rsidRDefault="006F5996" w:rsidP="006F5996">
      <w:pPr>
        <w:pStyle w:val="Level17"/>
        <w:numPr>
          <w:ilvl w:val="0"/>
          <w:numId w:val="21"/>
        </w:numPr>
      </w:pPr>
      <w:r>
        <w:t xml:space="preserve">The committee reiterates that its </w:t>
      </w:r>
      <w:r w:rsidRPr="00BE6DEF">
        <w:t xml:space="preserve">consistent scrutiny position is that coercive powers should generally only be conferred on government employees with appropriate training. This is particularly so when powers authorise the use of force against persons. </w:t>
      </w:r>
      <w:r w:rsidRPr="00003DED">
        <w:rPr>
          <w:rFonts w:ascii="Calibri" w:hAnsi="Calibri"/>
        </w:rPr>
        <w:t xml:space="preserve">Limiting the exercise of such powers to government employees has the benefit that the powers will be exercised within a particular culture of public service and values, which is supported by ethical and legal obligations under public service or police legislation. Although the </w:t>
      </w:r>
      <w:r w:rsidRPr="00003DED">
        <w:rPr>
          <w:rFonts w:ascii="Calibri" w:hAnsi="Calibri"/>
          <w:i/>
        </w:rPr>
        <w:t>Guide to Framing of Commonwealth Offences</w:t>
      </w:r>
      <w:r w:rsidRPr="00BE6DEF">
        <w:rPr>
          <w:rStyle w:val="FootnoteReference"/>
          <w:rFonts w:ascii="Calibri" w:hAnsi="Calibri"/>
        </w:rPr>
        <w:footnoteReference w:id="201"/>
      </w:r>
      <w:r w:rsidRPr="00003DED">
        <w:rPr>
          <w:rFonts w:ascii="Calibri" w:hAnsi="Calibri"/>
        </w:rPr>
        <w:t xml:space="preserve"> indicates that there may be rare circumstances in which it is necessary </w:t>
      </w:r>
      <w:r w:rsidRPr="00003DED">
        <w:rPr>
          <w:rFonts w:ascii="Calibri" w:hAnsi="Calibri"/>
        </w:rPr>
        <w:lastRenderedPageBreak/>
        <w:t xml:space="preserve">for an agency to give coercive powers to non-government employees, it is noted that this will most likely be where special expertise or training is </w:t>
      </w:r>
      <w:r w:rsidRPr="009C1DF9">
        <w:rPr>
          <w:rFonts w:ascii="Calibri" w:hAnsi="Calibri"/>
        </w:rPr>
        <w:t>required.</w:t>
      </w:r>
    </w:p>
    <w:p w:rsidR="006F5996" w:rsidRPr="00003DED" w:rsidRDefault="006F5996" w:rsidP="006F5996">
      <w:pPr>
        <w:pStyle w:val="Level17"/>
        <w:numPr>
          <w:ilvl w:val="0"/>
          <w:numId w:val="21"/>
        </w:numPr>
      </w:pPr>
      <w:r w:rsidRPr="00003DED">
        <w:t xml:space="preserve">The committee notes that while the Minister states that officers authorised to carry out searches in immigration detention facilities will be subject to strict training and qualification requirements, there is nothing in the bill that would require such training or qualification. </w:t>
      </w:r>
    </w:p>
    <w:p w:rsidR="006F5996" w:rsidRPr="00003DED" w:rsidRDefault="006F5996" w:rsidP="006F5996">
      <w:pPr>
        <w:pStyle w:val="Level17"/>
        <w:numPr>
          <w:ilvl w:val="0"/>
          <w:numId w:val="21"/>
        </w:numPr>
        <w:rPr>
          <w:b/>
        </w:rPr>
      </w:pPr>
      <w:r w:rsidRPr="00003DED">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003DED">
        <w:rPr>
          <w:b/>
          <w:i/>
        </w:rPr>
        <w:t>Acts Interpretation Act 1901</w:t>
      </w:r>
      <w:r w:rsidRPr="00003DED">
        <w:rPr>
          <w:b/>
        </w:rPr>
        <w:t>).</w:t>
      </w:r>
    </w:p>
    <w:p w:rsidR="006F5996" w:rsidRDefault="006F5996" w:rsidP="006F5996">
      <w:pPr>
        <w:pStyle w:val="Level17"/>
        <w:numPr>
          <w:ilvl w:val="0"/>
          <w:numId w:val="21"/>
        </w:numPr>
        <w:rPr>
          <w:b/>
        </w:rPr>
      </w:pPr>
      <w:r w:rsidRPr="00003DED">
        <w:rPr>
          <w:b/>
        </w:rPr>
        <w:t>The committee considers that</w:t>
      </w:r>
      <w:r>
        <w:rPr>
          <w:b/>
        </w:rPr>
        <w:t>, from a scrutiny perspective,</w:t>
      </w:r>
      <w:r w:rsidRPr="00003DED">
        <w:rPr>
          <w:b/>
        </w:rPr>
        <w:t xml:space="preserve"> it would be appropriate for the bill to be amended to, at a minimum, require that authorised officers and any person assisting </w:t>
      </w:r>
      <w:r>
        <w:rPr>
          <w:b/>
        </w:rPr>
        <w:t>possess</w:t>
      </w:r>
      <w:r w:rsidRPr="00003DED">
        <w:rPr>
          <w:b/>
        </w:rPr>
        <w:t xml:space="preserve"> specified skills, training or experience. </w:t>
      </w:r>
    </w:p>
    <w:p w:rsidR="006F5996" w:rsidRPr="00003DED" w:rsidRDefault="006F5996" w:rsidP="006F5996">
      <w:pPr>
        <w:pStyle w:val="Level17"/>
        <w:numPr>
          <w:ilvl w:val="0"/>
          <w:numId w:val="21"/>
        </w:numPr>
        <w:rPr>
          <w:b/>
        </w:rPr>
      </w:pPr>
      <w:r w:rsidRPr="00003DED">
        <w:rPr>
          <w:b/>
        </w:rPr>
        <w:t xml:space="preserve">The committee </w:t>
      </w:r>
      <w:r>
        <w:rPr>
          <w:b/>
        </w:rPr>
        <w:t xml:space="preserve">otherwise </w:t>
      </w:r>
      <w:r w:rsidRPr="00003DED">
        <w:rPr>
          <w:b/>
        </w:rPr>
        <w:t xml:space="preserve">draws its scrutiny concerns to the attention of Senators and </w:t>
      </w:r>
      <w:bookmarkStart w:id="23" w:name="OLE_LINK53"/>
      <w:r w:rsidRPr="00003DED">
        <w:rPr>
          <w:b/>
        </w:rPr>
        <w:t>leaves to the Senate as a whole the appropriateness of</w:t>
      </w:r>
      <w:bookmarkEnd w:id="23"/>
      <w:r w:rsidRPr="00003DED">
        <w:rPr>
          <w:b/>
        </w:rPr>
        <w:t xml:space="preserve"> </w:t>
      </w:r>
      <w:r>
        <w:rPr>
          <w:b/>
        </w:rPr>
        <w:t>conferring coercive search powers on non-government employees without a legislative requirement that they possess appropriate skills and training.</w:t>
      </w:r>
    </w:p>
    <w:p w:rsidR="006F5996" w:rsidRDefault="006F5996" w:rsidP="006F5996">
      <w:pPr>
        <w:sectPr w:rsidR="006F5996" w:rsidSect="00194588">
          <w:headerReference w:type="even" r:id="rId177"/>
          <w:headerReference w:type="default" r:id="rId178"/>
          <w:footerReference w:type="even" r:id="rId179"/>
          <w:footerReference w:type="default" r:id="rId180"/>
          <w:headerReference w:type="first" r:id="rId181"/>
          <w:footerReference w:type="first" r:id="rId182"/>
          <w:pgSz w:w="11906" w:h="16838" w:code="9"/>
          <w:pgMar w:top="1440" w:right="1440" w:bottom="1202" w:left="1440" w:header="1134" w:footer="720" w:gutter="0"/>
          <w:cols w:space="720"/>
          <w:titlePg/>
        </w:sectPr>
      </w:pPr>
    </w:p>
    <w:p w:rsidR="006F5996" w:rsidRDefault="006F5996" w:rsidP="006F5996">
      <w:pPr>
        <w:sectPr w:rsidR="006F5996" w:rsidSect="006F5996">
          <w:type w:val="continuous"/>
          <w:pgSz w:w="11906" w:h="16838" w:code="9"/>
          <w:pgMar w:top="1440" w:right="1440" w:bottom="1202" w:left="1440" w:header="1134" w:footer="720" w:gutter="0"/>
          <w:cols w:space="720"/>
          <w:titlePg/>
        </w:sectPr>
      </w:pPr>
    </w:p>
    <w:p w:rsidR="006F5996" w:rsidRPr="00837E88" w:rsidRDefault="006F5996" w:rsidP="006F5996">
      <w:pPr>
        <w:pStyle w:val="Heading1"/>
        <w:spacing w:after="240"/>
        <w:jc w:val="both"/>
        <w:rPr>
          <w:rFonts w:asciiTheme="minorHAnsi" w:hAnsiTheme="minorHAnsi"/>
          <w:szCs w:val="40"/>
        </w:rPr>
      </w:pPr>
      <w:r w:rsidRPr="00837E88">
        <w:rPr>
          <w:rFonts w:asciiTheme="minorHAnsi" w:hAnsiTheme="minorHAnsi" w:cs="Arial"/>
          <w:szCs w:val="40"/>
        </w:rPr>
        <w:lastRenderedPageBreak/>
        <w:t>Therapeutic Goods (Charges)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5996" w:rsidRPr="00837E88" w:rsidTr="006F5996">
        <w:tc>
          <w:tcPr>
            <w:tcW w:w="2660" w:type="dxa"/>
            <w:tcBorders>
              <w:top w:val="single" w:sz="12" w:space="0" w:color="auto"/>
              <w:right w:val="single" w:sz="12" w:space="0" w:color="auto"/>
            </w:tcBorders>
          </w:tcPr>
          <w:p w:rsidR="006F5996" w:rsidRPr="00837E88" w:rsidRDefault="006F5996" w:rsidP="006F5996">
            <w:pPr>
              <w:rPr>
                <w:b/>
                <w:sz w:val="24"/>
                <w:szCs w:val="24"/>
              </w:rPr>
            </w:pPr>
            <w:r w:rsidRPr="00837E88">
              <w:rPr>
                <w:b/>
                <w:sz w:val="24"/>
                <w:szCs w:val="24"/>
              </w:rPr>
              <w:t>Purpose</w:t>
            </w:r>
          </w:p>
        </w:tc>
        <w:tc>
          <w:tcPr>
            <w:tcW w:w="6582" w:type="dxa"/>
            <w:tcBorders>
              <w:top w:val="single" w:sz="12" w:space="0" w:color="auto"/>
              <w:left w:val="single" w:sz="12" w:space="0" w:color="auto"/>
            </w:tcBorders>
          </w:tcPr>
          <w:p w:rsidR="006F5996" w:rsidRPr="00837E88" w:rsidRDefault="006F5996" w:rsidP="006F5996">
            <w:r w:rsidRPr="00837E88">
              <w:rPr>
                <w:sz w:val="24"/>
                <w:szCs w:val="24"/>
              </w:rPr>
              <w:t xml:space="preserve">This bill seeks to amend the </w:t>
            </w:r>
            <w:r w:rsidRPr="00837E88">
              <w:rPr>
                <w:i/>
                <w:sz w:val="24"/>
                <w:szCs w:val="24"/>
              </w:rPr>
              <w:t>Therapeutic Goods (Charges) Act 1989</w:t>
            </w:r>
            <w:r w:rsidRPr="00837E88">
              <w:rPr>
                <w:sz w:val="24"/>
                <w:szCs w:val="24"/>
              </w:rPr>
              <w:t xml:space="preserve"> to enable regulations to be made prescribing an annual charge for Australian corporations that are covered by a conformity assessment body determination</w:t>
            </w:r>
          </w:p>
        </w:tc>
      </w:tr>
      <w:tr w:rsidR="006F5996" w:rsidRPr="00837E88" w:rsidTr="006F5996">
        <w:tc>
          <w:tcPr>
            <w:tcW w:w="2660" w:type="dxa"/>
            <w:tcBorders>
              <w:right w:val="single" w:sz="12" w:space="0" w:color="auto"/>
            </w:tcBorders>
          </w:tcPr>
          <w:p w:rsidR="006F5996" w:rsidRPr="00837E88" w:rsidRDefault="006F5996" w:rsidP="006F5996">
            <w:pPr>
              <w:rPr>
                <w:b/>
                <w:sz w:val="24"/>
                <w:szCs w:val="24"/>
              </w:rPr>
            </w:pPr>
            <w:r w:rsidRPr="00837E88">
              <w:rPr>
                <w:b/>
                <w:sz w:val="24"/>
                <w:szCs w:val="24"/>
              </w:rPr>
              <w:t>Portfolio</w:t>
            </w:r>
          </w:p>
        </w:tc>
        <w:tc>
          <w:tcPr>
            <w:tcW w:w="6582" w:type="dxa"/>
            <w:tcBorders>
              <w:left w:val="single" w:sz="12" w:space="0" w:color="auto"/>
            </w:tcBorders>
          </w:tcPr>
          <w:p w:rsidR="006F5996" w:rsidRPr="00837E88" w:rsidRDefault="006F5996" w:rsidP="006F5996">
            <w:pPr>
              <w:rPr>
                <w:sz w:val="24"/>
                <w:szCs w:val="24"/>
              </w:rPr>
            </w:pPr>
            <w:r w:rsidRPr="00837E88">
              <w:rPr>
                <w:sz w:val="24"/>
                <w:szCs w:val="24"/>
              </w:rPr>
              <w:t>Health</w:t>
            </w:r>
          </w:p>
        </w:tc>
      </w:tr>
      <w:tr w:rsidR="006F5996" w:rsidRPr="00837E88" w:rsidTr="006F5996">
        <w:tc>
          <w:tcPr>
            <w:tcW w:w="2660" w:type="dxa"/>
            <w:tcBorders>
              <w:right w:val="single" w:sz="12" w:space="0" w:color="auto"/>
            </w:tcBorders>
          </w:tcPr>
          <w:p w:rsidR="006F5996" w:rsidRPr="00837E88" w:rsidRDefault="006F5996" w:rsidP="006F5996">
            <w:pPr>
              <w:rPr>
                <w:b/>
                <w:sz w:val="24"/>
                <w:szCs w:val="24"/>
              </w:rPr>
            </w:pPr>
            <w:r w:rsidRPr="00837E88">
              <w:rPr>
                <w:b/>
                <w:sz w:val="24"/>
                <w:szCs w:val="24"/>
              </w:rPr>
              <w:t>Introduced</w:t>
            </w:r>
          </w:p>
        </w:tc>
        <w:tc>
          <w:tcPr>
            <w:tcW w:w="6582" w:type="dxa"/>
            <w:tcBorders>
              <w:left w:val="single" w:sz="12" w:space="0" w:color="auto"/>
            </w:tcBorders>
          </w:tcPr>
          <w:p w:rsidR="006F5996" w:rsidRPr="00837E88" w:rsidRDefault="006F5996" w:rsidP="006F5996">
            <w:pPr>
              <w:rPr>
                <w:sz w:val="24"/>
                <w:szCs w:val="24"/>
              </w:rPr>
            </w:pPr>
            <w:r w:rsidRPr="00837E88">
              <w:rPr>
                <w:sz w:val="24"/>
                <w:szCs w:val="24"/>
              </w:rPr>
              <w:t>House of Representatives on 14 September 2017</w:t>
            </w:r>
          </w:p>
        </w:tc>
      </w:tr>
      <w:tr w:rsidR="006F5996" w:rsidRPr="00837E88" w:rsidTr="006F5996">
        <w:tc>
          <w:tcPr>
            <w:tcW w:w="2660" w:type="dxa"/>
            <w:tcBorders>
              <w:right w:val="single" w:sz="12" w:space="0" w:color="auto"/>
            </w:tcBorders>
          </w:tcPr>
          <w:p w:rsidR="006F5996" w:rsidRPr="00837E88" w:rsidRDefault="006F5996" w:rsidP="006F5996">
            <w:pPr>
              <w:rPr>
                <w:b/>
                <w:sz w:val="24"/>
                <w:szCs w:val="24"/>
              </w:rPr>
            </w:pPr>
            <w:r w:rsidRPr="00837E88">
              <w:rPr>
                <w:b/>
                <w:sz w:val="24"/>
                <w:szCs w:val="24"/>
              </w:rPr>
              <w:t>Bill status</w:t>
            </w:r>
          </w:p>
        </w:tc>
        <w:tc>
          <w:tcPr>
            <w:tcW w:w="6582" w:type="dxa"/>
            <w:tcBorders>
              <w:left w:val="single" w:sz="12" w:space="0" w:color="auto"/>
            </w:tcBorders>
          </w:tcPr>
          <w:p w:rsidR="006F5996" w:rsidRPr="00837E88" w:rsidRDefault="006F5996" w:rsidP="006F5996">
            <w:pPr>
              <w:rPr>
                <w:sz w:val="24"/>
                <w:szCs w:val="24"/>
              </w:rPr>
            </w:pPr>
            <w:r>
              <w:rPr>
                <w:sz w:val="24"/>
                <w:szCs w:val="24"/>
              </w:rPr>
              <w:t>Before the House of Representatives</w:t>
            </w:r>
          </w:p>
        </w:tc>
      </w:tr>
      <w:tr w:rsidR="006F5996" w:rsidRPr="00837E88" w:rsidTr="006F5996">
        <w:tc>
          <w:tcPr>
            <w:tcW w:w="2660" w:type="dxa"/>
            <w:tcBorders>
              <w:bottom w:val="single" w:sz="12" w:space="0" w:color="auto"/>
              <w:right w:val="single" w:sz="12" w:space="0" w:color="auto"/>
            </w:tcBorders>
          </w:tcPr>
          <w:p w:rsidR="006F5996" w:rsidRPr="00837E88" w:rsidRDefault="006F5996" w:rsidP="006F5996">
            <w:pPr>
              <w:rPr>
                <w:b/>
                <w:sz w:val="24"/>
                <w:szCs w:val="24"/>
              </w:rPr>
            </w:pPr>
            <w:r w:rsidRPr="00837E88">
              <w:rPr>
                <w:b/>
                <w:sz w:val="24"/>
                <w:szCs w:val="24"/>
              </w:rPr>
              <w:t>Scrutiny principle</w:t>
            </w:r>
          </w:p>
        </w:tc>
        <w:tc>
          <w:tcPr>
            <w:tcW w:w="6582" w:type="dxa"/>
            <w:tcBorders>
              <w:left w:val="single" w:sz="12" w:space="0" w:color="auto"/>
              <w:bottom w:val="single" w:sz="12" w:space="0" w:color="auto"/>
            </w:tcBorders>
          </w:tcPr>
          <w:p w:rsidR="006F5996" w:rsidRPr="00837E88" w:rsidRDefault="006F5996" w:rsidP="006F5996">
            <w:pPr>
              <w:rPr>
                <w:sz w:val="24"/>
                <w:szCs w:val="24"/>
              </w:rPr>
            </w:pPr>
            <w:r w:rsidRPr="00837E88">
              <w:rPr>
                <w:sz w:val="24"/>
                <w:szCs w:val="24"/>
              </w:rPr>
              <w:t>Standing Order 24(1)(a)(iv)</w:t>
            </w:r>
          </w:p>
        </w:tc>
      </w:tr>
    </w:tbl>
    <w:p w:rsidR="006F5996" w:rsidRPr="00837E88" w:rsidRDefault="006F5996" w:rsidP="006F5996">
      <w:pPr>
        <w:pStyle w:val="Level19"/>
        <w:numPr>
          <w:ilvl w:val="0"/>
          <w:numId w:val="21"/>
        </w:numPr>
        <w:spacing w:before="240"/>
      </w:pPr>
      <w:r w:rsidRPr="00837E88">
        <w:t xml:space="preserve">The committee dealt with this bill in </w:t>
      </w:r>
      <w:r w:rsidRPr="00837E88">
        <w:rPr>
          <w:i/>
        </w:rPr>
        <w:t>Scrutiny Digest No. 12 of 2017</w:t>
      </w:r>
      <w:r w:rsidRPr="00837E88">
        <w:t>. The Minister responded to the committee</w:t>
      </w:r>
      <w:r>
        <w:t>'</w:t>
      </w:r>
      <w:r w:rsidRPr="00837E88">
        <w:t>s comments in a letter dated 1 November 2017. Set out below are extracts from the committee</w:t>
      </w:r>
      <w:r>
        <w:t>'</w:t>
      </w:r>
      <w:r w:rsidRPr="00837E88">
        <w:t>s initial scrutiny of the bill and the Minister</w:t>
      </w:r>
      <w:r>
        <w:t>'</w:t>
      </w:r>
      <w:r w:rsidRPr="00837E88">
        <w:t>s response followed by the committee</w:t>
      </w:r>
      <w:r>
        <w:t>'</w:t>
      </w:r>
      <w:r w:rsidRPr="00837E88">
        <w:t>s comments on the response. A copy of the letter is available on the committee</w:t>
      </w:r>
      <w:r>
        <w:t>'</w:t>
      </w:r>
      <w:r w:rsidRPr="00837E88">
        <w:t>s website.</w:t>
      </w:r>
      <w:r w:rsidRPr="00837E88">
        <w:rPr>
          <w:rStyle w:val="FootnoteReference"/>
        </w:rPr>
        <w:footnoteReference w:id="202"/>
      </w:r>
    </w:p>
    <w:p w:rsidR="006F5996" w:rsidRPr="00837E88" w:rsidRDefault="006F5996" w:rsidP="006F5996">
      <w:pPr>
        <w:pStyle w:val="Heading3"/>
        <w:spacing w:after="0"/>
      </w:pPr>
      <w:r w:rsidRPr="00837E88">
        <w:t>Charges in delegated legislation</w:t>
      </w:r>
      <w:r w:rsidRPr="00837E88">
        <w:rPr>
          <w:rStyle w:val="FootnoteReference"/>
          <w:b w:val="0"/>
        </w:rPr>
        <w:footnoteReference w:id="203"/>
      </w:r>
    </w:p>
    <w:p w:rsidR="006F5996" w:rsidRPr="00837E88" w:rsidRDefault="006F5996" w:rsidP="006F5996">
      <w:pPr>
        <w:rPr>
          <w:b/>
          <w:i/>
        </w:rPr>
      </w:pPr>
      <w:r w:rsidRPr="00837E88">
        <w:rPr>
          <w:b/>
          <w:i/>
        </w:rPr>
        <w:t>Initial scrutiny – extract</w:t>
      </w:r>
    </w:p>
    <w:p w:rsidR="006F5996" w:rsidRPr="00837E88" w:rsidRDefault="006F5996" w:rsidP="006F5996">
      <w:pPr>
        <w:pStyle w:val="Level111"/>
        <w:numPr>
          <w:ilvl w:val="0"/>
          <w:numId w:val="21"/>
        </w:numPr>
      </w:pPr>
      <w:r w:rsidRPr="00837E88">
        <w:t xml:space="preserve">This bill seeks to amend </w:t>
      </w:r>
      <w:r w:rsidRPr="00837E88">
        <w:rPr>
          <w:szCs w:val="26"/>
        </w:rPr>
        <w:t xml:space="preserve">the </w:t>
      </w:r>
      <w:r w:rsidRPr="00837E88">
        <w:rPr>
          <w:i/>
          <w:szCs w:val="26"/>
        </w:rPr>
        <w:t>Therapeutic Goods (Charges) Act 1989</w:t>
      </w:r>
      <w:r w:rsidRPr="00837E88">
        <w:rPr>
          <w:szCs w:val="26"/>
        </w:rPr>
        <w:t xml:space="preserve"> to enable</w:t>
      </w:r>
      <w:r w:rsidRPr="00837E88">
        <w:t xml:space="preserve"> regulations to be made prescribing the amount of an annual charge payable in respect of a conformity assessment body determination that is in force at any time during a financial year.</w:t>
      </w:r>
    </w:p>
    <w:p w:rsidR="006F5996" w:rsidRPr="00837E88" w:rsidRDefault="006F5996" w:rsidP="006F5996">
      <w:pPr>
        <w:pStyle w:val="Level111"/>
        <w:numPr>
          <w:ilvl w:val="0"/>
          <w:numId w:val="21"/>
        </w:numPr>
      </w:pPr>
      <w:r w:rsidRPr="00837E88">
        <w:t>While the explanatory memorandum states that the annual charges are designed to ensure that the Department of Health is able to recover the costs of its post-market monitoring activities,</w:t>
      </w:r>
      <w:r w:rsidRPr="00837E88">
        <w:rPr>
          <w:rStyle w:val="FootnoteReference"/>
        </w:rPr>
        <w:footnoteReference w:id="204"/>
      </w:r>
      <w:r w:rsidRPr="00837E88">
        <w:t xml:space="preserve"> no guidance is provided on the face of the bill or in the explanatory memorandum as to the method of calculation (for example, there is no provision limiting the charge to cost recovery) nor is a maximum charge specified. </w:t>
      </w:r>
    </w:p>
    <w:p w:rsidR="006F5996" w:rsidRPr="00837E88" w:rsidRDefault="006F5996" w:rsidP="006F5996">
      <w:pPr>
        <w:pStyle w:val="Level111"/>
        <w:numPr>
          <w:ilvl w:val="0"/>
          <w:numId w:val="21"/>
        </w:numPr>
      </w:pPr>
      <w:r w:rsidRPr="00837E88">
        <w:t>One of the most fundamental functions of the Parliament is to levy taxation. The committee</w:t>
      </w:r>
      <w:r>
        <w:t>'</w:t>
      </w:r>
      <w:r w:rsidRPr="00837E88">
        <w:t>s consistent scrutiny view is that it is for the Parliament, rather than makers of delegated legislation, to set a rate of tax.</w:t>
      </w:r>
    </w:p>
    <w:p w:rsidR="006F5996" w:rsidRPr="00837E88" w:rsidRDefault="006F5996" w:rsidP="006F5996">
      <w:pPr>
        <w:pStyle w:val="Level111"/>
        <w:numPr>
          <w:ilvl w:val="0"/>
          <w:numId w:val="21"/>
        </w:numPr>
      </w:pPr>
      <w:r w:rsidRPr="00837E88">
        <w:lastRenderedPageBreak/>
        <w:t xml:space="preserve">Where charges are able to be prescribed by regulation the committee generally considers that some guidance in relation to the method of calculation of the charge and/or a maximum charge should be provided on the face of the primary legislation, to enable greater parliamentary scrutiny. </w:t>
      </w:r>
    </w:p>
    <w:p w:rsidR="006F5996" w:rsidRPr="00837E88" w:rsidRDefault="006F5996" w:rsidP="006F5996">
      <w:pPr>
        <w:pStyle w:val="Level111"/>
        <w:numPr>
          <w:ilvl w:val="0"/>
          <w:numId w:val="21"/>
        </w:numPr>
      </w:pPr>
      <w:r w:rsidRPr="00837E88">
        <w:t>The committee requests the Minister</w:t>
      </w:r>
      <w:r>
        <w:t>'</w:t>
      </w:r>
      <w:r w:rsidRPr="00837E88">
        <w:t>s advice on why there are no limits on the charge specified in primary legislation and whether guidance in relation to the method of calculation of the charge and/or a maximum charge can be specifically included in the bill.</w:t>
      </w:r>
    </w:p>
    <w:p w:rsidR="006F5996" w:rsidRPr="00837E88" w:rsidRDefault="006F5996" w:rsidP="006F5996">
      <w:pPr>
        <w:pStyle w:val="Level19"/>
        <w:tabs>
          <w:tab w:val="clear" w:pos="850"/>
        </w:tabs>
        <w:rPr>
          <w:b/>
          <w:i/>
        </w:rPr>
      </w:pPr>
      <w:r w:rsidRPr="00837E88">
        <w:rPr>
          <w:b/>
          <w:i/>
        </w:rPr>
        <w:t>Minister</w:t>
      </w:r>
      <w:r>
        <w:rPr>
          <w:b/>
          <w:i/>
        </w:rPr>
        <w:t>'</w:t>
      </w:r>
      <w:r w:rsidRPr="00837E88">
        <w:rPr>
          <w:b/>
          <w:i/>
        </w:rPr>
        <w:t>s response</w:t>
      </w:r>
    </w:p>
    <w:p w:rsidR="006F5996" w:rsidRPr="00837E88" w:rsidRDefault="006F5996" w:rsidP="006F5996">
      <w:pPr>
        <w:pStyle w:val="Level19"/>
        <w:numPr>
          <w:ilvl w:val="0"/>
          <w:numId w:val="21"/>
        </w:numPr>
      </w:pPr>
      <w:r w:rsidRPr="00837E88">
        <w:t>The Minister advised:</w:t>
      </w:r>
    </w:p>
    <w:p w:rsidR="006F5996" w:rsidRPr="00837E88" w:rsidRDefault="006F5996" w:rsidP="006F5996">
      <w:pPr>
        <w:pStyle w:val="Quote"/>
      </w:pPr>
      <w:r w:rsidRPr="00837E88">
        <w:rPr>
          <w:lang w:eastAsia="en-AU"/>
        </w:rPr>
        <w:t>The Australian Government Charging Framework requires cost recovery levies to be imposed as annual charges when a good, service or regulation is provided to a group of individuals or organisations rather than to a specific individual or organisation. Unlike general taxation, such levies are earmarked to fund activities provided to the group that pays the levy.</w:t>
      </w:r>
    </w:p>
    <w:p w:rsidR="006F5996" w:rsidRPr="00837E88" w:rsidRDefault="006F5996" w:rsidP="006F5996">
      <w:pPr>
        <w:pStyle w:val="Quote"/>
      </w:pPr>
      <w:r w:rsidRPr="00837E88">
        <w:rPr>
          <w:lang w:eastAsia="en-AU"/>
        </w:rPr>
        <w:t>The annual charges relating to conformity assessment body determinations will be calculated after taking into account the total expected cost of the monitoring and compliance framework for conformity assessment bodies and will be set in accordance with the Australian Government Cost Recovery Guidelines.</w:t>
      </w:r>
    </w:p>
    <w:p w:rsidR="006F5996" w:rsidRPr="00837E88" w:rsidRDefault="006F5996" w:rsidP="006F5996">
      <w:pPr>
        <w:pStyle w:val="Quote"/>
      </w:pPr>
      <w:r w:rsidRPr="00837E88">
        <w:rPr>
          <w:lang w:eastAsia="en-AU"/>
        </w:rPr>
        <w:t>Setting the amount, or the method for calculating the amount, of annual charges in the regulations, rather than the principal legislation, is designed to provide the appropriate level of flexibility to:</w:t>
      </w:r>
    </w:p>
    <w:p w:rsidR="006F5996" w:rsidRPr="00837E88" w:rsidRDefault="006F5996" w:rsidP="006F5996">
      <w:pPr>
        <w:pStyle w:val="Bullet26"/>
        <w:numPr>
          <w:ilvl w:val="0"/>
          <w:numId w:val="4"/>
        </w:numPr>
        <w:tabs>
          <w:tab w:val="clear" w:pos="1134"/>
        </w:tabs>
        <w:ind w:left="1418" w:right="804"/>
        <w:rPr>
          <w:sz w:val="24"/>
          <w:szCs w:val="24"/>
          <w:lang w:eastAsia="en-AU"/>
        </w:rPr>
      </w:pPr>
      <w:r w:rsidRPr="00837E88">
        <w:rPr>
          <w:sz w:val="24"/>
          <w:szCs w:val="24"/>
          <w:lang w:eastAsia="en-AU"/>
        </w:rPr>
        <w:t>impose different amounts of charges, or have different methods of calculation, depending on the scope of conformity assessment body determinations (that is, whether a determination is of general application or is limited to specified medical devices and/or specified conformity assessment procedures); and</w:t>
      </w:r>
    </w:p>
    <w:p w:rsidR="006F5996" w:rsidRPr="00837E88" w:rsidRDefault="006F5996" w:rsidP="006F5996">
      <w:pPr>
        <w:pStyle w:val="Bullet26"/>
        <w:numPr>
          <w:ilvl w:val="0"/>
          <w:numId w:val="4"/>
        </w:numPr>
        <w:tabs>
          <w:tab w:val="clear" w:pos="1134"/>
        </w:tabs>
        <w:ind w:left="1418" w:right="804"/>
        <w:rPr>
          <w:sz w:val="24"/>
          <w:szCs w:val="24"/>
        </w:rPr>
      </w:pPr>
      <w:r w:rsidRPr="00837E88">
        <w:rPr>
          <w:sz w:val="24"/>
          <w:szCs w:val="24"/>
          <w:lang w:eastAsia="en-AU"/>
        </w:rPr>
        <w:t>set the amount of annual charge, or its method of calculation, to accurately reflect the cost of regulation as the scheme evolves, and to adjust the amount over time to avoid over or under recovery.</w:t>
      </w:r>
    </w:p>
    <w:p w:rsidR="006F5996" w:rsidRPr="00837E88" w:rsidRDefault="006F5996" w:rsidP="006F5996">
      <w:pPr>
        <w:pStyle w:val="Quote"/>
      </w:pPr>
      <w:r w:rsidRPr="00837E88">
        <w:rPr>
          <w:lang w:eastAsia="en-AU"/>
        </w:rPr>
        <w:t>Before prescribing the amount of annual charges in respect of conformity assessment body determinations, the Department of Health (through the TGA) will undertake detailed consultation with stakeholders, including medical device industry peak bodies through the TGA</w:t>
      </w:r>
      <w:r>
        <w:rPr>
          <w:lang w:eastAsia="en-AU"/>
        </w:rPr>
        <w:t>'</w:t>
      </w:r>
      <w:r w:rsidRPr="00837E88">
        <w:rPr>
          <w:lang w:eastAsia="en-AU"/>
        </w:rPr>
        <w:t>s Regulatory and Technical Consultative Forum (RegTech). A Cost Recovery Implementation Statement will be prepared and published on the TGA</w:t>
      </w:r>
      <w:r>
        <w:rPr>
          <w:lang w:eastAsia="en-AU"/>
        </w:rPr>
        <w:t>'</w:t>
      </w:r>
      <w:r w:rsidRPr="00837E88">
        <w:rPr>
          <w:lang w:eastAsia="en-AU"/>
        </w:rPr>
        <w:t>s website which will further facilitate transparency and accountability.</w:t>
      </w:r>
    </w:p>
    <w:p w:rsidR="006F5996" w:rsidRPr="00837E88" w:rsidRDefault="006F5996" w:rsidP="006F5996">
      <w:pPr>
        <w:pStyle w:val="Quote"/>
      </w:pPr>
      <w:r w:rsidRPr="00837E88">
        <w:rPr>
          <w:lang w:eastAsia="en-AU"/>
        </w:rPr>
        <w:t xml:space="preserve">This approach, then, will prevent the need to amend primary legislation whenever there are changes to cost recovery arrangements, and is also consistent with the approach taken in relation to existing annual charges imposed on the registration, listing and inclusion of goods in the Australian </w:t>
      </w:r>
      <w:r w:rsidRPr="00837E88">
        <w:rPr>
          <w:lang w:eastAsia="en-AU"/>
        </w:rPr>
        <w:lastRenderedPageBreak/>
        <w:t xml:space="preserve">Register of Therapeutic Goods, and the licensing of manufacturers of therapeutic goods in the </w:t>
      </w:r>
      <w:r w:rsidRPr="00837E88">
        <w:rPr>
          <w:i/>
          <w:iCs/>
          <w:lang w:eastAsia="en-AU"/>
        </w:rPr>
        <w:t>Therapeutic Goods (Charges) Act 1989.</w:t>
      </w:r>
    </w:p>
    <w:p w:rsidR="006F5996" w:rsidRPr="00837E88" w:rsidRDefault="006F5996" w:rsidP="006F5996">
      <w:pPr>
        <w:pStyle w:val="Quote"/>
      </w:pPr>
      <w:r w:rsidRPr="00837E88">
        <w:rPr>
          <w:lang w:eastAsia="en-AU"/>
        </w:rPr>
        <w:t>The Bill does not include a maximum amount of charge, as the charge will be set in accordance with the Australian Government Cost Recovery Guidelines and because any such limit prescribed would be arbitrary and would need to be substantially in excess of the amount proposed to be charged, which would likely result in confusion for, and criticism by, stakeholders.</w:t>
      </w:r>
    </w:p>
    <w:p w:rsidR="006F5996" w:rsidRPr="00837E88" w:rsidRDefault="006F5996" w:rsidP="006F5996">
      <w:pPr>
        <w:pStyle w:val="Quote"/>
      </w:pPr>
      <w:r w:rsidRPr="00837E88">
        <w:rPr>
          <w:lang w:eastAsia="en-AU"/>
        </w:rPr>
        <w:t xml:space="preserve">As legislative instruments, the regulations will be subject to the requirements of the </w:t>
      </w:r>
      <w:r w:rsidRPr="00837E88">
        <w:rPr>
          <w:i/>
          <w:iCs/>
          <w:lang w:eastAsia="en-AU"/>
        </w:rPr>
        <w:t xml:space="preserve">Legislation Act 2003, </w:t>
      </w:r>
      <w:r w:rsidRPr="00837E88">
        <w:rPr>
          <w:lang w:eastAsia="en-AU"/>
        </w:rPr>
        <w:t>including requirements in relation to consultation and parliamentary scrutiny, which will assist in ensuring that charges are not excessive. In particular, the regulations will be tabled in Parliament, and are disallowable by either House. They will also be subject to scrutiny by the Senate Standing Committee on Regulations and Ordinances.</w:t>
      </w:r>
    </w:p>
    <w:p w:rsidR="006F5996" w:rsidRPr="00837E88" w:rsidRDefault="006F5996" w:rsidP="006F5996">
      <w:pPr>
        <w:pStyle w:val="Quote"/>
      </w:pPr>
      <w:r w:rsidRPr="00837E88">
        <w:rPr>
          <w:lang w:eastAsia="en-AU"/>
        </w:rPr>
        <w:t>In addition, to help address the concerns raised by the Committee, the Explanatory Memorandum to the Bill will be amended to provide further clarity in relation to the process by which the amount of charges will be set.</w:t>
      </w:r>
    </w:p>
    <w:p w:rsidR="006F5996" w:rsidRPr="00837E88" w:rsidRDefault="006F5996" w:rsidP="006F5996">
      <w:pPr>
        <w:pStyle w:val="Level19"/>
        <w:tabs>
          <w:tab w:val="clear" w:pos="850"/>
        </w:tabs>
        <w:rPr>
          <w:b/>
          <w:i/>
        </w:rPr>
      </w:pPr>
      <w:r w:rsidRPr="00837E88">
        <w:rPr>
          <w:b/>
          <w:i/>
        </w:rPr>
        <w:t>Committee comment</w:t>
      </w:r>
    </w:p>
    <w:p w:rsidR="006F5996" w:rsidRDefault="006F5996" w:rsidP="006F5996">
      <w:pPr>
        <w:pStyle w:val="Level19"/>
        <w:numPr>
          <w:ilvl w:val="0"/>
          <w:numId w:val="21"/>
        </w:numPr>
      </w:pPr>
      <w:r w:rsidRPr="00837E88">
        <w:t>The committee thanks the Minister for this response. The committee notes the Minister</w:t>
      </w:r>
      <w:r>
        <w:t>'</w:t>
      </w:r>
      <w:r w:rsidRPr="00837E88">
        <w:t>s advice that</w:t>
      </w:r>
      <w:r>
        <w:t xml:space="preserve"> the annual charges relating to conformity assessment body determinations will be set in accordance with the </w:t>
      </w:r>
      <w:r w:rsidRPr="0058302D">
        <w:rPr>
          <w:i/>
        </w:rPr>
        <w:t>Australian Government Cost Recovery Guidelines</w:t>
      </w:r>
      <w:r w:rsidRPr="007145FF">
        <w:rPr>
          <w:rStyle w:val="FootnoteReference"/>
        </w:rPr>
        <w:footnoteReference w:id="205"/>
      </w:r>
      <w:r w:rsidRPr="007145FF">
        <w:t xml:space="preserve"> </w:t>
      </w:r>
      <w:r>
        <w:t>and calculated by taking into account the total expected cost of the monitoring and compliance framework. The committee also notes the Minister's advice that the Department of Health will undertake consultation with stakeholders, including medical device industry peak bodies, prior to the amount of the charge being prescribed, and that a cost recovery implementation statement will then be published on the Therapeutic Goods Administration website.</w:t>
      </w:r>
    </w:p>
    <w:p w:rsidR="006F5996" w:rsidRDefault="006F5996" w:rsidP="006F5996">
      <w:pPr>
        <w:pStyle w:val="Level19"/>
        <w:numPr>
          <w:ilvl w:val="0"/>
          <w:numId w:val="21"/>
        </w:numPr>
      </w:pPr>
      <w:r>
        <w:t>The committee notes the Minister's further advice that allowing both the method for calculating the amount of the charge as well as the amount itself to be set by regulation is 'designed to provide the appropriate level of flexibility' and thereby avoid the need to amend primary legislation to change cost recovery arrangements. Finally, the committee notes the Minister's advice that the bill does not set a maximum charge as any such limit prescribed would be 'arbitrary and would need to be substantially in excess of the amount proposed to be charged, which would likely result in confusion for, and criticism by, stakeholders'.</w:t>
      </w:r>
    </w:p>
    <w:p w:rsidR="006F5996" w:rsidRDefault="006F5996" w:rsidP="006F5996">
      <w:pPr>
        <w:pStyle w:val="Level19"/>
        <w:numPr>
          <w:ilvl w:val="0"/>
          <w:numId w:val="21"/>
        </w:numPr>
      </w:pPr>
      <w:r>
        <w:lastRenderedPageBreak/>
        <w:t>The committee welcomes the Minister's advice that the regulations will be tabled in, and be disallowable by, both Houses of Parliament and that the explanatory memorandum will be amended to provide further clarity in relation to the process by which the amount of charges will be set.</w:t>
      </w:r>
    </w:p>
    <w:p w:rsidR="006F5996" w:rsidRDefault="006F5996" w:rsidP="006F5996">
      <w:pPr>
        <w:pStyle w:val="Level19"/>
        <w:numPr>
          <w:ilvl w:val="0"/>
          <w:numId w:val="21"/>
        </w:numPr>
      </w:pPr>
      <w:r w:rsidRPr="00712952">
        <w:t>However, the committee takes this opportunity to reiterate that one of the most fundamental functions of the Parliament is to levy taxation.</w:t>
      </w:r>
      <w:r>
        <w:rPr>
          <w:rStyle w:val="FootnoteReference"/>
        </w:rPr>
        <w:footnoteReference w:id="206"/>
      </w:r>
      <w:r w:rsidRPr="00712952">
        <w:t xml:space="preserve"> The committee's consistent scrutiny view is that it is for the Parliament, rather than makers of delegated legislation, to set a rate of tax. Therefore, where there is any possibility that a charge could be characterised as general taxation, the committee considers that guidance in relation to the level of a charge should be included on the face of the primary legislation.</w:t>
      </w:r>
    </w:p>
    <w:p w:rsidR="006F5996" w:rsidRPr="00837E88" w:rsidRDefault="006F5996" w:rsidP="006F5996">
      <w:pPr>
        <w:pStyle w:val="Level19"/>
        <w:numPr>
          <w:ilvl w:val="0"/>
          <w:numId w:val="21"/>
        </w:numPr>
      </w:pPr>
      <w:r w:rsidRPr="00712952">
        <w:t xml:space="preserve">The committee does not consider that including a maximum limit on the face of the bill would cause confusion </w:t>
      </w:r>
      <w:r>
        <w:t>among stakeholders</w:t>
      </w:r>
      <w:r w:rsidRPr="00712952">
        <w:t xml:space="preserve"> as it would simply represent an upper limit on the amount of the charge that could be levied without amendment of the primary legislation. In addition, if setting a maximum limit is not considered appropriate, guidance as to the method of calculation of the charge (for example, a provision explicitly limiting the charge to cost recovery) could still be provided on the face of the primary legislation.</w:t>
      </w:r>
    </w:p>
    <w:p w:rsidR="006F5996" w:rsidRPr="00FE3A08" w:rsidRDefault="006F5996" w:rsidP="006F5996">
      <w:pPr>
        <w:pStyle w:val="Level19"/>
        <w:numPr>
          <w:ilvl w:val="0"/>
          <w:numId w:val="21"/>
        </w:numPr>
        <w:rPr>
          <w:b/>
        </w:rPr>
      </w:pPr>
      <w:r w:rsidRPr="00FE3A08">
        <w:rPr>
          <w:b/>
        </w:rPr>
        <w:t>The committee welcomes the Minister's undertaking to amend the explanatory memorandum so as to clarify the process by which the amount of charges will be set, noting the importance of th</w:t>
      </w:r>
      <w:r>
        <w:rPr>
          <w:b/>
        </w:rPr>
        <w:t>is</w:t>
      </w:r>
      <w:r w:rsidRPr="00FE3A08">
        <w:rPr>
          <w:b/>
        </w:rPr>
        <w:t xml:space="preserve"> document as a point of access to understanding the law and, if needed, as extrinsic material to assist with interpretation (see section 15AB of the </w:t>
      </w:r>
      <w:r w:rsidRPr="00FE3A08">
        <w:rPr>
          <w:b/>
          <w:i/>
        </w:rPr>
        <w:t>Acts Interpretation Act 1901</w:t>
      </w:r>
      <w:r w:rsidRPr="00FE3A08">
        <w:rPr>
          <w:b/>
        </w:rPr>
        <w:t xml:space="preserve">). </w:t>
      </w:r>
    </w:p>
    <w:p w:rsidR="006F5996" w:rsidRDefault="006F5996" w:rsidP="006F5996">
      <w:pPr>
        <w:pStyle w:val="Level19"/>
        <w:numPr>
          <w:ilvl w:val="0"/>
          <w:numId w:val="21"/>
        </w:numPr>
        <w:rPr>
          <w:b/>
        </w:rPr>
      </w:pPr>
      <w:r>
        <w:rPr>
          <w:b/>
        </w:rPr>
        <w:t>However, t</w:t>
      </w:r>
      <w:r w:rsidRPr="002714AD">
        <w:rPr>
          <w:b/>
        </w:rPr>
        <w:t>he committee draws its scrutiny concerns to the attention of Senators and leaves to the Senate as a whole the appropriateness of allowing regulations to determine the amount of a charge payable without any guidance being provided on the face of the bill as to the method of calculation or the maximum amount of the charge.</w:t>
      </w:r>
    </w:p>
    <w:p w:rsidR="006F5996" w:rsidRDefault="006F5996" w:rsidP="006F5996">
      <w:pPr>
        <w:pStyle w:val="Level19"/>
        <w:numPr>
          <w:ilvl w:val="0"/>
          <w:numId w:val="21"/>
        </w:numPr>
        <w:rPr>
          <w:b/>
        </w:rPr>
      </w:pPr>
      <w:r w:rsidRPr="002714AD">
        <w:rPr>
          <w:b/>
        </w:rPr>
        <w:t>The committee also draws this matter to the attention of the Senate Standing Committee on Regulations and Ordinances for information.</w:t>
      </w:r>
    </w:p>
    <w:p w:rsidR="006F5996" w:rsidRDefault="006F5996" w:rsidP="006F5996">
      <w:pPr>
        <w:pStyle w:val="Level19"/>
        <w:numPr>
          <w:ilvl w:val="0"/>
          <w:numId w:val="21"/>
        </w:numPr>
        <w:rPr>
          <w:b/>
        </w:rPr>
        <w:sectPr w:rsidR="006F5996" w:rsidSect="00194588">
          <w:headerReference w:type="even" r:id="rId183"/>
          <w:headerReference w:type="default" r:id="rId184"/>
          <w:footerReference w:type="even" r:id="rId185"/>
          <w:footerReference w:type="default" r:id="rId186"/>
          <w:headerReference w:type="first" r:id="rId187"/>
          <w:footerReference w:type="first" r:id="rId188"/>
          <w:pgSz w:w="11906" w:h="16838" w:code="9"/>
          <w:pgMar w:top="1440" w:right="1440" w:bottom="1202" w:left="1440" w:header="1134" w:footer="720" w:gutter="0"/>
          <w:cols w:space="720"/>
          <w:titlePg/>
        </w:sectPr>
      </w:pPr>
    </w:p>
    <w:p w:rsidR="006F5996" w:rsidRDefault="006F5996" w:rsidP="006F5996">
      <w:pPr>
        <w:sectPr w:rsidR="006F5996" w:rsidSect="006F5996">
          <w:type w:val="continuous"/>
          <w:pgSz w:w="11906" w:h="16838" w:code="9"/>
          <w:pgMar w:top="1440" w:right="1440" w:bottom="1202" w:left="1440" w:header="1134" w:footer="720" w:gutter="0"/>
          <w:cols w:space="720"/>
          <w:titlePg/>
        </w:sectPr>
      </w:pPr>
    </w:p>
    <w:p w:rsidR="006F5996" w:rsidRPr="00A96DEE" w:rsidRDefault="006F5996" w:rsidP="006F5996">
      <w:pPr>
        <w:pStyle w:val="Heading1"/>
        <w:spacing w:after="240"/>
        <w:jc w:val="both"/>
        <w:rPr>
          <w:rFonts w:asciiTheme="minorHAnsi" w:hAnsiTheme="minorHAnsi"/>
          <w:szCs w:val="40"/>
        </w:rPr>
      </w:pPr>
      <w:r w:rsidRPr="00A96DEE">
        <w:rPr>
          <w:rFonts w:asciiTheme="minorHAnsi" w:hAnsiTheme="minorHAnsi" w:cs="Arial"/>
          <w:szCs w:val="40"/>
        </w:rPr>
        <w:lastRenderedPageBreak/>
        <w:t>Therapeutic Goods Amendment (2017 Measures</w:t>
      </w:r>
      <w:r w:rsidRPr="00A96DEE">
        <w:rPr>
          <w:rFonts w:asciiTheme="minorHAnsi" w:hAnsiTheme="minorHAnsi" w:cs="Arial"/>
          <w:szCs w:val="40"/>
        </w:rPr>
        <w:br/>
        <w:t>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5996" w:rsidRPr="00A96DEE" w:rsidTr="006F5996">
        <w:tc>
          <w:tcPr>
            <w:tcW w:w="2660" w:type="dxa"/>
            <w:tcBorders>
              <w:top w:val="single" w:sz="12" w:space="0" w:color="auto"/>
              <w:right w:val="single" w:sz="12" w:space="0" w:color="auto"/>
            </w:tcBorders>
          </w:tcPr>
          <w:p w:rsidR="006F5996" w:rsidRPr="00A96DEE" w:rsidRDefault="006F5996" w:rsidP="006F5996">
            <w:pPr>
              <w:rPr>
                <w:b/>
                <w:sz w:val="24"/>
                <w:szCs w:val="24"/>
              </w:rPr>
            </w:pPr>
            <w:r w:rsidRPr="00A96DEE">
              <w:rPr>
                <w:b/>
                <w:sz w:val="24"/>
                <w:szCs w:val="24"/>
              </w:rPr>
              <w:t>Purpose</w:t>
            </w:r>
          </w:p>
        </w:tc>
        <w:tc>
          <w:tcPr>
            <w:tcW w:w="6582" w:type="dxa"/>
            <w:tcBorders>
              <w:top w:val="single" w:sz="12" w:space="0" w:color="auto"/>
              <w:left w:val="single" w:sz="12" w:space="0" w:color="auto"/>
            </w:tcBorders>
          </w:tcPr>
          <w:p w:rsidR="006F5996" w:rsidRPr="00A96DEE" w:rsidRDefault="006F5996" w:rsidP="00106C8B">
            <w:pPr>
              <w:spacing w:after="60"/>
              <w:rPr>
                <w:sz w:val="24"/>
                <w:szCs w:val="24"/>
              </w:rPr>
            </w:pPr>
            <w:r w:rsidRPr="00A96DEE">
              <w:rPr>
                <w:sz w:val="24"/>
                <w:szCs w:val="24"/>
              </w:rPr>
              <w:t xml:space="preserve">This bill seeks to amend the </w:t>
            </w:r>
            <w:r w:rsidRPr="00A96DEE">
              <w:rPr>
                <w:i/>
                <w:sz w:val="24"/>
                <w:szCs w:val="24"/>
              </w:rPr>
              <w:t>Therapeutic Goods Act 1989</w:t>
            </w:r>
            <w:r w:rsidRPr="00A96DEE">
              <w:rPr>
                <w:sz w:val="24"/>
                <w:szCs w:val="24"/>
              </w:rPr>
              <w:t xml:space="preserve"> to:</w:t>
            </w:r>
          </w:p>
          <w:p w:rsidR="006F5996" w:rsidRPr="00A96DEE" w:rsidRDefault="006F5996" w:rsidP="006F5996">
            <w:pPr>
              <w:pStyle w:val="Bullet1"/>
              <w:tabs>
                <w:tab w:val="clear" w:pos="851"/>
                <w:tab w:val="left" w:pos="459"/>
              </w:tabs>
              <w:spacing w:after="60"/>
              <w:ind w:left="459" w:hanging="459"/>
              <w:rPr>
                <w:sz w:val="24"/>
                <w:szCs w:val="24"/>
              </w:rPr>
            </w:pPr>
            <w:r w:rsidRPr="00A96DEE">
              <w:rPr>
                <w:sz w:val="24"/>
                <w:szCs w:val="24"/>
              </w:rPr>
              <w:t>implement a number of recommendations of the Expert Panel Review of Medicines and Medical Devices Regulation;</w:t>
            </w:r>
          </w:p>
          <w:p w:rsidR="006F5996" w:rsidRPr="00A96DEE" w:rsidRDefault="006F5996" w:rsidP="006F5996">
            <w:pPr>
              <w:pStyle w:val="Bullet1"/>
              <w:tabs>
                <w:tab w:val="clear" w:pos="851"/>
                <w:tab w:val="left" w:pos="459"/>
              </w:tabs>
              <w:ind w:left="459" w:hanging="459"/>
              <w:rPr>
                <w:sz w:val="24"/>
                <w:szCs w:val="24"/>
              </w:rPr>
            </w:pPr>
            <w:r w:rsidRPr="00A96DEE">
              <w:rPr>
                <w:sz w:val="24"/>
                <w:szCs w:val="24"/>
              </w:rPr>
              <w:t xml:space="preserve">clarify issues raised in relation to the processing of applications by the Department of Health, through the Therapeutic Goods Administration, by the Federal Court’s decision in </w:t>
            </w:r>
            <w:r w:rsidRPr="00A96DEE">
              <w:rPr>
                <w:i/>
                <w:sz w:val="24"/>
                <w:szCs w:val="24"/>
              </w:rPr>
              <w:t>Nicovations Australia Pty Ltd v Secretary of the Department of Health</w:t>
            </w:r>
            <w:r w:rsidRPr="00A96DEE">
              <w:rPr>
                <w:sz w:val="24"/>
                <w:szCs w:val="24"/>
              </w:rPr>
              <w:t xml:space="preserve"> [2016] FCA 394 </w:t>
            </w:r>
            <w:r w:rsidRPr="00A96DEE">
              <w:rPr>
                <w:i/>
                <w:sz w:val="24"/>
                <w:szCs w:val="24"/>
              </w:rPr>
              <w:t>(Nicovations)</w:t>
            </w:r>
            <w:r w:rsidRPr="00A96DEE">
              <w:rPr>
                <w:sz w:val="24"/>
                <w:szCs w:val="24"/>
              </w:rPr>
              <w:t>; and</w:t>
            </w:r>
          </w:p>
          <w:p w:rsidR="006F5996" w:rsidRPr="00A96DEE" w:rsidRDefault="006F5996" w:rsidP="006F5996">
            <w:pPr>
              <w:pStyle w:val="Bullet1"/>
              <w:tabs>
                <w:tab w:val="clear" w:pos="851"/>
                <w:tab w:val="left" w:pos="459"/>
              </w:tabs>
              <w:ind w:left="459" w:hanging="459"/>
              <w:rPr>
                <w:sz w:val="24"/>
                <w:szCs w:val="24"/>
              </w:rPr>
            </w:pPr>
            <w:r w:rsidRPr="00A96DEE">
              <w:rPr>
                <w:sz w:val="24"/>
                <w:szCs w:val="24"/>
              </w:rPr>
              <w:t>make a number of miscellaneous amendments to the Act</w:t>
            </w:r>
          </w:p>
        </w:tc>
      </w:tr>
      <w:tr w:rsidR="006F5996" w:rsidRPr="00A96DEE" w:rsidTr="006F5996">
        <w:tc>
          <w:tcPr>
            <w:tcW w:w="2660" w:type="dxa"/>
            <w:tcBorders>
              <w:right w:val="single" w:sz="12" w:space="0" w:color="auto"/>
            </w:tcBorders>
          </w:tcPr>
          <w:p w:rsidR="006F5996" w:rsidRPr="00A96DEE" w:rsidRDefault="006F5996" w:rsidP="006F5996">
            <w:pPr>
              <w:rPr>
                <w:b/>
                <w:sz w:val="24"/>
                <w:szCs w:val="24"/>
              </w:rPr>
            </w:pPr>
            <w:r w:rsidRPr="00A96DEE">
              <w:rPr>
                <w:b/>
                <w:sz w:val="24"/>
                <w:szCs w:val="24"/>
              </w:rPr>
              <w:t>Portfolio</w:t>
            </w:r>
          </w:p>
        </w:tc>
        <w:tc>
          <w:tcPr>
            <w:tcW w:w="6582" w:type="dxa"/>
            <w:tcBorders>
              <w:left w:val="single" w:sz="12" w:space="0" w:color="auto"/>
            </w:tcBorders>
          </w:tcPr>
          <w:p w:rsidR="006F5996" w:rsidRPr="00A96DEE" w:rsidRDefault="006F5996" w:rsidP="00106C8B">
            <w:pPr>
              <w:rPr>
                <w:sz w:val="24"/>
                <w:szCs w:val="24"/>
              </w:rPr>
            </w:pPr>
            <w:r w:rsidRPr="00A96DEE">
              <w:rPr>
                <w:sz w:val="24"/>
                <w:szCs w:val="24"/>
              </w:rPr>
              <w:t>Health</w:t>
            </w:r>
          </w:p>
        </w:tc>
      </w:tr>
      <w:tr w:rsidR="006F5996" w:rsidRPr="00A96DEE" w:rsidTr="006F5996">
        <w:tc>
          <w:tcPr>
            <w:tcW w:w="2660" w:type="dxa"/>
            <w:tcBorders>
              <w:right w:val="single" w:sz="12" w:space="0" w:color="auto"/>
            </w:tcBorders>
          </w:tcPr>
          <w:p w:rsidR="006F5996" w:rsidRPr="00A96DEE" w:rsidRDefault="006F5996" w:rsidP="006F5996">
            <w:pPr>
              <w:rPr>
                <w:b/>
                <w:sz w:val="24"/>
                <w:szCs w:val="24"/>
              </w:rPr>
            </w:pPr>
            <w:r w:rsidRPr="00A96DEE">
              <w:rPr>
                <w:b/>
                <w:sz w:val="24"/>
                <w:szCs w:val="24"/>
              </w:rPr>
              <w:t>Introduced</w:t>
            </w:r>
          </w:p>
        </w:tc>
        <w:tc>
          <w:tcPr>
            <w:tcW w:w="6582" w:type="dxa"/>
            <w:tcBorders>
              <w:left w:val="single" w:sz="12" w:space="0" w:color="auto"/>
            </w:tcBorders>
          </w:tcPr>
          <w:p w:rsidR="006F5996" w:rsidRPr="00A96DEE" w:rsidRDefault="006F5996" w:rsidP="00106C8B">
            <w:pPr>
              <w:rPr>
                <w:sz w:val="24"/>
                <w:szCs w:val="24"/>
              </w:rPr>
            </w:pPr>
            <w:r w:rsidRPr="00A96DEE">
              <w:rPr>
                <w:sz w:val="24"/>
                <w:szCs w:val="24"/>
              </w:rPr>
              <w:t xml:space="preserve">House of Representatives on 14 September 2017 </w:t>
            </w:r>
          </w:p>
        </w:tc>
      </w:tr>
      <w:tr w:rsidR="006F5996" w:rsidRPr="00A96DEE" w:rsidTr="006F5996">
        <w:tc>
          <w:tcPr>
            <w:tcW w:w="2660" w:type="dxa"/>
            <w:tcBorders>
              <w:right w:val="single" w:sz="12" w:space="0" w:color="auto"/>
            </w:tcBorders>
          </w:tcPr>
          <w:p w:rsidR="006F5996" w:rsidRPr="00A96DEE" w:rsidRDefault="006F5996" w:rsidP="00106C8B">
            <w:pPr>
              <w:rPr>
                <w:b/>
                <w:sz w:val="24"/>
                <w:szCs w:val="24"/>
              </w:rPr>
            </w:pPr>
            <w:r>
              <w:rPr>
                <w:b/>
                <w:sz w:val="24"/>
                <w:szCs w:val="24"/>
              </w:rPr>
              <w:t>Bill status</w:t>
            </w:r>
          </w:p>
        </w:tc>
        <w:tc>
          <w:tcPr>
            <w:tcW w:w="6582" w:type="dxa"/>
            <w:tcBorders>
              <w:left w:val="single" w:sz="12" w:space="0" w:color="auto"/>
            </w:tcBorders>
          </w:tcPr>
          <w:p w:rsidR="006F5996" w:rsidRPr="00A96DEE" w:rsidRDefault="006F5996" w:rsidP="00106C8B">
            <w:pPr>
              <w:rPr>
                <w:sz w:val="24"/>
                <w:szCs w:val="24"/>
              </w:rPr>
            </w:pPr>
            <w:r>
              <w:rPr>
                <w:sz w:val="24"/>
                <w:szCs w:val="24"/>
              </w:rPr>
              <w:t>Before House of Representatives</w:t>
            </w:r>
          </w:p>
        </w:tc>
      </w:tr>
      <w:tr w:rsidR="006F5996" w:rsidRPr="00A96DEE" w:rsidTr="006F5996">
        <w:tc>
          <w:tcPr>
            <w:tcW w:w="2660" w:type="dxa"/>
            <w:tcBorders>
              <w:bottom w:val="single" w:sz="12" w:space="0" w:color="auto"/>
              <w:right w:val="single" w:sz="12" w:space="0" w:color="auto"/>
            </w:tcBorders>
          </w:tcPr>
          <w:p w:rsidR="006F5996" w:rsidRPr="00A96DEE" w:rsidRDefault="006F5996" w:rsidP="00106C8B">
            <w:pPr>
              <w:rPr>
                <w:b/>
                <w:sz w:val="24"/>
                <w:szCs w:val="24"/>
              </w:rPr>
            </w:pPr>
            <w:r w:rsidRPr="00A96DEE">
              <w:rPr>
                <w:b/>
                <w:sz w:val="24"/>
                <w:szCs w:val="24"/>
              </w:rPr>
              <w:t>Scrutiny principles</w:t>
            </w:r>
          </w:p>
        </w:tc>
        <w:tc>
          <w:tcPr>
            <w:tcW w:w="6582" w:type="dxa"/>
            <w:tcBorders>
              <w:left w:val="single" w:sz="12" w:space="0" w:color="auto"/>
              <w:bottom w:val="single" w:sz="12" w:space="0" w:color="auto"/>
            </w:tcBorders>
          </w:tcPr>
          <w:p w:rsidR="006F5996" w:rsidRPr="00A96DEE" w:rsidRDefault="006F5996" w:rsidP="00106C8B">
            <w:pPr>
              <w:rPr>
                <w:sz w:val="24"/>
                <w:szCs w:val="24"/>
              </w:rPr>
            </w:pPr>
            <w:r w:rsidRPr="00A96DEE">
              <w:rPr>
                <w:sz w:val="24"/>
                <w:szCs w:val="24"/>
              </w:rPr>
              <w:t>Standing Order 24(1)(a)(</w:t>
            </w:r>
            <w:r>
              <w:rPr>
                <w:sz w:val="24"/>
                <w:szCs w:val="24"/>
              </w:rPr>
              <w:t>i</w:t>
            </w:r>
            <w:r w:rsidRPr="00A96DEE">
              <w:rPr>
                <w:sz w:val="24"/>
                <w:szCs w:val="24"/>
              </w:rPr>
              <w:t>) and (iii)</w:t>
            </w:r>
          </w:p>
        </w:tc>
      </w:tr>
    </w:tbl>
    <w:p w:rsidR="006F5996" w:rsidRPr="00A96DEE" w:rsidRDefault="006F5996" w:rsidP="006F5996">
      <w:pPr>
        <w:pStyle w:val="Level110"/>
        <w:numPr>
          <w:ilvl w:val="0"/>
          <w:numId w:val="21"/>
        </w:numPr>
        <w:spacing w:before="240"/>
      </w:pPr>
      <w:r w:rsidRPr="00A96DEE">
        <w:t xml:space="preserve">The committee dealt with this bill in </w:t>
      </w:r>
      <w:r w:rsidRPr="00A96DEE">
        <w:rPr>
          <w:i/>
        </w:rPr>
        <w:t>Scrutiny Digest No. 12 of 2017</w:t>
      </w:r>
      <w:r w:rsidRPr="00A96DEE">
        <w:t>. The Minister responded to the committee's comments in a letter dated 1 November 2017. Set out below are extracts from the committee's initial scrutiny of the bill and the Minister's response followed by the committee's comments on the response. A copy of the letter is available on the committee's website.</w:t>
      </w:r>
      <w:r w:rsidRPr="00A96DEE">
        <w:rPr>
          <w:rStyle w:val="FootnoteReference"/>
        </w:rPr>
        <w:footnoteReference w:id="207"/>
      </w:r>
    </w:p>
    <w:p w:rsidR="006F5996" w:rsidRPr="00A96DEE" w:rsidRDefault="006F5996" w:rsidP="006F5996">
      <w:pPr>
        <w:pStyle w:val="Heading3"/>
      </w:pPr>
      <w:r w:rsidRPr="00A96DEE">
        <w:t>Review rights</w:t>
      </w:r>
      <w:r w:rsidRPr="00A96DEE">
        <w:rPr>
          <w:rStyle w:val="FootnoteReference"/>
          <w:b w:val="0"/>
        </w:rPr>
        <w:footnoteReference w:id="208"/>
      </w:r>
    </w:p>
    <w:p w:rsidR="006F5996" w:rsidRPr="00A96DEE" w:rsidRDefault="006F5996" w:rsidP="006F5996">
      <w:pPr>
        <w:rPr>
          <w:b/>
          <w:i/>
        </w:rPr>
      </w:pPr>
      <w:r w:rsidRPr="00A96DEE">
        <w:rPr>
          <w:b/>
          <w:i/>
        </w:rPr>
        <w:t>Initial scrutiny – extract</w:t>
      </w:r>
    </w:p>
    <w:p w:rsidR="006F5996" w:rsidRPr="00A96DEE" w:rsidRDefault="006F5996" w:rsidP="006F5996">
      <w:pPr>
        <w:pStyle w:val="Level1101"/>
        <w:numPr>
          <w:ilvl w:val="0"/>
          <w:numId w:val="21"/>
        </w:numPr>
      </w:pPr>
      <w:r w:rsidRPr="00A96DEE">
        <w:t>The bill seeks to create a new class of therapeutic goods, to be known as 'provisionally registered goods', which can be registered on the Australian Register of Therapeutic Goods (Register). This would allow sponsors to apply for a time-limited provisional registration of certain prescription medicines on the basis of promising early clinical data on safety and efficacy.</w:t>
      </w:r>
      <w:r w:rsidRPr="00A96DEE">
        <w:rPr>
          <w:rStyle w:val="FootnoteReference"/>
        </w:rPr>
        <w:footnoteReference w:id="209"/>
      </w:r>
      <w:r w:rsidRPr="00A96DEE">
        <w:t xml:space="preserve"> To successfully make such a registration, a sponsor of a medicine would require approval by the Secretary of the Department </w:t>
      </w:r>
      <w:r w:rsidRPr="00A96DEE">
        <w:lastRenderedPageBreak/>
        <w:t>of Health or their delegate of both a determination application and, subsequently, a provisional approval registration application.</w:t>
      </w:r>
    </w:p>
    <w:p w:rsidR="006F5996" w:rsidRPr="00A96DEE" w:rsidRDefault="006F5996" w:rsidP="006F5996">
      <w:pPr>
        <w:pStyle w:val="Level1101"/>
        <w:numPr>
          <w:ilvl w:val="0"/>
          <w:numId w:val="21"/>
        </w:numPr>
      </w:pPr>
      <w:r w:rsidRPr="00A96DEE">
        <w:t xml:space="preserve">Items 14 to 17 of Schedule 1 seek to amend section 60 of the </w:t>
      </w:r>
      <w:r w:rsidRPr="00A96DEE">
        <w:rPr>
          <w:i/>
        </w:rPr>
        <w:t>Therapeutic Goods Act 1989</w:t>
      </w:r>
      <w:r w:rsidRPr="00A96DEE">
        <w:t xml:space="preserve"> (the Act), which specifies review mechanisms with respect to decisions made by the Secretary or his or her delegate. These amendments would limit the ability to request a review of decisions about provisional determinations and provisional registration to 'the person in relation to whom the medicine is registered' or is the person who made the application for registration. In contrast, section 60 of the Act currently allows 'persons whose interests are affected by an initial decision' to request a review. In addition, item 19 of Schedule 2 seeks to amend section 60 of the Act to specify that only the applicant is able to request such a review of the Secretary's decision to refuse to make a recommendation to the Minister that a determination be varied.</w:t>
      </w:r>
    </w:p>
    <w:p w:rsidR="006F5996" w:rsidRPr="00A96DEE" w:rsidRDefault="006F5996" w:rsidP="006F5996">
      <w:pPr>
        <w:pStyle w:val="Level1101"/>
        <w:numPr>
          <w:ilvl w:val="0"/>
          <w:numId w:val="21"/>
        </w:numPr>
      </w:pPr>
      <w:r w:rsidRPr="00A96DEE">
        <w:t>The explanatory memorandum states that this restriction on review rights is necessary in the specific case of decisions concerning provisional registration of a medicine because an 'interested party' could be either another competitor sponsor or 'a consumer with, having regard to the very nature of medicine that may use this pathway, necessarily limited information'.</w:t>
      </w:r>
      <w:r w:rsidRPr="00A96DEE">
        <w:rPr>
          <w:rStyle w:val="FootnoteReference"/>
        </w:rPr>
        <w:footnoteReference w:id="210"/>
      </w:r>
      <w:r w:rsidRPr="00A96DEE">
        <w:t xml:space="preserve"> The explanatory memorandum further states that 'providing an opportunity for one sponsor to appeal a decision made in relation to the medicine of another sponsor is antithetical to the purpose of the "Provisional Approval" Pathway of encouraging promising new medicines for a limited time to be brought to the market sooner.'</w:t>
      </w:r>
      <w:r w:rsidRPr="00A96DEE">
        <w:rPr>
          <w:rStyle w:val="FootnoteReference"/>
        </w:rPr>
        <w:footnoteReference w:id="211"/>
      </w:r>
    </w:p>
    <w:p w:rsidR="006F5996" w:rsidRPr="00A96DEE" w:rsidRDefault="006F5996" w:rsidP="006F5996">
      <w:pPr>
        <w:pStyle w:val="Level1101"/>
        <w:numPr>
          <w:ilvl w:val="0"/>
          <w:numId w:val="21"/>
        </w:numPr>
      </w:pPr>
      <w:r w:rsidRPr="00A96DEE">
        <w:t>In relation to review of decisions to refuse an application for a recommendation to vary the permitted indications determinations,</w:t>
      </w:r>
      <w:r w:rsidRPr="00A96DEE">
        <w:rPr>
          <w:rStyle w:val="FootnoteReference"/>
        </w:rPr>
        <w:footnoteReference w:id="212"/>
      </w:r>
      <w:r w:rsidRPr="00A96DEE">
        <w:t xml:space="preserve"> the explanatory memorandum states that this restriction is necessary as the range of 'interested parties' could potentially extend to a large number of people (other than the applicant), and 'this could create significant uncertainty in the predictability in the application process'.</w:t>
      </w:r>
      <w:r w:rsidRPr="00A96DEE">
        <w:rPr>
          <w:rStyle w:val="FootnoteReference"/>
        </w:rPr>
        <w:footnoteReference w:id="213"/>
      </w:r>
    </w:p>
    <w:p w:rsidR="006F5996" w:rsidRPr="00A96DEE" w:rsidRDefault="006F5996" w:rsidP="006F5996">
      <w:pPr>
        <w:pStyle w:val="Level1101"/>
        <w:numPr>
          <w:ilvl w:val="0"/>
          <w:numId w:val="21"/>
        </w:numPr>
      </w:pPr>
      <w:r w:rsidRPr="00A96DEE">
        <w:t xml:space="preserve">The committee accepts that preventing commercial competitors from seeking review may be justified in this context. However, the committee is concerned that the exclusion of other interested parties, such as consumers, from requesting a review has not been adequately justified in the explanatory memorandum. The explanatory memorandum suggests that the exclusion of consumers is justified on the grounds that they will have 'necessarily limited </w:t>
      </w:r>
      <w:r w:rsidRPr="00A96DEE">
        <w:lastRenderedPageBreak/>
        <w:t>information'.</w:t>
      </w:r>
      <w:r w:rsidRPr="00A96DEE">
        <w:rPr>
          <w:rStyle w:val="FootnoteReference"/>
        </w:rPr>
        <w:footnoteReference w:id="214"/>
      </w:r>
      <w:r w:rsidRPr="00A96DEE">
        <w:t xml:space="preserve"> However, the committee notes that consumers may have a legitimate interest in whether particular medicines are provisionally registered and it is not clear that any disadvantage they may have in terms of access to relevant information is a sufficient basis on which to exclude them from requesting a review. </w:t>
      </w:r>
    </w:p>
    <w:p w:rsidR="006F5996" w:rsidRPr="00A96DEE" w:rsidRDefault="006F5996" w:rsidP="006F5996">
      <w:pPr>
        <w:pStyle w:val="Level1101"/>
        <w:numPr>
          <w:ilvl w:val="0"/>
          <w:numId w:val="21"/>
        </w:numPr>
      </w:pPr>
      <w:r w:rsidRPr="00A96DEE">
        <w:t>The committee therefore requests the Minister's detailed justification as to the appropriateness of restricting merits review in relation to decisions about provisional determinations and registrations, or determinations regarding permitted indications, so that consumers who may be affected by a decision (but who are not the applicant) would not have a right to seek review.</w:t>
      </w:r>
    </w:p>
    <w:p w:rsidR="006F5996" w:rsidRPr="00A96DEE" w:rsidRDefault="006F5996" w:rsidP="006F5996">
      <w:pPr>
        <w:pStyle w:val="Level110"/>
        <w:tabs>
          <w:tab w:val="clear" w:pos="850"/>
        </w:tabs>
        <w:rPr>
          <w:b/>
          <w:i/>
        </w:rPr>
      </w:pPr>
      <w:r w:rsidRPr="00A96DEE">
        <w:rPr>
          <w:b/>
          <w:i/>
        </w:rPr>
        <w:t>Minister's response</w:t>
      </w:r>
    </w:p>
    <w:p w:rsidR="006F5996" w:rsidRPr="00A96DEE" w:rsidRDefault="006F5996" w:rsidP="006F5996">
      <w:pPr>
        <w:pStyle w:val="Level110"/>
        <w:numPr>
          <w:ilvl w:val="0"/>
          <w:numId w:val="21"/>
        </w:numPr>
      </w:pPr>
      <w:r w:rsidRPr="00A96DEE">
        <w:t>The Minister advised:</w:t>
      </w:r>
    </w:p>
    <w:p w:rsidR="006F5996" w:rsidRPr="00A96DEE" w:rsidRDefault="006F5996" w:rsidP="006F5996">
      <w:pPr>
        <w:pStyle w:val="Quote"/>
      </w:pPr>
      <w:r w:rsidRPr="00A96DEE">
        <w:rPr>
          <w:lang w:eastAsia="en-AU"/>
        </w:rPr>
        <w:t>The Bill establishes a system for the provisional registration of medicines. This system will allow medicines to be made available to patients with life-threatening or seriously debilitating conditions, and unmet clinical needs, significantly earlier than might otherwise be the case. The medicines will be evaluated by the Therapeutic Goods Administration (TGA) on the basis of promising early clinical data, and if the Secretary is satisfied that the safety and efficacy of the medicine have been established, the medicine will be provisionally registered for a period of two years (renewable two times) while further clinical studies are ongoing. The person in relation to whom the medicine is registered may then apply for full registration of the medicine.</w:t>
      </w:r>
    </w:p>
    <w:p w:rsidR="006F5996" w:rsidRPr="00A96DEE" w:rsidRDefault="006F5996" w:rsidP="006F5996">
      <w:pPr>
        <w:pStyle w:val="Quote"/>
      </w:pPr>
      <w:r w:rsidRPr="00A96DEE">
        <w:rPr>
          <w:lang w:eastAsia="en-AU"/>
        </w:rPr>
        <w:t>The Committee has noted in its Scrutiny Digest that preventing commercial competitors from seeking review may be justified in this context, but has sought a response in relation to the inability of consumers or consumer groups to seek review of a decision not to register a medicine or grant a provisional determination.</w:t>
      </w:r>
    </w:p>
    <w:p w:rsidR="006F5996" w:rsidRPr="00A96DEE" w:rsidRDefault="006F5996" w:rsidP="006F5996">
      <w:pPr>
        <w:pStyle w:val="Quote"/>
        <w:rPr>
          <w:lang w:eastAsia="en-AU"/>
        </w:rPr>
      </w:pPr>
      <w:r w:rsidRPr="00A96DEE">
        <w:rPr>
          <w:lang w:eastAsia="en-AU"/>
        </w:rPr>
        <w:t>There are a number of reasons why rights to merits review have been limited to applicants in these cases, which are as follows:</w:t>
      </w:r>
    </w:p>
    <w:p w:rsidR="006F5996" w:rsidRPr="00A96DEE" w:rsidRDefault="006F5996" w:rsidP="006F5996">
      <w:pPr>
        <w:pStyle w:val="Bullet27"/>
        <w:numPr>
          <w:ilvl w:val="0"/>
          <w:numId w:val="4"/>
        </w:numPr>
        <w:tabs>
          <w:tab w:val="clear" w:pos="1134"/>
        </w:tabs>
        <w:ind w:left="1418"/>
        <w:rPr>
          <w:sz w:val="24"/>
          <w:szCs w:val="24"/>
          <w:lang w:eastAsia="en-AU"/>
        </w:rPr>
      </w:pPr>
      <w:r w:rsidRPr="00A96DEE">
        <w:rPr>
          <w:sz w:val="24"/>
          <w:szCs w:val="24"/>
          <w:lang w:eastAsia="en-AU"/>
        </w:rPr>
        <w:t>Expediting processes to address significant unmet clinical needs;</w:t>
      </w:r>
    </w:p>
    <w:p w:rsidR="006F5996" w:rsidRPr="00A96DEE" w:rsidRDefault="006F5996" w:rsidP="006F5996">
      <w:pPr>
        <w:pStyle w:val="Bullet27"/>
        <w:numPr>
          <w:ilvl w:val="0"/>
          <w:numId w:val="4"/>
        </w:numPr>
        <w:tabs>
          <w:tab w:val="clear" w:pos="1134"/>
        </w:tabs>
        <w:ind w:left="1418"/>
        <w:rPr>
          <w:sz w:val="24"/>
          <w:szCs w:val="24"/>
          <w:lang w:eastAsia="en-AU"/>
        </w:rPr>
      </w:pPr>
      <w:r w:rsidRPr="00A96DEE">
        <w:rPr>
          <w:sz w:val="24"/>
          <w:szCs w:val="24"/>
          <w:lang w:eastAsia="en-AU"/>
        </w:rPr>
        <w:t>Technically complex decisions;</w:t>
      </w:r>
    </w:p>
    <w:p w:rsidR="006F5996" w:rsidRPr="00A96DEE" w:rsidRDefault="006F5996" w:rsidP="006F5996">
      <w:pPr>
        <w:pStyle w:val="Bullet27"/>
        <w:numPr>
          <w:ilvl w:val="0"/>
          <w:numId w:val="4"/>
        </w:numPr>
        <w:tabs>
          <w:tab w:val="clear" w:pos="1134"/>
        </w:tabs>
        <w:ind w:left="1418"/>
        <w:rPr>
          <w:sz w:val="24"/>
          <w:szCs w:val="24"/>
          <w:lang w:eastAsia="en-AU"/>
        </w:rPr>
      </w:pPr>
      <w:r w:rsidRPr="00A96DEE">
        <w:rPr>
          <w:sz w:val="24"/>
          <w:szCs w:val="24"/>
          <w:lang w:eastAsia="en-AU"/>
        </w:rPr>
        <w:t>Other measures to promote administrative accountability;</w:t>
      </w:r>
    </w:p>
    <w:p w:rsidR="006F5996" w:rsidRPr="00A96DEE" w:rsidRDefault="006F5996" w:rsidP="006F5996">
      <w:pPr>
        <w:pStyle w:val="Bullet27"/>
        <w:numPr>
          <w:ilvl w:val="0"/>
          <w:numId w:val="4"/>
        </w:numPr>
        <w:tabs>
          <w:tab w:val="clear" w:pos="1134"/>
        </w:tabs>
        <w:ind w:left="1418"/>
        <w:rPr>
          <w:sz w:val="24"/>
          <w:szCs w:val="24"/>
          <w:lang w:eastAsia="en-AU"/>
        </w:rPr>
      </w:pPr>
      <w:r w:rsidRPr="00A96DEE">
        <w:rPr>
          <w:sz w:val="24"/>
          <w:szCs w:val="24"/>
          <w:lang w:eastAsia="en-AU"/>
        </w:rPr>
        <w:t>Alternative means to obtain medicines;</w:t>
      </w:r>
    </w:p>
    <w:p w:rsidR="006F5996" w:rsidRPr="00A96DEE" w:rsidRDefault="006F5996" w:rsidP="006F5996">
      <w:pPr>
        <w:pStyle w:val="Bullet27"/>
        <w:numPr>
          <w:ilvl w:val="0"/>
          <w:numId w:val="4"/>
        </w:numPr>
        <w:tabs>
          <w:tab w:val="clear" w:pos="1134"/>
        </w:tabs>
        <w:ind w:left="1418"/>
        <w:rPr>
          <w:sz w:val="24"/>
          <w:szCs w:val="24"/>
        </w:rPr>
      </w:pPr>
      <w:r w:rsidRPr="00A96DEE">
        <w:rPr>
          <w:sz w:val="24"/>
          <w:szCs w:val="24"/>
          <w:lang w:eastAsia="en-AU"/>
        </w:rPr>
        <w:t>Lack of use of appeal pathways by consumers.</w:t>
      </w:r>
    </w:p>
    <w:p w:rsidR="006F5996" w:rsidRPr="00A96DEE" w:rsidRDefault="006F5996" w:rsidP="006F5996">
      <w:pPr>
        <w:pStyle w:val="Quote"/>
        <w:rPr>
          <w:i/>
          <w:lang w:eastAsia="en-AU"/>
        </w:rPr>
      </w:pPr>
      <w:r w:rsidRPr="00A96DEE">
        <w:rPr>
          <w:i/>
          <w:lang w:eastAsia="en-AU"/>
        </w:rPr>
        <w:t>Expediting processes to address significant unmet clinical needs</w:t>
      </w:r>
    </w:p>
    <w:p w:rsidR="006F5996" w:rsidRPr="00A96DEE" w:rsidRDefault="006F5996" w:rsidP="006F5996">
      <w:pPr>
        <w:pStyle w:val="Quote"/>
      </w:pPr>
      <w:r w:rsidRPr="00A96DEE">
        <w:rPr>
          <w:lang w:eastAsia="en-AU"/>
        </w:rPr>
        <w:t xml:space="preserve">The principal reason for limiting appeal rights to applicants is to expedite processes for these applications. Introducing a system of provisional registration is intended to enable promising new medicines to proceed to </w:t>
      </w:r>
      <w:r w:rsidRPr="00A96DEE">
        <w:rPr>
          <w:lang w:eastAsia="en-AU"/>
        </w:rPr>
        <w:lastRenderedPageBreak/>
        <w:t xml:space="preserve">market more quickly. </w:t>
      </w:r>
      <w:r w:rsidRPr="00A96DEE">
        <w:rPr>
          <w:sz w:val="22"/>
          <w:szCs w:val="22"/>
          <w:lang w:eastAsia="en-AU"/>
        </w:rPr>
        <w:t xml:space="preserve">It </w:t>
      </w:r>
      <w:r w:rsidRPr="00A96DEE">
        <w:rPr>
          <w:lang w:eastAsia="en-AU"/>
        </w:rPr>
        <w:t>is estimated that as a result of these measures, some new medicines may be able to be provisionally registered up to two years earlier than under the current framework providing clear benefits to very sick patients. Limiting appeal rights to applicants is intended to give greater certainty and finality to applicants, expedite decision-making, and ensure that resources are directed to considering new applications. A negative decision does not preclude future applications for provisional determination by the sponsor, nor further applications by the sponsor as further clinical data becomes available.</w:t>
      </w:r>
    </w:p>
    <w:p w:rsidR="006F5996" w:rsidRPr="00A96DEE" w:rsidRDefault="006F5996" w:rsidP="006F5996">
      <w:pPr>
        <w:pStyle w:val="Quote"/>
        <w:rPr>
          <w:i/>
          <w:lang w:eastAsia="en-AU"/>
        </w:rPr>
      </w:pPr>
      <w:r w:rsidRPr="00A96DEE">
        <w:rPr>
          <w:i/>
          <w:lang w:eastAsia="en-AU"/>
        </w:rPr>
        <w:t>Technically complex decisions</w:t>
      </w:r>
    </w:p>
    <w:p w:rsidR="006F5996" w:rsidRPr="00A96DEE" w:rsidRDefault="006F5996" w:rsidP="006F5996">
      <w:pPr>
        <w:pStyle w:val="Quote"/>
      </w:pPr>
      <w:r w:rsidRPr="00A96DEE">
        <w:rPr>
          <w:lang w:eastAsia="en-AU"/>
        </w:rPr>
        <w:t>As the Explanatory Memorandum for the Bill notes, in seeking a review, consumers would not have access to the same information as the TGA, given the nature of the evidence available. The Secretary's decision to provisionally register a medicine requires that he or she be satisfied, on the basis of preliminary clinical data, that the safety and efficacy of the medicine have been satisfactorily established. This decision will be based on highly technical data, and will require a high degree of expertise, given that the safety and effectiveness of the medicine will only be able to be judged in relation to a limited number of patients and perhaps on surrogate endpoints. TGA has access, through its Committees, to medical experts who can provide advice to the Secretary to assist in making these decisions and may consult with other regulators.</w:t>
      </w:r>
    </w:p>
    <w:p w:rsidR="006F5996" w:rsidRPr="00A96DEE" w:rsidRDefault="006F5996" w:rsidP="006F5996">
      <w:pPr>
        <w:pStyle w:val="Quote"/>
      </w:pPr>
      <w:r w:rsidRPr="00A96DEE">
        <w:rPr>
          <w:lang w:eastAsia="en-AU"/>
        </w:rPr>
        <w:t>Consumers may not be able to access all relevant information through the Freedom of Information process as some information may be commercial-in-confidence. Public information available to consumers or consumer groups about the merits of the medicine will be limited, as information about the product will be confined to the preliminary data obtained by the applicant. Consumers may not be able to access a comparable degree of medical expertise to successfully challenge such a decision. Further, as applicants will be best placed to advocate in respect of their products, the targeting of review and appeal rights to applicants is likely to benefit consumers where the exercise of such rights by applicants is successful.</w:t>
      </w:r>
    </w:p>
    <w:p w:rsidR="006F5996" w:rsidRPr="00A96DEE" w:rsidRDefault="006F5996" w:rsidP="006F5996">
      <w:pPr>
        <w:pStyle w:val="Quote"/>
        <w:rPr>
          <w:i/>
          <w:lang w:eastAsia="en-AU"/>
        </w:rPr>
      </w:pPr>
      <w:r w:rsidRPr="00A96DEE">
        <w:rPr>
          <w:i/>
          <w:lang w:eastAsia="en-AU"/>
        </w:rPr>
        <w:t>Other measures to promote administrative accountability</w:t>
      </w:r>
    </w:p>
    <w:p w:rsidR="006F5996" w:rsidRPr="00A96DEE" w:rsidRDefault="006F5996" w:rsidP="006F5996">
      <w:pPr>
        <w:pStyle w:val="Quote"/>
      </w:pPr>
      <w:r w:rsidRPr="00A96DEE">
        <w:rPr>
          <w:lang w:eastAsia="en-AU"/>
        </w:rPr>
        <w:t>TGA consulted consumer, patient and industry stakeholders concerning the provisional approval process during 2016-2017. Following this consultation, it was decided that in the interests of expediting provisional approval applications, appeals would be limited to the applicant in relation to certain decisions. This decision does not preclude consumers or consumer groups supporting a sponsor who is making an appeal.</w:t>
      </w:r>
    </w:p>
    <w:p w:rsidR="006F5996" w:rsidRPr="00A96DEE" w:rsidRDefault="006F5996" w:rsidP="006F5996">
      <w:pPr>
        <w:pStyle w:val="Quote"/>
      </w:pPr>
      <w:r w:rsidRPr="00A96DEE">
        <w:rPr>
          <w:lang w:eastAsia="en-AU"/>
        </w:rPr>
        <w:t xml:space="preserve">This approach to appeal rights will be balanced by increased transparency of decision-making in relation to provisional registration, including publication of provisional approval determinations; rapid publication of TGA decisions relating to provisional registration; and full details of decisions relating to provisionally registered medicines in the Australian Public Assessment Reports (AusPARs) for prescription medicines. The </w:t>
      </w:r>
      <w:r w:rsidRPr="00A96DEE">
        <w:rPr>
          <w:lang w:eastAsia="en-AU"/>
        </w:rPr>
        <w:lastRenderedPageBreak/>
        <w:t xml:space="preserve">criteria for the Secretary's decisions to grant or refuse to grant a provisional determination are intended to be set out in amendments to the </w:t>
      </w:r>
      <w:r w:rsidRPr="00A96DEE">
        <w:rPr>
          <w:i/>
          <w:iCs/>
          <w:lang w:eastAsia="en-AU"/>
        </w:rPr>
        <w:t xml:space="preserve">Therapeutic Goods Regulations 1990, </w:t>
      </w:r>
      <w:r w:rsidRPr="00A96DEE">
        <w:rPr>
          <w:lang w:eastAsia="en-AU"/>
        </w:rPr>
        <w:t>which will also be subject to Parliamentary scrutiny.</w:t>
      </w:r>
    </w:p>
    <w:p w:rsidR="006F5996" w:rsidRPr="00A96DEE" w:rsidRDefault="006F5996" w:rsidP="006F5996">
      <w:pPr>
        <w:pStyle w:val="Quote"/>
      </w:pPr>
      <w:r w:rsidRPr="00A96DEE">
        <w:rPr>
          <w:lang w:eastAsia="en-AU"/>
        </w:rPr>
        <w:t xml:space="preserve">Information will be published on such matters as the automatic lapsing of provisional registration; the extension, suspension or cancellation of provisional registration; and the transition from provisional to full registration. </w:t>
      </w:r>
      <w:r w:rsidRPr="00A96DEE">
        <w:rPr>
          <w:sz w:val="22"/>
          <w:szCs w:val="22"/>
          <w:lang w:eastAsia="en-AU"/>
        </w:rPr>
        <w:t xml:space="preserve">It </w:t>
      </w:r>
      <w:r w:rsidRPr="00A96DEE">
        <w:rPr>
          <w:lang w:eastAsia="en-AU"/>
        </w:rPr>
        <w:t>is intended that health professionals and consumers will have transparency of TGA decision-making processes to inform their treatment decisions and maintain confidence in the TGA's regulatory standards. Meetings with sponsors prior to submission of applications are intended to clearly set out the requirements of the application process, and to minimise the chance that an application will be refused by the Secretary.</w:t>
      </w:r>
    </w:p>
    <w:p w:rsidR="006F5996" w:rsidRPr="00A96DEE" w:rsidRDefault="006F5996" w:rsidP="006F5996">
      <w:pPr>
        <w:pStyle w:val="Quote"/>
        <w:rPr>
          <w:i/>
          <w:lang w:eastAsia="en-AU"/>
        </w:rPr>
      </w:pPr>
      <w:r w:rsidRPr="00A96DEE">
        <w:rPr>
          <w:i/>
          <w:lang w:eastAsia="en-AU"/>
        </w:rPr>
        <w:t>Alternative means to obtain medicines</w:t>
      </w:r>
    </w:p>
    <w:p w:rsidR="006F5996" w:rsidRPr="00A96DEE" w:rsidRDefault="006F5996" w:rsidP="006F5996">
      <w:pPr>
        <w:pStyle w:val="Quote"/>
      </w:pPr>
      <w:r w:rsidRPr="00A96DEE">
        <w:rPr>
          <w:sz w:val="22"/>
          <w:szCs w:val="22"/>
          <w:lang w:eastAsia="en-AU"/>
        </w:rPr>
        <w:t xml:space="preserve">If </w:t>
      </w:r>
      <w:r w:rsidRPr="00A96DEE">
        <w:rPr>
          <w:lang w:eastAsia="en-AU"/>
        </w:rPr>
        <w:t>the Secretary decides that a medicine is not suitable for provisional registration, but individual patients still wish to access the medicine, there are a number of other methods by which patients may obtain that medicine. The Special Access Schemes (Categories A and B) and the Authorised Prescriber Scheme provide ways for patients to access medicines which are not on the Australian Register of Therapeutic Goods, provided their medical practitioner believes that they are suitable for the patient. A product at this stage of its development may also be the subject of continuing clinical trials within Australia.</w:t>
      </w:r>
    </w:p>
    <w:p w:rsidR="006F5996" w:rsidRPr="00A96DEE" w:rsidRDefault="006F5996" w:rsidP="006F5996">
      <w:pPr>
        <w:pStyle w:val="Quote"/>
        <w:rPr>
          <w:i/>
          <w:iCs/>
          <w:szCs w:val="24"/>
          <w:lang w:eastAsia="en-AU"/>
        </w:rPr>
      </w:pPr>
      <w:r w:rsidRPr="00A96DEE">
        <w:rPr>
          <w:i/>
          <w:iCs/>
          <w:szCs w:val="24"/>
          <w:lang w:eastAsia="en-AU"/>
        </w:rPr>
        <w:t>Lack of use of appeal pathways by consumers</w:t>
      </w:r>
    </w:p>
    <w:p w:rsidR="006F5996" w:rsidRPr="00A96DEE" w:rsidRDefault="006F5996" w:rsidP="006F5996">
      <w:pPr>
        <w:pStyle w:val="Quote"/>
      </w:pPr>
      <w:r w:rsidRPr="00A96DEE">
        <w:rPr>
          <w:lang w:eastAsia="en-AU"/>
        </w:rPr>
        <w:t>Finally, under existing processes for registration, there have not been any AAT appeals by consumers or consumer groups against decisions not to register medicines in at least the last 10 years, so the lack of appeal rights would not appear to adversely impact on consumers. Drafting an exemption to enable consumers only to appeal these decisions could have broader implications for the interpretation of other review provisions in the Act and Regulations. Such an exemption would need to be considered in the context of review and appeal rights generally through the Act and Regulations, and would require further consultation with consumers and other relevant groups.</w:t>
      </w:r>
    </w:p>
    <w:p w:rsidR="006F5996" w:rsidRPr="00A96DEE" w:rsidRDefault="006F5996" w:rsidP="006F5996">
      <w:pPr>
        <w:pStyle w:val="Quote"/>
      </w:pPr>
      <w:r w:rsidRPr="00A96DEE">
        <w:rPr>
          <w:lang w:eastAsia="en-AU"/>
        </w:rPr>
        <w:t>To assist in addressing the concerns of the Committee, the explanatory memorandum will be amended to clarify the intention behind restricting appeal rights in relation to these decisions concerning provisional registration to applicants only.</w:t>
      </w:r>
    </w:p>
    <w:p w:rsidR="006F5996" w:rsidRPr="00A96DEE" w:rsidRDefault="006F5996" w:rsidP="006F5996">
      <w:pPr>
        <w:pStyle w:val="Quote"/>
        <w:rPr>
          <w:b/>
          <w:i/>
          <w:lang w:eastAsia="en-AU"/>
        </w:rPr>
      </w:pPr>
      <w:r w:rsidRPr="00A96DEE">
        <w:rPr>
          <w:b/>
          <w:i/>
          <w:lang w:eastAsia="en-AU"/>
        </w:rPr>
        <w:t>Permitted indications</w:t>
      </w:r>
    </w:p>
    <w:p w:rsidR="006F5996" w:rsidRPr="00A96DEE" w:rsidRDefault="006F5996" w:rsidP="006F5996">
      <w:pPr>
        <w:pStyle w:val="Quote"/>
      </w:pPr>
      <w:r w:rsidRPr="00A96DEE">
        <w:rPr>
          <w:lang w:eastAsia="en-AU"/>
        </w:rPr>
        <w:t xml:space="preserve">The Bill represents the second stage of the legislative response to the Expert Panel Review of Medicines and Medical Devices Regulation (the Review). The Therapeutic Goods Amendment (2016 Measures No. 1) Act 2017 (which was assented to on 19 June 2017), implemented Review </w:t>
      </w:r>
      <w:r w:rsidRPr="00A96DEE">
        <w:rPr>
          <w:lang w:eastAsia="en-AU"/>
        </w:rPr>
        <w:lastRenderedPageBreak/>
        <w:t>Recommendation 4 7, to provide rights of review and appeal for applicants for new ingredients to be added to the list of permitted ingredients. Subsection 60(2B) of the Act limits appeal rights to the applicant. This was consistent with the recommendations of the Review (at page 40), in which the Expert Panel noted that existing appeal mechanisms under section 60 were not appropriate for new ingredients, as:</w:t>
      </w:r>
    </w:p>
    <w:p w:rsidR="006F5996" w:rsidRPr="00A96DEE" w:rsidRDefault="006F5996" w:rsidP="006F5996">
      <w:pPr>
        <w:pStyle w:val="Quote"/>
        <w:ind w:left="1276" w:right="1371"/>
        <w:rPr>
          <w:i/>
          <w:sz w:val="22"/>
          <w:szCs w:val="22"/>
        </w:rPr>
      </w:pPr>
      <w:r w:rsidRPr="00A96DEE">
        <w:rPr>
          <w:i/>
          <w:sz w:val="22"/>
          <w:szCs w:val="22"/>
          <w:lang w:eastAsia="en-AU"/>
        </w:rPr>
        <w:t xml:space="preserve">"the range of 'interested parties' could potentially extend to a large number of people, and create significant uncertainty in the predictability of the application process. This could be overcome </w:t>
      </w:r>
      <w:r w:rsidRPr="00A96DEE">
        <w:rPr>
          <w:rFonts w:cs="Arial"/>
          <w:i/>
          <w:sz w:val="22"/>
          <w:szCs w:val="22"/>
          <w:lang w:eastAsia="en-AU"/>
        </w:rPr>
        <w:t xml:space="preserve">if </w:t>
      </w:r>
      <w:r w:rsidRPr="00A96DEE">
        <w:rPr>
          <w:i/>
          <w:sz w:val="22"/>
          <w:szCs w:val="22"/>
          <w:lang w:eastAsia="en-AU"/>
        </w:rPr>
        <w:t>the review and appeal rights are restricted to the person who made the application only. This approach would allow for appropriate review of such decisions whilst ensuring that the [TGAJ was not exposed to review requests from a potentially large class of people, tying up [TGAJ resources in responding to appeals. "</w:t>
      </w:r>
    </w:p>
    <w:p w:rsidR="006F5996" w:rsidRPr="00A96DEE" w:rsidRDefault="006F5996" w:rsidP="006F5996">
      <w:pPr>
        <w:pStyle w:val="Quote"/>
      </w:pPr>
      <w:r w:rsidRPr="00A96DEE">
        <w:rPr>
          <w:lang w:eastAsia="en-AU"/>
        </w:rPr>
        <w:t>In the current Bill, a similar approach has been taken to the question of appeal rights for new permitted indications. Under Schedule 2, Item 15, new section 26BJ of the Bill, a person may apply to the Secretary for a recommendation that the Minister vary a determination under section 26BF. The Secretary must consider such applications, and then either make a recommendation that the Minister vary the instrument, or refuse to do so. Review and appeal rights are available to the applicant in respect of any refusal by the Secretary to make the requested variation.</w:t>
      </w:r>
    </w:p>
    <w:p w:rsidR="006F5996" w:rsidRPr="00A96DEE" w:rsidRDefault="006F5996" w:rsidP="006F5996">
      <w:pPr>
        <w:pStyle w:val="Quote"/>
        <w:rPr>
          <w:lang w:eastAsia="en-AU"/>
        </w:rPr>
      </w:pPr>
      <w:r w:rsidRPr="00A96DEE">
        <w:rPr>
          <w:lang w:eastAsia="en-AU"/>
        </w:rPr>
        <w:t>Consistently with the approach taken in relation to applicants for permitted ingredients, and for the same reasons, review rights for new permitted indications are limited to the applicant (Schedule 2, Item 19, new subsection 60(2C)).</w:t>
      </w:r>
    </w:p>
    <w:p w:rsidR="006F5996" w:rsidRPr="00A96DEE" w:rsidRDefault="006F5996" w:rsidP="006F5996">
      <w:pPr>
        <w:pStyle w:val="Quote"/>
        <w:rPr>
          <w:lang w:eastAsia="en-AU"/>
        </w:rPr>
      </w:pPr>
      <w:r w:rsidRPr="00A96DEE">
        <w:rPr>
          <w:lang w:eastAsia="en-AU"/>
        </w:rPr>
        <w:t>Third parties who might wish to object to a permitted indication will be able to do so once a product with that indication appears in the marketplace by lodging a complaint with the TGA. Although this is after the event it will provide a means for consumers to voice their concerns and potentially have a review undertaken.</w:t>
      </w:r>
    </w:p>
    <w:p w:rsidR="006F5996" w:rsidRPr="00A96DEE" w:rsidRDefault="006F5996" w:rsidP="006F5996">
      <w:pPr>
        <w:pStyle w:val="Quote"/>
      </w:pPr>
      <w:r w:rsidRPr="00A96DEE">
        <w:rPr>
          <w:lang w:eastAsia="en-AU"/>
        </w:rPr>
        <w:t>To assist in addressing the concerns of the Committee, the explanatory memorandum will be amended to clarify the intention behind restricting appeal rights in relation to this decision to applicants only.</w:t>
      </w:r>
    </w:p>
    <w:p w:rsidR="006F5996" w:rsidRPr="00A96DEE" w:rsidRDefault="006F5996" w:rsidP="006F5996">
      <w:pPr>
        <w:pStyle w:val="Level110"/>
        <w:tabs>
          <w:tab w:val="clear" w:pos="850"/>
        </w:tabs>
        <w:rPr>
          <w:b/>
          <w:i/>
        </w:rPr>
      </w:pPr>
      <w:r w:rsidRPr="00A96DEE">
        <w:rPr>
          <w:b/>
          <w:i/>
        </w:rPr>
        <w:t>Committee comment</w:t>
      </w:r>
    </w:p>
    <w:p w:rsidR="006F5996" w:rsidRDefault="006F5996" w:rsidP="006F5996">
      <w:pPr>
        <w:pStyle w:val="Level110"/>
        <w:numPr>
          <w:ilvl w:val="0"/>
          <w:numId w:val="21"/>
        </w:numPr>
      </w:pPr>
      <w:r w:rsidRPr="00A96DEE">
        <w:t xml:space="preserve">The committee thanks the Minister for this </w:t>
      </w:r>
      <w:r>
        <w:t xml:space="preserve">detailed </w:t>
      </w:r>
      <w:r w:rsidRPr="00A96DEE">
        <w:t xml:space="preserve">response. </w:t>
      </w:r>
      <w:r>
        <w:t>T</w:t>
      </w:r>
      <w:r w:rsidRPr="00A96DEE">
        <w:t>he committee notes the Minister's advice that</w:t>
      </w:r>
      <w:r>
        <w:t xml:space="preserve"> the proposed limitation on merits review is based principally on the need to bring promising new medicines to market more quickly and is intended to give greater certainty and finality to applicants, expedite decision-making, and ensure that resources are directed to considering new applications.</w:t>
      </w:r>
    </w:p>
    <w:p w:rsidR="006F5996" w:rsidRDefault="006F5996" w:rsidP="006F5996">
      <w:pPr>
        <w:pStyle w:val="Level110"/>
        <w:numPr>
          <w:ilvl w:val="0"/>
          <w:numId w:val="21"/>
        </w:numPr>
      </w:pPr>
      <w:r>
        <w:t>The committee also notes the Minister's advice on the following matters relevant to the limiting of review rights:</w:t>
      </w:r>
    </w:p>
    <w:p w:rsidR="006F5996" w:rsidRDefault="006F5996" w:rsidP="006F5996">
      <w:pPr>
        <w:pStyle w:val="Bullet1"/>
      </w:pPr>
      <w:r>
        <w:lastRenderedPageBreak/>
        <w:t>provisional registration decisions will be based on highly complex technical considerations and on data that will not be fully accessible to the public, which means applicants will be best placed to advocate for the registration of their products;</w:t>
      </w:r>
    </w:p>
    <w:p w:rsidR="006F5996" w:rsidRDefault="006F5996" w:rsidP="006F5996">
      <w:pPr>
        <w:pStyle w:val="Bullet1"/>
      </w:pPr>
      <w:r>
        <w:t>consumers and consumer groups will not be precluded from supporting a sponsor who is making an appeal;</w:t>
      </w:r>
    </w:p>
    <w:p w:rsidR="006F5996" w:rsidRDefault="006F5996" w:rsidP="006F5996">
      <w:pPr>
        <w:pStyle w:val="Bullet1"/>
      </w:pPr>
      <w:r>
        <w:t>the criteria under which the Secretary will make decisions will be set out in the Therapeutic Goods Regulations 1990 and the transparency of decision-making will be increased through publication of provisional approval determinations, TGA decisions relating to provisional approval and full details of provisionally registered medicines;</w:t>
      </w:r>
    </w:p>
    <w:p w:rsidR="006F5996" w:rsidRDefault="006F5996" w:rsidP="006F5996">
      <w:pPr>
        <w:pStyle w:val="Bullet1"/>
      </w:pPr>
      <w:r>
        <w:t>the Special Access Schemes and the Authorised Prescriber Scheme provide alternative means by which individual patients can seek access to medicines which are not on the Australian Register of Therapeutic Goods; and</w:t>
      </w:r>
    </w:p>
    <w:p w:rsidR="006F5996" w:rsidRDefault="006F5996" w:rsidP="006F5996">
      <w:pPr>
        <w:pStyle w:val="Bullet1"/>
      </w:pPr>
      <w:r>
        <w:t>there have been no Administrative Appeals Tribunal appeals made by consumers or consumer groups for more than 10 years under existing registration processes.</w:t>
      </w:r>
    </w:p>
    <w:p w:rsidR="006F5996" w:rsidRDefault="006F5996" w:rsidP="006F5996">
      <w:pPr>
        <w:pStyle w:val="Level110"/>
        <w:numPr>
          <w:ilvl w:val="0"/>
          <w:numId w:val="21"/>
        </w:numPr>
      </w:pPr>
      <w:r>
        <w:t xml:space="preserve">With respect to </w:t>
      </w:r>
      <w:r w:rsidRPr="00A96DEE">
        <w:t>application</w:t>
      </w:r>
      <w:r>
        <w:t>s</w:t>
      </w:r>
      <w:r w:rsidRPr="00A96DEE">
        <w:t xml:space="preserve"> to vary </w:t>
      </w:r>
      <w:r>
        <w:t xml:space="preserve">a </w:t>
      </w:r>
      <w:r w:rsidRPr="00A96DEE">
        <w:t>perm</w:t>
      </w:r>
      <w:r>
        <w:t xml:space="preserve">itted indications determination, the committee notes the Minister's advice that the limitation of review rights has been proposed in order to minimise uncertainty in the application process. The committee also notes the Minister's advice that this limitation of review rights would mirror alterations made to review rights with respect to permitted ingredients made by the </w:t>
      </w:r>
      <w:r>
        <w:rPr>
          <w:i/>
        </w:rPr>
        <w:t>Therapeutic Goods Amendment (2016 Measures No. 1) Act 2017</w:t>
      </w:r>
      <w:r>
        <w:t>, and that third parties will be able to object to a permitted indication by lodging a complaint with the TGA once a product appears in the marketplace.</w:t>
      </w:r>
    </w:p>
    <w:p w:rsidR="006F5996" w:rsidRPr="00042B16" w:rsidRDefault="006F5996" w:rsidP="006F5996">
      <w:pPr>
        <w:pStyle w:val="Level110"/>
        <w:numPr>
          <w:ilvl w:val="0"/>
          <w:numId w:val="21"/>
        </w:numPr>
        <w:rPr>
          <w:b/>
        </w:rPr>
      </w:pPr>
      <w:r w:rsidRPr="00042B16">
        <w:rPr>
          <w:b/>
        </w:rPr>
        <w:t xml:space="preserve">The committee welcomes the Minister's undertaking to amend the explanatory memorandum so as to clarify the </w:t>
      </w:r>
      <w:r>
        <w:rPr>
          <w:b/>
        </w:rPr>
        <w:t>intention behind restricting appeal rights to applicants only</w:t>
      </w:r>
      <w:r w:rsidRPr="00042B16">
        <w:rPr>
          <w:b/>
        </w:rPr>
        <w:t xml:space="preserve">, noting the importance of </w:t>
      </w:r>
      <w:r>
        <w:rPr>
          <w:b/>
        </w:rPr>
        <w:t>this</w:t>
      </w:r>
      <w:r w:rsidRPr="00042B16">
        <w:rPr>
          <w:b/>
        </w:rPr>
        <w:t xml:space="preserve"> document as a point of access to understanding the law and, if needed, as extrinsic material to assist with interpretation (see section 15AB of the</w:t>
      </w:r>
      <w:r>
        <w:rPr>
          <w:b/>
        </w:rPr>
        <w:t xml:space="preserve"> </w:t>
      </w:r>
      <w:r w:rsidRPr="00C643B0">
        <w:rPr>
          <w:b/>
          <w:i/>
        </w:rPr>
        <w:t>Acts Interpretation Act 1901</w:t>
      </w:r>
      <w:r>
        <w:rPr>
          <w:b/>
        </w:rPr>
        <w:t>).</w:t>
      </w:r>
    </w:p>
    <w:p w:rsidR="006F5996" w:rsidRDefault="006F5996" w:rsidP="006F5996">
      <w:pPr>
        <w:pStyle w:val="Level110"/>
        <w:numPr>
          <w:ilvl w:val="0"/>
          <w:numId w:val="21"/>
        </w:numPr>
        <w:rPr>
          <w:b/>
        </w:rPr>
      </w:pPr>
      <w:r w:rsidRPr="00D978F3">
        <w:rPr>
          <w:b/>
        </w:rPr>
        <w:t>In light of the detailed information provided, the committee makes no further comment on this matter.</w:t>
      </w:r>
    </w:p>
    <w:p w:rsidR="006F5996" w:rsidRDefault="006F5996" w:rsidP="006F5996">
      <w:pPr>
        <w:pStyle w:val="Level110"/>
        <w:numPr>
          <w:ilvl w:val="0"/>
          <w:numId w:val="21"/>
        </w:numPr>
        <w:rPr>
          <w:b/>
        </w:rPr>
        <w:sectPr w:rsidR="006F5996" w:rsidSect="00194588">
          <w:headerReference w:type="even" r:id="rId189"/>
          <w:headerReference w:type="default" r:id="rId190"/>
          <w:footerReference w:type="even" r:id="rId191"/>
          <w:footerReference w:type="default" r:id="rId192"/>
          <w:headerReference w:type="first" r:id="rId193"/>
          <w:footerReference w:type="first" r:id="rId194"/>
          <w:pgSz w:w="11906" w:h="16838" w:code="9"/>
          <w:pgMar w:top="1440" w:right="1440" w:bottom="1202" w:left="1440" w:header="1134" w:footer="720" w:gutter="0"/>
          <w:cols w:space="720"/>
          <w:titlePg/>
        </w:sectPr>
      </w:pPr>
    </w:p>
    <w:p w:rsidR="006F5996" w:rsidRDefault="006F5996" w:rsidP="006F5996">
      <w:pPr>
        <w:sectPr w:rsidR="006F5996" w:rsidSect="006F5996">
          <w:type w:val="continuous"/>
          <w:pgSz w:w="11906" w:h="16838" w:code="9"/>
          <w:pgMar w:top="1440" w:right="1440" w:bottom="1202" w:left="1440" w:header="1134" w:footer="720" w:gutter="0"/>
          <w:cols w:space="720"/>
          <w:titlePg/>
        </w:sectPr>
      </w:pPr>
    </w:p>
    <w:p w:rsidR="006F5996" w:rsidRPr="00407B89" w:rsidRDefault="006F5996" w:rsidP="006F5996">
      <w:pPr>
        <w:pStyle w:val="Heading1"/>
        <w:shd w:val="clear" w:color="auto" w:fill="FFFFFF"/>
        <w:spacing w:after="240"/>
        <w:jc w:val="both"/>
        <w:rPr>
          <w:rFonts w:asciiTheme="minorHAnsi" w:hAnsiTheme="minorHAnsi" w:cs="Arial"/>
          <w:szCs w:val="40"/>
        </w:rPr>
      </w:pPr>
      <w:r w:rsidRPr="00407B89">
        <w:rPr>
          <w:rFonts w:asciiTheme="minorHAnsi" w:hAnsiTheme="minorHAnsi" w:cs="Arial"/>
          <w:szCs w:val="40"/>
        </w:rPr>
        <w:lastRenderedPageBreak/>
        <w:t>Treasury Laws Amendment (Improving Accountability and Member Outcomes in Superannuation Measures 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5996" w:rsidRPr="00407B89" w:rsidTr="006F5996">
        <w:tc>
          <w:tcPr>
            <w:tcW w:w="2660" w:type="dxa"/>
            <w:tcBorders>
              <w:top w:val="single" w:sz="12" w:space="0" w:color="auto"/>
              <w:right w:val="single" w:sz="12" w:space="0" w:color="auto"/>
            </w:tcBorders>
          </w:tcPr>
          <w:p w:rsidR="006F5996" w:rsidRPr="00407B89" w:rsidRDefault="006F5996" w:rsidP="00106C8B">
            <w:pPr>
              <w:rPr>
                <w:b/>
                <w:sz w:val="24"/>
                <w:szCs w:val="24"/>
              </w:rPr>
            </w:pPr>
            <w:r w:rsidRPr="00407B89">
              <w:rPr>
                <w:b/>
                <w:sz w:val="24"/>
                <w:szCs w:val="24"/>
              </w:rPr>
              <w:t>Purpose</w:t>
            </w:r>
          </w:p>
        </w:tc>
        <w:tc>
          <w:tcPr>
            <w:tcW w:w="6582" w:type="dxa"/>
            <w:tcBorders>
              <w:top w:val="single" w:sz="12" w:space="0" w:color="auto"/>
              <w:left w:val="single" w:sz="12" w:space="0" w:color="auto"/>
            </w:tcBorders>
          </w:tcPr>
          <w:p w:rsidR="006F5996" w:rsidRPr="00407B89" w:rsidRDefault="006F5996" w:rsidP="00106C8B">
            <w:pPr>
              <w:spacing w:after="60"/>
              <w:rPr>
                <w:sz w:val="24"/>
                <w:szCs w:val="24"/>
              </w:rPr>
            </w:pPr>
            <w:r w:rsidRPr="00407B89">
              <w:rPr>
                <w:sz w:val="24"/>
                <w:szCs w:val="24"/>
              </w:rPr>
              <w:t>This bill seeks to amend various Acts in relation to superannuation</w:t>
            </w:r>
          </w:p>
          <w:p w:rsidR="006F5996" w:rsidRPr="00407B89" w:rsidRDefault="006F5996" w:rsidP="00106C8B">
            <w:pPr>
              <w:spacing w:after="60"/>
              <w:rPr>
                <w:sz w:val="24"/>
                <w:szCs w:val="24"/>
              </w:rPr>
            </w:pPr>
            <w:r w:rsidRPr="00407B89">
              <w:rPr>
                <w:sz w:val="24"/>
                <w:szCs w:val="24"/>
              </w:rPr>
              <w:t>Schedule 1 replaces the 'scale test' with a broader 'outcomes test' which MySuper trustees must consider to ensure that maximum outcomes for members</w:t>
            </w:r>
          </w:p>
          <w:p w:rsidR="006F5996" w:rsidRPr="00407B89" w:rsidRDefault="006F5996" w:rsidP="00106C8B">
            <w:pPr>
              <w:spacing w:after="60"/>
              <w:rPr>
                <w:sz w:val="24"/>
                <w:szCs w:val="24"/>
              </w:rPr>
            </w:pPr>
            <w:r w:rsidRPr="00407B89">
              <w:rPr>
                <w:sz w:val="24"/>
                <w:szCs w:val="24"/>
              </w:rPr>
              <w:t>Schedule 2 provides the Australian Prudential Regulation Authority (APRA) the power to refuse a registerable superannuation entity (RSE) licensee a new authority to offer a MySuper product or to cancel an existing authority</w:t>
            </w:r>
          </w:p>
          <w:p w:rsidR="006F5996" w:rsidRPr="00407B89" w:rsidRDefault="006F5996" w:rsidP="00106C8B">
            <w:pPr>
              <w:spacing w:after="60"/>
              <w:rPr>
                <w:sz w:val="24"/>
                <w:szCs w:val="24"/>
              </w:rPr>
            </w:pPr>
            <w:r w:rsidRPr="00407B89">
              <w:rPr>
                <w:sz w:val="24"/>
                <w:szCs w:val="24"/>
              </w:rPr>
              <w:t>Schedule 3 imposes civil and criminal penalties on directors of RSE licensees who fail to execute their responsibilities</w:t>
            </w:r>
          </w:p>
          <w:p w:rsidR="006F5996" w:rsidRPr="00407B89" w:rsidRDefault="006F5996" w:rsidP="00106C8B">
            <w:pPr>
              <w:spacing w:after="60"/>
              <w:rPr>
                <w:sz w:val="24"/>
                <w:szCs w:val="24"/>
              </w:rPr>
            </w:pPr>
            <w:r w:rsidRPr="00407B89">
              <w:rPr>
                <w:sz w:val="24"/>
                <w:szCs w:val="24"/>
              </w:rPr>
              <w:t>Schedule 4 increases APRA’s supervision and enforcement powers when a change of ownership or control of an RSE licensee takes place</w:t>
            </w:r>
          </w:p>
          <w:p w:rsidR="006F5996" w:rsidRPr="00407B89" w:rsidRDefault="006F5996" w:rsidP="00106C8B">
            <w:pPr>
              <w:spacing w:after="60"/>
              <w:rPr>
                <w:sz w:val="24"/>
                <w:szCs w:val="24"/>
              </w:rPr>
            </w:pPr>
            <w:r w:rsidRPr="00407B89">
              <w:rPr>
                <w:sz w:val="24"/>
                <w:szCs w:val="24"/>
              </w:rPr>
              <w:t>Schedule 5 amends APRA’s supervision and enforcement powers to include the power to issue a direction to an RSE licensee where APRA has prudential concerns</w:t>
            </w:r>
          </w:p>
          <w:p w:rsidR="006F5996" w:rsidRPr="00407B89" w:rsidRDefault="006F5996" w:rsidP="00106C8B">
            <w:pPr>
              <w:spacing w:after="60"/>
              <w:rPr>
                <w:sz w:val="24"/>
                <w:szCs w:val="24"/>
              </w:rPr>
            </w:pPr>
            <w:r w:rsidRPr="00407B89">
              <w:rPr>
                <w:sz w:val="24"/>
                <w:szCs w:val="24"/>
              </w:rPr>
              <w:t>Schedule 6 requires RSE licensees to make publically available their portfolio holdings</w:t>
            </w:r>
          </w:p>
          <w:p w:rsidR="006F5996" w:rsidRPr="00407B89" w:rsidRDefault="006F5996" w:rsidP="00106C8B">
            <w:pPr>
              <w:spacing w:after="60"/>
              <w:rPr>
                <w:sz w:val="24"/>
                <w:szCs w:val="24"/>
              </w:rPr>
            </w:pPr>
            <w:r w:rsidRPr="00407B89">
              <w:rPr>
                <w:sz w:val="24"/>
                <w:szCs w:val="24"/>
              </w:rPr>
              <w:t>Schedule 7 requires RSE licensees to hold annual members’ meetings</w:t>
            </w:r>
          </w:p>
          <w:p w:rsidR="006F5996" w:rsidRPr="00407B89" w:rsidRDefault="006F5996" w:rsidP="00106C8B">
            <w:pPr>
              <w:rPr>
                <w:sz w:val="24"/>
                <w:szCs w:val="24"/>
              </w:rPr>
            </w:pPr>
            <w:r w:rsidRPr="00407B89">
              <w:rPr>
                <w:sz w:val="24"/>
                <w:szCs w:val="24"/>
              </w:rPr>
              <w:t>Schedule 8 provides APRA with the authority to obtain information on expenses incurred by RSE and RSE licensees in managing or operating the RSE</w:t>
            </w:r>
          </w:p>
        </w:tc>
      </w:tr>
      <w:tr w:rsidR="006F5996" w:rsidRPr="00407B89" w:rsidTr="006F5996">
        <w:tc>
          <w:tcPr>
            <w:tcW w:w="2660" w:type="dxa"/>
            <w:tcBorders>
              <w:right w:val="single" w:sz="12" w:space="0" w:color="auto"/>
            </w:tcBorders>
          </w:tcPr>
          <w:p w:rsidR="006F5996" w:rsidRPr="00407B89" w:rsidRDefault="006F5996" w:rsidP="00106C8B">
            <w:pPr>
              <w:rPr>
                <w:b/>
                <w:sz w:val="24"/>
                <w:szCs w:val="24"/>
              </w:rPr>
            </w:pPr>
            <w:r w:rsidRPr="00407B89">
              <w:rPr>
                <w:b/>
                <w:sz w:val="24"/>
                <w:szCs w:val="24"/>
              </w:rPr>
              <w:t>Portfolio</w:t>
            </w:r>
          </w:p>
        </w:tc>
        <w:tc>
          <w:tcPr>
            <w:tcW w:w="6582" w:type="dxa"/>
            <w:tcBorders>
              <w:left w:val="single" w:sz="12" w:space="0" w:color="auto"/>
            </w:tcBorders>
          </w:tcPr>
          <w:p w:rsidR="006F5996" w:rsidRPr="00407B89" w:rsidRDefault="006F5996" w:rsidP="00106C8B">
            <w:pPr>
              <w:rPr>
                <w:sz w:val="24"/>
                <w:szCs w:val="24"/>
              </w:rPr>
            </w:pPr>
            <w:r w:rsidRPr="00407B89">
              <w:rPr>
                <w:sz w:val="24"/>
                <w:szCs w:val="24"/>
              </w:rPr>
              <w:t>Treasury</w:t>
            </w:r>
          </w:p>
        </w:tc>
      </w:tr>
      <w:tr w:rsidR="006F5996" w:rsidRPr="00407B89" w:rsidTr="006F5996">
        <w:tc>
          <w:tcPr>
            <w:tcW w:w="2660" w:type="dxa"/>
            <w:tcBorders>
              <w:right w:val="single" w:sz="12" w:space="0" w:color="auto"/>
            </w:tcBorders>
          </w:tcPr>
          <w:p w:rsidR="006F5996" w:rsidRPr="00407B89" w:rsidRDefault="006F5996" w:rsidP="00106C8B">
            <w:pPr>
              <w:rPr>
                <w:b/>
                <w:sz w:val="24"/>
                <w:szCs w:val="24"/>
              </w:rPr>
            </w:pPr>
            <w:r w:rsidRPr="00407B89">
              <w:rPr>
                <w:b/>
                <w:sz w:val="24"/>
                <w:szCs w:val="24"/>
              </w:rPr>
              <w:t>Introduced</w:t>
            </w:r>
          </w:p>
        </w:tc>
        <w:tc>
          <w:tcPr>
            <w:tcW w:w="6582" w:type="dxa"/>
            <w:tcBorders>
              <w:left w:val="single" w:sz="12" w:space="0" w:color="auto"/>
            </w:tcBorders>
          </w:tcPr>
          <w:p w:rsidR="006F5996" w:rsidRPr="00407B89" w:rsidRDefault="006F5996" w:rsidP="00106C8B">
            <w:pPr>
              <w:rPr>
                <w:sz w:val="24"/>
                <w:szCs w:val="24"/>
              </w:rPr>
            </w:pPr>
            <w:r w:rsidRPr="00407B89">
              <w:rPr>
                <w:sz w:val="24"/>
                <w:szCs w:val="24"/>
              </w:rPr>
              <w:t>House of Representatives on 14 September 2017</w:t>
            </w:r>
          </w:p>
        </w:tc>
      </w:tr>
      <w:tr w:rsidR="006F5996" w:rsidRPr="00407B89" w:rsidTr="006F5996">
        <w:tc>
          <w:tcPr>
            <w:tcW w:w="2660" w:type="dxa"/>
            <w:tcBorders>
              <w:right w:val="single" w:sz="12" w:space="0" w:color="auto"/>
            </w:tcBorders>
          </w:tcPr>
          <w:p w:rsidR="006F5996" w:rsidRPr="00407B89" w:rsidRDefault="006F5996" w:rsidP="00106C8B">
            <w:pPr>
              <w:rPr>
                <w:b/>
                <w:sz w:val="24"/>
                <w:szCs w:val="24"/>
              </w:rPr>
            </w:pPr>
            <w:r w:rsidRPr="00407B89">
              <w:rPr>
                <w:b/>
                <w:sz w:val="24"/>
                <w:szCs w:val="24"/>
              </w:rPr>
              <w:t>Bill status</w:t>
            </w:r>
          </w:p>
        </w:tc>
        <w:tc>
          <w:tcPr>
            <w:tcW w:w="6582" w:type="dxa"/>
            <w:tcBorders>
              <w:left w:val="single" w:sz="12" w:space="0" w:color="auto"/>
            </w:tcBorders>
          </w:tcPr>
          <w:p w:rsidR="006F5996" w:rsidRPr="00407B89" w:rsidRDefault="006F5996" w:rsidP="00106C8B">
            <w:pPr>
              <w:rPr>
                <w:sz w:val="24"/>
                <w:szCs w:val="24"/>
              </w:rPr>
            </w:pPr>
            <w:r w:rsidRPr="00407B89">
              <w:rPr>
                <w:sz w:val="24"/>
                <w:szCs w:val="24"/>
              </w:rPr>
              <w:t>Before the Senate</w:t>
            </w:r>
          </w:p>
        </w:tc>
      </w:tr>
      <w:tr w:rsidR="006F5996" w:rsidRPr="00407B89" w:rsidTr="006F5996">
        <w:tc>
          <w:tcPr>
            <w:tcW w:w="2660" w:type="dxa"/>
            <w:tcBorders>
              <w:bottom w:val="single" w:sz="12" w:space="0" w:color="auto"/>
              <w:right w:val="single" w:sz="12" w:space="0" w:color="auto"/>
            </w:tcBorders>
          </w:tcPr>
          <w:p w:rsidR="006F5996" w:rsidRPr="00407B89" w:rsidRDefault="006F5996" w:rsidP="00106C8B">
            <w:pPr>
              <w:rPr>
                <w:b/>
                <w:sz w:val="24"/>
                <w:szCs w:val="24"/>
              </w:rPr>
            </w:pPr>
            <w:r w:rsidRPr="00407B89">
              <w:rPr>
                <w:b/>
                <w:sz w:val="24"/>
                <w:szCs w:val="24"/>
              </w:rPr>
              <w:t>Scrutiny principles</w:t>
            </w:r>
          </w:p>
        </w:tc>
        <w:tc>
          <w:tcPr>
            <w:tcW w:w="6582" w:type="dxa"/>
            <w:tcBorders>
              <w:left w:val="single" w:sz="12" w:space="0" w:color="auto"/>
              <w:bottom w:val="single" w:sz="12" w:space="0" w:color="auto"/>
            </w:tcBorders>
          </w:tcPr>
          <w:p w:rsidR="006F5996" w:rsidRPr="00407B89" w:rsidRDefault="006F5996" w:rsidP="00106C8B">
            <w:pPr>
              <w:rPr>
                <w:sz w:val="24"/>
                <w:szCs w:val="24"/>
              </w:rPr>
            </w:pPr>
            <w:r w:rsidRPr="00407B89">
              <w:rPr>
                <w:sz w:val="24"/>
                <w:szCs w:val="24"/>
              </w:rPr>
              <w:t>Standing Order 24(1)(a)(i) and (iv)</w:t>
            </w:r>
          </w:p>
        </w:tc>
      </w:tr>
    </w:tbl>
    <w:p w:rsidR="006F5996" w:rsidRPr="00407B89" w:rsidRDefault="006F5996" w:rsidP="006F5996">
      <w:pPr>
        <w:pStyle w:val="Heading3"/>
      </w:pPr>
      <w:r w:rsidRPr="00407B89">
        <w:lastRenderedPageBreak/>
        <w:t>Strict liability offences</w:t>
      </w:r>
      <w:r w:rsidRPr="00407B89">
        <w:rPr>
          <w:rStyle w:val="FootnoteReference"/>
          <w:b w:val="0"/>
        </w:rPr>
        <w:footnoteReference w:id="215"/>
      </w:r>
    </w:p>
    <w:p w:rsidR="006F5996" w:rsidRPr="00407B89" w:rsidRDefault="006F5996" w:rsidP="006F5996">
      <w:pPr>
        <w:rPr>
          <w:b/>
          <w:i/>
        </w:rPr>
      </w:pPr>
      <w:r w:rsidRPr="00407B89">
        <w:rPr>
          <w:b/>
          <w:i/>
        </w:rPr>
        <w:t>Initial scrutiny – extract</w:t>
      </w:r>
    </w:p>
    <w:p w:rsidR="006F5996" w:rsidRPr="00407B89" w:rsidRDefault="006F5996" w:rsidP="006F5996">
      <w:pPr>
        <w:pStyle w:val="Level1121"/>
        <w:numPr>
          <w:ilvl w:val="0"/>
          <w:numId w:val="21"/>
        </w:numPr>
      </w:pPr>
      <w:r w:rsidRPr="00407B89">
        <w:t>Proposed section 29JCB introduces a new provision which makes it an offence of strict liability for a person to hold a controlling stake in a registrable superannuation entity (RSE) licensee without approval. The offence is subject to a maximum penalty of 400 penalty units for each day on which the person holds a controlling stake without approval. The explanatory memorandum justifies the strict liability offence by stating that it is necessary to ensure the integrity of the regulatory regime.</w:t>
      </w:r>
      <w:r w:rsidRPr="00407B89">
        <w:rPr>
          <w:rStyle w:val="FootnoteReference"/>
        </w:rPr>
        <w:footnoteReference w:id="216"/>
      </w:r>
    </w:p>
    <w:p w:rsidR="006F5996" w:rsidRPr="00407B89" w:rsidRDefault="006F5996" w:rsidP="006F5996">
      <w:pPr>
        <w:pStyle w:val="Level1121"/>
        <w:numPr>
          <w:ilvl w:val="0"/>
          <w:numId w:val="21"/>
        </w:numPr>
      </w:pPr>
      <w:r w:rsidRPr="00407B89">
        <w:t>Proposed section 131DD introduces a new provision which makes it an offence if a person fails to comply with a direction given by the Australian Prudential Regulation Authority (APRA) to an RSE licensee or a connected entity. Each offence is stated to be one of strict liability and subject to a maximum penalty of 100 penalty units. The explanatory memorandum states that the gravity of consequences following non-compliance with a direction makes it appropriate for the non-compliance to be a strict liability offence, and that 'this is also likely to significantly enhance the effectiveness of the enforcement regime in deterring the conduct'.</w:t>
      </w:r>
      <w:r w:rsidRPr="00407B89">
        <w:rPr>
          <w:rStyle w:val="FootnoteReference"/>
        </w:rPr>
        <w:footnoteReference w:id="217"/>
      </w:r>
      <w:r w:rsidRPr="00407B89">
        <w:t xml:space="preserve"> </w:t>
      </w:r>
    </w:p>
    <w:p w:rsidR="006F5996" w:rsidRPr="00407B89" w:rsidRDefault="006F5996" w:rsidP="006F5996">
      <w:pPr>
        <w:pStyle w:val="Level1121"/>
        <w:numPr>
          <w:ilvl w:val="0"/>
          <w:numId w:val="21"/>
        </w:numPr>
      </w:pPr>
      <w:r w:rsidRPr="00407B89">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justification for any imposition of strict liability, including clearly outlining whether the approach is consistent with the </w:t>
      </w:r>
      <w:r w:rsidRPr="00407B89">
        <w:rPr>
          <w:i/>
        </w:rPr>
        <w:t>Guide to Framing Commonwealth Offences</w:t>
      </w:r>
      <w:r w:rsidRPr="00407B89">
        <w:t>.</w:t>
      </w:r>
      <w:r w:rsidRPr="00407B89">
        <w:rPr>
          <w:rStyle w:val="FootnoteReference"/>
        </w:rPr>
        <w:footnoteReference w:id="218"/>
      </w:r>
      <w:r w:rsidRPr="00407B89">
        <w:t xml:space="preserve"> </w:t>
      </w:r>
    </w:p>
    <w:p w:rsidR="006F5996" w:rsidRPr="00407B89" w:rsidRDefault="006F5996" w:rsidP="006F5996">
      <w:pPr>
        <w:pStyle w:val="Level1121"/>
        <w:numPr>
          <w:ilvl w:val="0"/>
          <w:numId w:val="21"/>
        </w:numPr>
      </w:pPr>
      <w:r w:rsidRPr="00407B89">
        <w:t xml:space="preserve">In this regard, the committee notes that the </w:t>
      </w:r>
      <w:r w:rsidRPr="00407B89">
        <w:rPr>
          <w:i/>
        </w:rPr>
        <w:t>Guide to Framing Commonwealth Offences</w:t>
      </w:r>
      <w:r w:rsidRPr="00407B89">
        <w:t xml:space="preserve"> states that strict liability should be applied only where the penalty does not include imprisonment and the fine does not exceed 60 penalty units </w:t>
      </w:r>
      <w:r w:rsidRPr="00407B89">
        <w:lastRenderedPageBreak/>
        <w:t>for an individual (or 300 penalty units for a body corporate).</w:t>
      </w:r>
      <w:r w:rsidRPr="00407B89">
        <w:rPr>
          <w:rStyle w:val="FootnoteReference"/>
        </w:rPr>
        <w:footnoteReference w:id="219"/>
      </w:r>
      <w:r w:rsidRPr="00407B89">
        <w:rPr>
          <w:i/>
        </w:rPr>
        <w:t xml:space="preserve"> </w:t>
      </w:r>
      <w:r w:rsidRPr="00407B89">
        <w:t xml:space="preserve">In this instance, the proposed offences are subject to a maximum penalty of 100 penalty units or 400 penalty units (applicable each day of the contravention). The explanatory memorandum does not explain why these proposed penalties exceed the 60 penalty unit amount set out in the </w:t>
      </w:r>
      <w:r w:rsidRPr="00407B89">
        <w:rPr>
          <w:i/>
        </w:rPr>
        <w:t>Guide to Framing Commonwealth Offences</w:t>
      </w:r>
      <w:r w:rsidRPr="00407B89">
        <w:t>.</w:t>
      </w:r>
    </w:p>
    <w:p w:rsidR="006F5996" w:rsidRPr="00407B89" w:rsidRDefault="006F5996" w:rsidP="006F5996">
      <w:pPr>
        <w:pStyle w:val="Level1121"/>
        <w:numPr>
          <w:ilvl w:val="0"/>
          <w:numId w:val="21"/>
        </w:numPr>
      </w:pPr>
      <w:r w:rsidRPr="00407B89">
        <w:t xml:space="preserve">The committee requests the Minister's justification as to the proposed penalty applicable to each strict liability offence with reference to the principles set out in the </w:t>
      </w:r>
      <w:r w:rsidRPr="00407B89">
        <w:rPr>
          <w:i/>
        </w:rPr>
        <w:t>Guide to Framing Commonwealth Offences</w:t>
      </w:r>
      <w:r w:rsidRPr="00407B89">
        <w:t>.</w:t>
      </w:r>
      <w:r w:rsidRPr="00407B89">
        <w:rPr>
          <w:rStyle w:val="FootnoteReference"/>
        </w:rPr>
        <w:footnoteReference w:id="220"/>
      </w:r>
    </w:p>
    <w:p w:rsidR="006F5996" w:rsidRPr="00407B89" w:rsidRDefault="006F5996" w:rsidP="006F5996">
      <w:pPr>
        <w:pStyle w:val="Level112"/>
        <w:tabs>
          <w:tab w:val="clear" w:pos="850"/>
        </w:tabs>
        <w:rPr>
          <w:b/>
          <w:i/>
        </w:rPr>
      </w:pPr>
      <w:r w:rsidRPr="00407B89">
        <w:rPr>
          <w:b/>
          <w:i/>
        </w:rPr>
        <w:t>Minister's response</w:t>
      </w:r>
    </w:p>
    <w:p w:rsidR="006F5996" w:rsidRPr="00407B89" w:rsidRDefault="006F5996" w:rsidP="006F5996">
      <w:pPr>
        <w:pStyle w:val="Level112"/>
        <w:numPr>
          <w:ilvl w:val="0"/>
          <w:numId w:val="21"/>
        </w:numPr>
      </w:pPr>
      <w:r w:rsidRPr="00407B89">
        <w:t>The Minister advised:</w:t>
      </w:r>
    </w:p>
    <w:p w:rsidR="006F5996" w:rsidRPr="00407B89" w:rsidRDefault="006F5996" w:rsidP="006F5996">
      <w:pPr>
        <w:pStyle w:val="Quote"/>
        <w:rPr>
          <w:b/>
          <w:i/>
          <w:lang w:eastAsia="en-AU"/>
        </w:rPr>
      </w:pPr>
      <w:r w:rsidRPr="00407B89">
        <w:rPr>
          <w:b/>
          <w:i/>
          <w:lang w:eastAsia="en-AU"/>
        </w:rPr>
        <w:t>Penalty for proposed section 29JCB of the SIS Act</w:t>
      </w:r>
    </w:p>
    <w:p w:rsidR="006F5996" w:rsidRPr="00407B89" w:rsidRDefault="006F5996" w:rsidP="006F5996">
      <w:pPr>
        <w:pStyle w:val="Quote"/>
        <w:rPr>
          <w:lang w:eastAsia="en-AU"/>
        </w:rPr>
      </w:pPr>
      <w:r w:rsidRPr="00407B89">
        <w:rPr>
          <w:lang w:eastAsia="en-AU"/>
        </w:rPr>
        <w:t>Proposed section 29JCB is contained in Schedule 4 to the Superannuation Measures Bill.</w:t>
      </w:r>
    </w:p>
    <w:p w:rsidR="006F5996" w:rsidRPr="00407B89" w:rsidRDefault="006F5996" w:rsidP="006F5996">
      <w:pPr>
        <w:pStyle w:val="Quote"/>
      </w:pPr>
      <w:r w:rsidRPr="00407B89">
        <w:rPr>
          <w:lang w:eastAsia="en-AU"/>
        </w:rPr>
        <w:t>As noted by the Committee in its Digest, proposed section 29JCB makes it an offence of strict liability for a person to hold a controlling stake in an Registrable Superannuation Entity (RSE) licensee without approval to hold the stake under proposed section 29HD. The offence is subject to a maximum penalty of 400 penalty units for each day on which the person holds a controlling stake without approval.</w:t>
      </w:r>
    </w:p>
    <w:p w:rsidR="006F5996" w:rsidRPr="00407B89" w:rsidRDefault="006F5996" w:rsidP="006F5996">
      <w:pPr>
        <w:pStyle w:val="Quote"/>
      </w:pPr>
      <w:r w:rsidRPr="00407B89">
        <w:rPr>
          <w:lang w:eastAsia="en-AU"/>
        </w:rPr>
        <w:t xml:space="preserve">The amount of this penalty exceeds the upper threshold for penalties for strict liability offences that is specified in the general principle set out in Chapter 2 of the Attorney-General's Department </w:t>
      </w:r>
      <w:r w:rsidRPr="00407B89">
        <w:rPr>
          <w:i/>
          <w:iCs/>
          <w:lang w:eastAsia="en-AU"/>
        </w:rPr>
        <w:t xml:space="preserve">Guide to Framing Commonwealth Offences, Infringement Notices and Enforcement Powers </w:t>
      </w:r>
      <w:r w:rsidRPr="00407B89">
        <w:rPr>
          <w:lang w:eastAsia="en-AU"/>
        </w:rPr>
        <w:t>(the Guide) (that is, that generally the penalty for an offence of strict liability should not exceed 60 penalty units for an individual or 300 for a body corporate).</w:t>
      </w:r>
    </w:p>
    <w:p w:rsidR="006F5996" w:rsidRPr="00407B89" w:rsidRDefault="006F5996" w:rsidP="006F5996">
      <w:pPr>
        <w:pStyle w:val="Quote"/>
      </w:pPr>
      <w:r w:rsidRPr="00407B89">
        <w:rPr>
          <w:lang w:eastAsia="en-AU"/>
        </w:rPr>
        <w:t>However, the amount of the penalty is justified because the prohibition on persons holding unapproved controlling stakes in an RSE licence is specifically designed to prevent such controlling interests preventing a trustee from being able to fulfil its obligations in respect of the members of a superannuation fund. The amount of the penalty reflects the importance of protecting superannuation members' interests and is justified given the value of funds under management in the superannuation system, the number of members potentially adversely impacted by a single RSE licensee being unable to fulfil its obligations, and the compulsory nature of the superannuation system.</w:t>
      </w:r>
    </w:p>
    <w:p w:rsidR="006F5996" w:rsidRPr="00407B89" w:rsidRDefault="006F5996" w:rsidP="006F5996">
      <w:pPr>
        <w:pStyle w:val="Quote"/>
        <w:rPr>
          <w:lang w:eastAsia="en-AU"/>
        </w:rPr>
      </w:pPr>
      <w:r w:rsidRPr="00407B89">
        <w:rPr>
          <w:lang w:eastAsia="en-AU"/>
        </w:rPr>
        <w:lastRenderedPageBreak/>
        <w:t xml:space="preserve">I also note that the amount of the penalty is consistent with existing penalties that apply to similar offences of strict liability under the </w:t>
      </w:r>
      <w:r w:rsidRPr="00407B89">
        <w:rPr>
          <w:i/>
          <w:iCs/>
          <w:lang w:eastAsia="en-AU"/>
        </w:rPr>
        <w:t xml:space="preserve">Corporations Act 2001 </w:t>
      </w:r>
      <w:r w:rsidRPr="00407B89">
        <w:rPr>
          <w:lang w:eastAsia="en-AU"/>
        </w:rPr>
        <w:t xml:space="preserve">for contraventions of section 850C (acquiring shares in a widely held market body that results in an inappropriate control situation) and subsection 852B(2) (anti-avoidance provision in relation to increasing voting power) - see section 1311 and table items 258A and 258C of Schedule 3 to the </w:t>
      </w:r>
      <w:r w:rsidRPr="00407B89">
        <w:rPr>
          <w:i/>
          <w:iCs/>
          <w:lang w:eastAsia="en-AU"/>
        </w:rPr>
        <w:t xml:space="preserve">Corporations Act 2001. </w:t>
      </w:r>
      <w:r w:rsidRPr="00407B89">
        <w:rPr>
          <w:lang w:eastAsia="en-AU"/>
        </w:rPr>
        <w:t>Applying the same penalties to offences of similar types is consistent with principle 3.1.2 of the Guide (which discusses the relevance of considering penalties for existing offences of a similar kind or of a similar seriousness).</w:t>
      </w:r>
    </w:p>
    <w:p w:rsidR="006F5996" w:rsidRPr="00407B89" w:rsidRDefault="006F5996" w:rsidP="006F5996">
      <w:pPr>
        <w:pStyle w:val="Quote"/>
        <w:rPr>
          <w:b/>
          <w:i/>
          <w:lang w:eastAsia="en-AU"/>
        </w:rPr>
      </w:pPr>
      <w:r w:rsidRPr="00407B89">
        <w:rPr>
          <w:b/>
          <w:i/>
          <w:lang w:eastAsia="en-AU"/>
        </w:rPr>
        <w:t>Penalty for proposed section 131DD of the SIS Act</w:t>
      </w:r>
    </w:p>
    <w:p w:rsidR="006F5996" w:rsidRPr="00407B89" w:rsidRDefault="006F5996" w:rsidP="006F5996">
      <w:pPr>
        <w:pStyle w:val="Quote"/>
        <w:rPr>
          <w:lang w:eastAsia="en-AU"/>
        </w:rPr>
      </w:pPr>
      <w:r w:rsidRPr="00407B89">
        <w:rPr>
          <w:lang w:eastAsia="en-AU"/>
        </w:rPr>
        <w:t>Proposed section 131DD is contained in Schedule 5 to the Superannuation Measures Bill.</w:t>
      </w:r>
    </w:p>
    <w:p w:rsidR="006F5996" w:rsidRPr="00407B89" w:rsidRDefault="006F5996" w:rsidP="006F5996">
      <w:pPr>
        <w:pStyle w:val="Quote"/>
        <w:rPr>
          <w:lang w:eastAsia="en-AU"/>
        </w:rPr>
      </w:pPr>
      <w:r w:rsidRPr="00407B89">
        <w:rPr>
          <w:lang w:eastAsia="en-AU"/>
        </w:rPr>
        <w:t>As noted by the Committee in its Digest, proposed section 131DD establishes various offences of strict liability for particular persons who fail to comply with a direction given by the Australian Prudential Regulation Authority (APRA) under Division 1 of proposed Part 16A of the SIS Act (which sets out the grounds for giving directions to RSE licensees and their connected entities, and the types of directions that can be given). The offence is subject to a maximum penalty of 100 penalty units.</w:t>
      </w:r>
    </w:p>
    <w:p w:rsidR="006F5996" w:rsidRPr="00407B89" w:rsidRDefault="006F5996" w:rsidP="006F5996">
      <w:pPr>
        <w:pStyle w:val="Quote"/>
        <w:rPr>
          <w:lang w:eastAsia="en-AU"/>
        </w:rPr>
      </w:pPr>
      <w:r w:rsidRPr="00407B89">
        <w:rPr>
          <w:lang w:eastAsia="en-AU"/>
        </w:rPr>
        <w:t>The amount of this penalty exceeds the upper threshold for penalties for strict liability offences that is specified in the general principle set out in Chapter 2 of the Guide (that is, that generally the penalty for an offence of strict liability should not exceed 60 penalty units for an individual or 300 for a body corporate).</w:t>
      </w:r>
    </w:p>
    <w:p w:rsidR="006F5996" w:rsidRPr="00407B89" w:rsidRDefault="006F5996" w:rsidP="006F5996">
      <w:pPr>
        <w:pStyle w:val="Quote"/>
        <w:rPr>
          <w:lang w:eastAsia="en-AU"/>
        </w:rPr>
      </w:pPr>
      <w:r w:rsidRPr="00407B89">
        <w:rPr>
          <w:lang w:eastAsia="en-AU"/>
        </w:rPr>
        <w:t>However, the amount of the penalty is justified because directions that are given under Division 1 of proposed Part 16A are specifically designed to protect the interests of the members of a superannuation fund and the stability of Australia's financial system. As with the penalty for proposed section 29JCB, the amount of the penalty reflects the importance of protecting superannuation members' interests and is justified given the value of funds under management in the superannuation system, the number of members potentially adversely impacted by a failure to comply with a direction, and the compulsory nature of the superannuation system.</w:t>
      </w:r>
    </w:p>
    <w:p w:rsidR="006F5996" w:rsidRPr="00407B89" w:rsidRDefault="006F5996" w:rsidP="006F5996">
      <w:pPr>
        <w:pStyle w:val="Quote"/>
        <w:rPr>
          <w:szCs w:val="24"/>
        </w:rPr>
      </w:pPr>
      <w:r w:rsidRPr="00407B89">
        <w:rPr>
          <w:szCs w:val="24"/>
          <w:lang w:eastAsia="en-AU"/>
        </w:rPr>
        <w:t xml:space="preserve">I also note that the amount of the penalty is consistent with existing penalties that apply to similar offences of strict liability under the </w:t>
      </w:r>
      <w:r w:rsidRPr="00407B89">
        <w:rPr>
          <w:bCs/>
          <w:szCs w:val="24"/>
          <w:lang w:eastAsia="en-AU"/>
        </w:rPr>
        <w:t xml:space="preserve">SIS </w:t>
      </w:r>
      <w:r w:rsidRPr="00407B89">
        <w:rPr>
          <w:szCs w:val="24"/>
          <w:lang w:eastAsia="en-AU"/>
        </w:rPr>
        <w:t>Act for failing to comply with other directions. See for example section 63 (failure to comply with a direction not to accept employer contributions made by an employer-sponsor) and section 141 (failure of an acting trustee to comply with a direction). As noted above in respect of the penalty for proposed section 29JCB, applying the same penalties to offences of similar types is consistent with principle 3.1.2 of the Guide.</w:t>
      </w:r>
    </w:p>
    <w:p w:rsidR="006F5996" w:rsidRPr="00407B89" w:rsidRDefault="006F5996" w:rsidP="006F5996"/>
    <w:p w:rsidR="006F5996" w:rsidRPr="00407B89" w:rsidRDefault="006F5996" w:rsidP="006F5996">
      <w:pPr>
        <w:pStyle w:val="Level112"/>
        <w:tabs>
          <w:tab w:val="clear" w:pos="850"/>
        </w:tabs>
        <w:rPr>
          <w:b/>
          <w:i/>
        </w:rPr>
      </w:pPr>
      <w:r w:rsidRPr="00407B89">
        <w:rPr>
          <w:b/>
          <w:i/>
        </w:rPr>
        <w:lastRenderedPageBreak/>
        <w:t>Committee comment</w:t>
      </w:r>
    </w:p>
    <w:p w:rsidR="006F5996" w:rsidRPr="00407B89" w:rsidRDefault="006F5996" w:rsidP="006F5996">
      <w:pPr>
        <w:pStyle w:val="Level112"/>
        <w:numPr>
          <w:ilvl w:val="0"/>
          <w:numId w:val="21"/>
        </w:numPr>
      </w:pPr>
      <w:r w:rsidRPr="00407B89">
        <w:t xml:space="preserve">The committee thanks the Minister for this response. </w:t>
      </w:r>
      <w:r>
        <w:t xml:space="preserve">The committee notes the Minister's advice that the maximum penalties for both offences reflect the importance of protecting superannuation members' interests and are justified given the value of funds under management in the superannuation system, the number of members potentially adversely impacted by a single RSE licensee being unable to fulfil its obligations, and the compulsory nature of the superannuation system. The committee also notes the Minister's advice that the proposed maximum penalties are consistent with penalties that apply to similar offences of strict liability under the </w:t>
      </w:r>
      <w:r>
        <w:rPr>
          <w:i/>
        </w:rPr>
        <w:t xml:space="preserve">Corporations Act 2001 </w:t>
      </w:r>
      <w:r>
        <w:t xml:space="preserve">and the </w:t>
      </w:r>
      <w:r>
        <w:rPr>
          <w:i/>
        </w:rPr>
        <w:t>Superannuation Industry (Supervision) Act 1993</w:t>
      </w:r>
      <w:r>
        <w:t>.</w:t>
      </w:r>
    </w:p>
    <w:p w:rsidR="006F5996" w:rsidRDefault="006F5996" w:rsidP="006F5996">
      <w:pPr>
        <w:pStyle w:val="Level112"/>
        <w:numPr>
          <w:ilvl w:val="0"/>
          <w:numId w:val="21"/>
        </w:numPr>
      </w:pPr>
      <w:r>
        <w:t xml:space="preserve">However, the committee notes that the Minister's response does not address why it is appropriate to penalise persons lacking fault in these circumstances. The committee reiterates its expectation that the explanatory memorandum and any ministerial response will provide a justification for any imposition of strict liability and notes that this is also a requirement set out in the </w:t>
      </w:r>
      <w:r>
        <w:rPr>
          <w:i/>
        </w:rPr>
        <w:t>Guide to Framing Commonwealth Offences</w:t>
      </w:r>
      <w:r>
        <w:t>.</w:t>
      </w:r>
      <w:r>
        <w:rPr>
          <w:rStyle w:val="FootnoteReference"/>
        </w:rPr>
        <w:footnoteReference w:id="221"/>
      </w:r>
    </w:p>
    <w:p w:rsidR="006F5996" w:rsidRPr="008A3E0A" w:rsidRDefault="006F5996" w:rsidP="006F5996">
      <w:pPr>
        <w:pStyle w:val="Level112"/>
        <w:numPr>
          <w:ilvl w:val="0"/>
          <w:numId w:val="21"/>
        </w:numPr>
        <w:rPr>
          <w:b/>
        </w:rPr>
      </w:pPr>
      <w:r w:rsidRPr="008A3E0A">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8A3E0A">
        <w:rPr>
          <w:b/>
          <w:i/>
        </w:rPr>
        <w:t>Acts Interpretation Act 1901</w:t>
      </w:r>
      <w:r w:rsidRPr="008A3E0A">
        <w:rPr>
          <w:b/>
        </w:rPr>
        <w:t>).</w:t>
      </w:r>
    </w:p>
    <w:p w:rsidR="006F5996" w:rsidRPr="006A502C" w:rsidRDefault="006F5996" w:rsidP="006F5996">
      <w:pPr>
        <w:pStyle w:val="Level1121"/>
        <w:numPr>
          <w:ilvl w:val="0"/>
          <w:numId w:val="21"/>
        </w:numPr>
        <w:rPr>
          <w:b/>
        </w:rPr>
      </w:pPr>
      <w:r w:rsidRPr="00DB4D6F">
        <w:rPr>
          <w:b/>
        </w:rPr>
        <w:t xml:space="preserve">The committee draws its scrutiny concerns to the attention of Senators and </w:t>
      </w:r>
      <w:bookmarkStart w:id="24" w:name="OLE_LINK54"/>
      <w:r w:rsidRPr="00DB4D6F">
        <w:rPr>
          <w:b/>
        </w:rPr>
        <w:t xml:space="preserve">leaves to the Senate as a whole </w:t>
      </w:r>
      <w:r w:rsidRPr="006A502C">
        <w:rPr>
          <w:b/>
        </w:rPr>
        <w:t>the appropriateness of</w:t>
      </w:r>
      <w:bookmarkEnd w:id="24"/>
      <w:r w:rsidRPr="006A502C">
        <w:rPr>
          <w:b/>
        </w:rPr>
        <w:t xml:space="preserve"> applying strict liability to the offences set out in proposed sections 29JCB and 131DD</w:t>
      </w:r>
      <w:r w:rsidRPr="00DB4D6F">
        <w:rPr>
          <w:b/>
        </w:rPr>
        <w:t xml:space="preserve">, noting also that the </w:t>
      </w:r>
      <w:r w:rsidRPr="006A502C">
        <w:rPr>
          <w:b/>
        </w:rPr>
        <w:t xml:space="preserve">proposed offences are subject to a maximum penalty of 100 penalty units or 400 penalty units (applicable each day of the contravention), </w:t>
      </w:r>
      <w:r>
        <w:rPr>
          <w:b/>
        </w:rPr>
        <w:t>e</w:t>
      </w:r>
      <w:r w:rsidRPr="006A502C">
        <w:rPr>
          <w:b/>
        </w:rPr>
        <w:t>xceed</w:t>
      </w:r>
      <w:r>
        <w:rPr>
          <w:b/>
        </w:rPr>
        <w:t>ing</w:t>
      </w:r>
      <w:r w:rsidRPr="006A502C">
        <w:rPr>
          <w:b/>
        </w:rPr>
        <w:t xml:space="preserve"> the 60 penalty unit amount set out in the </w:t>
      </w:r>
      <w:r w:rsidRPr="006A502C">
        <w:rPr>
          <w:b/>
          <w:i/>
        </w:rPr>
        <w:t>Guide to Framing Commonwealth Offences</w:t>
      </w:r>
      <w:r w:rsidRPr="006A502C">
        <w:rPr>
          <w:b/>
        </w:rPr>
        <w:t>.</w:t>
      </w:r>
    </w:p>
    <w:p w:rsidR="006F5996" w:rsidRPr="00407B89" w:rsidRDefault="006F5996" w:rsidP="006F5996">
      <w:pPr>
        <w:spacing w:after="240"/>
        <w:ind w:left="2268" w:right="2223"/>
      </w:pPr>
      <w:r>
        <w:pict>
          <v:rect id="_x0000_i1034" style="width:0;height:1.5pt" o:hralign="center" o:hrstd="t" o:hr="t" fillcolor="#a0a0a0" stroked="f"/>
        </w:pict>
      </w:r>
    </w:p>
    <w:p w:rsidR="006F5996" w:rsidRDefault="006F5996" w:rsidP="006F5996">
      <w:pPr>
        <w:spacing w:before="0" w:after="0"/>
        <w:jc w:val="left"/>
        <w:rPr>
          <w:rFonts w:ascii="Calibri" w:hAnsi="Calibri"/>
          <w:b/>
          <w:sz w:val="28"/>
        </w:rPr>
      </w:pPr>
      <w:r>
        <w:br w:type="page"/>
      </w:r>
    </w:p>
    <w:p w:rsidR="006F5996" w:rsidRPr="00407B89" w:rsidRDefault="006F5996" w:rsidP="006F5996">
      <w:pPr>
        <w:pStyle w:val="Heading3"/>
      </w:pPr>
      <w:r w:rsidRPr="00407B89">
        <w:lastRenderedPageBreak/>
        <w:t>Reversal of evidential burden of proof</w:t>
      </w:r>
    </w:p>
    <w:p w:rsidR="006F5996" w:rsidRPr="00407B89" w:rsidRDefault="006F5996" w:rsidP="006F5996">
      <w:pPr>
        <w:pStyle w:val="Heading3"/>
      </w:pPr>
      <w:r w:rsidRPr="00407B89">
        <w:t>Broad scope of offence</w:t>
      </w:r>
    </w:p>
    <w:p w:rsidR="006F5996" w:rsidRPr="00407B89" w:rsidRDefault="006F5996" w:rsidP="006F5996">
      <w:pPr>
        <w:pStyle w:val="Heading3"/>
      </w:pPr>
      <w:r w:rsidRPr="00407B89">
        <w:t>Significant matters in delegated legislation</w:t>
      </w:r>
      <w:r w:rsidRPr="00407B89">
        <w:rPr>
          <w:rStyle w:val="FootnoteReference"/>
          <w:b w:val="0"/>
        </w:rPr>
        <w:footnoteReference w:id="222"/>
      </w:r>
    </w:p>
    <w:p w:rsidR="006F5996" w:rsidRPr="00407B89" w:rsidRDefault="006F5996" w:rsidP="006F5996">
      <w:pPr>
        <w:rPr>
          <w:b/>
          <w:i/>
        </w:rPr>
      </w:pPr>
      <w:r w:rsidRPr="00407B89">
        <w:rPr>
          <w:b/>
          <w:i/>
        </w:rPr>
        <w:t>Initial scrutiny – extract</w:t>
      </w:r>
    </w:p>
    <w:p w:rsidR="006F5996" w:rsidRPr="00407B89" w:rsidRDefault="006F5996" w:rsidP="006F5996">
      <w:pPr>
        <w:pStyle w:val="Level1121"/>
        <w:numPr>
          <w:ilvl w:val="0"/>
          <w:numId w:val="21"/>
        </w:numPr>
        <w:rPr>
          <w:rFonts w:eastAsiaTheme="minorHAnsi"/>
        </w:rPr>
      </w:pPr>
      <w:r w:rsidRPr="00407B89">
        <w:rPr>
          <w:rFonts w:eastAsiaTheme="minorHAnsi"/>
        </w:rPr>
        <w:t>Proposed subsection 29PA(1) makes it an offence for directors of an RSE licensee (and certain other persons) not to attend an annual members' meeting (AMM) if they had been given prior notice of the AMM. Proposed subsection 29PA(6) provides an exception (offence-specific defence) to this offence, stating that the offence does not apply if other directors would be attending and those directors would constitute a quorum of directors for a board of directors meeting.</w:t>
      </w:r>
      <w:r w:rsidRPr="00407B89">
        <w:rPr>
          <w:rStyle w:val="FootnoteReference"/>
          <w:rFonts w:eastAsiaTheme="minorHAnsi"/>
        </w:rPr>
        <w:footnoteReference w:id="223"/>
      </w:r>
      <w:r w:rsidRPr="00407B89">
        <w:rPr>
          <w:rFonts w:eastAsiaTheme="minorHAnsi"/>
        </w:rPr>
        <w:t xml:space="preserve"> The offence carries a maximum penalty of 50 penalty units.</w:t>
      </w:r>
    </w:p>
    <w:p w:rsidR="006F5996" w:rsidRPr="00407B89" w:rsidRDefault="006F5996" w:rsidP="006F5996">
      <w:pPr>
        <w:pStyle w:val="Level1121"/>
        <w:numPr>
          <w:ilvl w:val="0"/>
          <w:numId w:val="21"/>
        </w:numPr>
        <w:rPr>
          <w:rFonts w:eastAsiaTheme="minorHAnsi"/>
        </w:rPr>
      </w:pPr>
      <w:r w:rsidRPr="00407B89">
        <w:rPr>
          <w:rFonts w:eastAsiaTheme="minorHAnsi"/>
        </w:rPr>
        <w:t xml:space="preserve">Proposed subsections </w:t>
      </w:r>
      <w:r w:rsidRPr="00407B89">
        <w:t>29PB(2), 29PC(2), 29PD(2) and 29PE(2)</w:t>
      </w:r>
      <w:r w:rsidRPr="00407B89">
        <w:rPr>
          <w:rFonts w:eastAsiaTheme="minorHAnsi"/>
        </w:rPr>
        <w:t xml:space="preserve"> make it an offence for a responsible officer of an RSE licensee, an individual trustee, an auditor or an actuary not to answer questions raised at an AMM. Proposed subsections </w:t>
      </w:r>
      <w:r w:rsidRPr="00407B89">
        <w:t>29PB(3), 29PC(3), 29PD(3) and 29PE(3)</w:t>
      </w:r>
      <w:r w:rsidRPr="00407B89">
        <w:rPr>
          <w:rFonts w:eastAsiaTheme="minorHAnsi"/>
        </w:rPr>
        <w:t xml:space="preserve"> provide exceptions (offence-specific defence) to these offences, stating that the offence does not apply when the responsible person does not answer questions in certain circumstances.</w:t>
      </w:r>
      <w:r w:rsidRPr="00407B89">
        <w:rPr>
          <w:rStyle w:val="FootnoteReference"/>
          <w:rFonts w:eastAsiaTheme="minorHAnsi"/>
        </w:rPr>
        <w:footnoteReference w:id="224"/>
      </w:r>
      <w:r w:rsidRPr="00407B89">
        <w:rPr>
          <w:rFonts w:eastAsiaTheme="minorHAnsi"/>
        </w:rPr>
        <w:t xml:space="preserve"> The offence carries a maximum penalty of 50 penalty units.</w:t>
      </w:r>
    </w:p>
    <w:p w:rsidR="006F5996" w:rsidRPr="00407B89" w:rsidRDefault="006F5996" w:rsidP="006F5996">
      <w:pPr>
        <w:pStyle w:val="Level1121"/>
        <w:numPr>
          <w:ilvl w:val="0"/>
          <w:numId w:val="21"/>
        </w:numPr>
      </w:pPr>
      <w:r w:rsidRPr="00407B89">
        <w:t xml:space="preserve">Subsection 13.3(3) of the </w:t>
      </w:r>
      <w:r w:rsidRPr="00407B89">
        <w:rPr>
          <w:i/>
        </w:rPr>
        <w:t>Criminal Code Act 1995</w:t>
      </w:r>
      <w:r w:rsidRPr="00407B89">
        <w:t xml:space="preserve"> provides that a defendant who wishes to rely on any exception, exemption, excuse, qualification or justification bears an evidential burden in relation to that matter. </w:t>
      </w:r>
    </w:p>
    <w:p w:rsidR="006F5996" w:rsidRPr="00407B89" w:rsidRDefault="006F5996" w:rsidP="006F5996">
      <w:pPr>
        <w:pStyle w:val="Level1121"/>
        <w:numPr>
          <w:ilvl w:val="0"/>
          <w:numId w:val="21"/>
        </w:numPr>
        <w:rPr>
          <w:rFonts w:eastAsiaTheme="minorHAnsi"/>
        </w:rPr>
      </w:pPr>
      <w:r w:rsidRPr="00407B89">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6F5996" w:rsidRPr="00407B89" w:rsidRDefault="006F5996" w:rsidP="006F5996">
      <w:pPr>
        <w:pStyle w:val="Level1121"/>
        <w:numPr>
          <w:ilvl w:val="0"/>
          <w:numId w:val="21"/>
        </w:numPr>
        <w:rPr>
          <w:rFonts w:eastAsiaTheme="minorHAnsi"/>
        </w:rPr>
      </w:pPr>
      <w:r w:rsidRPr="00407B89">
        <w:rPr>
          <w:rFonts w:eastAsiaTheme="minorHAnsi"/>
        </w:rPr>
        <w:t>While in this instance 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reversals of the evidential burden of proof in proposed subsections 29PA(6),</w:t>
      </w:r>
      <w:r w:rsidRPr="00407B89">
        <w:t xml:space="preserve"> 29PB(3), 29PC(3), 29PD(3) and 29PE(3)</w:t>
      </w:r>
      <w:r w:rsidRPr="00407B89">
        <w:rPr>
          <w:rFonts w:eastAsiaTheme="minorHAnsi"/>
        </w:rPr>
        <w:t xml:space="preserve"> have not been addressed in the explanatory materials.</w:t>
      </w:r>
    </w:p>
    <w:p w:rsidR="006F5996" w:rsidRPr="00407B89" w:rsidRDefault="006F5996" w:rsidP="006F5996">
      <w:pPr>
        <w:pStyle w:val="Level1121"/>
        <w:numPr>
          <w:ilvl w:val="0"/>
          <w:numId w:val="21"/>
        </w:numPr>
        <w:rPr>
          <w:rFonts w:eastAsiaTheme="minorHAnsi"/>
        </w:rPr>
      </w:pPr>
      <w:r w:rsidRPr="00407B89">
        <w:rPr>
          <w:rFonts w:eastAsiaTheme="minorHAnsi"/>
        </w:rPr>
        <w:lastRenderedPageBreak/>
        <w:t xml:space="preserve">In addition, in relation to both the obligation to attend an AMM and the requirement to answer questions at an AMM, it appears the matters contained in the defences to these broadly framed offences could be more appropriately framed as elements of the offence. The committee considers that the offence-creating provision should state the essential elements of the offence and a matter that is relevant to whether an offence has been committed should generally form part of the offence itself, and should not unnecessarily be included as an offence-specific defence. For example, the offence provision relating to the requirement to answers questions at an AMM could provide that it is a requirement to answer any questions that are relevant, that would not be in breach of the governing rules or any law, and that would not result in detriment to the members taken as a whole (rather than these matters being listed as exceptions to the offence). </w:t>
      </w:r>
    </w:p>
    <w:p w:rsidR="006F5996" w:rsidRPr="00407B89" w:rsidRDefault="006F5996" w:rsidP="006F5996">
      <w:pPr>
        <w:pStyle w:val="Level1121"/>
        <w:numPr>
          <w:ilvl w:val="0"/>
          <w:numId w:val="21"/>
        </w:numPr>
        <w:rPr>
          <w:rFonts w:eastAsiaTheme="minorHAnsi"/>
        </w:rPr>
      </w:pPr>
      <w:r w:rsidRPr="00407B89">
        <w:rPr>
          <w:rFonts w:eastAsiaTheme="minorHAnsi"/>
        </w:rPr>
        <w:t>In addition, the offence not to answer questions at an AMM</w:t>
      </w:r>
      <w:r w:rsidRPr="00407B89">
        <w:rPr>
          <w:rStyle w:val="FootnoteReference"/>
          <w:rFonts w:eastAsiaTheme="minorHAnsi"/>
        </w:rPr>
        <w:footnoteReference w:id="225"/>
      </w:r>
      <w:r w:rsidRPr="00407B89">
        <w:rPr>
          <w:rFonts w:eastAsiaTheme="minorHAnsi"/>
        </w:rPr>
        <w:t xml:space="preserve"> includes an offence-specific defence to provide that the requirement to answer questions does not apply in any circumstances prescribed by the regulations. The committee's view is that significant matters, such as exceptions to offence provisions, should be included in primary legislation unless a sound justification for the use of delegated legislation is provided. In this case, the explanatory memorandum does not explain why it is considered necessary to provide that the regulations may prescribe other exceptions to the offence relating to the obligation to answer questions. </w:t>
      </w:r>
    </w:p>
    <w:p w:rsidR="006F5996" w:rsidRPr="00407B89" w:rsidRDefault="006F5996" w:rsidP="006F5996">
      <w:pPr>
        <w:pStyle w:val="Level1121"/>
        <w:numPr>
          <w:ilvl w:val="0"/>
          <w:numId w:val="21"/>
        </w:numPr>
      </w:pPr>
      <w:r w:rsidRPr="00407B89">
        <w:t xml:space="preserve">The committee requests the Minister's advice as to the appropriateness of amending the bill to provide that the exceptions to these offences be included as elements of the offence, rather than as exceptions. </w:t>
      </w:r>
    </w:p>
    <w:p w:rsidR="006F5996" w:rsidRPr="00407B89" w:rsidRDefault="006F5996" w:rsidP="006F5996">
      <w:pPr>
        <w:pStyle w:val="Level1121"/>
        <w:numPr>
          <w:ilvl w:val="0"/>
          <w:numId w:val="21"/>
        </w:numPr>
      </w:pPr>
      <w:r w:rsidRPr="00407B89">
        <w:t xml:space="preserve">If this approach is not considered appropriate, the committee requests the Minister's advice as to why it is proposed to use offence-specific defences (which reverse the evidential burden of proof) in this instance. The committee's consideration of the appropriateness of a provision which reverses the burden of proof is assisted if it explicitly addresses relevant principles as set out in the </w:t>
      </w:r>
      <w:r w:rsidRPr="00407B89">
        <w:rPr>
          <w:i/>
        </w:rPr>
        <w:t>Guide to Framing Commonwealth Offences</w:t>
      </w:r>
      <w:r w:rsidRPr="00407B89">
        <w:t>.</w:t>
      </w:r>
      <w:r w:rsidRPr="00407B89">
        <w:rPr>
          <w:rStyle w:val="FootnoteReference"/>
        </w:rPr>
        <w:footnoteReference w:id="226"/>
      </w:r>
      <w:r w:rsidRPr="00407B89">
        <w:t xml:space="preserve"> </w:t>
      </w:r>
    </w:p>
    <w:p w:rsidR="006F5996" w:rsidRPr="00407B89" w:rsidRDefault="006F5996" w:rsidP="006F5996">
      <w:pPr>
        <w:pStyle w:val="Level1121"/>
        <w:numPr>
          <w:ilvl w:val="0"/>
          <w:numId w:val="21"/>
        </w:numPr>
      </w:pPr>
      <w:r w:rsidRPr="00407B89">
        <w:t xml:space="preserve">In addition, the committee also requests the Minister's advice as to why it is proposed to allow the regulations to </w:t>
      </w:r>
      <w:r w:rsidRPr="00407B89">
        <w:rPr>
          <w:rFonts w:eastAsiaTheme="minorHAnsi"/>
        </w:rPr>
        <w:t>prescribe other exceptions to the offence relating to the obligation to answer questions.</w:t>
      </w:r>
    </w:p>
    <w:p w:rsidR="006F5996" w:rsidRPr="00407B89" w:rsidRDefault="006F5996" w:rsidP="006F5996">
      <w:pPr>
        <w:pStyle w:val="Level112"/>
        <w:tabs>
          <w:tab w:val="clear" w:pos="850"/>
        </w:tabs>
        <w:rPr>
          <w:b/>
          <w:i/>
        </w:rPr>
      </w:pPr>
      <w:r w:rsidRPr="00407B89">
        <w:rPr>
          <w:b/>
          <w:i/>
        </w:rPr>
        <w:t>Minister's response</w:t>
      </w:r>
    </w:p>
    <w:p w:rsidR="006F5996" w:rsidRPr="00407B89" w:rsidRDefault="006F5996" w:rsidP="006F5996">
      <w:pPr>
        <w:pStyle w:val="Level112"/>
        <w:numPr>
          <w:ilvl w:val="0"/>
          <w:numId w:val="21"/>
        </w:numPr>
      </w:pPr>
      <w:r w:rsidRPr="00407B89">
        <w:t>The Minister advised:</w:t>
      </w:r>
    </w:p>
    <w:p w:rsidR="006F5996" w:rsidRPr="00407B89" w:rsidRDefault="006F5996" w:rsidP="006F5996">
      <w:pPr>
        <w:pStyle w:val="Quote"/>
      </w:pPr>
      <w:r w:rsidRPr="00407B89">
        <w:rPr>
          <w:lang w:eastAsia="en-AU"/>
        </w:rPr>
        <w:t>Schedule 7 to the Superannuation Measures Bill contains proposed subsections 29PA(6), 29PB(3), 29PC(3), 29PD(3) and 29PE(3).</w:t>
      </w:r>
    </w:p>
    <w:p w:rsidR="006F5996" w:rsidRPr="00407B89" w:rsidRDefault="006F5996" w:rsidP="006F5996">
      <w:pPr>
        <w:pStyle w:val="Quote"/>
      </w:pPr>
      <w:r w:rsidRPr="00407B89">
        <w:rPr>
          <w:lang w:eastAsia="en-AU"/>
        </w:rPr>
        <w:lastRenderedPageBreak/>
        <w:t>As noted by the Committee in its Digest, each of these subsections contain offence-specific defences to proposed offences of strict liability. In the case of subsection 29PA(6), the defence relates to the offence in proposed subsection 29PA(l) that applies to a director for not attending an annual members meeting (AMM) if they had been given prior notice of the AMM. Subsection 29PA(6) ensures that a director does not commit an offence for failing to attend an AMM if the other directors that attend would constitute a quorum of directors for a board of directors meeting.</w:t>
      </w:r>
    </w:p>
    <w:p w:rsidR="006F5996" w:rsidRPr="00407B89" w:rsidRDefault="006F5996" w:rsidP="006F5996">
      <w:pPr>
        <w:pStyle w:val="Quote"/>
      </w:pPr>
      <w:r w:rsidRPr="00407B89">
        <w:rPr>
          <w:lang w:eastAsia="en-AU"/>
        </w:rPr>
        <w:t>Framing this exception as a defence is appropriate because a director who does not attend an AMM should have a positive obligation in ensuring that a quorum of directors is present in their absence, given the aim of the Schedule is to ensure accountability of directors. Placing this onus on absent directors also reflects that it would be significantly more difficult for the prosecution to establish whether or not a director had taken steps to ensure that a sufficient number of directors were in attendance at the AMM. As also noted by the Committee in its Digest, subsections 29PB(3), 29PC(3), 29 PD(3) and 29PE(3) contain defences where there is a failure by an RSE licensee, an individual trustee, an auditor or an actuary to answer certain questions raised at an AMM in certain circumstances. The related offences for not answering these questions are contained in proposed subsections 29PB(2), 29PC(2), 29PD(2) and 29PE(2). These circumstances include situations where a question is not relevant, where answering the question would breach the governing rules of the RSE or a law, and where answering a question would cause detriment to the members of the RSE taken as a whole.</w:t>
      </w:r>
    </w:p>
    <w:p w:rsidR="006F5996" w:rsidRPr="00407B89" w:rsidRDefault="006F5996" w:rsidP="006F5996">
      <w:pPr>
        <w:pStyle w:val="Quote"/>
      </w:pPr>
      <w:r w:rsidRPr="00407B89">
        <w:rPr>
          <w:lang w:eastAsia="en-AU"/>
        </w:rPr>
        <w:t>A person who refuses to answer a question that is asked at an AMM should only do so where they have made a subjective and considered assessment that a particular circumstance applies. Framing these circumstances as offence-specific defences is appropriate because the person who refuses to answer a question is best placed to raise evidence about why the circumstances existed that justified them not answering the question. Requiring the prosecution to establish that a particular circumstance did not apply where a question was not answered would substantially undermine the efficacy of the requirement to answer questions as knowledge about things like the relevance of questions and potential determinant of members is far more likely to be established by the person who is asked a question at an AMM.</w:t>
      </w:r>
    </w:p>
    <w:p w:rsidR="006F5996" w:rsidRPr="00407B89" w:rsidRDefault="006F5996" w:rsidP="006F5996">
      <w:pPr>
        <w:pStyle w:val="Level112"/>
        <w:tabs>
          <w:tab w:val="clear" w:pos="850"/>
        </w:tabs>
        <w:rPr>
          <w:b/>
          <w:i/>
        </w:rPr>
      </w:pPr>
      <w:r w:rsidRPr="00407B89">
        <w:rPr>
          <w:b/>
          <w:i/>
        </w:rPr>
        <w:t>Committee comment</w:t>
      </w:r>
    </w:p>
    <w:p w:rsidR="006F5996" w:rsidRDefault="006F5996" w:rsidP="006F5996">
      <w:pPr>
        <w:pStyle w:val="Level112"/>
        <w:numPr>
          <w:ilvl w:val="0"/>
          <w:numId w:val="21"/>
        </w:numPr>
      </w:pPr>
      <w:r w:rsidRPr="00407B89">
        <w:t xml:space="preserve">The committee thanks the Minister for this response. </w:t>
      </w:r>
      <w:r>
        <w:t xml:space="preserve">The committee notes the Minister's advice that the offence-specific defence contained in proposed subsection 29PA(6) is appropriate because a director who does not attend an AMM should have a positive obligation to ensure a quorum of directors is present in their absence and placing the onus on absent directors reflects that it would be 'significantly more difficult for the prosecution to establish whether or not a director </w:t>
      </w:r>
      <w:r>
        <w:lastRenderedPageBreak/>
        <w:t>had taken steps to ensure that a sufficient number of directors were in attendance at the AMM.'</w:t>
      </w:r>
    </w:p>
    <w:p w:rsidR="006F5996" w:rsidRDefault="006F5996" w:rsidP="006F5996">
      <w:pPr>
        <w:pStyle w:val="Level112"/>
        <w:numPr>
          <w:ilvl w:val="0"/>
          <w:numId w:val="21"/>
        </w:numPr>
      </w:pPr>
      <w:r>
        <w:t>The committee also notes the Minister's advice that the offence-specific defences set out in proposed subsections 29PB(3), 29PC(3), 29PD(3) and 29PE(3) are appropriate because a person who refuses to answer a question at an AMM is 'best placed' to raise evidence about why the circumstances existed that justified them not answering the question. The committee further notes the Minister's advice that knowledge about things like the relevance of questions and potential detriment to members is far more likely to be established by the person who is asked a question at an AMM.</w:t>
      </w:r>
    </w:p>
    <w:p w:rsidR="006F5996" w:rsidRDefault="006F5996" w:rsidP="006F5996">
      <w:pPr>
        <w:pStyle w:val="Level112"/>
        <w:numPr>
          <w:ilvl w:val="0"/>
          <w:numId w:val="21"/>
        </w:numPr>
      </w:pPr>
      <w:r>
        <w:t xml:space="preserve">However, the committee remains of the view that these matters may be more appropriately framed as elements of the offence, rather than as offence-specific defences. </w:t>
      </w:r>
      <w:r w:rsidRPr="00407B89">
        <w:rPr>
          <w:rFonts w:eastAsiaTheme="minorHAnsi"/>
        </w:rPr>
        <w:t>The committee considers that the offence-creating provision should state the essential elements of the offence and a matter that is relevant to whether an offence has been committed should generally form part of the offence itself, and should not unnecessarily be included as an offence-specific defence.</w:t>
      </w:r>
      <w:r>
        <w:rPr>
          <w:rFonts w:eastAsiaTheme="minorHAnsi"/>
        </w:rPr>
        <w:t xml:space="preserve"> If it is intended that a director has a positive obligation to ensure a quorum of directors is present at an AMM, this should form an element of the offence rather than being left to a defence. </w:t>
      </w:r>
      <w:r>
        <w:t>It is also not clear to the committee on the basis of the advice that the matters set out in these defences would be considered peculiarly within the knowledge of the defendant, nor why they would be significantly more difficult or costly for the prosecution to disprove than for the defendant to establish.</w:t>
      </w:r>
    </w:p>
    <w:p w:rsidR="006F5996" w:rsidRDefault="006F5996" w:rsidP="006F5996">
      <w:pPr>
        <w:pStyle w:val="Level112"/>
        <w:numPr>
          <w:ilvl w:val="0"/>
          <w:numId w:val="21"/>
        </w:numPr>
      </w:pPr>
      <w:r>
        <w:t>The committee further notes that the Minister's response does not address the question of why it is considered necessary to allow the prescription, by regulation, of additional circumstances in which it would not be an offence not to answer questions at an AMM. The committee reiterates its view that exceptions to offence provisions are significant matters and should generally be included in primary legislation.</w:t>
      </w:r>
    </w:p>
    <w:p w:rsidR="006F5996" w:rsidRDefault="006F5996" w:rsidP="006F5996">
      <w:pPr>
        <w:pStyle w:val="Level112"/>
        <w:numPr>
          <w:ilvl w:val="0"/>
          <w:numId w:val="21"/>
        </w:numPr>
        <w:rPr>
          <w:b/>
        </w:rPr>
      </w:pPr>
      <w:r w:rsidRPr="00E40F40">
        <w:rPr>
          <w:b/>
        </w:rPr>
        <w:t xml:space="preserve">The committee draws its scrutiny concerns to the attention of Senators and leaves to the Senate as a whole the appropriateness of </w:t>
      </w:r>
      <w:r>
        <w:rPr>
          <w:b/>
        </w:rPr>
        <w:t>provisions that reverse the burden of proof and allow the creation of additional offence-specific defences in delegated legislation.</w:t>
      </w:r>
    </w:p>
    <w:p w:rsidR="006F5996" w:rsidRDefault="006F5996" w:rsidP="006F5996">
      <w:pPr>
        <w:pStyle w:val="Level112"/>
        <w:numPr>
          <w:ilvl w:val="0"/>
          <w:numId w:val="21"/>
        </w:numPr>
        <w:rPr>
          <w:b/>
        </w:rPr>
        <w:sectPr w:rsidR="006F5996" w:rsidSect="00194588">
          <w:headerReference w:type="even" r:id="rId195"/>
          <w:headerReference w:type="default" r:id="rId196"/>
          <w:footerReference w:type="even" r:id="rId197"/>
          <w:footerReference w:type="default" r:id="rId198"/>
          <w:headerReference w:type="first" r:id="rId199"/>
          <w:footerReference w:type="first" r:id="rId200"/>
          <w:pgSz w:w="11906" w:h="16838" w:code="9"/>
          <w:pgMar w:top="1440" w:right="1440" w:bottom="1202" w:left="1440" w:header="1134" w:footer="720" w:gutter="0"/>
          <w:cols w:space="720"/>
          <w:titlePg/>
        </w:sectPr>
      </w:pPr>
    </w:p>
    <w:p w:rsidR="006F5996" w:rsidRDefault="006F5996" w:rsidP="006F5996">
      <w:pPr>
        <w:sectPr w:rsidR="006F5996" w:rsidSect="006F5996">
          <w:type w:val="continuous"/>
          <w:pgSz w:w="11906" w:h="16838" w:code="9"/>
          <w:pgMar w:top="1440" w:right="1440" w:bottom="1202" w:left="1440" w:header="1134" w:footer="720" w:gutter="0"/>
          <w:cols w:space="720"/>
          <w:titlePg/>
        </w:sectPr>
      </w:pPr>
    </w:p>
    <w:p w:rsidR="006F5996" w:rsidRPr="00AB5675" w:rsidRDefault="006F5996" w:rsidP="006F5996">
      <w:pPr>
        <w:pStyle w:val="Heading1"/>
        <w:spacing w:after="240"/>
        <w:jc w:val="both"/>
        <w:rPr>
          <w:rFonts w:asciiTheme="minorHAnsi" w:hAnsiTheme="minorHAnsi"/>
          <w:szCs w:val="40"/>
        </w:rPr>
      </w:pPr>
      <w:r w:rsidRPr="00AB5675">
        <w:rPr>
          <w:rFonts w:asciiTheme="minorHAnsi" w:hAnsiTheme="minorHAnsi" w:cs="Arial"/>
          <w:szCs w:val="40"/>
        </w:rPr>
        <w:lastRenderedPageBreak/>
        <w:t>Treasury Laws Amendment (Putting Consumers First—Establishment of the Australian Financial Complaints Authority)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5996" w:rsidRPr="00AB5675" w:rsidTr="006F5996">
        <w:tc>
          <w:tcPr>
            <w:tcW w:w="2660" w:type="dxa"/>
            <w:tcBorders>
              <w:top w:val="single" w:sz="12" w:space="0" w:color="auto"/>
              <w:right w:val="single" w:sz="12" w:space="0" w:color="auto"/>
            </w:tcBorders>
          </w:tcPr>
          <w:p w:rsidR="006F5996" w:rsidRPr="00AB5675" w:rsidRDefault="006F5996" w:rsidP="00106C8B">
            <w:pPr>
              <w:rPr>
                <w:b/>
                <w:sz w:val="24"/>
                <w:szCs w:val="24"/>
              </w:rPr>
            </w:pPr>
            <w:r w:rsidRPr="00AB5675">
              <w:rPr>
                <w:b/>
                <w:sz w:val="24"/>
                <w:szCs w:val="24"/>
              </w:rPr>
              <w:t>Purpose</w:t>
            </w:r>
          </w:p>
        </w:tc>
        <w:tc>
          <w:tcPr>
            <w:tcW w:w="6582" w:type="dxa"/>
            <w:tcBorders>
              <w:top w:val="single" w:sz="12" w:space="0" w:color="auto"/>
              <w:left w:val="single" w:sz="12" w:space="0" w:color="auto"/>
            </w:tcBorders>
          </w:tcPr>
          <w:p w:rsidR="006F5996" w:rsidRPr="00AB5675" w:rsidRDefault="006F5996" w:rsidP="00106C8B">
            <w:pPr>
              <w:rPr>
                <w:sz w:val="24"/>
                <w:szCs w:val="24"/>
              </w:rPr>
            </w:pPr>
            <w:r w:rsidRPr="00AB5675">
              <w:rPr>
                <w:sz w:val="24"/>
                <w:szCs w:val="24"/>
              </w:rPr>
              <w:t xml:space="preserve">This bill seeks to amend </w:t>
            </w:r>
            <w:r w:rsidRPr="00AB5675">
              <w:rPr>
                <w:i/>
                <w:sz w:val="24"/>
                <w:szCs w:val="24"/>
              </w:rPr>
              <w:t xml:space="preserve">Corporations Act 2001 </w:t>
            </w:r>
            <w:r w:rsidRPr="00AB5675">
              <w:rPr>
                <w:sz w:val="24"/>
                <w:szCs w:val="24"/>
              </w:rPr>
              <w:t>and other related legislation to introduce a new external dispute resolution framework and an internal dispute resolution framework for the financial system</w:t>
            </w:r>
          </w:p>
        </w:tc>
      </w:tr>
      <w:tr w:rsidR="006F5996" w:rsidRPr="00AB5675" w:rsidTr="006F5996">
        <w:tc>
          <w:tcPr>
            <w:tcW w:w="2660" w:type="dxa"/>
            <w:tcBorders>
              <w:right w:val="single" w:sz="12" w:space="0" w:color="auto"/>
            </w:tcBorders>
          </w:tcPr>
          <w:p w:rsidR="006F5996" w:rsidRPr="00AB5675" w:rsidRDefault="006F5996" w:rsidP="00106C8B">
            <w:pPr>
              <w:rPr>
                <w:b/>
                <w:sz w:val="24"/>
                <w:szCs w:val="24"/>
              </w:rPr>
            </w:pPr>
            <w:r w:rsidRPr="00AB5675">
              <w:rPr>
                <w:b/>
                <w:sz w:val="24"/>
                <w:szCs w:val="24"/>
              </w:rPr>
              <w:t>Portfolio</w:t>
            </w:r>
          </w:p>
        </w:tc>
        <w:tc>
          <w:tcPr>
            <w:tcW w:w="6582" w:type="dxa"/>
            <w:tcBorders>
              <w:left w:val="single" w:sz="12" w:space="0" w:color="auto"/>
            </w:tcBorders>
          </w:tcPr>
          <w:p w:rsidR="006F5996" w:rsidRPr="00AB5675" w:rsidRDefault="006F5996" w:rsidP="00106C8B">
            <w:pPr>
              <w:rPr>
                <w:sz w:val="24"/>
                <w:szCs w:val="24"/>
              </w:rPr>
            </w:pPr>
            <w:r w:rsidRPr="00AB5675">
              <w:rPr>
                <w:sz w:val="24"/>
                <w:szCs w:val="24"/>
              </w:rPr>
              <w:t>Treasury</w:t>
            </w:r>
          </w:p>
        </w:tc>
      </w:tr>
      <w:tr w:rsidR="006F5996" w:rsidRPr="00AB5675" w:rsidTr="006F5996">
        <w:tc>
          <w:tcPr>
            <w:tcW w:w="2660" w:type="dxa"/>
            <w:tcBorders>
              <w:right w:val="single" w:sz="12" w:space="0" w:color="auto"/>
            </w:tcBorders>
          </w:tcPr>
          <w:p w:rsidR="006F5996" w:rsidRPr="00AB5675" w:rsidRDefault="006F5996" w:rsidP="00106C8B">
            <w:pPr>
              <w:rPr>
                <w:b/>
                <w:sz w:val="24"/>
                <w:szCs w:val="24"/>
              </w:rPr>
            </w:pPr>
            <w:r w:rsidRPr="00AB5675">
              <w:rPr>
                <w:b/>
                <w:sz w:val="24"/>
                <w:szCs w:val="24"/>
              </w:rPr>
              <w:t>Introduced</w:t>
            </w:r>
          </w:p>
        </w:tc>
        <w:tc>
          <w:tcPr>
            <w:tcW w:w="6582" w:type="dxa"/>
            <w:tcBorders>
              <w:left w:val="single" w:sz="12" w:space="0" w:color="auto"/>
            </w:tcBorders>
          </w:tcPr>
          <w:p w:rsidR="006F5996" w:rsidRPr="00AB5675" w:rsidRDefault="006F5996" w:rsidP="00106C8B">
            <w:pPr>
              <w:rPr>
                <w:sz w:val="24"/>
                <w:szCs w:val="24"/>
              </w:rPr>
            </w:pPr>
            <w:r w:rsidRPr="00AB5675">
              <w:rPr>
                <w:sz w:val="24"/>
                <w:szCs w:val="24"/>
              </w:rPr>
              <w:t>Senate on 14 September 2017</w:t>
            </w:r>
          </w:p>
        </w:tc>
      </w:tr>
      <w:tr w:rsidR="006F5996" w:rsidRPr="00AB5675" w:rsidTr="006F5996">
        <w:tc>
          <w:tcPr>
            <w:tcW w:w="2660" w:type="dxa"/>
            <w:tcBorders>
              <w:right w:val="single" w:sz="12" w:space="0" w:color="auto"/>
            </w:tcBorders>
          </w:tcPr>
          <w:p w:rsidR="006F5996" w:rsidRPr="00AB5675" w:rsidRDefault="006F5996" w:rsidP="00106C8B">
            <w:pPr>
              <w:rPr>
                <w:b/>
                <w:sz w:val="24"/>
                <w:szCs w:val="24"/>
              </w:rPr>
            </w:pPr>
            <w:r w:rsidRPr="00AB5675">
              <w:rPr>
                <w:b/>
                <w:sz w:val="24"/>
                <w:szCs w:val="24"/>
              </w:rPr>
              <w:t>Bill status</w:t>
            </w:r>
          </w:p>
        </w:tc>
        <w:tc>
          <w:tcPr>
            <w:tcW w:w="6582" w:type="dxa"/>
            <w:tcBorders>
              <w:left w:val="single" w:sz="12" w:space="0" w:color="auto"/>
            </w:tcBorders>
          </w:tcPr>
          <w:p w:rsidR="006F5996" w:rsidRPr="00AB5675" w:rsidRDefault="006F5996" w:rsidP="00106C8B">
            <w:pPr>
              <w:rPr>
                <w:sz w:val="24"/>
                <w:szCs w:val="24"/>
              </w:rPr>
            </w:pPr>
            <w:r w:rsidRPr="00AB5675">
              <w:rPr>
                <w:sz w:val="24"/>
                <w:szCs w:val="24"/>
              </w:rPr>
              <w:t>Before the Senate</w:t>
            </w:r>
          </w:p>
        </w:tc>
      </w:tr>
      <w:tr w:rsidR="006F5996" w:rsidRPr="00AB5675" w:rsidTr="006F5996">
        <w:tc>
          <w:tcPr>
            <w:tcW w:w="2660" w:type="dxa"/>
            <w:tcBorders>
              <w:bottom w:val="single" w:sz="12" w:space="0" w:color="auto"/>
              <w:right w:val="single" w:sz="12" w:space="0" w:color="auto"/>
            </w:tcBorders>
          </w:tcPr>
          <w:p w:rsidR="006F5996" w:rsidRPr="00AB5675" w:rsidRDefault="006F5996" w:rsidP="00106C8B">
            <w:pPr>
              <w:rPr>
                <w:b/>
                <w:sz w:val="24"/>
                <w:szCs w:val="24"/>
              </w:rPr>
            </w:pPr>
            <w:r w:rsidRPr="00AB5675">
              <w:rPr>
                <w:b/>
                <w:sz w:val="24"/>
                <w:szCs w:val="24"/>
              </w:rPr>
              <w:t>Scrutiny principles</w:t>
            </w:r>
          </w:p>
        </w:tc>
        <w:tc>
          <w:tcPr>
            <w:tcW w:w="6582" w:type="dxa"/>
            <w:tcBorders>
              <w:left w:val="single" w:sz="12" w:space="0" w:color="auto"/>
              <w:bottom w:val="single" w:sz="12" w:space="0" w:color="auto"/>
            </w:tcBorders>
          </w:tcPr>
          <w:p w:rsidR="006F5996" w:rsidRPr="00AB5675" w:rsidRDefault="006F5996" w:rsidP="00106C8B">
            <w:pPr>
              <w:rPr>
                <w:sz w:val="24"/>
                <w:szCs w:val="24"/>
              </w:rPr>
            </w:pPr>
            <w:r w:rsidRPr="00AB5675">
              <w:rPr>
                <w:sz w:val="24"/>
                <w:szCs w:val="24"/>
              </w:rPr>
              <w:t>Standing Order 24(1)(a)(i), (iii) and (iv)</w:t>
            </w:r>
          </w:p>
        </w:tc>
      </w:tr>
    </w:tbl>
    <w:p w:rsidR="006F5996" w:rsidRPr="00AB5675" w:rsidRDefault="006F5996" w:rsidP="006F5996">
      <w:pPr>
        <w:pStyle w:val="Level113"/>
        <w:numPr>
          <w:ilvl w:val="0"/>
          <w:numId w:val="21"/>
        </w:numPr>
        <w:spacing w:before="240"/>
      </w:pPr>
      <w:r w:rsidRPr="00AB5675">
        <w:t xml:space="preserve">The committee dealt with this bill in </w:t>
      </w:r>
      <w:r w:rsidRPr="00AB5675">
        <w:rPr>
          <w:i/>
        </w:rPr>
        <w:t>Scrutiny Digest No. 12 of 2017</w:t>
      </w:r>
      <w:r w:rsidRPr="00AB5675">
        <w:t>. The Minister responded to the committee's comments in a letter dated 6 November 2017. Set out below are extracts from the committee's initial scrutiny of the bill and the Minister's response followed by the committee's comments on the response. A copy of the letter is available on the committee's website.</w:t>
      </w:r>
      <w:r w:rsidRPr="00AB5675">
        <w:rPr>
          <w:rStyle w:val="FootnoteReference"/>
        </w:rPr>
        <w:footnoteReference w:id="227"/>
      </w:r>
    </w:p>
    <w:p w:rsidR="006F5996" w:rsidRPr="00AB5675" w:rsidRDefault="006F5996" w:rsidP="006F5996">
      <w:pPr>
        <w:pStyle w:val="Heading3"/>
        <w:spacing w:before="240"/>
      </w:pPr>
      <w:r w:rsidRPr="00AB5675">
        <w:t>Delegated legislation not subject to disallowance</w:t>
      </w:r>
      <w:r w:rsidRPr="00AB5675">
        <w:rPr>
          <w:rStyle w:val="FootnoteReference"/>
          <w:b w:val="0"/>
        </w:rPr>
        <w:footnoteReference w:id="228"/>
      </w:r>
    </w:p>
    <w:p w:rsidR="006F5996" w:rsidRPr="00AB5675" w:rsidRDefault="006F5996" w:rsidP="006F5996">
      <w:pPr>
        <w:rPr>
          <w:b/>
          <w:i/>
        </w:rPr>
      </w:pPr>
      <w:r w:rsidRPr="00AB5675">
        <w:rPr>
          <w:b/>
          <w:i/>
        </w:rPr>
        <w:t>Initial scrutiny – extract</w:t>
      </w:r>
    </w:p>
    <w:p w:rsidR="006F5996" w:rsidRPr="00AB5675" w:rsidRDefault="006F5996" w:rsidP="006F5996">
      <w:pPr>
        <w:pStyle w:val="Level1131"/>
        <w:numPr>
          <w:ilvl w:val="0"/>
          <w:numId w:val="21"/>
        </w:numPr>
      </w:pPr>
      <w:r w:rsidRPr="00AB5675">
        <w:t>Proposed subsection 1050(1) provides that the Minister may authorise an external dispute resolution (EDR) scheme, by notifiable instrument, if the Minister is satisfied that the scheme will meet certain mandatory requirements under proposed section 1051. Once an EDR scheme has been authorised, the operator of the authorised EDR scheme will be known as the Australian Financial Complaints Authority (AFCA) and the authorised EDR scheme will be known as the AFCA scheme. Proposed paragraph 1050(5)(b) provides that the Minister may specify, vary or revoke conditions relating to the authorisation. In addition, proposed subparagraph 1051(5)(a)(i) provides that the operator of the EDR scheme (i.e. AFCA) must ensure that any conditions specified under proposed paragraph 1050(5)(b) are complied with.</w:t>
      </w:r>
    </w:p>
    <w:p w:rsidR="006F5996" w:rsidRPr="00AB5675" w:rsidRDefault="006F5996" w:rsidP="006F5996">
      <w:pPr>
        <w:pStyle w:val="Level1131"/>
        <w:numPr>
          <w:ilvl w:val="0"/>
          <w:numId w:val="21"/>
        </w:numPr>
      </w:pPr>
      <w:r w:rsidRPr="00AB5675">
        <w:lastRenderedPageBreak/>
        <w:t>The committee notes that unlike legislative instruments, notifiable instruments are not subject to parliamentary disallowance or scrutiny by the Senate Standing Committee on Regulations and Ordinances, nor are they subject to sunsetting after 10 years.</w:t>
      </w:r>
      <w:r w:rsidRPr="00AB5675">
        <w:rPr>
          <w:rStyle w:val="FootnoteReference"/>
        </w:rPr>
        <w:footnoteReference w:id="229"/>
      </w:r>
      <w:r w:rsidRPr="00AB5675">
        <w:t xml:space="preserve"> There is no detail in the explanatory memorandum as to why it is proposed that the authorisation of the scheme, and the specification of conditions relating to the authorisation, is to be done by notifiable instrument, rather than legislative instrument. There is also no detail as to the type of conditions it is envisaged may be specified under this provision.</w:t>
      </w:r>
    </w:p>
    <w:p w:rsidR="006F5996" w:rsidRPr="00AB5675" w:rsidRDefault="006F5996" w:rsidP="006F5996">
      <w:pPr>
        <w:pStyle w:val="Level1131"/>
        <w:numPr>
          <w:ilvl w:val="0"/>
          <w:numId w:val="21"/>
        </w:numPr>
      </w:pPr>
      <w:r w:rsidRPr="00AB5675">
        <w:t xml:space="preserve">The committee therefore requests the Minister's advice as to why it is proposed that the authorisation of the external dispute resolution scheme, and the specification of conditions relating to the authorisation, will not be subject to parliamentary disallowance. The committee also requests advice as </w:t>
      </w:r>
      <w:bookmarkStart w:id="25" w:name="OLE_LINK11"/>
      <w:r w:rsidRPr="00AB5675">
        <w:t>to the type of conditions it is envisaged may be specified under this provision</w:t>
      </w:r>
      <w:bookmarkEnd w:id="25"/>
      <w:r w:rsidRPr="00AB5675">
        <w:t>.</w:t>
      </w:r>
    </w:p>
    <w:p w:rsidR="006F5996" w:rsidRPr="00AB5675" w:rsidRDefault="006F5996" w:rsidP="006F5996">
      <w:pPr>
        <w:pStyle w:val="Level113"/>
        <w:tabs>
          <w:tab w:val="clear" w:pos="850"/>
        </w:tabs>
        <w:rPr>
          <w:b/>
          <w:i/>
        </w:rPr>
      </w:pPr>
      <w:r w:rsidRPr="00AB5675">
        <w:rPr>
          <w:b/>
          <w:i/>
        </w:rPr>
        <w:t>Minister's response</w:t>
      </w:r>
    </w:p>
    <w:p w:rsidR="006F5996" w:rsidRPr="00AB5675" w:rsidRDefault="006F5996" w:rsidP="006F5996">
      <w:pPr>
        <w:pStyle w:val="Level113"/>
        <w:numPr>
          <w:ilvl w:val="0"/>
          <w:numId w:val="21"/>
        </w:numPr>
      </w:pPr>
      <w:r w:rsidRPr="00AB5675">
        <w:t>The Minister advised:</w:t>
      </w:r>
    </w:p>
    <w:p w:rsidR="006F5996" w:rsidRPr="00AB5675" w:rsidRDefault="006F5996" w:rsidP="006F5996">
      <w:pPr>
        <w:pStyle w:val="Quote"/>
      </w:pPr>
      <w:r w:rsidRPr="00AB5675">
        <w:rPr>
          <w:lang w:eastAsia="en-AU"/>
        </w:rPr>
        <w:t>The Committee has sought further information about why the authorisation of the EDR scheme is not disallowable. The Ministerial power to authorise an EDR scheme does not involve the exercise of a power that is legislative in character because it does not determine or alter the content of a law (rather, the authorisation will merely determine the circumstances in which the relevant law will apply). Accordingly, the exercise of that power should not be disallowable.</w:t>
      </w:r>
    </w:p>
    <w:p w:rsidR="006F5996" w:rsidRPr="00AB5675" w:rsidRDefault="006F5996" w:rsidP="006F5996">
      <w:pPr>
        <w:pStyle w:val="Quote"/>
        <w:rPr>
          <w:szCs w:val="24"/>
          <w:lang w:eastAsia="en-AU"/>
        </w:rPr>
      </w:pPr>
      <w:r w:rsidRPr="00AB5675">
        <w:rPr>
          <w:szCs w:val="24"/>
          <w:lang w:eastAsia="en-AU"/>
        </w:rPr>
        <w:t>We note that the authorisation is a notifiable instrument which will be listed on the Federal Register of Legislation and provide members of the public with appropriate access to a copy of the instrument.</w:t>
      </w:r>
    </w:p>
    <w:p w:rsidR="006F5996" w:rsidRPr="00AB5675" w:rsidRDefault="006F5996" w:rsidP="006F5996">
      <w:pPr>
        <w:pStyle w:val="Quote"/>
        <w:rPr>
          <w:szCs w:val="24"/>
        </w:rPr>
      </w:pPr>
      <w:r w:rsidRPr="00AB5675">
        <w:rPr>
          <w:szCs w:val="24"/>
          <w:lang w:eastAsia="en-AU"/>
        </w:rPr>
        <w:t>The Committee also seeks further information about the types of conditions that it is envisaged may be specified under the authorisation. The ability to set conditions will allow the Government to ensure that AFCA is accountable to both consumers and member firms, for example by specifying the frequency of independent reviews of the scheme' s operations and procedures, or by requiring AFCA to report to the Government about changes AFCA makes to its membership fees.</w:t>
      </w:r>
    </w:p>
    <w:p w:rsidR="006F5996" w:rsidRPr="00AB5675" w:rsidRDefault="006F5996" w:rsidP="006F5996">
      <w:pPr>
        <w:pStyle w:val="Level113"/>
        <w:tabs>
          <w:tab w:val="clear" w:pos="850"/>
        </w:tabs>
        <w:rPr>
          <w:b/>
          <w:i/>
        </w:rPr>
      </w:pPr>
      <w:r w:rsidRPr="00AB5675">
        <w:rPr>
          <w:b/>
          <w:i/>
        </w:rPr>
        <w:t>Committee comment</w:t>
      </w:r>
    </w:p>
    <w:p w:rsidR="006F5996" w:rsidRPr="00AB5675" w:rsidRDefault="006F5996" w:rsidP="006F5996">
      <w:pPr>
        <w:pStyle w:val="Level113"/>
        <w:numPr>
          <w:ilvl w:val="0"/>
          <w:numId w:val="21"/>
        </w:numPr>
      </w:pPr>
      <w:r w:rsidRPr="00AB5675">
        <w:t xml:space="preserve">The committee thanks the Minister for this response. The committee notes the Minister's advice that the ministerial power to authorise the external dispute resolution (EDR) scheme should not be disallowable because it does not involve the exercise of a power that is legislative in character—that is, it determines the circumstances in which the relevant law will apply but does not determine or alter the content of the law. The committee also notes the Minister's advice that the </w:t>
      </w:r>
      <w:r w:rsidRPr="00AB5675">
        <w:lastRenderedPageBreak/>
        <w:t>power to specify conditions in relation to the authorisation of an EDR may be used to set the frequency of independent reviews of the scheme or require AFCA to report on changes to its membership fees.</w:t>
      </w:r>
    </w:p>
    <w:p w:rsidR="006F5996" w:rsidRPr="00AB5675" w:rsidRDefault="006F5996" w:rsidP="006F5996">
      <w:pPr>
        <w:pStyle w:val="Level113"/>
        <w:numPr>
          <w:ilvl w:val="0"/>
          <w:numId w:val="21"/>
        </w:numPr>
      </w:pPr>
      <w:r w:rsidRPr="00AB5675">
        <w:t>The committee notes that the distinction between legislative and administrative decisions is not always clear and can be difficult to draw. However, the committee notes that the authorisation decision, in combination with the decision to specify conditions, appears to have consequences for how the scheme, which has legislative backing, will work in practice. To the extent that conditions will establish accountability requirements for a scheme for external dispute resolution, which is part of a broader framework of public regulation, such conditions appear to be accountability requirements which may be considered to have a legislative character. The committee therefore remains concerned that the Parliament will have insufficient oversight of important policy considerations relating to the operation of the EDR scheme, given that its authorisation and the specification of conditions will not be subject to disallowance.</w:t>
      </w:r>
    </w:p>
    <w:p w:rsidR="006F5996" w:rsidRPr="00AB5675" w:rsidRDefault="006F5996" w:rsidP="006F5996">
      <w:pPr>
        <w:pStyle w:val="Level113"/>
        <w:numPr>
          <w:ilvl w:val="0"/>
          <w:numId w:val="21"/>
        </w:numPr>
        <w:rPr>
          <w:b/>
        </w:rPr>
      </w:pPr>
      <w:r w:rsidRPr="00AB5675">
        <w:rPr>
          <w:b/>
        </w:rPr>
        <w:t>The committee draws its scrutiny concerns to the attention of Senators and leaves to the Senate as a whole the appropriateness of allowing the authorisation of, and specification of conditions relating to, the external dispute resolution scheme to occur by notifiable instrument (which is not subject to disallowance).</w:t>
      </w:r>
    </w:p>
    <w:p w:rsidR="006F5996" w:rsidRPr="00AB5675" w:rsidRDefault="006F5996" w:rsidP="006F5996">
      <w:pPr>
        <w:spacing w:after="240"/>
        <w:ind w:left="2268" w:right="2223"/>
      </w:pPr>
      <w:r>
        <w:pict>
          <v:rect id="_x0000_i1035" style="width:0;height:1.5pt" o:hralign="center" o:hrstd="t" o:hr="t" fillcolor="#a0a0a0" stroked="f"/>
        </w:pict>
      </w:r>
    </w:p>
    <w:p w:rsidR="006F5996" w:rsidRPr="00AB5675" w:rsidRDefault="006F5996" w:rsidP="006F5996">
      <w:pPr>
        <w:pStyle w:val="Heading3"/>
        <w:spacing w:before="240"/>
      </w:pPr>
      <w:r w:rsidRPr="00AB5675">
        <w:t>Strict liability</w:t>
      </w:r>
      <w:r w:rsidRPr="00AB5675">
        <w:rPr>
          <w:rStyle w:val="FootnoteReference"/>
          <w:b w:val="0"/>
        </w:rPr>
        <w:footnoteReference w:id="230"/>
      </w:r>
    </w:p>
    <w:p w:rsidR="006F5996" w:rsidRPr="00AB5675" w:rsidRDefault="006F5996" w:rsidP="006F5996">
      <w:pPr>
        <w:rPr>
          <w:b/>
          <w:i/>
        </w:rPr>
      </w:pPr>
      <w:r w:rsidRPr="00AB5675">
        <w:rPr>
          <w:b/>
          <w:i/>
        </w:rPr>
        <w:t>Initial scrutiny – extract</w:t>
      </w:r>
    </w:p>
    <w:p w:rsidR="006F5996" w:rsidRPr="00AB5675" w:rsidRDefault="006F5996" w:rsidP="006F5996">
      <w:pPr>
        <w:pStyle w:val="Level1131"/>
        <w:numPr>
          <w:ilvl w:val="0"/>
          <w:numId w:val="21"/>
        </w:numPr>
      </w:pPr>
      <w:r w:rsidRPr="00AB5675">
        <w:t>Proposed section 1054A provides the Australian Financial Complaints Authority (AFCA) with the ability to obtain certain information and documents that are relevant to a superannuation complaint. Proposed subsection 1054A(4) makes it an offence of strict liability if a person fails to comply with a requirement in the written notice given by AFCA. The offence is subject to a penalty of 30 penalty units.</w:t>
      </w:r>
    </w:p>
    <w:p w:rsidR="006F5996" w:rsidRPr="00AB5675" w:rsidRDefault="006F5996" w:rsidP="006F5996">
      <w:pPr>
        <w:pStyle w:val="Level1131"/>
        <w:numPr>
          <w:ilvl w:val="0"/>
          <w:numId w:val="21"/>
        </w:numPr>
      </w:pPr>
      <w:r w:rsidRPr="00AB5675">
        <w:t>As it is proposed that AFCA will have a number of statutory powers that can be used to compulsorily obtain information in the case of a superannuation complaint, secrecy provisions in proposed section 1058 make it an offence to disclose or make records of information, or produce or permit access to documents, acquired by an AFCA staff member under AFCA's statutory powers in connection with a superannuation complaint. Proposed subsection 1058(2) makes it an offence of strict liability if an AFCA staff member fails to comply with the secrecy provisions and is subject to a penalty of 30 penalty units.</w:t>
      </w:r>
    </w:p>
    <w:p w:rsidR="006F5996" w:rsidRPr="00AB5675" w:rsidRDefault="006F5996" w:rsidP="006F5996">
      <w:pPr>
        <w:pStyle w:val="Level1131"/>
        <w:numPr>
          <w:ilvl w:val="0"/>
          <w:numId w:val="21"/>
        </w:numPr>
      </w:pPr>
      <w:r w:rsidRPr="00AB5675">
        <w:lastRenderedPageBreak/>
        <w:t>In both instances, the explanatory memorandum provides no justification as to why the offences are subject to strict liability.</w:t>
      </w:r>
    </w:p>
    <w:p w:rsidR="006F5996" w:rsidRPr="00AB5675" w:rsidRDefault="006F5996" w:rsidP="006F5996">
      <w:pPr>
        <w:pStyle w:val="Level1131"/>
        <w:numPr>
          <w:ilvl w:val="0"/>
          <w:numId w:val="21"/>
        </w:numPr>
      </w:pPr>
      <w:r w:rsidRPr="00AB5675">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AB5675">
        <w:rPr>
          <w:i/>
        </w:rPr>
        <w:t>Guide to Framing Commonwealth Offences</w:t>
      </w:r>
      <w:r w:rsidRPr="00AB5675">
        <w:t>.</w:t>
      </w:r>
      <w:r w:rsidRPr="00AB5675">
        <w:rPr>
          <w:rStyle w:val="FootnoteReference"/>
        </w:rPr>
        <w:footnoteReference w:id="231"/>
      </w:r>
    </w:p>
    <w:p w:rsidR="006F5996" w:rsidRPr="00AB5675" w:rsidRDefault="006F5996" w:rsidP="006F5996">
      <w:pPr>
        <w:pStyle w:val="Level1131"/>
        <w:numPr>
          <w:ilvl w:val="0"/>
          <w:numId w:val="21"/>
        </w:numPr>
      </w:pPr>
      <w:r w:rsidRPr="00AB5675">
        <w:t xml:space="preserve">The committee requests a detailed justification from the Minister for each proposed strict liability offence with reference to the principles set out in the </w:t>
      </w:r>
      <w:r w:rsidRPr="00AB5675">
        <w:rPr>
          <w:i/>
        </w:rPr>
        <w:t>Guide to Framing Commonwealth Offences</w:t>
      </w:r>
      <w:r w:rsidRPr="00AB5675">
        <w:t>.</w:t>
      </w:r>
      <w:r w:rsidRPr="00AB5675">
        <w:rPr>
          <w:rStyle w:val="FootnoteReference"/>
        </w:rPr>
        <w:footnoteReference w:id="232"/>
      </w:r>
    </w:p>
    <w:p w:rsidR="006F5996" w:rsidRPr="00AB5675" w:rsidRDefault="006F5996" w:rsidP="006F5996">
      <w:pPr>
        <w:pStyle w:val="Level113"/>
        <w:tabs>
          <w:tab w:val="clear" w:pos="850"/>
        </w:tabs>
        <w:rPr>
          <w:b/>
          <w:i/>
        </w:rPr>
      </w:pPr>
      <w:r w:rsidRPr="00AB5675">
        <w:rPr>
          <w:b/>
          <w:i/>
        </w:rPr>
        <w:t>Minister's response</w:t>
      </w:r>
    </w:p>
    <w:p w:rsidR="006F5996" w:rsidRPr="00AB5675" w:rsidRDefault="006F5996" w:rsidP="006F5996">
      <w:pPr>
        <w:pStyle w:val="Level113"/>
        <w:numPr>
          <w:ilvl w:val="0"/>
          <w:numId w:val="21"/>
        </w:numPr>
      </w:pPr>
      <w:r w:rsidRPr="00AB5675">
        <w:t>The Minister advised:</w:t>
      </w:r>
    </w:p>
    <w:p w:rsidR="006F5996" w:rsidRPr="00AB5675" w:rsidRDefault="006F5996" w:rsidP="006F5996">
      <w:pPr>
        <w:pStyle w:val="Quote"/>
      </w:pPr>
      <w:r w:rsidRPr="00AB5675">
        <w:rPr>
          <w:lang w:eastAsia="en-AU"/>
        </w:rPr>
        <w:t>The Committee has sought further information about the strict liability offences contained in the Bill.</w:t>
      </w:r>
    </w:p>
    <w:p w:rsidR="006F5996" w:rsidRPr="00AB5675" w:rsidRDefault="006F5996" w:rsidP="006F5996">
      <w:pPr>
        <w:pStyle w:val="Quote"/>
        <w:rPr>
          <w:i/>
          <w:u w:val="single"/>
          <w:lang w:eastAsia="en-AU"/>
        </w:rPr>
      </w:pPr>
      <w:r w:rsidRPr="00AB5675">
        <w:rPr>
          <w:i/>
          <w:u w:val="single"/>
          <w:lang w:eastAsia="en-AU"/>
        </w:rPr>
        <w:t>General comments</w:t>
      </w:r>
    </w:p>
    <w:p w:rsidR="006F5996" w:rsidRPr="00AB5675" w:rsidRDefault="006F5996" w:rsidP="006F5996">
      <w:pPr>
        <w:pStyle w:val="Quote"/>
        <w:rPr>
          <w:lang w:eastAsia="en-AU"/>
        </w:rPr>
      </w:pPr>
      <w:r w:rsidRPr="00AB5675">
        <w:rPr>
          <w:lang w:eastAsia="en-AU"/>
        </w:rPr>
        <w:t>The Bill has two strict liability offences. Under proposed section 1054A, AFCA may give written notice to a person which requires that person to give information or documents to AFCA. A person who fails to comply with AFCA's direction will commit a strict liability offence. In addition, under proposed section 1058, AFCA staff members will be required to comply with secrecy obligations. An AFCA staff member who fails to comply with these obligations will commit a strict liability offence. Both offences attract a maximum penalty of up to 30 penalty units for an individual and up to 150 penalty units for a body corporate.</w:t>
      </w:r>
    </w:p>
    <w:p w:rsidR="006F5996" w:rsidRPr="00AB5675" w:rsidRDefault="006F5996" w:rsidP="006F5996">
      <w:pPr>
        <w:pStyle w:val="Quote"/>
      </w:pPr>
      <w:r w:rsidRPr="00AB5675">
        <w:rPr>
          <w:lang w:eastAsia="en-AU"/>
        </w:rPr>
        <w:t>We note that the penalties comply with the requirements of the Guide because:</w:t>
      </w:r>
    </w:p>
    <w:p w:rsidR="006F5996" w:rsidRPr="00AB5675" w:rsidRDefault="006F5996" w:rsidP="006F5996">
      <w:pPr>
        <w:pStyle w:val="Bullet28"/>
        <w:numPr>
          <w:ilvl w:val="0"/>
          <w:numId w:val="4"/>
        </w:numPr>
        <w:tabs>
          <w:tab w:val="clear" w:pos="1134"/>
        </w:tabs>
        <w:ind w:left="1418" w:right="804"/>
        <w:rPr>
          <w:sz w:val="24"/>
          <w:szCs w:val="24"/>
          <w:lang w:eastAsia="en-AU"/>
        </w:rPr>
      </w:pPr>
      <w:r w:rsidRPr="00AB5675">
        <w:rPr>
          <w:sz w:val="24"/>
          <w:szCs w:val="24"/>
          <w:lang w:eastAsia="en-AU"/>
        </w:rPr>
        <w:t>the offences are not punishable by imprisonment;</w:t>
      </w:r>
    </w:p>
    <w:p w:rsidR="006F5996" w:rsidRPr="00AB5675" w:rsidRDefault="006F5996" w:rsidP="006F5996">
      <w:pPr>
        <w:pStyle w:val="Bullet28"/>
        <w:numPr>
          <w:ilvl w:val="0"/>
          <w:numId w:val="4"/>
        </w:numPr>
        <w:tabs>
          <w:tab w:val="clear" w:pos="1134"/>
        </w:tabs>
        <w:ind w:left="1418" w:right="804"/>
        <w:rPr>
          <w:sz w:val="24"/>
          <w:szCs w:val="24"/>
          <w:lang w:eastAsia="en-AU"/>
        </w:rPr>
      </w:pPr>
      <w:r w:rsidRPr="00AB5675">
        <w:rPr>
          <w:sz w:val="24"/>
          <w:szCs w:val="24"/>
          <w:lang w:eastAsia="en-AU"/>
        </w:rPr>
        <w:lastRenderedPageBreak/>
        <w:t>the maximum penalties are below the maximum allowable for strict liability offences (the Guide provides that a strict liability offence should be punishable by a maximum of 60 penalty units for individuals and 300 penalty units for body corporates); and</w:t>
      </w:r>
    </w:p>
    <w:p w:rsidR="006F5996" w:rsidRPr="00AB5675" w:rsidRDefault="006F5996" w:rsidP="006F5996">
      <w:pPr>
        <w:pStyle w:val="Bullet28"/>
        <w:numPr>
          <w:ilvl w:val="0"/>
          <w:numId w:val="4"/>
        </w:numPr>
        <w:tabs>
          <w:tab w:val="clear" w:pos="1134"/>
        </w:tabs>
        <w:ind w:left="1418" w:right="804"/>
        <w:rPr>
          <w:sz w:val="24"/>
          <w:szCs w:val="24"/>
        </w:rPr>
      </w:pPr>
      <w:r w:rsidRPr="00AB5675">
        <w:rPr>
          <w:sz w:val="24"/>
          <w:szCs w:val="24"/>
          <w:lang w:eastAsia="en-AU"/>
        </w:rPr>
        <w:t>the offences are likely to significantly enhance the effectiveness of the enforcement regime by supporting AFCA's ability to effectively obtain information required to resolve a superannuation complaint, as well as deter conduct involving the inappropriate disclosure of confidential or personal information.</w:t>
      </w:r>
    </w:p>
    <w:p w:rsidR="006F5996" w:rsidRPr="00AB5675" w:rsidRDefault="006F5996" w:rsidP="006F5996">
      <w:pPr>
        <w:pStyle w:val="Quote"/>
        <w:rPr>
          <w:i/>
          <w:u w:val="single"/>
          <w:lang w:eastAsia="en-AU"/>
        </w:rPr>
      </w:pPr>
      <w:r w:rsidRPr="00AB5675">
        <w:rPr>
          <w:i/>
          <w:u w:val="single"/>
          <w:lang w:eastAsia="en-AU"/>
        </w:rPr>
        <w:t>Further comment - section 1054A (offence relating to AFCA's information gathering power)</w:t>
      </w:r>
    </w:p>
    <w:p w:rsidR="006F5996" w:rsidRPr="00AB5675" w:rsidRDefault="006F5996" w:rsidP="006F5996">
      <w:pPr>
        <w:pStyle w:val="Quote"/>
        <w:rPr>
          <w:lang w:eastAsia="en-AU"/>
        </w:rPr>
      </w:pPr>
      <w:r w:rsidRPr="00AB5675">
        <w:rPr>
          <w:lang w:eastAsia="en-AU"/>
        </w:rPr>
        <w:t>A strict liability offence removes the requirement for a fault element to be proven before a person can be found guilty of an offence. This is considered appropriate in this instance as failure to comply with AFCA's requests for information would undermine the integrity of the regulatory regime by impacting AFCA's ability to effectively obtain information required to resolve a superannuation complaint.</w:t>
      </w:r>
    </w:p>
    <w:p w:rsidR="006F5996" w:rsidRPr="00AB5675" w:rsidRDefault="006F5996" w:rsidP="006F5996">
      <w:pPr>
        <w:pStyle w:val="Quote"/>
        <w:rPr>
          <w:lang w:eastAsia="en-AU"/>
        </w:rPr>
      </w:pPr>
      <w:r w:rsidRPr="00AB5675">
        <w:rPr>
          <w:lang w:eastAsia="en-AU"/>
        </w:rPr>
        <w:t>We note that the offence supports the efficacy of AFCA's powers. Professor Ian Ramsay considered these powers in his 'Review of the Financial System External Dispute Resolution Framework' and determined that the powers were critical to support the investigation and resolution of superannuation complaints. We also note that the Superannuation (Resolution of Complaints) Act 1993 (which will be repealed by this Bill) contains a comparable strict liability offence in relation to non-compliance with the Superannuation Complaint Tribunal's information gathering powers.</w:t>
      </w:r>
    </w:p>
    <w:p w:rsidR="006F5996" w:rsidRPr="00AB5675" w:rsidRDefault="006F5996" w:rsidP="006F5996">
      <w:pPr>
        <w:pStyle w:val="Quote"/>
      </w:pPr>
      <w:r w:rsidRPr="00AB5675">
        <w:rPr>
          <w:lang w:eastAsia="en-AU"/>
        </w:rPr>
        <w:t>In addition to having access to the defence of honest and reasonable mistake, the offence will not apply to a person who has a reasonable excuse (see subsection 1054A(5)).</w:t>
      </w:r>
    </w:p>
    <w:p w:rsidR="006F5996" w:rsidRPr="00AB5675" w:rsidRDefault="006F5996" w:rsidP="006F5996">
      <w:pPr>
        <w:pStyle w:val="Quote"/>
        <w:rPr>
          <w:i/>
          <w:u w:val="single"/>
          <w:lang w:eastAsia="en-AU"/>
        </w:rPr>
      </w:pPr>
      <w:r w:rsidRPr="00AB5675">
        <w:rPr>
          <w:i/>
          <w:u w:val="single"/>
          <w:lang w:eastAsia="en-AU"/>
        </w:rPr>
        <w:t>Further comment - section 1058 (offence relating to secrecy obligations of AFCA staff members)</w:t>
      </w:r>
    </w:p>
    <w:p w:rsidR="006F5996" w:rsidRPr="00AB5675" w:rsidRDefault="006F5996" w:rsidP="006F5996">
      <w:pPr>
        <w:pStyle w:val="Quote"/>
      </w:pPr>
      <w:r w:rsidRPr="00AB5675">
        <w:rPr>
          <w:lang w:eastAsia="en-AU"/>
        </w:rPr>
        <w:t xml:space="preserve">A strict liability offence removes the requirement for a fault element to be proved before a person can be found guilty of an offence. This is considered appropriate in this instance as an AFCA staff member's failure to comply with secrecy obligations would undermine the integrity of the regulatory regime. People who are asked to provide information to resolve a superannuation complaint need to have confidence that confidential or personal information that they provide will be adequately protected by AFCA. </w:t>
      </w:r>
      <w:r w:rsidRPr="00AB5675">
        <w:rPr>
          <w:szCs w:val="24"/>
          <w:lang w:eastAsia="en-AU"/>
        </w:rPr>
        <w:t xml:space="preserve">If </w:t>
      </w:r>
      <w:r w:rsidRPr="00AB5675">
        <w:rPr>
          <w:lang w:eastAsia="en-AU"/>
        </w:rPr>
        <w:t>this kind of assurance cannot be provided, it would undermine AFCA's ability to effectively investigate and resolve superannuation complaints.</w:t>
      </w:r>
    </w:p>
    <w:p w:rsidR="006F5996" w:rsidRPr="00AB5675" w:rsidRDefault="006F5996" w:rsidP="006F5996">
      <w:pPr>
        <w:pStyle w:val="Quote"/>
        <w:rPr>
          <w:lang w:eastAsia="en-AU"/>
        </w:rPr>
      </w:pPr>
      <w:r w:rsidRPr="00AB5675">
        <w:rPr>
          <w:lang w:eastAsia="en-AU"/>
        </w:rPr>
        <w:t>It is expected that AFCA will have appropriate safeguards in place to ensure that its staff members are aware of their secrecy obligations.</w:t>
      </w:r>
    </w:p>
    <w:p w:rsidR="006F5996" w:rsidRPr="00AB5675" w:rsidRDefault="006F5996" w:rsidP="006F5996">
      <w:pPr>
        <w:pStyle w:val="Quote"/>
      </w:pPr>
      <w:r w:rsidRPr="00AB5675">
        <w:rPr>
          <w:lang w:eastAsia="en-AU"/>
        </w:rPr>
        <w:lastRenderedPageBreak/>
        <w:t>In addition to having access to the defence of honest and reasonable mistake, the offence will not apply in various circumstances where disclosures are appropriate (for example, see subsections 1058(3) to (5)).</w:t>
      </w:r>
    </w:p>
    <w:p w:rsidR="006F5996" w:rsidRPr="00AB5675" w:rsidRDefault="006F5996" w:rsidP="006F5996">
      <w:pPr>
        <w:pStyle w:val="Level113"/>
        <w:tabs>
          <w:tab w:val="clear" w:pos="850"/>
        </w:tabs>
        <w:rPr>
          <w:b/>
          <w:i/>
        </w:rPr>
      </w:pPr>
      <w:r w:rsidRPr="00AB5675">
        <w:rPr>
          <w:b/>
          <w:i/>
        </w:rPr>
        <w:t>Committee comment</w:t>
      </w:r>
    </w:p>
    <w:p w:rsidR="006F5996" w:rsidRPr="00AB5675" w:rsidRDefault="006F5996" w:rsidP="006F5996">
      <w:pPr>
        <w:pStyle w:val="Level113"/>
        <w:numPr>
          <w:ilvl w:val="0"/>
          <w:numId w:val="21"/>
        </w:numPr>
      </w:pPr>
      <w:r w:rsidRPr="00AB5675">
        <w:t>The committee thanks the Minister for this response. The committee notes the Minister's advice that strict liability is appropriate in both instances, as the offences are likely to significantly enhance the effectiveness of the enforcement regime by supporting AFCA's ability to effectively obtain information and to deter conduct involving the inappropriate disclosure of confidential or personal information. In relation to proposed section 1054A the committee notes the Minister's advice that the imposition of strict liability  is considered appropriate as a failure to comply with AFCA's requests for information will impact on its ability to effectively obtain information required to resolve a superannuation complaint. In relation to proposed section 1058 the committee notes the Minister's advice that failure to comply with secrecy obligations by AFCA staff members would undermine the confidence needed to effectively investigate and resolve superannuation complaints, and that it is expected that AFCA will have appropriate safeguards in place to ensure that its staff members are aware of their secrecy obligations.</w:t>
      </w:r>
    </w:p>
    <w:p w:rsidR="006F5996" w:rsidRPr="00AB5675" w:rsidRDefault="006F5996" w:rsidP="006F5996">
      <w:pPr>
        <w:pStyle w:val="Level113"/>
        <w:numPr>
          <w:ilvl w:val="0"/>
          <w:numId w:val="21"/>
        </w:numPr>
        <w:rPr>
          <w:b/>
        </w:rPr>
      </w:pPr>
      <w:r w:rsidRPr="00AB5675">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AB5675">
        <w:rPr>
          <w:b/>
          <w:i/>
        </w:rPr>
        <w:t>Acts Interpretation Act 1901)</w:t>
      </w:r>
      <w:r w:rsidRPr="00AB5675">
        <w:rPr>
          <w:b/>
        </w:rPr>
        <w:t>.</w:t>
      </w:r>
    </w:p>
    <w:p w:rsidR="006F5996" w:rsidRPr="00AB5675" w:rsidRDefault="006F5996" w:rsidP="006F5996">
      <w:pPr>
        <w:pStyle w:val="Level113"/>
        <w:numPr>
          <w:ilvl w:val="0"/>
          <w:numId w:val="21"/>
        </w:numPr>
        <w:rPr>
          <w:b/>
        </w:rPr>
      </w:pPr>
      <w:bookmarkStart w:id="26" w:name="OLE_LINK92"/>
      <w:r w:rsidRPr="00AB5675">
        <w:rPr>
          <w:b/>
        </w:rPr>
        <w:t>In light of the information provided, the committee makes no further comment on this matter.</w:t>
      </w:r>
      <w:bookmarkEnd w:id="26"/>
    </w:p>
    <w:p w:rsidR="006F5996" w:rsidRPr="00AB5675" w:rsidRDefault="006F5996" w:rsidP="006F5996">
      <w:pPr>
        <w:spacing w:after="240"/>
        <w:ind w:left="2268" w:right="2223"/>
      </w:pPr>
      <w:r>
        <w:pict>
          <v:rect id="_x0000_i1036" style="width:0;height:1.5pt" o:hralign="center" o:hrstd="t" o:hr="t" fillcolor="#a0a0a0" stroked="f"/>
        </w:pict>
      </w:r>
    </w:p>
    <w:p w:rsidR="006F5996" w:rsidRPr="00AB5675" w:rsidRDefault="006F5996" w:rsidP="006F5996">
      <w:pPr>
        <w:pStyle w:val="Heading3"/>
      </w:pPr>
      <w:r w:rsidRPr="00AB5675">
        <w:t>Exclusion of judicial review</w:t>
      </w:r>
      <w:r w:rsidRPr="00AB5675">
        <w:rPr>
          <w:rStyle w:val="FootnoteReference"/>
          <w:b w:val="0"/>
        </w:rPr>
        <w:footnoteReference w:id="233"/>
      </w:r>
    </w:p>
    <w:p w:rsidR="006F5996" w:rsidRPr="00AB5675" w:rsidRDefault="006F5996" w:rsidP="006F5996">
      <w:pPr>
        <w:rPr>
          <w:b/>
          <w:i/>
        </w:rPr>
      </w:pPr>
      <w:r w:rsidRPr="00AB5675">
        <w:rPr>
          <w:b/>
          <w:i/>
        </w:rPr>
        <w:t>Initial scrutiny – extract</w:t>
      </w:r>
    </w:p>
    <w:p w:rsidR="006F5996" w:rsidRPr="00AB5675" w:rsidRDefault="006F5996" w:rsidP="006F5996">
      <w:pPr>
        <w:pStyle w:val="Level1131"/>
        <w:numPr>
          <w:ilvl w:val="0"/>
          <w:numId w:val="21"/>
        </w:numPr>
      </w:pPr>
      <w:r w:rsidRPr="00AB5675">
        <w:t xml:space="preserve">Item 11 of the bill seeks to ensure that the </w:t>
      </w:r>
      <w:r w:rsidRPr="00AB5675">
        <w:rPr>
          <w:i/>
        </w:rPr>
        <w:t xml:space="preserve">Administrative Decisions (Judicial Review) Act 1977 </w:t>
      </w:r>
      <w:r w:rsidRPr="00AB5675">
        <w:t>(the ADJR Act)</w:t>
      </w:r>
      <w:r w:rsidRPr="00AB5675">
        <w:rPr>
          <w:i/>
        </w:rPr>
        <w:t xml:space="preserve"> </w:t>
      </w:r>
      <w:r w:rsidRPr="00AB5675">
        <w:t>does not apply to decisions or determinations made by AFCA in relation to superannuation disputes.</w:t>
      </w:r>
    </w:p>
    <w:p w:rsidR="006F5996" w:rsidRPr="00AB5675" w:rsidRDefault="006F5996" w:rsidP="006F5996">
      <w:pPr>
        <w:pStyle w:val="Level1131"/>
        <w:numPr>
          <w:ilvl w:val="0"/>
          <w:numId w:val="21"/>
        </w:numPr>
      </w:pPr>
      <w:r w:rsidRPr="00AB5675">
        <w:t xml:space="preserve">The committee notes that the explanatory memorandum only provides a brief justification for the exclusion of the ADJR Act review and therefore a number of scrutiny issues arise in relation to this provision. </w:t>
      </w:r>
    </w:p>
    <w:p w:rsidR="006F5996" w:rsidRPr="00AB5675" w:rsidRDefault="006F5996" w:rsidP="006F5996">
      <w:pPr>
        <w:pStyle w:val="Level1131"/>
        <w:numPr>
          <w:ilvl w:val="0"/>
          <w:numId w:val="21"/>
        </w:numPr>
      </w:pPr>
      <w:r w:rsidRPr="00AB5675">
        <w:lastRenderedPageBreak/>
        <w:t>First, the explanatory memorandum states that the approach to review rights for superannuation disputes is consistent with the existing practice for disputes handled by the Superannuation Complaints Tribunal (the SCT).</w:t>
      </w:r>
      <w:r w:rsidRPr="00AB5675">
        <w:rPr>
          <w:rStyle w:val="FootnoteReference"/>
        </w:rPr>
        <w:footnoteReference w:id="234"/>
      </w:r>
      <w:r w:rsidRPr="00AB5675">
        <w:t xml:space="preserve"> However, the committee notes it appears that at least some decisions of the SCT are subject to ADJR Act review.</w:t>
      </w:r>
      <w:r w:rsidRPr="00AB5675">
        <w:rPr>
          <w:rStyle w:val="FootnoteReference"/>
        </w:rPr>
        <w:footnoteReference w:id="235"/>
      </w:r>
      <w:r w:rsidRPr="00AB5675">
        <w:t xml:space="preserve"> </w:t>
      </w:r>
    </w:p>
    <w:p w:rsidR="006F5996" w:rsidRPr="00AB5675" w:rsidRDefault="006F5996" w:rsidP="006F5996">
      <w:pPr>
        <w:pStyle w:val="Level1131"/>
        <w:numPr>
          <w:ilvl w:val="0"/>
          <w:numId w:val="21"/>
        </w:numPr>
      </w:pPr>
      <w:r w:rsidRPr="00AB5675">
        <w:t>Secondly, the explanatory memorandum suggests that ADJR Act review for superannuation disputes may be inappropriate because a statutory right to appeal on questions of law to the Federal Court is provided for. The committee notes that although a statutory appeal on a question of law is sometimes a functional equivalent of an ADJR Act review, this is not necessarily so. This is because the type of errors that can constitute questions of law (and thus whether the court has jurisdiction to hear an appeal) is a question of statutory interpretation. The courts interpret the meaning of 'question of law' in the context of the particular statute in which it appears. It is therefore not clear that an appeal on a question of law would enable an aggrieved consumer to raise all of the errors that would give them a ground of review in a judicial review application brought under the ADJR Act.</w:t>
      </w:r>
    </w:p>
    <w:p w:rsidR="006F5996" w:rsidRPr="00AB5675" w:rsidRDefault="006F5996" w:rsidP="006F5996">
      <w:pPr>
        <w:pStyle w:val="Level1131"/>
        <w:numPr>
          <w:ilvl w:val="0"/>
          <w:numId w:val="21"/>
        </w:numPr>
      </w:pPr>
      <w:r w:rsidRPr="00AB5675">
        <w:t>Finally, while parties may appeal to the Federal Court on questions of law in relation to superannuation disputes, the AFCA also has jurisdiction over non-superannuation financial disputes. The explanatory memorandum states that the ADJR Act will not apply to determinations by AFCA in relation to non-superannuation financial disputes because those determinations would not be made under an enactment.</w:t>
      </w:r>
      <w:r w:rsidRPr="00AB5675">
        <w:rPr>
          <w:rStyle w:val="FootnoteReference"/>
        </w:rPr>
        <w:footnoteReference w:id="236"/>
      </w:r>
      <w:r w:rsidRPr="00AB5675">
        <w:t xml:space="preserve"> While the proposed AFCA will be a private industry body, it will play an important role in a mandatory scheme of public regulation which is set up in part through the exercise of statutory power. It is therefore unclear why it would not be appropriate for a court to have the jurisdiction to judicially review the legality of AFCA's non-superannuation decisions and determinations.</w:t>
      </w:r>
    </w:p>
    <w:p w:rsidR="006F5996" w:rsidRPr="00AB5675" w:rsidRDefault="006F5996" w:rsidP="006F5996">
      <w:pPr>
        <w:pStyle w:val="Level1131"/>
        <w:numPr>
          <w:ilvl w:val="0"/>
          <w:numId w:val="21"/>
        </w:numPr>
      </w:pPr>
      <w:r w:rsidRPr="00AB5675">
        <w:t>The committee therefore requests the Minister's advice:</w:t>
      </w:r>
    </w:p>
    <w:p w:rsidR="006F5996" w:rsidRPr="00AB5675" w:rsidRDefault="006F5996" w:rsidP="006F5996">
      <w:pPr>
        <w:pStyle w:val="Bullet1"/>
      </w:pPr>
      <w:r w:rsidRPr="00AB5675">
        <w:t>as to the decisions or conduct of the SCT that is currently reviewable under the ADJR Act and the rationale for proposing to exclude ADJR Act review of these types of decisions made by AFCA;</w:t>
      </w:r>
    </w:p>
    <w:p w:rsidR="006F5996" w:rsidRPr="00AB5675" w:rsidRDefault="006F5996" w:rsidP="006F5996">
      <w:pPr>
        <w:pStyle w:val="Bullet1"/>
      </w:pPr>
      <w:r w:rsidRPr="00AB5675">
        <w:t>in relation to superannuation disputes, whether the grounds for bringing an appeal on a 'question of law' will be narrower or more limited than those that would be available under the ADJR Act; and</w:t>
      </w:r>
    </w:p>
    <w:p w:rsidR="006F5996" w:rsidRPr="00AB5675" w:rsidRDefault="006F5996" w:rsidP="006F5996">
      <w:pPr>
        <w:pStyle w:val="Bullet1"/>
      </w:pPr>
      <w:r w:rsidRPr="00AB5675">
        <w:lastRenderedPageBreak/>
        <w:t>in relation to non-superannuation financial disputes:</w:t>
      </w:r>
    </w:p>
    <w:p w:rsidR="006F5996" w:rsidRPr="00AB5675" w:rsidRDefault="006F5996" w:rsidP="006F5996">
      <w:pPr>
        <w:pStyle w:val="Bullet213"/>
        <w:numPr>
          <w:ilvl w:val="0"/>
          <w:numId w:val="4"/>
        </w:numPr>
        <w:tabs>
          <w:tab w:val="clear" w:pos="1134"/>
        </w:tabs>
        <w:ind w:left="1418"/>
      </w:pPr>
      <w:r w:rsidRPr="00AB5675">
        <w:t>whether, in the absence of ADJR Act review and a statutory right to appeal, any court would have jurisdiction to judicially review the legality of AFCA's non-superannuation decisions and determinations; and</w:t>
      </w:r>
    </w:p>
    <w:p w:rsidR="006F5996" w:rsidRPr="00AB5675" w:rsidRDefault="006F5996" w:rsidP="006F5996">
      <w:pPr>
        <w:pStyle w:val="Bullet213"/>
        <w:numPr>
          <w:ilvl w:val="0"/>
          <w:numId w:val="4"/>
        </w:numPr>
        <w:tabs>
          <w:tab w:val="clear" w:pos="1134"/>
        </w:tabs>
        <w:ind w:left="1418"/>
      </w:pPr>
      <w:r w:rsidRPr="00AB5675">
        <w:t>the appropriateness of providing that a court of general jurisdiction have the jurisdiction, by way of appeal on a question of law or judicial review, to hear disputes about the legality of AFCA's non-superannuation decisions and determinations.</w:t>
      </w:r>
    </w:p>
    <w:p w:rsidR="006F5996" w:rsidRPr="00AB5675" w:rsidRDefault="006F5996" w:rsidP="006F5996">
      <w:pPr>
        <w:pStyle w:val="Level113"/>
        <w:tabs>
          <w:tab w:val="clear" w:pos="850"/>
        </w:tabs>
        <w:rPr>
          <w:b/>
          <w:i/>
        </w:rPr>
      </w:pPr>
      <w:r w:rsidRPr="00AB5675">
        <w:rPr>
          <w:b/>
          <w:i/>
        </w:rPr>
        <w:t>Minister's response</w:t>
      </w:r>
    </w:p>
    <w:p w:rsidR="006F5996" w:rsidRPr="00AB5675" w:rsidRDefault="006F5996" w:rsidP="006F5996">
      <w:pPr>
        <w:pStyle w:val="Level113"/>
        <w:numPr>
          <w:ilvl w:val="0"/>
          <w:numId w:val="21"/>
        </w:numPr>
      </w:pPr>
      <w:bookmarkStart w:id="27" w:name="_Ref498349723"/>
      <w:r w:rsidRPr="00AB5675">
        <w:t>The Minister advised:</w:t>
      </w:r>
      <w:bookmarkEnd w:id="27"/>
    </w:p>
    <w:p w:rsidR="006F5996" w:rsidRPr="00AB5675" w:rsidRDefault="006F5996" w:rsidP="006F5996">
      <w:pPr>
        <w:pStyle w:val="Quote"/>
        <w:rPr>
          <w:i/>
          <w:u w:val="single"/>
          <w:lang w:eastAsia="en-AU"/>
        </w:rPr>
      </w:pPr>
      <w:r w:rsidRPr="00AB5675">
        <w:rPr>
          <w:i/>
          <w:u w:val="single"/>
          <w:lang w:eastAsia="en-AU"/>
        </w:rPr>
        <w:t>The exclusion of determinations made bv AFCA from, judicial review under the ADJR Act</w:t>
      </w:r>
    </w:p>
    <w:p w:rsidR="006F5996" w:rsidRPr="00AB5675" w:rsidRDefault="006F5996" w:rsidP="006F5996">
      <w:pPr>
        <w:pStyle w:val="Quote"/>
        <w:rPr>
          <w:lang w:eastAsia="en-AU"/>
        </w:rPr>
      </w:pPr>
      <w:r w:rsidRPr="00AB5675">
        <w:rPr>
          <w:lang w:eastAsia="en-AU"/>
        </w:rPr>
        <w:t>The Committee has sought further information about the exclusion of judicial review.</w:t>
      </w:r>
    </w:p>
    <w:p w:rsidR="006F5996" w:rsidRPr="00AB5675" w:rsidRDefault="006F5996" w:rsidP="006F5996">
      <w:pPr>
        <w:pStyle w:val="Quote"/>
      </w:pPr>
      <w:r w:rsidRPr="00AB5675">
        <w:rPr>
          <w:lang w:eastAsia="en-AU"/>
        </w:rPr>
        <w:t xml:space="preserve">Specifically, the Committee sought further information about the type of decisions that are currently reviewable under the </w:t>
      </w:r>
      <w:r w:rsidRPr="00AB5675">
        <w:rPr>
          <w:i/>
          <w:iCs/>
          <w:lang w:eastAsia="en-AU"/>
        </w:rPr>
        <w:t xml:space="preserve">Administrative Decisions (Judicial Review) Act 1977 </w:t>
      </w:r>
      <w:r w:rsidRPr="00AB5675">
        <w:rPr>
          <w:rFonts w:ascii="Arial" w:hAnsi="Arial" w:cs="Arial"/>
          <w:bCs/>
          <w:sz w:val="21"/>
          <w:szCs w:val="21"/>
          <w:lang w:eastAsia="en-AU"/>
        </w:rPr>
        <w:t xml:space="preserve">(ADJR </w:t>
      </w:r>
      <w:r w:rsidRPr="00AB5675">
        <w:rPr>
          <w:lang w:eastAsia="en-AU"/>
        </w:rPr>
        <w:t xml:space="preserve">Act) and the rationale for proposing to exclude </w:t>
      </w:r>
      <w:r w:rsidRPr="00AB5675">
        <w:rPr>
          <w:rFonts w:ascii="Arial" w:hAnsi="Arial" w:cs="Arial"/>
          <w:bCs/>
          <w:sz w:val="21"/>
          <w:szCs w:val="21"/>
          <w:lang w:eastAsia="en-AU"/>
        </w:rPr>
        <w:t>ADJR</w:t>
      </w:r>
      <w:r w:rsidRPr="00AB5675">
        <w:rPr>
          <w:rFonts w:ascii="Arial" w:hAnsi="Arial" w:cs="Arial"/>
          <w:b/>
          <w:bCs/>
          <w:sz w:val="21"/>
          <w:szCs w:val="21"/>
          <w:lang w:eastAsia="en-AU"/>
        </w:rPr>
        <w:t xml:space="preserve"> </w:t>
      </w:r>
      <w:r w:rsidRPr="00AB5675">
        <w:rPr>
          <w:lang w:eastAsia="en-AU"/>
        </w:rPr>
        <w:t>Act review of decisions made by AFCA.</w:t>
      </w:r>
    </w:p>
    <w:p w:rsidR="006F5996" w:rsidRPr="00AB5675" w:rsidRDefault="006F5996" w:rsidP="006F5996">
      <w:pPr>
        <w:pStyle w:val="Quote"/>
        <w:rPr>
          <w:lang w:eastAsia="en-AU"/>
        </w:rPr>
      </w:pPr>
      <w:r w:rsidRPr="00AB5675">
        <w:rPr>
          <w:lang w:eastAsia="en-AU"/>
        </w:rPr>
        <w:t xml:space="preserve">Currently, decisions of the Superannuation Complaints Tribunal made under the </w:t>
      </w:r>
      <w:r w:rsidRPr="00AB5675">
        <w:rPr>
          <w:i/>
          <w:iCs/>
          <w:lang w:eastAsia="en-AU"/>
        </w:rPr>
        <w:t xml:space="preserve">Superannuation (Resolution of Complaints) Act 1993 </w:t>
      </w:r>
      <w:r w:rsidRPr="00AB5675">
        <w:rPr>
          <w:lang w:eastAsia="en-AU"/>
        </w:rPr>
        <w:t xml:space="preserve">are subject to review under the ADJR Act. </w:t>
      </w:r>
      <w:r w:rsidRPr="00AB5675">
        <w:rPr>
          <w:szCs w:val="24"/>
          <w:lang w:eastAsia="en-AU"/>
        </w:rPr>
        <w:t xml:space="preserve">In </w:t>
      </w:r>
      <w:r w:rsidRPr="00AB5675">
        <w:rPr>
          <w:lang w:eastAsia="en-AU"/>
        </w:rPr>
        <w:t>practice, the most common examples of appeals under the ADJR Act are appeals of decisions by the Superannuation Complaints Tribunal to withdraw a complaint or that a complaint is outside the Superannuation Complaint Tribunal's jurisdiction.</w:t>
      </w:r>
    </w:p>
    <w:p w:rsidR="006F5996" w:rsidRPr="00AB5675" w:rsidRDefault="006F5996" w:rsidP="006F5996">
      <w:pPr>
        <w:pStyle w:val="Quote"/>
        <w:rPr>
          <w:lang w:eastAsia="en-AU"/>
        </w:rPr>
      </w:pPr>
      <w:r w:rsidRPr="00AB5675">
        <w:rPr>
          <w:lang w:eastAsia="en-AU"/>
        </w:rPr>
        <w:t>This Bill inserts a new provision in the ADJR Act which excludes decisions relating to the making of a determination under the AFCA scheme.</w:t>
      </w:r>
    </w:p>
    <w:p w:rsidR="006F5996" w:rsidRPr="00AB5675" w:rsidRDefault="006F5996" w:rsidP="006F5996">
      <w:pPr>
        <w:pStyle w:val="Quote"/>
        <w:rPr>
          <w:lang w:eastAsia="en-AU"/>
        </w:rPr>
      </w:pPr>
      <w:r w:rsidRPr="00AB5675">
        <w:rPr>
          <w:lang w:eastAsia="en-AU"/>
        </w:rPr>
        <w:t xml:space="preserve">Judicial review in the federal jurisdiction is generally available to administrative decisions made by officers of the Commonwealth (such as public servants), Ministers and their delegates. As the Superannuation Complaints Tribunal is a statutory authority established under the </w:t>
      </w:r>
      <w:r w:rsidRPr="00AB5675">
        <w:rPr>
          <w:i/>
          <w:iCs/>
          <w:lang w:eastAsia="en-AU"/>
        </w:rPr>
        <w:t xml:space="preserve">Superannuation (Resolution of Complaints) Act 1993, </w:t>
      </w:r>
      <w:r w:rsidRPr="00AB5675">
        <w:rPr>
          <w:lang w:eastAsia="en-AU"/>
        </w:rPr>
        <w:t>and as its decision-makers are considered 'officers of the Commonwealth', it is appropriate that these decisions are subject to judicial review.</w:t>
      </w:r>
    </w:p>
    <w:p w:rsidR="006F5996" w:rsidRPr="00AB5675" w:rsidRDefault="006F5996" w:rsidP="006F5996">
      <w:pPr>
        <w:pStyle w:val="Quote"/>
        <w:rPr>
          <w:lang w:eastAsia="en-AU"/>
        </w:rPr>
      </w:pPr>
      <w:r w:rsidRPr="00AB5675">
        <w:rPr>
          <w:lang w:eastAsia="en-AU"/>
        </w:rPr>
        <w:t>By contrast, AFCA is a private review mechanism arising from private rights. Its decision-makers will not be 'officers of the Commonwealth', and as a result it is not appropriate for its decisions and conduct to be subject to judicial review. This is consistent with administrative law principles.</w:t>
      </w:r>
    </w:p>
    <w:p w:rsidR="006F5996" w:rsidRPr="00AB5675" w:rsidRDefault="006F5996" w:rsidP="006F5996">
      <w:pPr>
        <w:pStyle w:val="Quote"/>
      </w:pPr>
      <w:r w:rsidRPr="00AB5675">
        <w:rPr>
          <w:lang w:eastAsia="en-AU"/>
        </w:rPr>
        <w:t xml:space="preserve">AFCA will have internal review mechanisms and an independent assessor to manage disputes relating to the processes and operations of AFCA. </w:t>
      </w:r>
      <w:r w:rsidRPr="00AB5675">
        <w:rPr>
          <w:lang w:eastAsia="en-AU"/>
        </w:rPr>
        <w:lastRenderedPageBreak/>
        <w:t>Further, a determination of AFCA in relation to superannuation complaint can be appealed to the Federal Court on a question of law.</w:t>
      </w:r>
    </w:p>
    <w:p w:rsidR="006F5996" w:rsidRPr="00AB5675" w:rsidRDefault="006F5996" w:rsidP="006F5996">
      <w:pPr>
        <w:pStyle w:val="Quote"/>
        <w:rPr>
          <w:i/>
          <w:lang w:eastAsia="en-AU"/>
        </w:rPr>
      </w:pPr>
      <w:r w:rsidRPr="00AB5675">
        <w:rPr>
          <w:i/>
          <w:lang w:eastAsia="en-AU"/>
        </w:rPr>
        <w:t>Appeals on questions of law</w:t>
      </w:r>
    </w:p>
    <w:p w:rsidR="006F5996" w:rsidRPr="00AB5675" w:rsidRDefault="006F5996" w:rsidP="006F5996">
      <w:pPr>
        <w:pStyle w:val="Quote"/>
        <w:rPr>
          <w:lang w:eastAsia="en-AU"/>
        </w:rPr>
      </w:pPr>
      <w:r w:rsidRPr="00AB5675">
        <w:rPr>
          <w:lang w:eastAsia="en-AU"/>
        </w:rPr>
        <w:t>The Committee sought further information about whether the grounds for bringing an appeal on a 'question of law' will be narrower than those that would currently be available in relation to a superannuation dispute under the ADJR Act.</w:t>
      </w:r>
    </w:p>
    <w:p w:rsidR="006F5996" w:rsidRPr="00AB5675" w:rsidRDefault="006F5996" w:rsidP="006F5996">
      <w:pPr>
        <w:pStyle w:val="Quote"/>
        <w:rPr>
          <w:lang w:eastAsia="en-AU"/>
        </w:rPr>
      </w:pPr>
      <w:r w:rsidRPr="00AB5675">
        <w:rPr>
          <w:lang w:eastAsia="en-AU"/>
        </w:rPr>
        <w:t>Appeals on questions of law are generally limited to questions going to the legal correctness of a decision, whereas judicial review generally provides an opportunity to test the lawfulness of an administrative decision.</w:t>
      </w:r>
    </w:p>
    <w:p w:rsidR="006F5996" w:rsidRPr="00AB5675" w:rsidRDefault="006F5996" w:rsidP="006F5996">
      <w:pPr>
        <w:pStyle w:val="Quote"/>
      </w:pPr>
      <w:r w:rsidRPr="00AB5675">
        <w:rPr>
          <w:lang w:eastAsia="en-AU"/>
        </w:rPr>
        <w:t>The types of questions of law that may be appealed in any particular situation would depend on the particular legal context in which the decision is made, which may be</w:t>
      </w:r>
      <w:r w:rsidRPr="00AB5675">
        <w:t xml:space="preserve"> </w:t>
      </w:r>
      <w:r w:rsidRPr="00AB5675">
        <w:rPr>
          <w:lang w:eastAsia="en-AU"/>
        </w:rPr>
        <w:t>broader than reviews provided by the ADJR Act as the grounds of review under the ADJR Act are expressly prescribed. Further, not all grounds of ADJR Act review would necessarily apply in the context of a particular AFCA determination which could be appealed on a question of law.</w:t>
      </w:r>
    </w:p>
    <w:p w:rsidR="006F5996" w:rsidRPr="00AB5675" w:rsidRDefault="006F5996" w:rsidP="006F5996">
      <w:pPr>
        <w:pStyle w:val="Quote"/>
        <w:rPr>
          <w:lang w:eastAsia="en-AU"/>
        </w:rPr>
      </w:pPr>
      <w:r w:rsidRPr="00AB5675">
        <w:rPr>
          <w:lang w:eastAsia="en-AU"/>
        </w:rPr>
        <w:t>The exclusion of review under the ADJR Act is appropriate because AFCA is a private industry body, rather than a government body, and it would not be usual to allow judicial review under the ADJR Act in relation to an industry body.</w:t>
      </w:r>
    </w:p>
    <w:p w:rsidR="006F5996" w:rsidRPr="00AB5675" w:rsidRDefault="006F5996" w:rsidP="006F5996">
      <w:pPr>
        <w:pStyle w:val="Quote"/>
      </w:pPr>
      <w:r w:rsidRPr="00AB5675">
        <w:rPr>
          <w:lang w:eastAsia="en-AU"/>
        </w:rPr>
        <w:t>The Bill recognises the importance of the judicial oversight of decision-making bodies by allowing the Federal Court to hear appeals on questions of law from determinations of AFCA in relation to superannuation complaints. This will ensure that an appropriate review process by the Federal Court will be available to parties to a superannuation complaint.</w:t>
      </w:r>
    </w:p>
    <w:p w:rsidR="006F5996" w:rsidRPr="00AB5675" w:rsidRDefault="006F5996" w:rsidP="006F5996">
      <w:pPr>
        <w:pStyle w:val="Quote"/>
        <w:rPr>
          <w:i/>
          <w:lang w:eastAsia="en-AU"/>
        </w:rPr>
      </w:pPr>
      <w:r w:rsidRPr="00AB5675">
        <w:rPr>
          <w:i/>
          <w:lang w:eastAsia="en-AU"/>
        </w:rPr>
        <w:t>Non-superannuation financial disputes</w:t>
      </w:r>
    </w:p>
    <w:p w:rsidR="006F5996" w:rsidRPr="00AB5675" w:rsidRDefault="006F5996" w:rsidP="006F5996">
      <w:pPr>
        <w:pStyle w:val="Quote"/>
        <w:rPr>
          <w:lang w:eastAsia="en-AU"/>
        </w:rPr>
      </w:pPr>
      <w:r w:rsidRPr="00AB5675">
        <w:rPr>
          <w:lang w:eastAsia="en-AU"/>
        </w:rPr>
        <w:t>The Committee sought further information about the appropriateness of providing a court of general jurisdiction with the jurisdiction to hear appeals in relation to non-superannuation complaints.</w:t>
      </w:r>
    </w:p>
    <w:p w:rsidR="006F5996" w:rsidRPr="00AB5675" w:rsidRDefault="006F5996" w:rsidP="006F5996">
      <w:pPr>
        <w:pStyle w:val="Quote"/>
      </w:pPr>
      <w:r w:rsidRPr="00AB5675">
        <w:rPr>
          <w:lang w:eastAsia="en-AU"/>
        </w:rPr>
        <w:t>Currently, decisions in relation to a non-superannuation financial dispute cannot be appealed to a court (other than as a civil action for breach of contract). This position is the same under the AFCA scheme.</w:t>
      </w:r>
    </w:p>
    <w:p w:rsidR="006F5996" w:rsidRPr="00AB5675" w:rsidRDefault="006F5996" w:rsidP="006F5996">
      <w:pPr>
        <w:pStyle w:val="Quote"/>
        <w:rPr>
          <w:lang w:eastAsia="en-AU"/>
        </w:rPr>
      </w:pPr>
      <w:r w:rsidRPr="00AB5675">
        <w:rPr>
          <w:lang w:eastAsia="en-AU"/>
        </w:rPr>
        <w:t>The Bill does not provide a mechanism for appeals in relation to non-superannuation complaints to be heard by a court. Currently, decisions in relation to a non-superannuation financial dispute cannot be appealed to a court (other than as a civil action for breach of contract). This position is the same under the AFCA scheme.</w:t>
      </w:r>
    </w:p>
    <w:p w:rsidR="006F5996" w:rsidRPr="00AB5675" w:rsidRDefault="006F5996" w:rsidP="006F5996">
      <w:pPr>
        <w:pStyle w:val="Quote"/>
        <w:rPr>
          <w:lang w:eastAsia="en-AU"/>
        </w:rPr>
      </w:pPr>
      <w:r w:rsidRPr="00AB5675">
        <w:rPr>
          <w:lang w:eastAsia="en-AU"/>
        </w:rPr>
        <w:t>However, a member of the AFCA scheme (a financial services provider) may challenge a determination made by AFCA in court through a civil action for breach of contract if the determination is inconsistent with AFCA's terms of reference.</w:t>
      </w:r>
    </w:p>
    <w:p w:rsidR="006F5996" w:rsidRPr="00AB5675" w:rsidRDefault="006F5996" w:rsidP="006F5996">
      <w:pPr>
        <w:pStyle w:val="Quote"/>
        <w:rPr>
          <w:lang w:eastAsia="en-AU"/>
        </w:rPr>
      </w:pPr>
      <w:r w:rsidRPr="00AB5675">
        <w:rPr>
          <w:lang w:eastAsia="en-AU"/>
        </w:rPr>
        <w:lastRenderedPageBreak/>
        <w:t>A consumer can challenge a decision of a financial services provider in a court through a civil action for breach of contract. Consumers are not required to comply with a determination of AFCA and may commence a civil action independent of any determination that is made by AFCA.</w:t>
      </w:r>
    </w:p>
    <w:p w:rsidR="006F5996" w:rsidRPr="00AB5675" w:rsidRDefault="006F5996" w:rsidP="006F5996">
      <w:pPr>
        <w:pStyle w:val="Quote"/>
      </w:pPr>
      <w:r w:rsidRPr="00AB5675">
        <w:rPr>
          <w:lang w:eastAsia="en-AU"/>
        </w:rPr>
        <w:t>Currently, decisions in relation to a non-superannuation financial dispute cannot be appealed to a court (other than as a civil action for breach of contract). This position is the same under the AFCA scheme.</w:t>
      </w:r>
    </w:p>
    <w:p w:rsidR="006F5996" w:rsidRPr="00AB5675" w:rsidRDefault="006F5996" w:rsidP="006F5996">
      <w:pPr>
        <w:pStyle w:val="Level113"/>
        <w:tabs>
          <w:tab w:val="clear" w:pos="850"/>
        </w:tabs>
        <w:rPr>
          <w:b/>
          <w:i/>
        </w:rPr>
      </w:pPr>
      <w:r w:rsidRPr="00AB5675">
        <w:rPr>
          <w:b/>
          <w:i/>
        </w:rPr>
        <w:t>Committee comment</w:t>
      </w:r>
    </w:p>
    <w:p w:rsidR="006F5996" w:rsidRPr="00AB5675" w:rsidRDefault="006F5996" w:rsidP="006F5996">
      <w:pPr>
        <w:pStyle w:val="Level113"/>
        <w:numPr>
          <w:ilvl w:val="0"/>
          <w:numId w:val="21"/>
        </w:numPr>
      </w:pPr>
      <w:r w:rsidRPr="00AB5675">
        <w:t xml:space="preserve">The committee thanks the Minister for this response. The committee notes the Minister's advice that decisions of the Superannuation Complaints Tribunal are currently subject to review under the ADJR Act because its decision-makers are officers of the Commonwealth, but that it is not appropriate to subject the decisions and conduct of the AFCA to judicial review because it will be a private review mechanism arising from private rights and its decision-makers will not be officers of the Commonwealth. </w:t>
      </w:r>
    </w:p>
    <w:p w:rsidR="006F5996" w:rsidRPr="00AB5675" w:rsidRDefault="006F5996" w:rsidP="006F5996">
      <w:pPr>
        <w:pStyle w:val="Level113"/>
        <w:numPr>
          <w:ilvl w:val="0"/>
          <w:numId w:val="21"/>
        </w:numPr>
      </w:pPr>
      <w:r w:rsidRPr="00AB5675">
        <w:t xml:space="preserve">The committee also notes the Minister's advice that a determination of AFCA in relation to a superannuation complaint can be appealed to the Federal Court on a question of law, and the grounds for bringing such an appeal would depend on the particular legal context. The committee notes the Minister's advice that </w:t>
      </w:r>
      <w:r>
        <w:t xml:space="preserve">not all of </w:t>
      </w:r>
      <w:r w:rsidRPr="00AB5675">
        <w:t>the grounds of review specified under the ADJR Act</w:t>
      </w:r>
      <w:r>
        <w:t xml:space="preserve"> </w:t>
      </w:r>
      <w:r w:rsidRPr="00AB5675">
        <w:t>would necessarily apply in the context of a particular AFCA determination which could be appealed on a question of law. The committee notes the Minister's view that the exclusion of review under the ADJR Act is appropriate because AFCA is a private industry body, rather than a government body.</w:t>
      </w:r>
    </w:p>
    <w:p w:rsidR="006F5996" w:rsidRPr="00AB5675" w:rsidRDefault="006F5996" w:rsidP="006F5996">
      <w:pPr>
        <w:pStyle w:val="Level113"/>
        <w:numPr>
          <w:ilvl w:val="0"/>
          <w:numId w:val="21"/>
        </w:numPr>
      </w:pPr>
      <w:r w:rsidRPr="00AB5675">
        <w:t xml:space="preserve">The committee also notes the Minister's advice that currently decisions in relation to non-superannuation financial disputes cannot be appealed to a court, and that this situation would not change under the AFCA scheme. </w:t>
      </w:r>
    </w:p>
    <w:p w:rsidR="006F5996" w:rsidRPr="00AB5675" w:rsidRDefault="006F5996" w:rsidP="006F5996">
      <w:pPr>
        <w:pStyle w:val="Level113"/>
        <w:numPr>
          <w:ilvl w:val="0"/>
          <w:numId w:val="21"/>
        </w:numPr>
      </w:pPr>
      <w:r w:rsidRPr="00AB5675">
        <w:t>With respect to the exclusion of decisions made by AFCA from judicial review under the ADJR Act, the committee remains concerned as to whether the right to appeal on a question of law will provide an adequate substitute to judicial review under the ADJR Act. The committee notes the Minister's advice that not all grounds of ADJR Act review would necessarily apply in the context of a particular AFCA determination which could be appealed on a question of law. As such, it is not clear to the committee whether errors relating</w:t>
      </w:r>
      <w:r>
        <w:t>, for example,</w:t>
      </w:r>
      <w:r w:rsidRPr="00AB5675">
        <w:t xml:space="preserve"> to a denial of a fair hearing (i.e those which give rise to the procedural fairness ground of review) would give rise to a question of law. </w:t>
      </w:r>
    </w:p>
    <w:p w:rsidR="006F5996" w:rsidRPr="00AB5675" w:rsidRDefault="006F5996" w:rsidP="006F5996">
      <w:pPr>
        <w:pStyle w:val="Level113"/>
        <w:numPr>
          <w:ilvl w:val="0"/>
          <w:numId w:val="21"/>
        </w:numPr>
      </w:pPr>
      <w:r w:rsidRPr="00AB5675">
        <w:t xml:space="preserve">The committee also remains concerned that the bill does not provide any mechanism for appeals on a question of law (or ADJR Act judicial review) in relation to non-superannuation complaints. The committee notes the Minister's justification for this exclusion rests on the fact that AFCA will be a private body. However, the committee emphasises that AFCA, despite being a private body, will nevertheless </w:t>
      </w:r>
      <w:r w:rsidRPr="00AB5675">
        <w:lastRenderedPageBreak/>
        <w:t xml:space="preserve">form an important part of a broader scheme of public regulation of financial disputes and complaints as set up by legislation. In circumstances where a dispute resolution scheme is part of a broader legislative design to serve the public interest (noting the inadequacies of contractual remedies) the committee does not view the private status of AFCA as a sufficient ground for not making available appeals on questions of law. </w:t>
      </w:r>
      <w:r w:rsidRPr="00534B01">
        <w:t xml:space="preserve">Indeed, the committee notes that in its view the private status of ACFA has, rightly, not prevented the availability of an appeal of questions of law in relation to superannuation disputes. </w:t>
      </w:r>
      <w:r w:rsidRPr="00AB5675">
        <w:t xml:space="preserve">The committee also does not view the fact that such appeals are currently not available </w:t>
      </w:r>
      <w:r w:rsidRPr="00534B01">
        <w:t xml:space="preserve">for non-superannuation complaints </w:t>
      </w:r>
      <w:r w:rsidRPr="00AB5675">
        <w:t>as sufficient justification for not allowing them under the provisions of this bill. In the committee's view the lack of either judicial review, or a means to appeal on questions of law, means there is a risk that any legal errors made by AFCA cannot be corrected.</w:t>
      </w:r>
    </w:p>
    <w:p w:rsidR="006F5996" w:rsidRPr="00AB5675" w:rsidRDefault="006F5996" w:rsidP="006F5996">
      <w:pPr>
        <w:pStyle w:val="Level113"/>
        <w:numPr>
          <w:ilvl w:val="0"/>
          <w:numId w:val="21"/>
        </w:numPr>
        <w:rPr>
          <w:b/>
        </w:rPr>
      </w:pPr>
      <w:r w:rsidRPr="00AB5675">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AB5675">
        <w:rPr>
          <w:b/>
          <w:i/>
        </w:rPr>
        <w:t>Acts Interpretation Act 1901</w:t>
      </w:r>
      <w:r w:rsidRPr="00AB5675">
        <w:rPr>
          <w:b/>
        </w:rPr>
        <w:t>).</w:t>
      </w:r>
    </w:p>
    <w:p w:rsidR="006F5996" w:rsidRPr="00AB5675" w:rsidRDefault="006F5996" w:rsidP="006F5996">
      <w:pPr>
        <w:pStyle w:val="Level113"/>
        <w:numPr>
          <w:ilvl w:val="0"/>
          <w:numId w:val="21"/>
        </w:numPr>
        <w:rPr>
          <w:b/>
        </w:rPr>
      </w:pPr>
      <w:r w:rsidRPr="00AB5675">
        <w:rPr>
          <w:b/>
        </w:rPr>
        <w:t>The committee seeks the Minister's further advice as to whether it is intended that errors related to a denial of a fair hearing (that is, errors which give rise to a procedural fairness ground of review) would give rise to a question of law (and so be subject to appeal).</w:t>
      </w:r>
    </w:p>
    <w:p w:rsidR="006F5996" w:rsidRPr="00AB5675" w:rsidRDefault="006F5996" w:rsidP="006F5996">
      <w:pPr>
        <w:pStyle w:val="Level113"/>
        <w:numPr>
          <w:ilvl w:val="0"/>
          <w:numId w:val="21"/>
        </w:numPr>
        <w:rPr>
          <w:b/>
        </w:rPr>
      </w:pPr>
      <w:r w:rsidRPr="00AB5675">
        <w:rPr>
          <w:b/>
        </w:rPr>
        <w:t>The committee draws its remaining scrutiny concerns to the attention of Senators and leaves to the Senate as a whole the appropriateness of not providing a mechanism for appeals and excluding judicial review under the ADJR Act in relation to non-superannuation financial disputes.</w:t>
      </w:r>
    </w:p>
    <w:p w:rsidR="006F5996" w:rsidRPr="00AB5675" w:rsidRDefault="006F5996" w:rsidP="006F5996">
      <w:pPr>
        <w:spacing w:after="240"/>
        <w:ind w:left="2268" w:right="2223"/>
      </w:pPr>
      <w:r>
        <w:pict>
          <v:rect id="_x0000_i1037" style="width:0;height:1.5pt" o:hralign="center" o:hrstd="t" o:hr="t" fillcolor="#a0a0a0" stroked="f"/>
        </w:pict>
      </w:r>
    </w:p>
    <w:p w:rsidR="006F5996" w:rsidRPr="00AB5675" w:rsidRDefault="006F5996" w:rsidP="006F5996">
      <w:pPr>
        <w:pStyle w:val="Heading3"/>
      </w:pPr>
      <w:r w:rsidRPr="00AB5675">
        <w:t>Privacy</w:t>
      </w:r>
      <w:r w:rsidRPr="00AB5675">
        <w:rPr>
          <w:rStyle w:val="FootnoteReference"/>
          <w:b w:val="0"/>
        </w:rPr>
        <w:footnoteReference w:id="237"/>
      </w:r>
    </w:p>
    <w:p w:rsidR="006F5996" w:rsidRPr="00AB5675" w:rsidRDefault="006F5996" w:rsidP="006F5996">
      <w:pPr>
        <w:rPr>
          <w:b/>
          <w:i/>
        </w:rPr>
      </w:pPr>
      <w:r w:rsidRPr="00AB5675">
        <w:rPr>
          <w:b/>
          <w:i/>
        </w:rPr>
        <w:t>Initial scrutiny – extract</w:t>
      </w:r>
    </w:p>
    <w:p w:rsidR="006F5996" w:rsidRPr="00AB5675" w:rsidRDefault="006F5996" w:rsidP="006F5996">
      <w:pPr>
        <w:pStyle w:val="Level1131"/>
        <w:numPr>
          <w:ilvl w:val="0"/>
          <w:numId w:val="21"/>
        </w:numPr>
      </w:pPr>
      <w:r w:rsidRPr="00AB5675">
        <w:t xml:space="preserve">The proposed amendments in items 13, 14 and 29 of the bill would allow officers and other staff members of APRA, ASIC and the ATO to disclose protected information to AFCA to assist it to perform its functions. The explanatory memorandum does not provide any information in relation to the type of information that may be disclosed to AFCA and whether this information is likely to include personal or confidential information. There are also no details about the </w:t>
      </w:r>
      <w:r w:rsidRPr="00AB5675">
        <w:lastRenderedPageBreak/>
        <w:t>safeguards that will be in place to ensure that AFCA will protect the confidentiality of any information disclosed to it under these provisions.</w:t>
      </w:r>
    </w:p>
    <w:p w:rsidR="006F5996" w:rsidRPr="00AB5675" w:rsidRDefault="006F5996" w:rsidP="006F5996">
      <w:pPr>
        <w:pStyle w:val="Level1131"/>
        <w:numPr>
          <w:ilvl w:val="0"/>
          <w:numId w:val="21"/>
        </w:numPr>
      </w:pPr>
      <w:r w:rsidRPr="00AB5675">
        <w:t>In the absence of this explanatory information, the committee considers that enabling protected information to be disclosed to a non-government body such as AFCA raises privacy scrutiny concerns.</w:t>
      </w:r>
    </w:p>
    <w:p w:rsidR="006F5996" w:rsidRPr="00AB5675" w:rsidRDefault="006F5996" w:rsidP="006F5996">
      <w:pPr>
        <w:pStyle w:val="Level1131"/>
        <w:numPr>
          <w:ilvl w:val="0"/>
          <w:numId w:val="21"/>
        </w:numPr>
      </w:pPr>
      <w:r w:rsidRPr="00AB5675">
        <w:t>The committee therefore requests the Minister's advice as to the type of information that it is envisaged may be disclosed to AFCA under these provisions, whether this information is likely to include personal or confidential information, and details as to the safeguards that will be in place to ensure that AFCA will protect the confidentiality of any information disclosed to it.</w:t>
      </w:r>
    </w:p>
    <w:p w:rsidR="006F5996" w:rsidRPr="00AB5675" w:rsidRDefault="006F5996" w:rsidP="006F5996">
      <w:pPr>
        <w:pStyle w:val="Level113"/>
        <w:tabs>
          <w:tab w:val="clear" w:pos="850"/>
        </w:tabs>
        <w:rPr>
          <w:b/>
          <w:i/>
        </w:rPr>
      </w:pPr>
      <w:r w:rsidRPr="00AB5675">
        <w:rPr>
          <w:b/>
          <w:i/>
        </w:rPr>
        <w:t>Minister's response</w:t>
      </w:r>
    </w:p>
    <w:p w:rsidR="006F5996" w:rsidRPr="00AB5675" w:rsidRDefault="006F5996" w:rsidP="006F5996">
      <w:pPr>
        <w:pStyle w:val="Level113"/>
        <w:numPr>
          <w:ilvl w:val="0"/>
          <w:numId w:val="21"/>
        </w:numPr>
      </w:pPr>
      <w:bookmarkStart w:id="28" w:name="_Ref498508197"/>
      <w:r w:rsidRPr="00AB5675">
        <w:t>The Minister advised:</w:t>
      </w:r>
      <w:bookmarkEnd w:id="28"/>
    </w:p>
    <w:p w:rsidR="006F5996" w:rsidRPr="00AB5675" w:rsidRDefault="006F5996" w:rsidP="006F5996">
      <w:pPr>
        <w:pStyle w:val="Quote"/>
        <w:rPr>
          <w:lang w:eastAsia="en-AU"/>
        </w:rPr>
      </w:pPr>
      <w:r w:rsidRPr="00AB5675">
        <w:rPr>
          <w:i/>
          <w:u w:val="single"/>
          <w:lang w:eastAsia="en-AU"/>
        </w:rPr>
        <w:t>The protected information envisaged to be shared with AFCA and the safeguards put in place</w:t>
      </w:r>
    </w:p>
    <w:p w:rsidR="006F5996" w:rsidRPr="00AB5675" w:rsidRDefault="006F5996" w:rsidP="006F5996">
      <w:pPr>
        <w:pStyle w:val="Quote"/>
        <w:rPr>
          <w:lang w:eastAsia="en-AU"/>
        </w:rPr>
      </w:pPr>
      <w:r w:rsidRPr="00AB5675">
        <w:rPr>
          <w:lang w:eastAsia="en-AU"/>
        </w:rPr>
        <w:t>The Committee has sought further information about the type of information that it is envisaged may be disclosed to AFCA.</w:t>
      </w:r>
    </w:p>
    <w:p w:rsidR="006F5996" w:rsidRPr="00AB5675" w:rsidRDefault="006F5996" w:rsidP="006F5996">
      <w:pPr>
        <w:pStyle w:val="Quote"/>
      </w:pPr>
      <w:r w:rsidRPr="00AB5675">
        <w:rPr>
          <w:lang w:eastAsia="en-AU"/>
        </w:rPr>
        <w:t>The Bill allows officers and other staff members of APRA, the Australian Securities and Investments Commission (ASIC) and the Australian Taxation Office (ATO) to disclose confidential and protected information to AFCA to assist it to perform its functions.</w:t>
      </w:r>
    </w:p>
    <w:p w:rsidR="006F5996" w:rsidRPr="00AB5675" w:rsidRDefault="006F5996" w:rsidP="006F5996">
      <w:pPr>
        <w:pStyle w:val="Quote"/>
        <w:rPr>
          <w:lang w:eastAsia="en-AU"/>
        </w:rPr>
      </w:pPr>
      <w:r w:rsidRPr="00AB5675">
        <w:rPr>
          <w:lang w:eastAsia="en-AU"/>
        </w:rPr>
        <w:t xml:space="preserve">The type of information that may be disclosed by the ATO to AFCA is limited to information that was obtained under or in relation to the </w:t>
      </w:r>
      <w:r w:rsidRPr="00AB5675">
        <w:rPr>
          <w:i/>
          <w:iCs/>
          <w:lang w:eastAsia="en-AU"/>
        </w:rPr>
        <w:t xml:space="preserve">Superannuation (Unclaimed Money and Lost Members) Act 1999. </w:t>
      </w:r>
      <w:r w:rsidRPr="00AB5675">
        <w:rPr>
          <w:lang w:eastAsia="en-AU"/>
        </w:rPr>
        <w:t>This is consistent with the type of information that the ATO is permitted to disclose to the Superannuation Complaints Tribunal under the current law, which may include personal or confidential information.</w:t>
      </w:r>
    </w:p>
    <w:p w:rsidR="006F5996" w:rsidRPr="00AB5675" w:rsidRDefault="006F5996" w:rsidP="006F5996">
      <w:pPr>
        <w:pStyle w:val="Quote"/>
      </w:pPr>
      <w:r w:rsidRPr="00AB5675">
        <w:rPr>
          <w:lang w:eastAsia="en-AU"/>
        </w:rPr>
        <w:t>The legislation enables ASIC to share information, at ASIC's discretion, that will assist AFCA to perform its functions or powers. This may potentially include information that relates to an individual complaint, a systemic issue or membership of AFCA. The information may be personal or confidential information. Under the current law, ASIC is permitted to disclose this type of information to the Superannuation Complaints Tribunal.</w:t>
      </w:r>
    </w:p>
    <w:p w:rsidR="006F5996" w:rsidRPr="00AB5675" w:rsidRDefault="006F5996" w:rsidP="006F5996">
      <w:pPr>
        <w:pStyle w:val="Quote"/>
        <w:rPr>
          <w:lang w:eastAsia="en-AU"/>
        </w:rPr>
      </w:pPr>
      <w:r w:rsidRPr="00AB5675">
        <w:rPr>
          <w:lang w:eastAsia="en-AU"/>
        </w:rPr>
        <w:t>It is intended that AFCA's terms of reference will include an obligation for AFCA to keep confidential all information pertaining to a dispute that is provided to AFCA except to the extent reasonably necessary to carry out AFCA's responsibilities. This is a matter that will be considered as part of the EDR authorisation decision.</w:t>
      </w:r>
    </w:p>
    <w:p w:rsidR="006F5996" w:rsidRPr="00AB5675" w:rsidRDefault="006F5996" w:rsidP="006F5996">
      <w:pPr>
        <w:pStyle w:val="Quote"/>
      </w:pPr>
      <w:r w:rsidRPr="00AB5675">
        <w:rPr>
          <w:lang w:eastAsia="en-AU"/>
        </w:rPr>
        <w:t xml:space="preserve">In addition, each of the relevant legislative frameworks authorising the disclosure of protected information contains mechanisms for safeguarding the confidentiality of information once disclosed by ASIC, APRA and the ATO. For example, subsection 127(4A) of the </w:t>
      </w:r>
      <w:r w:rsidRPr="00AB5675">
        <w:rPr>
          <w:i/>
          <w:iCs/>
          <w:lang w:eastAsia="en-AU"/>
        </w:rPr>
        <w:t xml:space="preserve">Australian Securities and </w:t>
      </w:r>
      <w:r w:rsidRPr="00AB5675">
        <w:rPr>
          <w:i/>
          <w:iCs/>
          <w:lang w:eastAsia="en-AU"/>
        </w:rPr>
        <w:lastRenderedPageBreak/>
        <w:t xml:space="preserve">Investments Commission Act 2001 </w:t>
      </w:r>
      <w:r w:rsidRPr="00AB5675">
        <w:rPr>
          <w:lang w:eastAsia="en-AU"/>
        </w:rPr>
        <w:t xml:space="preserve">allows ASIC to impose conditions that AFCA must comply with in relation to information disclosed. Subsection 56(9) of the </w:t>
      </w:r>
      <w:r w:rsidRPr="00AB5675">
        <w:rPr>
          <w:i/>
          <w:iCs/>
          <w:lang w:eastAsia="en-AU"/>
        </w:rPr>
        <w:t xml:space="preserve">Australian Prudential Regulation Authority Act 1998 </w:t>
      </w:r>
      <w:r w:rsidRPr="00AB5675">
        <w:rPr>
          <w:lang w:eastAsia="en-AU"/>
        </w:rPr>
        <w:t xml:space="preserve">provides a similar rule in relation to disclosures made by APRA. Section 355-155 of Schedule 1 of the </w:t>
      </w:r>
      <w:r w:rsidRPr="00AB5675">
        <w:rPr>
          <w:i/>
          <w:iCs/>
          <w:lang w:eastAsia="en-AU"/>
        </w:rPr>
        <w:t xml:space="preserve">Tax Administration Act 1953 </w:t>
      </w:r>
      <w:r w:rsidRPr="00AB5675">
        <w:rPr>
          <w:lang w:eastAsia="en-AU"/>
        </w:rPr>
        <w:t>provides that it is an offence (punishable by up to two years' imprisonment) for an entity to on-disclose or record protected information acquired by the entity from taxation officers, except in certain limited circumstances.</w:t>
      </w:r>
    </w:p>
    <w:p w:rsidR="006F5996" w:rsidRPr="00AB5675" w:rsidRDefault="006F5996" w:rsidP="006F5996">
      <w:pPr>
        <w:pStyle w:val="Level113"/>
        <w:tabs>
          <w:tab w:val="clear" w:pos="850"/>
        </w:tabs>
        <w:rPr>
          <w:b/>
          <w:i/>
        </w:rPr>
      </w:pPr>
      <w:r w:rsidRPr="00AB5675">
        <w:rPr>
          <w:b/>
          <w:i/>
        </w:rPr>
        <w:t>Committee comment</w:t>
      </w:r>
    </w:p>
    <w:p w:rsidR="006F5996" w:rsidRPr="00AB5675" w:rsidRDefault="006F5996" w:rsidP="006F5996">
      <w:pPr>
        <w:pStyle w:val="Level113"/>
        <w:numPr>
          <w:ilvl w:val="0"/>
          <w:numId w:val="21"/>
        </w:numPr>
      </w:pPr>
      <w:r w:rsidRPr="00AB5675">
        <w:t>The committee thanks the Minister for this response. The committee notes the Minister's advice</w:t>
      </w:r>
      <w:r>
        <w:t xml:space="preserve"> that the</w:t>
      </w:r>
      <w:r w:rsidRPr="00AB5675">
        <w:t xml:space="preserve"> information that may be shared with the AFCA will include confidential and personal information to assist it to perform its functions, which may include personal information, of the type currently permitted to be disclosed to the Superannuation Complaints Tribunal. The committee notes the Minister's advice that it is intended that AFCA's terms of reference will include an obligation to keep confidential all information pertaining to a dispute, except to the extent reasonably necessary to carry out its responsibilities, and that this obligation will be considered as part of the EDR authorisation decision. The committee further notes the Minister's advice that legislative frameworks relevant to ASIC, APRA and the ATO contain mechanisms for safeguarding the confidentiality of such information once disclosed.</w:t>
      </w:r>
    </w:p>
    <w:p w:rsidR="006F5996" w:rsidRPr="00AB5675" w:rsidRDefault="006F5996" w:rsidP="006F5996">
      <w:pPr>
        <w:pStyle w:val="Level113"/>
        <w:numPr>
          <w:ilvl w:val="0"/>
          <w:numId w:val="21"/>
        </w:numPr>
      </w:pPr>
      <w:r w:rsidRPr="00AB5675">
        <w:t xml:space="preserve">The committee notes the Minister's earlier advice that AFCA is to be a private review mechanism arising from private rights and its decision-makers will not </w:t>
      </w:r>
      <w:r>
        <w:t xml:space="preserve">be </w:t>
      </w:r>
      <w:r w:rsidRPr="00AB5675">
        <w:t>Commonwealth officers.</w:t>
      </w:r>
      <w:r w:rsidRPr="00AB5675">
        <w:rPr>
          <w:rStyle w:val="FootnoteReference"/>
        </w:rPr>
        <w:footnoteReference w:id="238"/>
      </w:r>
      <w:r w:rsidRPr="00AB5675">
        <w:t xml:space="preserve"> The committee therefore remains concerned about enabling protected information to be disclosed to a non-government body such as AFCA, particularly in circumstances where this information may include personal and confidential information. It is not clear to the committee that the </w:t>
      </w:r>
      <w:r w:rsidRPr="00DC1CDA">
        <w:rPr>
          <w:i/>
        </w:rPr>
        <w:t>Privacy Act 1988</w:t>
      </w:r>
      <w:r w:rsidRPr="00AB5675">
        <w:t xml:space="preserve"> would apply to such a private body and while the committee notes the Minister's advice that the Acts under which ASIC, APRA and the ATO are each authorised to disclose protected information also contain provisions to safeguard confidentiality, those Acts merely impose the ability for ASIC and APRA to impose conditions regarding confidentiality, and not an obligation requiring confidentiality. The committee notes that including obligations in AFCA's terms of reference is not equivalent to making it a legislative requirement that AFCA have an obligation to maintain confidentiality. The committee notes the advice that including these matters in AFCA's terms of reference is intended to be considered as part of the EDR authorisation decision. However, the committee notes that, as discussed above, the EDR authorisation decision and the specification of any conditions on such authorisation, is to occur by notifiable instrument, and will therefore not be disallowable by Parliament.</w:t>
      </w:r>
    </w:p>
    <w:p w:rsidR="006F5996" w:rsidRPr="00AB5675" w:rsidRDefault="006F5996" w:rsidP="006F5996">
      <w:pPr>
        <w:pStyle w:val="Level113"/>
        <w:numPr>
          <w:ilvl w:val="0"/>
          <w:numId w:val="21"/>
        </w:numPr>
        <w:rPr>
          <w:b/>
        </w:rPr>
      </w:pPr>
      <w:r w:rsidRPr="00AB5675">
        <w:rPr>
          <w:b/>
        </w:rPr>
        <w:lastRenderedPageBreak/>
        <w:t>The committee draws its scrutiny concerns to the attention of Senators and leaves to the Senate as a whole the appropriateness of enabling protected personal and confidential information to be disclosed to AFCA, a non-government body, without any specific safeguards in the bill to ensure that AFCA will protect the confidentiality of any information disclosed to it.</w:t>
      </w:r>
    </w:p>
    <w:p w:rsidR="006F5996" w:rsidRPr="00AB5675" w:rsidRDefault="006F5996" w:rsidP="006F5996">
      <w:pPr>
        <w:spacing w:after="240"/>
        <w:ind w:left="2268" w:right="2223"/>
      </w:pPr>
      <w:r>
        <w:pict>
          <v:rect id="_x0000_i1038" style="width:0;height:1.5pt" o:hralign="center" o:hrstd="t" o:hr="t" fillcolor="#a0a0a0" stroked="f"/>
        </w:pict>
      </w:r>
    </w:p>
    <w:p w:rsidR="006F5996" w:rsidRPr="00AB5675" w:rsidRDefault="006F5996" w:rsidP="006F5996">
      <w:pPr>
        <w:pStyle w:val="Heading3"/>
      </w:pPr>
      <w:bookmarkStart w:id="29" w:name="_Toc492910207"/>
      <w:r w:rsidRPr="00AB5675">
        <w:t>Significant matters in delegated legislation</w:t>
      </w:r>
      <w:bookmarkEnd w:id="29"/>
      <w:r w:rsidRPr="00AB5675">
        <w:rPr>
          <w:rStyle w:val="FootnoteReference"/>
          <w:b w:val="0"/>
        </w:rPr>
        <w:footnoteReference w:id="239"/>
      </w:r>
    </w:p>
    <w:p w:rsidR="006F5996" w:rsidRPr="00AB5675" w:rsidRDefault="006F5996" w:rsidP="006F5996">
      <w:pPr>
        <w:rPr>
          <w:b/>
          <w:i/>
        </w:rPr>
      </w:pPr>
      <w:r w:rsidRPr="00AB5675">
        <w:rPr>
          <w:b/>
          <w:i/>
        </w:rPr>
        <w:t>Initial scrutiny – extract</w:t>
      </w:r>
    </w:p>
    <w:p w:rsidR="006F5996" w:rsidRPr="00AB5675" w:rsidRDefault="006F5996" w:rsidP="006F5996">
      <w:pPr>
        <w:pStyle w:val="Level1131"/>
        <w:numPr>
          <w:ilvl w:val="0"/>
          <w:numId w:val="21"/>
        </w:numPr>
      </w:pPr>
      <w:bookmarkStart w:id="30" w:name="OLE_LINK81"/>
      <w:r w:rsidRPr="00AB5675">
        <w:t xml:space="preserve">Under current section 101 of the </w:t>
      </w:r>
      <w:r w:rsidRPr="00AB5675">
        <w:rPr>
          <w:i/>
        </w:rPr>
        <w:t>Superannuation Industry (Supervision) Act 1993</w:t>
      </w:r>
      <w:r w:rsidRPr="00AB5675">
        <w:t xml:space="preserve"> trustees of regulated superannuation funds and approved deposit funds are required to have an internal dispute resolution (IDR) system and to provide written reasons for decisions about complaints made by beneficiaries, former beneficiaries or other interested parties. Current section 47 of the </w:t>
      </w:r>
      <w:r w:rsidRPr="00AB5675">
        <w:rPr>
          <w:i/>
        </w:rPr>
        <w:t xml:space="preserve">Retirement Savings Accounts Act 1997 </w:t>
      </w:r>
      <w:r w:rsidRPr="00AB5675">
        <w:t>specifies similar requirements for an IDR system for complaints relating to the operation or management of a Retirement Savings Account (RSA). A person who intentionally or recklessly contravenes these requirements commits an offence punishable by a fine of up to 100 penalty units.</w:t>
      </w:r>
      <w:r w:rsidRPr="00AB5675">
        <w:rPr>
          <w:rStyle w:val="FootnoteReference"/>
        </w:rPr>
        <w:footnoteReference w:id="240"/>
      </w:r>
    </w:p>
    <w:p w:rsidR="006F5996" w:rsidRPr="00AB5675" w:rsidRDefault="006F5996" w:rsidP="006F5996">
      <w:pPr>
        <w:pStyle w:val="Level1131"/>
        <w:numPr>
          <w:ilvl w:val="0"/>
          <w:numId w:val="21"/>
        </w:numPr>
      </w:pPr>
      <w:r w:rsidRPr="00AB5675">
        <w:t>Items 7 and 9 of Schedule 2 seek to repeal the current requirements in the primary legislation and allow ASIC to set requirements about providing written reasons for IDR decisions in a legislative instrument.</w:t>
      </w:r>
      <w:r w:rsidRPr="00AB5675">
        <w:rPr>
          <w:rStyle w:val="FootnoteReference"/>
        </w:rPr>
        <w:footnoteReference w:id="241"/>
      </w:r>
      <w:r w:rsidRPr="00AB5675">
        <w:t xml:space="preserve"> Contravening these requirements will remain an offence, subject to up to 100 penalty units (or $21,000). The committee's view is that significant matters, such as requirements the breach of which will constitute an offence, should be included in primary legislation unless a sound justification for the use of delegated legislation is provided. In this case, the explanatory memorandum states that the amendments will 'provide ASIC with the flexibility to align the requirements around giving reasons for IDR decisions made by these trustees to those that apply for other IDR firms'.</w:t>
      </w:r>
      <w:r w:rsidRPr="00AB5675">
        <w:rPr>
          <w:rStyle w:val="FootnoteReference"/>
        </w:rPr>
        <w:footnoteReference w:id="242"/>
      </w:r>
      <w:r w:rsidRPr="00AB5675">
        <w:t xml:space="preserve"> While the committee notes this brief explanation, the committee does not consider that this adequately explains why the use of delegated legislation is appropriate in this instance.</w:t>
      </w:r>
    </w:p>
    <w:p w:rsidR="006F5996" w:rsidRPr="00AB5675" w:rsidRDefault="006F5996" w:rsidP="006F5996">
      <w:pPr>
        <w:pStyle w:val="Level1131"/>
        <w:numPr>
          <w:ilvl w:val="0"/>
          <w:numId w:val="21"/>
        </w:numPr>
      </w:pPr>
      <w:r w:rsidRPr="00AB5675">
        <w:lastRenderedPageBreak/>
        <w:t>The committee requests the Minister's more detailed justification as to the appropriateness of setting out requirements in delegated legislation where breach of those requirements will constitute an offence.</w:t>
      </w:r>
      <w:bookmarkEnd w:id="30"/>
    </w:p>
    <w:p w:rsidR="006F5996" w:rsidRPr="00AB5675" w:rsidRDefault="006F5996" w:rsidP="006F5996">
      <w:pPr>
        <w:pStyle w:val="Level113"/>
        <w:tabs>
          <w:tab w:val="clear" w:pos="850"/>
        </w:tabs>
        <w:rPr>
          <w:b/>
          <w:i/>
        </w:rPr>
      </w:pPr>
      <w:r w:rsidRPr="00AB5675">
        <w:rPr>
          <w:b/>
          <w:i/>
        </w:rPr>
        <w:t>Minister's response</w:t>
      </w:r>
    </w:p>
    <w:p w:rsidR="006F5996" w:rsidRPr="00AB5675" w:rsidRDefault="006F5996" w:rsidP="006F5996">
      <w:pPr>
        <w:pStyle w:val="Level113"/>
        <w:numPr>
          <w:ilvl w:val="0"/>
          <w:numId w:val="21"/>
        </w:numPr>
      </w:pPr>
      <w:r w:rsidRPr="00AB5675">
        <w:t>The Minister advised:</w:t>
      </w:r>
    </w:p>
    <w:p w:rsidR="006F5996" w:rsidRPr="00AB5675" w:rsidRDefault="006F5996" w:rsidP="006F5996">
      <w:pPr>
        <w:pStyle w:val="Quote"/>
        <w:rPr>
          <w:i/>
          <w:u w:val="single"/>
          <w:lang w:eastAsia="en-AU"/>
        </w:rPr>
      </w:pPr>
      <w:r w:rsidRPr="00AB5675">
        <w:rPr>
          <w:i/>
          <w:u w:val="single"/>
          <w:lang w:eastAsia="en-AU"/>
        </w:rPr>
        <w:t>The appropriateness of putting requirements in delegated legislation that, if breached, constitutes an offence</w:t>
      </w:r>
    </w:p>
    <w:p w:rsidR="006F5996" w:rsidRPr="00AB5675" w:rsidRDefault="006F5996" w:rsidP="006F5996">
      <w:pPr>
        <w:pStyle w:val="Quote"/>
      </w:pPr>
      <w:r w:rsidRPr="00AB5675">
        <w:rPr>
          <w:lang w:eastAsia="en-AU"/>
        </w:rPr>
        <w:t>The Committee has sought further information about the appropriateness of setting out requirements in delegated legislation where breach of those requirements will constitute an offence.</w:t>
      </w:r>
    </w:p>
    <w:p w:rsidR="006F5996" w:rsidRPr="00AB5675" w:rsidRDefault="006F5996" w:rsidP="006F5996">
      <w:pPr>
        <w:pStyle w:val="Quote"/>
      </w:pPr>
      <w:r w:rsidRPr="00AB5675">
        <w:rPr>
          <w:lang w:eastAsia="en-AU"/>
        </w:rPr>
        <w:t>This Bill includes a requirement for Retirement Savings Account providers and trustees of regulated superannuation funds and approved deposit funds to ensure that written reasons are given for decisions relating to complaints. Contravening this requirement will be an offence, subject to a penalty of up to 100 penalty units.</w:t>
      </w:r>
    </w:p>
    <w:p w:rsidR="006F5996" w:rsidRPr="00AB5675" w:rsidRDefault="006F5996" w:rsidP="006F5996">
      <w:pPr>
        <w:pStyle w:val="Quote"/>
      </w:pPr>
      <w:r w:rsidRPr="00AB5675">
        <w:rPr>
          <w:lang w:eastAsia="en-AU"/>
        </w:rPr>
        <w:t>This Bill allows ASIC to set out the detail of this requirement by legislative instrument. The details that ASIC may specify are clearly circumscribed in the Act and the details will be readily obtainable, being available on the Federal Register of Legislation. ASIC will be required to consult, as appropriate, on the content of the legislative instrument.</w:t>
      </w:r>
    </w:p>
    <w:p w:rsidR="006F5996" w:rsidRPr="00AB5675" w:rsidRDefault="006F5996" w:rsidP="006F5996">
      <w:pPr>
        <w:pStyle w:val="Quote"/>
      </w:pPr>
      <w:r w:rsidRPr="00AB5675">
        <w:rPr>
          <w:lang w:eastAsia="en-AU"/>
        </w:rPr>
        <w:t>This approach provides ASIC with the flexibility to develop and consult on the content of its legislative instrument so as to provide for greater consistency between the requirements around giving reasons for internal dispute resolution decisions made by these trustees and the requirements that will apply for other internal dispute resolution firms.</w:t>
      </w:r>
    </w:p>
    <w:p w:rsidR="006F5996" w:rsidRPr="00AB5675" w:rsidRDefault="006F5996" w:rsidP="006F5996">
      <w:pPr>
        <w:pStyle w:val="Quote"/>
      </w:pPr>
      <w:r w:rsidRPr="00AB5675">
        <w:rPr>
          <w:lang w:eastAsia="en-AU"/>
        </w:rPr>
        <w:t xml:space="preserve">The requirements that apply for other internal dispute resolution firms will be set out under requirements approved by ASIC as mentioned in subparagraph 912A(2)(a)(i) of the </w:t>
      </w:r>
      <w:r w:rsidRPr="00AB5675">
        <w:rPr>
          <w:i/>
          <w:iCs/>
          <w:lang w:eastAsia="en-AU"/>
        </w:rPr>
        <w:t xml:space="preserve">Corporations Act 2001. </w:t>
      </w:r>
      <w:r w:rsidRPr="00AB5675">
        <w:rPr>
          <w:lang w:eastAsia="en-AU"/>
        </w:rPr>
        <w:t xml:space="preserve">This approach allows ASIC to ensure the new requirements begin for all internal dispute resolution firms from the same start date and that the enhanced internal dispute resolution framework achieves a consistent approach for consumers of financial services and products, including superannuation products. </w:t>
      </w:r>
      <w:r w:rsidRPr="00AB5675">
        <w:rPr>
          <w:sz w:val="22"/>
          <w:szCs w:val="22"/>
          <w:lang w:eastAsia="en-AU"/>
        </w:rPr>
        <w:t xml:space="preserve">It </w:t>
      </w:r>
      <w:r w:rsidRPr="00AB5675">
        <w:rPr>
          <w:lang w:eastAsia="en-AU"/>
        </w:rPr>
        <w:t>would also be expected that in the long term, harmonising the rules will result in reduced complexity for internal dispute resolution procedures for financial service providers.</w:t>
      </w:r>
    </w:p>
    <w:p w:rsidR="006F5996" w:rsidRPr="00AB5675" w:rsidRDefault="006F5996" w:rsidP="006F5996">
      <w:pPr>
        <w:pStyle w:val="Level113"/>
        <w:tabs>
          <w:tab w:val="clear" w:pos="850"/>
        </w:tabs>
        <w:rPr>
          <w:b/>
          <w:i/>
        </w:rPr>
      </w:pPr>
      <w:r w:rsidRPr="00AB5675">
        <w:rPr>
          <w:b/>
          <w:i/>
        </w:rPr>
        <w:t>Committee comment</w:t>
      </w:r>
    </w:p>
    <w:p w:rsidR="006F5996" w:rsidRPr="00AB5675" w:rsidRDefault="006F5996" w:rsidP="006F5996">
      <w:pPr>
        <w:pStyle w:val="Level113"/>
        <w:numPr>
          <w:ilvl w:val="0"/>
          <w:numId w:val="21"/>
        </w:numPr>
      </w:pPr>
      <w:r w:rsidRPr="00AB5675">
        <w:t xml:space="preserve">The committee thanks the Minister for this response. The committee notes the Minister's advice that the bill allows ASIC to set out the details of reasons given for decisions relating to complaints by Retirement Savings Account providers and trustees of regulated superannuation funds and approved deposit funds by legislative instrument. The committee notes the Minister's advice that details that ASIC may specify are clearly circumscribed in the Act and will be readily obtainable </w:t>
      </w:r>
      <w:r w:rsidRPr="00AB5675">
        <w:lastRenderedPageBreak/>
        <w:t>on the Federal Register of Legislation, and this approach provides ASIC with the flexibility to develop and consult on the legislative instrument and provide greater consistency between requirements on these trustees and those that will apply for other internal dispute resolution firms.</w:t>
      </w:r>
    </w:p>
    <w:p w:rsidR="006F5996" w:rsidRPr="00AB5675" w:rsidRDefault="006F5996" w:rsidP="006F5996">
      <w:pPr>
        <w:pStyle w:val="Level1131"/>
        <w:numPr>
          <w:ilvl w:val="0"/>
          <w:numId w:val="21"/>
        </w:numPr>
      </w:pPr>
      <w:r w:rsidRPr="00AB5675">
        <w:t>The committee's view is that significant matters, such as requirements the breach of which will constitute an offence, should generally be included in primary legislation. The committee does not consider that providing flexibility for ASIC is a sufficient justification for setting out requirements in delegated legislation where breach of those requirements will constitute an offence.</w:t>
      </w:r>
    </w:p>
    <w:p w:rsidR="006F5996" w:rsidRPr="00AB5675" w:rsidRDefault="006F5996" w:rsidP="006F5996">
      <w:pPr>
        <w:pStyle w:val="Level113"/>
        <w:numPr>
          <w:ilvl w:val="0"/>
          <w:numId w:val="21"/>
        </w:numPr>
        <w:rPr>
          <w:b/>
        </w:rPr>
      </w:pPr>
      <w:r w:rsidRPr="00AB5675">
        <w:rPr>
          <w:b/>
        </w:rPr>
        <w:t xml:space="preserve">The committee draws its scrutiny concerns to the attention of Senators and </w:t>
      </w:r>
      <w:bookmarkStart w:id="31" w:name="OLE_LINK55"/>
      <w:r w:rsidRPr="00AB5675">
        <w:rPr>
          <w:b/>
        </w:rPr>
        <w:t>leaves to the Senate as a whole the appropriateness of</w:t>
      </w:r>
      <w:bookmarkEnd w:id="31"/>
      <w:r w:rsidRPr="00AB5675">
        <w:rPr>
          <w:b/>
        </w:rPr>
        <w:t xml:space="preserve"> setting out requirements in delegated legislation where breach of those requirements will constitute an offence.</w:t>
      </w:r>
    </w:p>
    <w:p w:rsidR="006F5996" w:rsidRDefault="006F5996" w:rsidP="006F5996">
      <w:pPr>
        <w:pStyle w:val="Level113"/>
        <w:numPr>
          <w:ilvl w:val="0"/>
          <w:numId w:val="21"/>
        </w:numPr>
        <w:rPr>
          <w:b/>
        </w:rPr>
      </w:pPr>
      <w:bookmarkStart w:id="32" w:name="OLE_LINK7"/>
      <w:r w:rsidRPr="00AB5675">
        <w:rPr>
          <w:b/>
        </w:rPr>
        <w:t>The committee also draws this matter to the attention of the Senate Standing Committee on Regulations and Ordinances for information.</w:t>
      </w:r>
      <w:bookmarkEnd w:id="32"/>
    </w:p>
    <w:p w:rsidR="006F5996" w:rsidRDefault="006F5996" w:rsidP="006F5996">
      <w:pPr>
        <w:pStyle w:val="Level113"/>
        <w:numPr>
          <w:ilvl w:val="0"/>
          <w:numId w:val="21"/>
        </w:numPr>
        <w:rPr>
          <w:b/>
        </w:rPr>
        <w:sectPr w:rsidR="006F5996" w:rsidSect="00194588">
          <w:headerReference w:type="even" r:id="rId201"/>
          <w:headerReference w:type="default" r:id="rId202"/>
          <w:footerReference w:type="even" r:id="rId203"/>
          <w:footerReference w:type="default" r:id="rId204"/>
          <w:headerReference w:type="first" r:id="rId205"/>
          <w:footerReference w:type="first" r:id="rId206"/>
          <w:pgSz w:w="11906" w:h="16838" w:code="9"/>
          <w:pgMar w:top="1440" w:right="1440" w:bottom="1202" w:left="1440" w:header="1134" w:footer="720" w:gutter="0"/>
          <w:cols w:space="720"/>
          <w:titlePg/>
        </w:sectPr>
      </w:pPr>
    </w:p>
    <w:p w:rsidR="006F5996" w:rsidRPr="00F63ABE" w:rsidRDefault="006F5996" w:rsidP="006F5996">
      <w:pPr>
        <w:pStyle w:val="Level1"/>
        <w:numPr>
          <w:ilvl w:val="0"/>
          <w:numId w:val="0"/>
        </w:numPr>
      </w:pPr>
    </w:p>
    <w:p w:rsidR="006F5996" w:rsidRDefault="006F5996" w:rsidP="006F5996">
      <w:pPr>
        <w:pStyle w:val="Heading1"/>
        <w:sectPr w:rsidR="006F5996" w:rsidSect="0073407A">
          <w:headerReference w:type="first" r:id="rId207"/>
          <w:footerReference w:type="first" r:id="rId208"/>
          <w:pgSz w:w="11906" w:h="16838" w:code="9"/>
          <w:pgMar w:top="1440" w:right="1440" w:bottom="1202" w:left="1440" w:header="1134" w:footer="720" w:gutter="0"/>
          <w:pgNumType w:start="163"/>
          <w:cols w:space="720"/>
          <w:titlePg/>
        </w:sectPr>
      </w:pPr>
    </w:p>
    <w:p w:rsidR="006F5996" w:rsidRPr="002A1AB6" w:rsidRDefault="006F5996" w:rsidP="006F5996">
      <w:pPr>
        <w:pStyle w:val="Heading1"/>
      </w:pPr>
      <w:r>
        <w:lastRenderedPageBreak/>
        <w:t>Chapter 3</w:t>
      </w:r>
    </w:p>
    <w:p w:rsidR="006F5996" w:rsidRPr="007B730A" w:rsidRDefault="006F5996" w:rsidP="006F5996">
      <w:pPr>
        <w:pStyle w:val="Heading2"/>
        <w:spacing w:before="0" w:after="240"/>
        <w:rPr>
          <w:sz w:val="40"/>
          <w:szCs w:val="40"/>
        </w:rPr>
      </w:pPr>
      <w:r w:rsidRPr="007B730A">
        <w:rPr>
          <w:sz w:val="40"/>
          <w:szCs w:val="40"/>
        </w:rPr>
        <w:t>Scrutiny of standing appropriations</w:t>
      </w:r>
    </w:p>
    <w:p w:rsidR="006F5996" w:rsidRDefault="006F5996" w:rsidP="006F5996">
      <w:pPr>
        <w:pStyle w:val="Level1"/>
        <w:numPr>
          <w:ilvl w:val="0"/>
          <w:numId w:val="21"/>
        </w:numPr>
      </w:pPr>
      <w:r>
        <w:t>Standing appropriations enable entities to spend money from the Consolidated Revenue Fund on an ongoing basis. Their significance from an accountability perspective is that, once they have been enacted, the expenditure they involve does not require regular parliamentary approval and therefore escapes parliamentary control. They are not subject to approval through the standard annual appropriations process.</w:t>
      </w:r>
    </w:p>
    <w:p w:rsidR="006F5996" w:rsidRDefault="006F5996" w:rsidP="006F5996">
      <w:pPr>
        <w:pStyle w:val="Level1"/>
        <w:numPr>
          <w:ilvl w:val="0"/>
          <w:numId w:val="21"/>
        </w:numPr>
      </w:pPr>
      <w:r>
        <w:t>By allowing the executive government to spend unspecified amounts of money for an indefinite time into the future, provisions which establish standing appropriations may, depending on the circumstances of the legislation, infringe on the committee's terms of reference relating to the delegation and exercise of legislative power.</w:t>
      </w:r>
    </w:p>
    <w:p w:rsidR="006F5996" w:rsidRDefault="006F5996" w:rsidP="006F5996">
      <w:pPr>
        <w:pStyle w:val="Level1"/>
        <w:numPr>
          <w:ilvl w:val="0"/>
          <w:numId w:val="21"/>
        </w:numPr>
      </w:pPr>
      <w:r w:rsidRPr="003A5036">
        <w:t>The</w:t>
      </w:r>
      <w:r>
        <w:t>refore, the</w:t>
      </w:r>
      <w:r w:rsidRPr="003A5036">
        <w:t xml:space="preserve"> committee has determined that, as part of its standard procedures for repo</w:t>
      </w:r>
      <w:r>
        <w:t>rting on bills, it should draw Senators'</w:t>
      </w:r>
      <w:r w:rsidRPr="003A5036">
        <w:t xml:space="preserve"> attention</w:t>
      </w:r>
      <w:r>
        <w:t xml:space="preserve"> to bills that establish or amend standing appropriations or establish, amend or continue in existence special accounts.</w:t>
      </w:r>
      <w:r>
        <w:rPr>
          <w:rStyle w:val="FootnoteReference"/>
          <w:sz w:val="24"/>
          <w:szCs w:val="24"/>
        </w:rPr>
        <w:footnoteReference w:id="243"/>
      </w:r>
      <w:r>
        <w:t xml:space="preserve"> </w:t>
      </w:r>
      <w:r w:rsidRPr="003A5036">
        <w:t>It will do so under provisions 1(a)(iv) and (v) of its terms of reference, which require the committee to report on whether bills:</w:t>
      </w:r>
    </w:p>
    <w:p w:rsidR="006F5996" w:rsidRDefault="006F5996" w:rsidP="006F5996">
      <w:pPr>
        <w:pStyle w:val="Level3"/>
        <w:numPr>
          <w:ilvl w:val="2"/>
          <w:numId w:val="36"/>
        </w:numPr>
      </w:pPr>
      <w:r w:rsidRPr="003A5036">
        <w:t>inappropriately delegate legislative powers; or</w:t>
      </w:r>
    </w:p>
    <w:p w:rsidR="006F5996" w:rsidRDefault="006F5996" w:rsidP="006F5996">
      <w:pPr>
        <w:pStyle w:val="Level3"/>
        <w:numPr>
          <w:ilvl w:val="2"/>
          <w:numId w:val="21"/>
        </w:numPr>
      </w:pPr>
      <w:r w:rsidRPr="003A5036">
        <w:t>insufficiently subject the exercise of legislative power to parliamentary scrutiny.</w:t>
      </w:r>
      <w:r>
        <w:rPr>
          <w:rStyle w:val="FootnoteReference"/>
        </w:rPr>
        <w:footnoteReference w:id="244"/>
      </w:r>
    </w:p>
    <w:p w:rsidR="006F5996" w:rsidRDefault="006F5996" w:rsidP="006F5996">
      <w:pPr>
        <w:pStyle w:val="Level1"/>
        <w:numPr>
          <w:ilvl w:val="0"/>
          <w:numId w:val="21"/>
        </w:numPr>
        <w:spacing w:after="240"/>
      </w:pPr>
      <w:r>
        <w:t>The committee draws the following bill to the attention of Senators:</w:t>
      </w:r>
    </w:p>
    <w:p w:rsidR="006F5996" w:rsidRPr="00063955" w:rsidRDefault="006F5996" w:rsidP="006F5996">
      <w:pPr>
        <w:pStyle w:val="Bullet1"/>
        <w:rPr>
          <w:szCs w:val="26"/>
        </w:rPr>
      </w:pPr>
      <w:r w:rsidRPr="00063955">
        <w:rPr>
          <w:b/>
          <w:szCs w:val="26"/>
        </w:rPr>
        <w:t xml:space="preserve">Commonwealth Redress Scheme for Institutional Child Sexual Abuse Bill 2017 </w:t>
      </w:r>
      <w:r w:rsidRPr="00063955">
        <w:rPr>
          <w:szCs w:val="26"/>
        </w:rPr>
        <w:t>–– Part 3-1, Division 2, section 54</w:t>
      </w:r>
      <w:r>
        <w:rPr>
          <w:szCs w:val="26"/>
        </w:rPr>
        <w:t>.</w:t>
      </w:r>
    </w:p>
    <w:p w:rsidR="006F5996" w:rsidRDefault="006F5996" w:rsidP="006F5996">
      <w:pPr>
        <w:pStyle w:val="Level1"/>
        <w:numPr>
          <w:ilvl w:val="0"/>
          <w:numId w:val="0"/>
        </w:numPr>
        <w:rPr>
          <w:b/>
        </w:rPr>
      </w:pPr>
    </w:p>
    <w:p w:rsidR="006F5996" w:rsidRDefault="006F5996" w:rsidP="006F5996">
      <w:pPr>
        <w:spacing w:before="0" w:after="0"/>
        <w:jc w:val="left"/>
        <w:rPr>
          <w:b/>
        </w:rPr>
      </w:pPr>
    </w:p>
    <w:p w:rsidR="006F5996" w:rsidRDefault="006F5996" w:rsidP="00AA149B">
      <w:pPr>
        <w:pStyle w:val="Heading1"/>
        <w:sectPr w:rsidR="006F5996" w:rsidSect="0073407A">
          <w:headerReference w:type="first" r:id="rId209"/>
          <w:footerReference w:type="first" r:id="rId210"/>
          <w:pgSz w:w="11906" w:h="16838" w:code="9"/>
          <w:pgMar w:top="1440" w:right="1440" w:bottom="1202" w:left="1440" w:header="1134" w:footer="720" w:gutter="0"/>
          <w:pgNumType w:start="163"/>
          <w:cols w:space="720"/>
          <w:titlePg/>
        </w:sectPr>
      </w:pPr>
    </w:p>
    <w:p w:rsidR="006F5996" w:rsidRDefault="006F5996" w:rsidP="00AA149B">
      <w:pPr>
        <w:pStyle w:val="Heading1"/>
        <w:sectPr w:rsidR="006F5996" w:rsidSect="0073407A">
          <w:headerReference w:type="first" r:id="rId211"/>
          <w:footerReference w:type="first" r:id="rId212"/>
          <w:pgSz w:w="11906" w:h="16838" w:code="9"/>
          <w:pgMar w:top="1440" w:right="1440" w:bottom="1202" w:left="1440" w:header="1134" w:footer="720" w:gutter="0"/>
          <w:pgNumType w:start="163"/>
          <w:cols w:space="720"/>
          <w:titlePg/>
        </w:sectPr>
      </w:pPr>
    </w:p>
    <w:p w:rsidR="00520991" w:rsidRDefault="00AA149B" w:rsidP="00AA149B">
      <w:pPr>
        <w:pStyle w:val="Heading1"/>
      </w:pPr>
      <w:r>
        <w:lastRenderedPageBreak/>
        <w:t>Chapter 4</w:t>
      </w:r>
    </w:p>
    <w:p w:rsidR="00AA149B" w:rsidRDefault="00AA149B" w:rsidP="00AA149B">
      <w:pPr>
        <w:pStyle w:val="Heading2"/>
      </w:pPr>
      <w:r>
        <w:t xml:space="preserve">Proposed amendment to </w:t>
      </w:r>
      <w:r w:rsidR="002A1F4E">
        <w:t>s</w:t>
      </w:r>
      <w:r>
        <w:t xml:space="preserve">tanding </w:t>
      </w:r>
      <w:r w:rsidR="002A1F4E">
        <w:t>o</w:t>
      </w:r>
      <w:r>
        <w:t>rder 24</w:t>
      </w:r>
    </w:p>
    <w:p w:rsidR="00AA149B" w:rsidRDefault="00AA149B" w:rsidP="00AA149B">
      <w:pPr>
        <w:pStyle w:val="Heading3"/>
      </w:pPr>
      <w:r>
        <w:t>Background</w:t>
      </w:r>
    </w:p>
    <w:p w:rsidR="00AA149B" w:rsidRDefault="00AA149B" w:rsidP="00AA149B">
      <w:pPr>
        <w:pStyle w:val="Level1"/>
      </w:pPr>
      <w:r>
        <w:t xml:space="preserve">Standing </w:t>
      </w:r>
      <w:r w:rsidR="002A1F4E">
        <w:t>o</w:t>
      </w:r>
      <w:r>
        <w:t xml:space="preserve">rder 24 provides for the establishment </w:t>
      </w:r>
      <w:r w:rsidR="0020632E">
        <w:t xml:space="preserve">and operation </w:t>
      </w:r>
      <w:r>
        <w:t xml:space="preserve">of the Standing Committee </w:t>
      </w:r>
      <w:r w:rsidR="0020632E">
        <w:t xml:space="preserve">for the Scrutiny of Bills. On 29 November 2016, the Senate agreed </w:t>
      </w:r>
      <w:r w:rsidR="003C1275">
        <w:t>to temporar</w:t>
      </w:r>
      <w:r w:rsidR="00E7694C">
        <w:t>ily</w:t>
      </w:r>
      <w:r w:rsidR="003C1275">
        <w:t xml:space="preserve"> amend </w:t>
      </w:r>
      <w:r w:rsidR="002A1F4E">
        <w:t>s</w:t>
      </w:r>
      <w:r w:rsidR="003C1275">
        <w:t xml:space="preserve">tanding </w:t>
      </w:r>
      <w:r w:rsidR="002A1F4E">
        <w:t>o</w:t>
      </w:r>
      <w:r w:rsidR="003C1275">
        <w:t>rder</w:t>
      </w:r>
      <w:r w:rsidR="00E7694C">
        <w:t xml:space="preserve"> </w:t>
      </w:r>
      <w:r w:rsidR="004D18FB">
        <w:t>24</w:t>
      </w:r>
      <w:r w:rsidR="0022783A">
        <w:t>(1)</w:t>
      </w:r>
      <w:r w:rsidR="004D18FB">
        <w:t xml:space="preserve"> so as to include the following paragraph from the first sitting day of 2017 to the last sitting day of March 2018</w:t>
      </w:r>
      <w:r w:rsidR="00E7694C">
        <w:t>:</w:t>
      </w:r>
    </w:p>
    <w:p w:rsidR="00E7694C" w:rsidRDefault="00E7694C" w:rsidP="00681328">
      <w:pPr>
        <w:pStyle w:val="Level2"/>
        <w:numPr>
          <w:ilvl w:val="1"/>
          <w:numId w:val="34"/>
        </w:numPr>
      </w:pPr>
      <w:r>
        <w:t>If the committee has not finally reported on a bill due to the failure of a minister to respond to its concerns then, immediately prior to the consideration of government business on any day or immediately prior to the consideration of the bill:</w:t>
      </w:r>
    </w:p>
    <w:p w:rsidR="00E7694C" w:rsidRDefault="00E7694C" w:rsidP="005F471F">
      <w:pPr>
        <w:pStyle w:val="Level3"/>
      </w:pPr>
      <w:r>
        <w:t>any senator may ask the minister for an explanation as to why the minister has not provided a response to the committee, and</w:t>
      </w:r>
    </w:p>
    <w:p w:rsidR="00E7694C" w:rsidRDefault="00E7694C" w:rsidP="005F471F">
      <w:pPr>
        <w:pStyle w:val="Level3"/>
      </w:pPr>
      <w:r>
        <w:t>the senator may, at the conclusion of the explanation, move without notice either a motion relating to the consideration of the bill or—That the Senate take note of the explanation; or</w:t>
      </w:r>
    </w:p>
    <w:p w:rsidR="00E7694C" w:rsidRDefault="00E7694C" w:rsidP="005F471F">
      <w:pPr>
        <w:pStyle w:val="Level3"/>
      </w:pPr>
      <w:r>
        <w:t>in the event that the minister does not provide an explanation, the senator may, without notice, move a motion with regard to the minister’s failure to provide an explanation.</w:t>
      </w:r>
      <w:r>
        <w:rPr>
          <w:rStyle w:val="FootnoteReference"/>
        </w:rPr>
        <w:footnoteReference w:id="245"/>
      </w:r>
    </w:p>
    <w:p w:rsidR="00E7694C" w:rsidRDefault="00681328" w:rsidP="00AA149B">
      <w:pPr>
        <w:pStyle w:val="Level1"/>
      </w:pPr>
      <w:r>
        <w:t xml:space="preserve">By way of background, the motion proposing the temporary order explained that 'where the Scrutiny of Bills Committee writes to a minister it expects a response to be received in time to be considered by the committee and reported on while the bill is still before the </w:t>
      </w:r>
      <w:r w:rsidR="000E422F">
        <w:t>P</w:t>
      </w:r>
      <w:r>
        <w:t>arliament', and that 'if the committee has not completed its inquiry due to the failure of a minister to respond to the committee's concerns, senators should have the right to ask the responsible minister why the Scrutiny of Bills Committee has not received a response'.</w:t>
      </w:r>
      <w:r>
        <w:rPr>
          <w:rStyle w:val="FootnoteReference"/>
        </w:rPr>
        <w:footnoteReference w:id="246"/>
      </w:r>
    </w:p>
    <w:p w:rsidR="003B327F" w:rsidRDefault="003E7814" w:rsidP="00C56490">
      <w:pPr>
        <w:pStyle w:val="Level1"/>
      </w:pPr>
      <w:r w:rsidRPr="00CB6D80">
        <w:t xml:space="preserve">Since the commencement of this temporary order, the committee </w:t>
      </w:r>
      <w:r w:rsidR="00C56490" w:rsidRPr="00CB6D80">
        <w:t xml:space="preserve">has adopted </w:t>
      </w:r>
      <w:r w:rsidR="009B4379">
        <w:t>the</w:t>
      </w:r>
      <w:r w:rsidR="00C56490" w:rsidRPr="00CB6D80">
        <w:t xml:space="preserve"> practice of publishing on its website</w:t>
      </w:r>
      <w:r w:rsidR="00A4055A" w:rsidRPr="00CB6D80">
        <w:t xml:space="preserve"> a list of bills</w:t>
      </w:r>
      <w:r w:rsidR="00CB6D80" w:rsidRPr="00CB6D80">
        <w:t xml:space="preserve"> on which it has sought advice from the responsible minister but </w:t>
      </w:r>
      <w:r w:rsidR="009A3CEC">
        <w:t xml:space="preserve">either </w:t>
      </w:r>
      <w:r w:rsidR="00446728">
        <w:t xml:space="preserve">has </w:t>
      </w:r>
      <w:r w:rsidR="00CB6D80" w:rsidRPr="00CB6D80">
        <w:t>not yet received a response</w:t>
      </w:r>
      <w:r w:rsidR="00446728">
        <w:t xml:space="preserve"> or </w:t>
      </w:r>
      <w:r w:rsidR="00B35F5E">
        <w:t xml:space="preserve">has </w:t>
      </w:r>
      <w:r w:rsidR="00446728">
        <w:t>received a response but not yet finally reported.</w:t>
      </w:r>
      <w:r w:rsidR="00C56490" w:rsidRPr="00CB6D80">
        <w:rPr>
          <w:rStyle w:val="FootnoteReference"/>
        </w:rPr>
        <w:footnoteReference w:id="247"/>
      </w:r>
      <w:r w:rsidR="00750698">
        <w:t xml:space="preserve"> </w:t>
      </w:r>
      <w:r w:rsidR="005B6FD8">
        <w:t>Where it may assist timely scrutiny of legislation currently before the Senate, t</w:t>
      </w:r>
      <w:r w:rsidR="00C16299">
        <w:t xml:space="preserve">he committee has also chosen to </w:t>
      </w:r>
      <w:r w:rsidR="00C16299">
        <w:lastRenderedPageBreak/>
        <w:t xml:space="preserve">publish </w:t>
      </w:r>
      <w:r w:rsidR="00515CB4">
        <w:t xml:space="preserve">on its website </w:t>
      </w:r>
      <w:r w:rsidR="00C16299">
        <w:t>ministerial response</w:t>
      </w:r>
      <w:r w:rsidR="00515CB4">
        <w:t>s</w:t>
      </w:r>
      <w:r w:rsidR="005B6FD8">
        <w:t>,</w:t>
      </w:r>
      <w:r w:rsidR="00C16299">
        <w:t xml:space="preserve"> </w:t>
      </w:r>
      <w:r w:rsidR="00515CB4">
        <w:t>together with its</w:t>
      </w:r>
      <w:r w:rsidR="00C16299">
        <w:t xml:space="preserve"> preliminary comments on the response</w:t>
      </w:r>
      <w:r w:rsidR="00515CB4">
        <w:t>s</w:t>
      </w:r>
      <w:r w:rsidR="0089069E">
        <w:t xml:space="preserve">, </w:t>
      </w:r>
      <w:r w:rsidR="005B6FD8">
        <w:t>prior to the tabling of its regular Scrutiny Digest.</w:t>
      </w:r>
    </w:p>
    <w:p w:rsidR="00AC07F2" w:rsidRDefault="00B35F5E" w:rsidP="00B3193C">
      <w:pPr>
        <w:pStyle w:val="Level1"/>
      </w:pPr>
      <w:r>
        <w:t>To date, n</w:t>
      </w:r>
      <w:r w:rsidR="00634E02">
        <w:t xml:space="preserve">o senator has yet exercised their ability to ask a minister for an explanation as </w:t>
      </w:r>
      <w:r w:rsidR="002A3D62">
        <w:t xml:space="preserve">to </w:t>
      </w:r>
      <w:r w:rsidR="00634E02">
        <w:t xml:space="preserve">why a response has not been provided to the committee, as provided </w:t>
      </w:r>
      <w:r w:rsidR="002A3D62">
        <w:t xml:space="preserve">for </w:t>
      </w:r>
      <w:r w:rsidR="00634E02">
        <w:t xml:space="preserve">by </w:t>
      </w:r>
      <w:r w:rsidR="002A3D62">
        <w:t xml:space="preserve">the </w:t>
      </w:r>
      <w:r w:rsidR="00634E02">
        <w:t xml:space="preserve">temporary order. However, </w:t>
      </w:r>
      <w:r w:rsidR="001C4262">
        <w:t>since the commencement of the temporary order</w:t>
      </w:r>
      <w:r w:rsidR="00EA03DD">
        <w:t xml:space="preserve">, there has been a significant improvement in </w:t>
      </w:r>
      <w:r w:rsidR="002A3D62">
        <w:t xml:space="preserve">the </w:t>
      </w:r>
      <w:r w:rsidR="00EA03DD">
        <w:t xml:space="preserve">responsiveness of ministers to the committee's requests for </w:t>
      </w:r>
      <w:r w:rsidR="00EA03DD" w:rsidRPr="00B3193C">
        <w:t>information.</w:t>
      </w:r>
      <w:r w:rsidR="00AE36C7" w:rsidRPr="007978E2">
        <w:t xml:space="preserve"> </w:t>
      </w:r>
      <w:r w:rsidR="00AE36C7" w:rsidRPr="0065534E">
        <w:t>For example, t</w:t>
      </w:r>
      <w:r w:rsidR="000052BA" w:rsidRPr="0065534E">
        <w:t xml:space="preserve">he </w:t>
      </w:r>
      <w:r w:rsidR="009A3CEC" w:rsidRPr="0065534E">
        <w:t xml:space="preserve">proportion </w:t>
      </w:r>
      <w:r w:rsidR="000052BA" w:rsidRPr="0065534E">
        <w:t xml:space="preserve">of ministerial responses that were </w:t>
      </w:r>
      <w:r w:rsidR="00AE36C7" w:rsidRPr="0065534E">
        <w:t xml:space="preserve">late (that is, </w:t>
      </w:r>
      <w:r w:rsidR="000052BA" w:rsidRPr="0065534E">
        <w:t>not provided within the timeframe set by the committee</w:t>
      </w:r>
      <w:r w:rsidR="00AE36C7" w:rsidRPr="0065534E">
        <w:t>)</w:t>
      </w:r>
      <w:r w:rsidR="000052BA" w:rsidRPr="0065534E">
        <w:t xml:space="preserve"> was 36 per cent in 2015 and 44 per cent in 2016. </w:t>
      </w:r>
      <w:r w:rsidR="00AE36C7" w:rsidRPr="0065534E">
        <w:t xml:space="preserve">However, as </w:t>
      </w:r>
      <w:r w:rsidR="00AE36C7" w:rsidRPr="00BA5A92">
        <w:t xml:space="preserve">at </w:t>
      </w:r>
      <w:r w:rsidR="0094076E" w:rsidRPr="00BA5A92">
        <w:t>8</w:t>
      </w:r>
      <w:r w:rsidR="00AE36C7" w:rsidRPr="00BA5A92">
        <w:t xml:space="preserve"> November 2017</w:t>
      </w:r>
      <w:r w:rsidR="000052BA" w:rsidRPr="00BA5A92">
        <w:t>, this</w:t>
      </w:r>
      <w:r w:rsidR="000052BA" w:rsidRPr="0065534E">
        <w:t xml:space="preserve"> figure ha</w:t>
      </w:r>
      <w:r w:rsidR="0094076E">
        <w:t>d</w:t>
      </w:r>
      <w:r w:rsidR="000052BA" w:rsidRPr="0065534E">
        <w:t xml:space="preserve"> fallen to 22 per cent.</w:t>
      </w:r>
      <w:r w:rsidR="00D65131" w:rsidRPr="0065534E">
        <w:t xml:space="preserve"> </w:t>
      </w:r>
    </w:p>
    <w:p w:rsidR="00B3193C" w:rsidRPr="0065534E" w:rsidRDefault="00AE36C7" w:rsidP="00B3193C">
      <w:pPr>
        <w:pStyle w:val="Level1"/>
      </w:pPr>
      <w:r w:rsidRPr="0065534E">
        <w:t xml:space="preserve">In addition, </w:t>
      </w:r>
      <w:r w:rsidR="00AC07F2">
        <w:t xml:space="preserve">a greater proportion of </w:t>
      </w:r>
      <w:r w:rsidRPr="0065534E">
        <w:t xml:space="preserve">responses to the committee's scrutiny concerns have been received before debate on the bill, </w:t>
      </w:r>
      <w:r w:rsidR="0094076E">
        <w:t>helping to ensure that</w:t>
      </w:r>
      <w:r w:rsidRPr="0065534E">
        <w:t xml:space="preserve"> the </w:t>
      </w:r>
      <w:r w:rsidR="0094076E">
        <w:t xml:space="preserve">final </w:t>
      </w:r>
      <w:r w:rsidR="00AC07F2">
        <w:t xml:space="preserve">scrutiny concerns raised by the </w:t>
      </w:r>
      <w:r w:rsidRPr="0065534E">
        <w:t>committee</w:t>
      </w:r>
      <w:r w:rsidR="00AC07F2">
        <w:t xml:space="preserve"> are available </w:t>
      </w:r>
      <w:r w:rsidRPr="0065534E">
        <w:t>when the bi</w:t>
      </w:r>
      <w:r w:rsidR="00AC07F2">
        <w:t>l</w:t>
      </w:r>
      <w:r w:rsidRPr="0065534E">
        <w:t xml:space="preserve">l is under consideration. For example, the </w:t>
      </w:r>
      <w:r w:rsidR="009A3CEC" w:rsidRPr="0065534E">
        <w:t xml:space="preserve">proportion </w:t>
      </w:r>
      <w:r w:rsidR="000052BA" w:rsidRPr="0065534E">
        <w:t xml:space="preserve">of ministerial responses received by the committee after the relevant bill had passed both </w:t>
      </w:r>
      <w:r w:rsidR="00576299" w:rsidRPr="0065534E">
        <w:t xml:space="preserve">houses of </w:t>
      </w:r>
      <w:r w:rsidR="001C6152" w:rsidRPr="0065534E">
        <w:t>p</w:t>
      </w:r>
      <w:r w:rsidR="00D65131" w:rsidRPr="0065534E">
        <w:t>arliament was 18 per cent in 2015 and 14 per cent in 2016</w:t>
      </w:r>
      <w:r w:rsidRPr="0065534E">
        <w:t>, but this ha</w:t>
      </w:r>
      <w:r w:rsidR="0094076E">
        <w:t>d</w:t>
      </w:r>
      <w:r w:rsidRPr="0065534E">
        <w:t xml:space="preserve"> </w:t>
      </w:r>
      <w:r w:rsidR="00D65131" w:rsidRPr="0065534E">
        <w:t>fallen to five per cent</w:t>
      </w:r>
      <w:r w:rsidR="0094076E">
        <w:t xml:space="preserve"> by November </w:t>
      </w:r>
      <w:r w:rsidRPr="0065534E">
        <w:t>2017</w:t>
      </w:r>
      <w:r w:rsidR="00D65131" w:rsidRPr="0065534E">
        <w:t>.</w:t>
      </w:r>
      <w:r w:rsidR="00B3193C" w:rsidRPr="00B3193C">
        <w:t xml:space="preserve"> </w:t>
      </w:r>
      <w:r w:rsidR="00B3193C" w:rsidRPr="007978E2">
        <w:t>In addition to this statistical evidence</w:t>
      </w:r>
      <w:r w:rsidR="00B3193C" w:rsidRPr="0065534E">
        <w:t>, interactions between the committee's secretariat and departmental and ministerial staff supports the view that this measure has led to greater efforts at all levels to meet the timeframes for ministerial responses set by the committee.</w:t>
      </w:r>
    </w:p>
    <w:p w:rsidR="001D6D9A" w:rsidRPr="00B3193C" w:rsidRDefault="00B3193C" w:rsidP="00C56490">
      <w:pPr>
        <w:pStyle w:val="Level1"/>
      </w:pPr>
      <w:r w:rsidRPr="0065534E">
        <w:t>The committee notes that t</w:t>
      </w:r>
      <w:r w:rsidR="001C6152" w:rsidRPr="0065534E">
        <w:t xml:space="preserve">imeliness in providing </w:t>
      </w:r>
      <w:r w:rsidR="001D6D9A" w:rsidRPr="0065534E">
        <w:t xml:space="preserve">ministerial </w:t>
      </w:r>
      <w:r w:rsidR="001C6152" w:rsidRPr="0065534E">
        <w:t xml:space="preserve">responses to the committee is essential to an effective scrutiny process. The committee considers that the </w:t>
      </w:r>
      <w:r w:rsidR="001D6D9A" w:rsidRPr="0065534E">
        <w:t xml:space="preserve">recent </w:t>
      </w:r>
      <w:r w:rsidRPr="0065534E">
        <w:t xml:space="preserve">improvement </w:t>
      </w:r>
      <w:r w:rsidR="001D6D9A" w:rsidRPr="0065534E">
        <w:t xml:space="preserve">in the </w:t>
      </w:r>
      <w:r w:rsidRPr="0065534E">
        <w:t xml:space="preserve">timeliness of responses </w:t>
      </w:r>
      <w:r w:rsidR="001C6152" w:rsidRPr="0065534E">
        <w:t>demonstrate</w:t>
      </w:r>
      <w:r w:rsidR="001D6D9A" w:rsidRPr="0065534E">
        <w:t>s</w:t>
      </w:r>
      <w:r w:rsidR="001C6152" w:rsidRPr="0065534E">
        <w:t xml:space="preserve"> the </w:t>
      </w:r>
      <w:r w:rsidRPr="0065534E">
        <w:t xml:space="preserve">effectiveness of the temporary amendment </w:t>
      </w:r>
      <w:r w:rsidR="007978E2">
        <w:t>to the standing orders</w:t>
      </w:r>
      <w:r w:rsidR="00796DF9" w:rsidRPr="0065534E">
        <w:t>.</w:t>
      </w:r>
    </w:p>
    <w:p w:rsidR="00BB1DDF" w:rsidRDefault="006C6FC3" w:rsidP="006C6FC3">
      <w:pPr>
        <w:pStyle w:val="Heading3"/>
      </w:pPr>
      <w:r>
        <w:t xml:space="preserve">Proposed </w:t>
      </w:r>
      <w:r w:rsidR="00B3193C">
        <w:t xml:space="preserve">ongoing </w:t>
      </w:r>
      <w:r>
        <w:t xml:space="preserve">amendment to </w:t>
      </w:r>
      <w:r w:rsidR="002A1F4E">
        <w:t>s</w:t>
      </w:r>
      <w:r>
        <w:t xml:space="preserve">tanding </w:t>
      </w:r>
      <w:r w:rsidR="002A1F4E">
        <w:t>o</w:t>
      </w:r>
      <w:r>
        <w:t>rder 24</w:t>
      </w:r>
    </w:p>
    <w:p w:rsidR="006C6FC3" w:rsidRDefault="002A3D62" w:rsidP="002A3D62">
      <w:pPr>
        <w:pStyle w:val="Level1"/>
      </w:pPr>
      <w:r>
        <w:t xml:space="preserve">In light of the improvement in ministerial responsiveness that has occurred since the commencement of the temporary order, the committee </w:t>
      </w:r>
      <w:r w:rsidR="00825054">
        <w:t>considers that the temporary order has significantly assisted it</w:t>
      </w:r>
      <w:r w:rsidR="00B35F5E">
        <w:t>, and therefore the Senate,</w:t>
      </w:r>
      <w:r w:rsidR="00825054">
        <w:t xml:space="preserve"> in its scrutiny work and that </w:t>
      </w:r>
      <w:r w:rsidR="002A1F4E">
        <w:t>s</w:t>
      </w:r>
      <w:r w:rsidR="00825054">
        <w:t xml:space="preserve">tanding </w:t>
      </w:r>
      <w:r w:rsidR="002A1F4E">
        <w:t>o</w:t>
      </w:r>
      <w:r w:rsidR="00825054">
        <w:t>rder 24</w:t>
      </w:r>
      <w:r w:rsidR="00B35F5E">
        <w:t xml:space="preserve"> should be amended to establish this process on an ongoing basis</w:t>
      </w:r>
      <w:r w:rsidR="00825054">
        <w:t>.</w:t>
      </w:r>
    </w:p>
    <w:p w:rsidR="00825054" w:rsidRDefault="00825054" w:rsidP="002A3D62">
      <w:pPr>
        <w:pStyle w:val="Level1"/>
      </w:pPr>
      <w:r w:rsidRPr="00394DAE">
        <w:t>The committee also considers that the practice it has currently adopted of publishing a list of bills in relation to which it has sought advic</w:t>
      </w:r>
      <w:r w:rsidR="00394DAE" w:rsidRPr="00394DAE">
        <w:t>e from the responsible minister</w:t>
      </w:r>
      <w:r w:rsidR="00394DAE">
        <w:t xml:space="preserve"> </w:t>
      </w:r>
      <w:r w:rsidR="00C021F5">
        <w:t>but not yet finally reported</w:t>
      </w:r>
      <w:r w:rsidR="007978E2">
        <w:t>,</w:t>
      </w:r>
      <w:r w:rsidR="00C021F5">
        <w:t xml:space="preserve"> </w:t>
      </w:r>
      <w:r w:rsidR="00BF5420">
        <w:t xml:space="preserve">has itself contributed to improved ministerial responsiveness and </w:t>
      </w:r>
      <w:r w:rsidR="00394DAE">
        <w:t xml:space="preserve">should also become </w:t>
      </w:r>
      <w:r w:rsidR="00B35F5E">
        <w:t xml:space="preserve">part of the </w:t>
      </w:r>
      <w:r w:rsidR="00394DAE">
        <w:t>requirement</w:t>
      </w:r>
      <w:r w:rsidR="00B35F5E">
        <w:t>s</w:t>
      </w:r>
      <w:r w:rsidR="00394DAE">
        <w:t xml:space="preserve"> of </w:t>
      </w:r>
      <w:r w:rsidR="002A1F4E">
        <w:t>s</w:t>
      </w:r>
      <w:r w:rsidR="00394DAE">
        <w:t xml:space="preserve">tanding </w:t>
      </w:r>
      <w:r w:rsidR="002A1F4E">
        <w:t>o</w:t>
      </w:r>
      <w:r w:rsidR="00394DAE">
        <w:t>rder</w:t>
      </w:r>
      <w:r w:rsidR="007978E2">
        <w:t> </w:t>
      </w:r>
      <w:r w:rsidR="00394DAE">
        <w:t>24.</w:t>
      </w:r>
    </w:p>
    <w:p w:rsidR="001A5ADD" w:rsidRDefault="003D6C9D" w:rsidP="00BF5420">
      <w:pPr>
        <w:pStyle w:val="Level1"/>
      </w:pPr>
      <w:r>
        <w:t xml:space="preserve">The following recommendation, if adopted by the Senate, would include the measures provided for by the current temporary order in standing order 24(1) on an ongoing basis. </w:t>
      </w:r>
      <w:r w:rsidR="001E183A">
        <w:t xml:space="preserve">Minor </w:t>
      </w:r>
      <w:r w:rsidR="002C513C">
        <w:t xml:space="preserve">stylistic </w:t>
      </w:r>
      <w:r w:rsidR="001E183A">
        <w:t>changes have been made to the drafting of the amendment</w:t>
      </w:r>
      <w:r w:rsidR="002C513C">
        <w:t xml:space="preserve"> which </w:t>
      </w:r>
      <w:r w:rsidR="00595D06">
        <w:t>do</w:t>
      </w:r>
      <w:r w:rsidR="001E183A">
        <w:t xml:space="preserve"> not alter the substance of the provisions. </w:t>
      </w:r>
      <w:r w:rsidR="00FC49DD">
        <w:t>In addition, t</w:t>
      </w:r>
      <w:r w:rsidR="00011C2B">
        <w:t xml:space="preserve">he </w:t>
      </w:r>
      <w:r w:rsidR="00FB3CB0">
        <w:t>recommendation</w:t>
      </w:r>
      <w:r w:rsidR="00011C2B">
        <w:t xml:space="preserve"> would also add </w:t>
      </w:r>
      <w:r w:rsidR="001A5ADD">
        <w:t xml:space="preserve">the following </w:t>
      </w:r>
      <w:r w:rsidR="00011C2B">
        <w:t>new provisions</w:t>
      </w:r>
      <w:r w:rsidR="001A5ADD">
        <w:t>:</w:t>
      </w:r>
    </w:p>
    <w:p w:rsidR="004A1373" w:rsidRDefault="004A1373" w:rsidP="00626A32">
      <w:pPr>
        <w:pStyle w:val="Bullet1"/>
      </w:pPr>
      <w:r>
        <w:lastRenderedPageBreak/>
        <w:t>p</w:t>
      </w:r>
      <w:r w:rsidR="00D712DA">
        <w:t>roposed paragraph (d) would</w:t>
      </w:r>
      <w:r w:rsidR="00011C2B">
        <w:t xml:space="preserve"> require the committee to maintain on its website a list of bills in relation to which it has sought advice from the responsible minister but not yet received a response</w:t>
      </w:r>
      <w:r>
        <w:t>;</w:t>
      </w:r>
    </w:p>
    <w:p w:rsidR="00300522" w:rsidRDefault="00D712DA" w:rsidP="00881CA3">
      <w:pPr>
        <w:pStyle w:val="Bullet1"/>
        <w:spacing w:after="240"/>
      </w:pPr>
      <w:r>
        <w:t xml:space="preserve">proposed paragraph (h) would </w:t>
      </w:r>
      <w:r w:rsidR="00011C2B">
        <w:t xml:space="preserve">limit the use of </w:t>
      </w:r>
      <w:r w:rsidR="00FC49DD">
        <w:t xml:space="preserve">proposed paragraphs (e) </w:t>
      </w:r>
      <w:r w:rsidR="00011C2B">
        <w:t xml:space="preserve">to </w:t>
      </w:r>
      <w:r w:rsidR="00FC49DD">
        <w:t xml:space="preserve">(g) to </w:t>
      </w:r>
      <w:r w:rsidR="00011C2B">
        <w:t>once per sitting day in respect of any bill or bills taken together</w:t>
      </w:r>
      <w:r w:rsidR="0090671B">
        <w:t>.</w:t>
      </w:r>
    </w:p>
    <w:p w:rsidR="006620D8" w:rsidRDefault="006620D8" w:rsidP="006620D8">
      <w:pPr>
        <w:pStyle w:val="REC"/>
      </w:pPr>
      <w:r>
        <w:t>Recommendation 1</w:t>
      </w:r>
    </w:p>
    <w:p w:rsidR="006620D8" w:rsidRPr="00EC1588" w:rsidRDefault="00FB3CB0" w:rsidP="006620D8">
      <w:pPr>
        <w:pStyle w:val="RecLevel1"/>
      </w:pPr>
      <w:r w:rsidRPr="00EC1588">
        <w:t>Standing order 24 be amended as follows with immediate effect:</w:t>
      </w:r>
    </w:p>
    <w:p w:rsidR="006620D8" w:rsidRPr="00EC1588" w:rsidRDefault="006620D8" w:rsidP="00036C8C">
      <w:pPr>
        <w:pStyle w:val="RecLevel1"/>
        <w:numPr>
          <w:ilvl w:val="0"/>
          <w:numId w:val="0"/>
        </w:numPr>
        <w:ind w:left="130" w:firstLine="720"/>
      </w:pPr>
      <w:r w:rsidRPr="00EC1588">
        <w:t>At the end of paragraph (1), add:</w:t>
      </w:r>
    </w:p>
    <w:p w:rsidR="00FC49DD" w:rsidRPr="00EC1588" w:rsidRDefault="00FC49DD" w:rsidP="00FC49DD">
      <w:pPr>
        <w:pStyle w:val="Level2"/>
        <w:numPr>
          <w:ilvl w:val="1"/>
          <w:numId w:val="35"/>
        </w:numPr>
        <w:rPr>
          <w:b/>
        </w:rPr>
      </w:pPr>
      <w:r w:rsidRPr="00EC1588">
        <w:rPr>
          <w:b/>
        </w:rPr>
        <w:t>The committee shall maintain on its website a list of bills in relation to which the committee has sought advice from the responsible minister and not yet received a response.</w:t>
      </w:r>
    </w:p>
    <w:p w:rsidR="00FC49DD" w:rsidRPr="00EC1588" w:rsidRDefault="00FC49DD" w:rsidP="00FC49DD">
      <w:pPr>
        <w:pStyle w:val="Level2"/>
        <w:numPr>
          <w:ilvl w:val="1"/>
          <w:numId w:val="35"/>
        </w:numPr>
        <w:rPr>
          <w:b/>
        </w:rPr>
      </w:pPr>
      <w:r w:rsidRPr="00EC1588">
        <w:rPr>
          <w:b/>
        </w:rPr>
        <w:t xml:space="preserve">Where the committee has not finally reported on a bill because a ministerial response has not been received, then: </w:t>
      </w:r>
    </w:p>
    <w:p w:rsidR="00FC49DD" w:rsidRPr="00EC1588" w:rsidRDefault="00FC49DD" w:rsidP="002C513C">
      <w:pPr>
        <w:pStyle w:val="Level3"/>
        <w:rPr>
          <w:b/>
        </w:rPr>
      </w:pPr>
      <w:r w:rsidRPr="00EC1588">
        <w:rPr>
          <w:b/>
        </w:rPr>
        <w:t>immediately prior to the consideration of government business on any day; or</w:t>
      </w:r>
    </w:p>
    <w:p w:rsidR="00FC49DD" w:rsidRPr="00EC1588" w:rsidRDefault="00FC49DD" w:rsidP="002C513C">
      <w:pPr>
        <w:pStyle w:val="Level3"/>
        <w:rPr>
          <w:b/>
        </w:rPr>
      </w:pPr>
      <w:r w:rsidRPr="00EC1588">
        <w:rPr>
          <w:b/>
        </w:rPr>
        <w:t xml:space="preserve">immediately prior to the consideration of the bill, </w:t>
      </w:r>
    </w:p>
    <w:p w:rsidR="00FC49DD" w:rsidRPr="00EC1588" w:rsidRDefault="00FC49DD" w:rsidP="002C513C">
      <w:pPr>
        <w:pStyle w:val="Level2"/>
        <w:numPr>
          <w:ilvl w:val="0"/>
          <w:numId w:val="0"/>
        </w:numPr>
        <w:ind w:left="1417"/>
        <w:rPr>
          <w:b/>
        </w:rPr>
      </w:pPr>
      <w:r w:rsidRPr="00EC1588">
        <w:rPr>
          <w:b/>
        </w:rPr>
        <w:t>any senator may ask the minister for an explanation of why the minister has not provided a response to the committee.</w:t>
      </w:r>
    </w:p>
    <w:p w:rsidR="00FC49DD" w:rsidRPr="00EC1588" w:rsidRDefault="00FC49DD" w:rsidP="002C513C">
      <w:pPr>
        <w:pStyle w:val="Level2"/>
        <w:rPr>
          <w:b/>
        </w:rPr>
      </w:pPr>
      <w:r w:rsidRPr="00EC1588">
        <w:rPr>
          <w:b/>
        </w:rPr>
        <w:t xml:space="preserve">Where </w:t>
      </w:r>
      <w:r w:rsidR="00FF0F79">
        <w:rPr>
          <w:b/>
        </w:rPr>
        <w:t>an</w:t>
      </w:r>
      <w:r w:rsidR="00BA5A92">
        <w:rPr>
          <w:b/>
        </w:rPr>
        <w:t xml:space="preserve"> explanation is sought </w:t>
      </w:r>
      <w:r w:rsidRPr="00EC1588">
        <w:rPr>
          <w:b/>
        </w:rPr>
        <w:t>under paragraph (e) and a minister provides an explanation</w:t>
      </w:r>
      <w:r w:rsidR="00EC729C">
        <w:rPr>
          <w:b/>
        </w:rPr>
        <w:t>,</w:t>
      </w:r>
      <w:r w:rsidRPr="00EC1588">
        <w:rPr>
          <w:b/>
        </w:rPr>
        <w:t xml:space="preserve"> then at the conclusion of the explanation the senator may move, without notice, a motion: </w:t>
      </w:r>
    </w:p>
    <w:p w:rsidR="00FC49DD" w:rsidRPr="00EC1588" w:rsidRDefault="00FC49DD" w:rsidP="002C513C">
      <w:pPr>
        <w:pStyle w:val="Level3"/>
        <w:rPr>
          <w:b/>
        </w:rPr>
      </w:pPr>
      <w:r w:rsidRPr="00EC1588">
        <w:rPr>
          <w:b/>
        </w:rPr>
        <w:t>relating to the consideration of the bill; or</w:t>
      </w:r>
    </w:p>
    <w:p w:rsidR="00FC49DD" w:rsidRPr="00EC1588" w:rsidRDefault="00FC49DD" w:rsidP="002C513C">
      <w:pPr>
        <w:pStyle w:val="Level3"/>
        <w:rPr>
          <w:b/>
        </w:rPr>
      </w:pPr>
      <w:r w:rsidRPr="00EC1588">
        <w:rPr>
          <w:b/>
        </w:rPr>
        <w:t>that the Senate take note of the explanation.</w:t>
      </w:r>
    </w:p>
    <w:p w:rsidR="00FC49DD" w:rsidRPr="00EC1588" w:rsidRDefault="00FC49DD" w:rsidP="002C513C">
      <w:pPr>
        <w:pStyle w:val="Level2"/>
        <w:rPr>
          <w:b/>
        </w:rPr>
      </w:pPr>
      <w:r w:rsidRPr="00EC1588">
        <w:rPr>
          <w:b/>
        </w:rPr>
        <w:t xml:space="preserve">Where </w:t>
      </w:r>
      <w:r w:rsidR="00FF0F79">
        <w:rPr>
          <w:b/>
        </w:rPr>
        <w:t>an</w:t>
      </w:r>
      <w:r w:rsidR="00BA5A92">
        <w:rPr>
          <w:b/>
        </w:rPr>
        <w:t xml:space="preserve"> explanation is sought </w:t>
      </w:r>
      <w:r w:rsidRPr="00EC1588">
        <w:rPr>
          <w:b/>
        </w:rPr>
        <w:t xml:space="preserve">under paragraph (e) and the minister does not provide an explanation, then the senator may, without notice, move a motion relating to: </w:t>
      </w:r>
    </w:p>
    <w:p w:rsidR="00FC49DD" w:rsidRPr="00EC1588" w:rsidRDefault="00FC49DD" w:rsidP="002C513C">
      <w:pPr>
        <w:pStyle w:val="Level3"/>
        <w:rPr>
          <w:b/>
        </w:rPr>
      </w:pPr>
      <w:r w:rsidRPr="00EC1588">
        <w:rPr>
          <w:b/>
        </w:rPr>
        <w:t xml:space="preserve">the consideration of the bill; or </w:t>
      </w:r>
    </w:p>
    <w:p w:rsidR="00881CA3" w:rsidRDefault="00FC49DD" w:rsidP="00881CA3">
      <w:pPr>
        <w:pStyle w:val="Level3"/>
      </w:pPr>
      <w:r w:rsidRPr="00FF0F79">
        <w:rPr>
          <w:b/>
        </w:rPr>
        <w:t>the minister's failure to provide an explanation.</w:t>
      </w:r>
    </w:p>
    <w:p w:rsidR="00AE366E" w:rsidRDefault="00FC49DD" w:rsidP="002C513C">
      <w:pPr>
        <w:pStyle w:val="Level2"/>
        <w:rPr>
          <w:b/>
        </w:rPr>
      </w:pPr>
      <w:r w:rsidRPr="00EC1588">
        <w:rPr>
          <w:b/>
        </w:rPr>
        <w:t>The procedures in paragraphs (e) to (g) may only be used once on any sitting day in respect of any bill or bills taken together.</w:t>
      </w:r>
    </w:p>
    <w:p w:rsidR="00881CA3" w:rsidRDefault="00881CA3" w:rsidP="00881CA3">
      <w:pPr>
        <w:pStyle w:val="Level2"/>
        <w:numPr>
          <w:ilvl w:val="0"/>
          <w:numId w:val="0"/>
        </w:numPr>
        <w:rPr>
          <w:b/>
        </w:rPr>
      </w:pPr>
    </w:p>
    <w:p w:rsidR="00881CA3" w:rsidRDefault="00881CA3" w:rsidP="00881CA3">
      <w:pPr>
        <w:pStyle w:val="Level1"/>
        <w:numPr>
          <w:ilvl w:val="0"/>
          <w:numId w:val="0"/>
        </w:numPr>
        <w:rPr>
          <w:b/>
        </w:rPr>
      </w:pPr>
    </w:p>
    <w:p w:rsidR="00881CA3" w:rsidRDefault="00881CA3" w:rsidP="004122C6">
      <w:pPr>
        <w:pStyle w:val="Level1"/>
        <w:numPr>
          <w:ilvl w:val="0"/>
          <w:numId w:val="0"/>
        </w:numPr>
        <w:spacing w:after="360"/>
        <w:rPr>
          <w:b/>
        </w:rPr>
      </w:pPr>
    </w:p>
    <w:p w:rsidR="00881CA3" w:rsidRDefault="00881CA3" w:rsidP="00881CA3">
      <w:pPr>
        <w:pStyle w:val="Level1"/>
        <w:numPr>
          <w:ilvl w:val="0"/>
          <w:numId w:val="0"/>
        </w:numPr>
        <w:spacing w:after="0"/>
        <w:rPr>
          <w:b/>
        </w:rPr>
      </w:pPr>
      <w:r>
        <w:rPr>
          <w:b/>
        </w:rPr>
        <w:t>Senator Helen Polley</w:t>
      </w:r>
    </w:p>
    <w:p w:rsidR="00881CA3" w:rsidRPr="00C45FC7" w:rsidRDefault="00881CA3" w:rsidP="00881CA3">
      <w:pPr>
        <w:pStyle w:val="Level1"/>
        <w:numPr>
          <w:ilvl w:val="0"/>
          <w:numId w:val="0"/>
        </w:numPr>
        <w:spacing w:before="0"/>
        <w:rPr>
          <w:b/>
        </w:rPr>
      </w:pPr>
      <w:r>
        <w:rPr>
          <w:b/>
        </w:rPr>
        <w:t>Chair</w:t>
      </w:r>
    </w:p>
    <w:sectPr w:rsidR="00881CA3" w:rsidRPr="00C45FC7" w:rsidSect="0073407A">
      <w:headerReference w:type="first" r:id="rId213"/>
      <w:footerReference w:type="first" r:id="rId214"/>
      <w:pgSz w:w="11906" w:h="16838" w:code="9"/>
      <w:pgMar w:top="1440" w:right="1440" w:bottom="1202" w:left="1440" w:header="1134" w:footer="720" w:gutter="0"/>
      <w:pgNumType w:start="1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4E" w:rsidRDefault="000E264E">
      <w:r>
        <w:separator/>
      </w:r>
    </w:p>
  </w:endnote>
  <w:endnote w:type="continuationSeparator" w:id="0">
    <w:p w:rsidR="000E264E" w:rsidRDefault="000E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Footer"/>
      <w:jc w:val="center"/>
    </w:pPr>
    <w:r>
      <w:t>v</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Footer"/>
      <w:jc w:val="center"/>
    </w:pPr>
    <w:r>
      <w:t>vii</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Footer"/>
      <w:jc w:val="cen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733485"/>
      <w:docPartObj>
        <w:docPartGallery w:val="Page Numbers (Bottom of Page)"/>
        <w:docPartUnique/>
      </w:docPartObj>
    </w:sdtPr>
    <w:sdtEndPr>
      <w:rPr>
        <w:noProof/>
      </w:rPr>
    </w:sdtEndPr>
    <w:sdtContent>
      <w:p w:rsidR="00C46699" w:rsidRDefault="00C46699">
        <w:pPr>
          <w:pStyle w:val="Footer"/>
          <w:jc w:val="center"/>
        </w:pPr>
        <w:r>
          <w:fldChar w:fldCharType="begin"/>
        </w:r>
        <w:r>
          <w:instrText xml:space="preserve"> PAGE   \* MERGEFORMAT </w:instrText>
        </w:r>
        <w:r>
          <w:fldChar w:fldCharType="separate"/>
        </w:r>
        <w:r w:rsidR="005E31FE">
          <w:rPr>
            <w:noProof/>
          </w:rPr>
          <w:t>ix</w:t>
        </w:r>
        <w:r>
          <w:rPr>
            <w:noProof/>
          </w:rPr>
          <w:fldChar w:fldCharType="end"/>
        </w:r>
      </w:p>
    </w:sdtContent>
  </w:sdt>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Footer"/>
      <w:tabs>
        <w:tab w:val="clear" w:pos="4153"/>
        <w:tab w:val="clear" w:pos="8306"/>
        <w:tab w:val="right" w:pos="9000"/>
      </w:tabs>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 w:val="right" w:pos="9000"/>
      </w:tabs>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4E" w:rsidRDefault="000E264E">
      <w:r>
        <w:separator/>
      </w:r>
    </w:p>
  </w:footnote>
  <w:footnote w:type="continuationSeparator" w:id="0">
    <w:p w:rsidR="000E264E" w:rsidRDefault="000E264E">
      <w:r>
        <w:continuationSeparator/>
      </w:r>
    </w:p>
  </w:footnote>
  <w:footnote w:id="1">
    <w:p w:rsidR="000E264E" w:rsidRPr="00FB5E6F" w:rsidRDefault="000E264E" w:rsidP="000E264E">
      <w:pPr>
        <w:pStyle w:val="FootnoteText"/>
        <w:spacing w:after="120"/>
      </w:pPr>
      <w:r w:rsidRPr="00FB5E6F">
        <w:rPr>
          <w:rStyle w:val="FootnoteReference"/>
          <w:vertAlign w:val="baseline"/>
        </w:rPr>
        <w:footnoteRef/>
      </w:r>
      <w:r w:rsidRPr="00FB5E6F">
        <w:t xml:space="preserve"> </w:t>
      </w:r>
      <w:r>
        <w:tab/>
        <w:t>Schedule 1, i</w:t>
      </w:r>
      <w:r w:rsidRPr="001C1E48">
        <w:t>tem 4</w:t>
      </w:r>
      <w:r w:rsidRPr="00927BA5">
        <w:t>.</w:t>
      </w:r>
      <w:r>
        <w:t xml:space="preserve"> The committee draws Senators’ attention to this provision pursuant to principle 1(a)</w:t>
      </w:r>
      <w:r w:rsidRPr="00927BA5">
        <w:t>(</w:t>
      </w:r>
      <w:r>
        <w:t>i</w:t>
      </w:r>
      <w:r w:rsidRPr="00927BA5">
        <w:t>)</w:t>
      </w:r>
      <w:r>
        <w:t xml:space="preserve"> of the committee’s terms of reference.</w:t>
      </w:r>
    </w:p>
  </w:footnote>
  <w:footnote w:id="2">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3">
    <w:p w:rsidR="000E264E" w:rsidRPr="00AC2A4A" w:rsidRDefault="000E264E" w:rsidP="000E264E">
      <w:pPr>
        <w:pStyle w:val="FootnoteText"/>
        <w:spacing w:after="120"/>
      </w:pPr>
      <w:r w:rsidRPr="00AC2A4A">
        <w:rPr>
          <w:rStyle w:val="FootnoteReference"/>
          <w:vertAlign w:val="baseline"/>
        </w:rPr>
        <w:footnoteRef/>
      </w:r>
      <w:r w:rsidRPr="00AC2A4A">
        <w:t xml:space="preserve"> </w:t>
      </w:r>
      <w:r>
        <w:tab/>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Pr>
          <w:szCs w:val="22"/>
        </w:rPr>
        <w:t>, September 2011, p. 23.</w:t>
      </w:r>
    </w:p>
  </w:footnote>
  <w:footnote w:id="4">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Clauses 16, 21, 23, 25, 26 and 34. The committee draws Senators’ attention to these provisions pursuant to principle 1(a</w:t>
      </w:r>
      <w:r w:rsidRPr="00F97C0C">
        <w:t>)(iv)</w:t>
      </w:r>
      <w:r>
        <w:t xml:space="preserve"> of the committee’s terms of reference.</w:t>
      </w:r>
    </w:p>
  </w:footnote>
  <w:footnote w:id="5">
    <w:p w:rsidR="000E264E" w:rsidRPr="00991039" w:rsidRDefault="000E264E" w:rsidP="000E264E">
      <w:pPr>
        <w:pStyle w:val="FootnoteText"/>
        <w:spacing w:after="120"/>
      </w:pPr>
      <w:r w:rsidRPr="00991039">
        <w:rPr>
          <w:rStyle w:val="FootnoteReference"/>
          <w:vertAlign w:val="baseline"/>
        </w:rPr>
        <w:footnoteRef/>
      </w:r>
      <w:r w:rsidRPr="00991039">
        <w:t xml:space="preserve"> </w:t>
      </w:r>
      <w:r>
        <w:tab/>
        <w:t>Explanatory memorandum, p. 13.</w:t>
      </w:r>
    </w:p>
  </w:footnote>
  <w:footnote w:id="6">
    <w:p w:rsidR="000E264E" w:rsidRPr="00F97C0C" w:rsidRDefault="000E264E" w:rsidP="000E264E">
      <w:pPr>
        <w:pStyle w:val="FootnoteText"/>
        <w:spacing w:after="120"/>
      </w:pPr>
      <w:r w:rsidRPr="00F97C0C">
        <w:rPr>
          <w:rStyle w:val="FootnoteReference"/>
          <w:vertAlign w:val="baseline"/>
        </w:rPr>
        <w:footnoteRef/>
      </w:r>
      <w:r w:rsidRPr="00F97C0C">
        <w:t xml:space="preserve"> </w:t>
      </w:r>
      <w:r>
        <w:tab/>
        <w:t>Explanatory memorandum, pp 16-17.</w:t>
      </w:r>
    </w:p>
  </w:footnote>
  <w:footnote w:id="7">
    <w:p w:rsidR="000E264E" w:rsidRPr="00C21304" w:rsidRDefault="000E264E" w:rsidP="000E264E">
      <w:pPr>
        <w:pStyle w:val="FootnoteText"/>
        <w:spacing w:after="120"/>
      </w:pPr>
      <w:r w:rsidRPr="00C21304">
        <w:rPr>
          <w:rStyle w:val="FootnoteReference"/>
          <w:vertAlign w:val="baseline"/>
        </w:rPr>
        <w:footnoteRef/>
      </w:r>
      <w:r w:rsidRPr="00C21304">
        <w:t xml:space="preserve"> </w:t>
      </w:r>
      <w:r>
        <w:tab/>
        <w:t>Explanatory memorandum, pp 17-18.</w:t>
      </w:r>
    </w:p>
  </w:footnote>
  <w:footnote w:id="8">
    <w:p w:rsidR="000E264E" w:rsidRPr="0055542A" w:rsidRDefault="000E264E" w:rsidP="000E264E">
      <w:pPr>
        <w:pStyle w:val="FootnoteText"/>
        <w:spacing w:after="120"/>
      </w:pPr>
      <w:r w:rsidRPr="0055542A">
        <w:rPr>
          <w:rStyle w:val="FootnoteReference"/>
          <w:vertAlign w:val="baseline"/>
        </w:rPr>
        <w:footnoteRef/>
      </w:r>
      <w:r w:rsidRPr="0055542A">
        <w:t xml:space="preserve"> </w:t>
      </w:r>
      <w:r>
        <w:tab/>
        <w:t>Explanatory memorandum, p. 26.</w:t>
      </w:r>
    </w:p>
  </w:footnote>
  <w:footnote w:id="9">
    <w:p w:rsidR="000E264E" w:rsidRPr="00EE45D1" w:rsidRDefault="000E264E" w:rsidP="000E264E">
      <w:pPr>
        <w:pStyle w:val="FootnoteText"/>
        <w:spacing w:after="120"/>
      </w:pPr>
      <w:r w:rsidRPr="00EE45D1">
        <w:rPr>
          <w:rStyle w:val="FootnoteReference"/>
          <w:vertAlign w:val="baseline"/>
        </w:rPr>
        <w:footnoteRef/>
      </w:r>
      <w:r w:rsidRPr="00EE45D1">
        <w:t xml:space="preserve"> </w:t>
      </w:r>
      <w:r>
        <w:tab/>
        <w:t xml:space="preserve">Senate Standing Committee for the Scrutiny of Bills, </w:t>
      </w:r>
      <w:r>
        <w:rPr>
          <w:i/>
        </w:rPr>
        <w:t>First Report of 2015</w:t>
      </w:r>
      <w:r>
        <w:t>, 11 February 2015, pp 21–35.</w:t>
      </w:r>
    </w:p>
  </w:footnote>
  <w:footnote w:id="10">
    <w:p w:rsidR="000E264E" w:rsidRPr="00EE45D1" w:rsidRDefault="000E264E" w:rsidP="000E264E">
      <w:pPr>
        <w:pStyle w:val="FootnoteText"/>
        <w:spacing w:after="120"/>
      </w:pPr>
      <w:r w:rsidRPr="00EE45D1">
        <w:rPr>
          <w:rStyle w:val="FootnoteReference"/>
          <w:vertAlign w:val="baseline"/>
        </w:rPr>
        <w:footnoteRef/>
      </w:r>
      <w:r w:rsidRPr="00EE45D1">
        <w:t xml:space="preserve"> </w:t>
      </w:r>
      <w:r>
        <w:tab/>
        <w:t xml:space="preserve">See also Senate Standing Committee on Regulations and Ordinances, </w:t>
      </w:r>
      <w:r>
        <w:rPr>
          <w:i/>
        </w:rPr>
        <w:t>Delegated Legislation Monitor No. 17 of 2014</w:t>
      </w:r>
      <w:r>
        <w:t>, 3 December 2014, pp 6–24.</w:t>
      </w:r>
    </w:p>
  </w:footnote>
  <w:footnote w:id="11">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See sections 18 and 19 of the </w:t>
      </w:r>
      <w:r w:rsidRPr="00221A90">
        <w:rPr>
          <w:i/>
          <w:szCs w:val="22"/>
        </w:rPr>
        <w:t>Legislation Act 2003</w:t>
      </w:r>
      <w:r w:rsidRPr="00221A90">
        <w:rPr>
          <w:szCs w:val="22"/>
        </w:rPr>
        <w:t>.</w:t>
      </w:r>
    </w:p>
  </w:footnote>
  <w:footnote w:id="12">
    <w:p w:rsidR="000E264E" w:rsidRPr="007851A1" w:rsidRDefault="000E264E" w:rsidP="000E264E">
      <w:pPr>
        <w:pStyle w:val="FootnoteText"/>
        <w:spacing w:after="120"/>
      </w:pPr>
      <w:r w:rsidRPr="007851A1">
        <w:rPr>
          <w:rStyle w:val="FootnoteReference"/>
          <w:vertAlign w:val="baseline"/>
        </w:rPr>
        <w:footnoteRef/>
      </w:r>
      <w:r w:rsidRPr="007851A1">
        <w:t xml:space="preserve"> </w:t>
      </w:r>
      <w:r>
        <w:tab/>
        <w:t>Clause 54. The committee draws Senators’ attention to this provision pursuant to principle 1(a</w:t>
      </w:r>
      <w:r w:rsidRPr="00F97C0C">
        <w:t>)</w:t>
      </w:r>
      <w:r>
        <w:t xml:space="preserve">(iv) and </w:t>
      </w:r>
      <w:r w:rsidRPr="00F97C0C">
        <w:t>(</w:t>
      </w:r>
      <w:r>
        <w:t>v</w:t>
      </w:r>
      <w:r w:rsidRPr="00F97C0C">
        <w:t>)</w:t>
      </w:r>
      <w:r>
        <w:t xml:space="preserve"> of the committee’s terms of reference.</w:t>
      </w:r>
    </w:p>
  </w:footnote>
  <w:footnote w:id="13">
    <w:p w:rsidR="000E264E" w:rsidRPr="000F18ED" w:rsidRDefault="000E264E" w:rsidP="000E264E">
      <w:pPr>
        <w:pStyle w:val="FootnoteText"/>
        <w:spacing w:after="120"/>
      </w:pPr>
      <w:r w:rsidRPr="000F18ED">
        <w:rPr>
          <w:rStyle w:val="FootnoteReference"/>
          <w:vertAlign w:val="baseline"/>
        </w:rPr>
        <w:footnoteRef/>
      </w:r>
      <w:r w:rsidRPr="000F18ED">
        <w:t xml:space="preserve"> </w:t>
      </w:r>
      <w:r>
        <w:tab/>
        <w:t>Clause 129.</w:t>
      </w:r>
    </w:p>
  </w:footnote>
  <w:footnote w:id="14">
    <w:p w:rsidR="000E264E" w:rsidRPr="000F18ED" w:rsidRDefault="000E264E" w:rsidP="000E264E">
      <w:pPr>
        <w:pStyle w:val="FootnoteText"/>
        <w:spacing w:after="120"/>
      </w:pPr>
      <w:r w:rsidRPr="000F18ED">
        <w:rPr>
          <w:rStyle w:val="FootnoteReference"/>
          <w:vertAlign w:val="baseline"/>
        </w:rPr>
        <w:footnoteRef/>
      </w:r>
      <w:r w:rsidRPr="000F18ED">
        <w:t xml:space="preserve"> </w:t>
      </w:r>
      <w:r>
        <w:tab/>
        <w:t>Clause 71. The committee draws Senators’ attention to this provision pursuant to principle 1(a</w:t>
      </w:r>
      <w:r w:rsidRPr="00F97C0C">
        <w:t>)</w:t>
      </w:r>
      <w:r>
        <w:t>(ii) of the committee’s terms of reference.</w:t>
      </w:r>
    </w:p>
  </w:footnote>
  <w:footnote w:id="15">
    <w:p w:rsidR="000E264E" w:rsidRPr="008645FF" w:rsidRDefault="000E264E" w:rsidP="000E264E">
      <w:pPr>
        <w:pStyle w:val="FootnoteText"/>
        <w:spacing w:after="120"/>
      </w:pPr>
      <w:r w:rsidRPr="008645FF">
        <w:rPr>
          <w:rStyle w:val="FootnoteReference"/>
          <w:vertAlign w:val="baseline"/>
        </w:rPr>
        <w:footnoteRef/>
      </w:r>
      <w:r w:rsidRPr="008645FF">
        <w:t xml:space="preserve"> </w:t>
      </w:r>
      <w:r>
        <w:tab/>
        <w:t>Explanatory memorandum, p. 41.</w:t>
      </w:r>
    </w:p>
  </w:footnote>
  <w:footnote w:id="16">
    <w:p w:rsidR="000E264E" w:rsidRPr="00445790" w:rsidRDefault="000E264E" w:rsidP="000E264E">
      <w:pPr>
        <w:pStyle w:val="FootnoteText"/>
        <w:spacing w:after="120"/>
      </w:pPr>
      <w:r w:rsidRPr="00445790">
        <w:rPr>
          <w:rStyle w:val="FootnoteReference"/>
          <w:vertAlign w:val="baseline"/>
        </w:rPr>
        <w:footnoteRef/>
      </w:r>
      <w:r w:rsidRPr="00445790">
        <w:t xml:space="preserve"> </w:t>
      </w:r>
      <w:r>
        <w:tab/>
        <w:t>Paragraph 77(1)(a). The committee draws Senators’ attention to this provision pursuant to principle 1(a</w:t>
      </w:r>
      <w:r w:rsidRPr="00F97C0C">
        <w:t>)</w:t>
      </w:r>
      <w:r>
        <w:t>(ii) of the committee’s terms of reference.</w:t>
      </w:r>
    </w:p>
  </w:footnote>
  <w:footnote w:id="17">
    <w:p w:rsidR="000E264E" w:rsidRPr="000555BB" w:rsidRDefault="000E264E" w:rsidP="000E264E">
      <w:pPr>
        <w:pStyle w:val="FootnoteText"/>
        <w:spacing w:after="120"/>
      </w:pPr>
      <w:r w:rsidRPr="000555BB">
        <w:rPr>
          <w:rStyle w:val="FootnoteReference"/>
          <w:vertAlign w:val="baseline"/>
        </w:rPr>
        <w:footnoteRef/>
      </w:r>
      <w:r w:rsidRPr="000555BB">
        <w:t xml:space="preserve"> </w:t>
      </w:r>
      <w:r>
        <w:tab/>
        <w:t>Which is to be the Secretary of the Department of Social Services acting in their capacity as the Operator; see the definition of 'Operator' in clause 9.</w:t>
      </w:r>
    </w:p>
  </w:footnote>
  <w:footnote w:id="18">
    <w:p w:rsidR="000E264E" w:rsidRPr="000555BB" w:rsidRDefault="000E264E" w:rsidP="000E264E">
      <w:pPr>
        <w:pStyle w:val="FootnoteText"/>
        <w:spacing w:after="120"/>
      </w:pPr>
      <w:r w:rsidRPr="000555BB">
        <w:rPr>
          <w:rStyle w:val="FootnoteReference"/>
          <w:vertAlign w:val="baseline"/>
        </w:rPr>
        <w:footnoteRef/>
      </w:r>
      <w:r w:rsidRPr="000555BB">
        <w:t xml:space="preserve"> </w:t>
      </w:r>
      <w:r>
        <w:tab/>
        <w:t>See subclause 75(2).</w:t>
      </w:r>
    </w:p>
  </w:footnote>
  <w:footnote w:id="19">
    <w:p w:rsidR="000E264E" w:rsidRPr="003F6F8A" w:rsidRDefault="000E264E" w:rsidP="000E264E">
      <w:pPr>
        <w:pStyle w:val="FootnoteText"/>
        <w:spacing w:after="120"/>
      </w:pPr>
      <w:r w:rsidRPr="003F6F8A">
        <w:rPr>
          <w:rStyle w:val="FootnoteReference"/>
          <w:vertAlign w:val="baseline"/>
        </w:rPr>
        <w:footnoteRef/>
      </w:r>
      <w:r w:rsidRPr="003F6F8A">
        <w:t xml:space="preserve"> </w:t>
      </w:r>
      <w:r>
        <w:tab/>
        <w:t>Explanatory memorandum, p. 43.</w:t>
      </w:r>
    </w:p>
  </w:footnote>
  <w:footnote w:id="20">
    <w:p w:rsidR="000E264E" w:rsidRPr="0034071E" w:rsidRDefault="000E264E" w:rsidP="000E264E">
      <w:pPr>
        <w:pStyle w:val="FootnoteText"/>
        <w:spacing w:after="120"/>
      </w:pPr>
      <w:r w:rsidRPr="0034071E">
        <w:rPr>
          <w:rStyle w:val="FootnoteReference"/>
          <w:vertAlign w:val="baseline"/>
        </w:rPr>
        <w:footnoteRef/>
      </w:r>
      <w:r w:rsidRPr="0034071E">
        <w:t xml:space="preserve"> </w:t>
      </w:r>
      <w:r>
        <w:tab/>
        <w:t>See clause 78(3).</w:t>
      </w:r>
    </w:p>
  </w:footnote>
  <w:footnote w:id="21">
    <w:p w:rsidR="000E264E" w:rsidRPr="00A14E08" w:rsidRDefault="000E264E" w:rsidP="000E264E">
      <w:pPr>
        <w:pStyle w:val="FootnoteText"/>
        <w:spacing w:after="120"/>
      </w:pPr>
      <w:r w:rsidRPr="00A14E08">
        <w:rPr>
          <w:rStyle w:val="FootnoteReference"/>
          <w:vertAlign w:val="baseline"/>
        </w:rPr>
        <w:footnoteRef/>
      </w:r>
      <w:r w:rsidRPr="00A14E08">
        <w:t xml:space="preserve"> </w:t>
      </w:r>
      <w:r>
        <w:tab/>
        <w:t>Clauses 84 and subclause 100(7) and 100(8). The committee draws Senators’ attention to these provisions pursuant to principle 1(a</w:t>
      </w:r>
      <w:r w:rsidRPr="00F97C0C">
        <w:t>)</w:t>
      </w:r>
      <w:r>
        <w:t>(i) of the committee’s terms of reference.</w:t>
      </w:r>
    </w:p>
  </w:footnote>
  <w:footnote w:id="22">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50-52.</w:t>
      </w:r>
    </w:p>
  </w:footnote>
  <w:footnote w:id="23">
    <w:p w:rsidR="000E264E" w:rsidRPr="00E578A2" w:rsidRDefault="000E264E" w:rsidP="000E264E">
      <w:pPr>
        <w:pStyle w:val="FootnoteText"/>
        <w:spacing w:after="120"/>
      </w:pPr>
      <w:r w:rsidRPr="00E578A2">
        <w:rPr>
          <w:rStyle w:val="FootnoteReference"/>
          <w:vertAlign w:val="baseline"/>
        </w:rPr>
        <w:footnoteRef/>
      </w:r>
      <w:r w:rsidRPr="00E578A2">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Pr>
          <w:szCs w:val="22"/>
        </w:rPr>
        <w:t>, September 2011, p. 50.</w:t>
      </w:r>
    </w:p>
  </w:footnote>
  <w:footnote w:id="24">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25">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50-52.</w:t>
      </w:r>
    </w:p>
  </w:footnote>
  <w:footnote w:id="26">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27">
    <w:p w:rsidR="000E264E" w:rsidRPr="00E175D9" w:rsidRDefault="000E264E" w:rsidP="000E264E">
      <w:pPr>
        <w:pStyle w:val="FootnoteText"/>
        <w:spacing w:after="120"/>
      </w:pPr>
      <w:r w:rsidRPr="00E175D9">
        <w:rPr>
          <w:rStyle w:val="FootnoteReference"/>
          <w:vertAlign w:val="baseline"/>
        </w:rPr>
        <w:footnoteRef/>
      </w:r>
      <w:r w:rsidRPr="00E175D9">
        <w:t xml:space="preserve"> </w:t>
      </w:r>
      <w:r>
        <w:tab/>
        <w:t>Clause 88. The committee draws Senators’ attention to this provision pursuant to principle 1(a</w:t>
      </w:r>
      <w:r w:rsidRPr="00F97C0C">
        <w:t>)</w:t>
      </w:r>
      <w:r>
        <w:t>(iii) of the committee’s terms of reference.</w:t>
      </w:r>
    </w:p>
  </w:footnote>
  <w:footnote w:id="28">
    <w:p w:rsidR="000E264E" w:rsidRPr="0024116D" w:rsidRDefault="000E264E" w:rsidP="000E264E">
      <w:pPr>
        <w:pStyle w:val="FootnoteText"/>
        <w:spacing w:after="120"/>
      </w:pPr>
      <w:r w:rsidRPr="0024116D">
        <w:rPr>
          <w:rStyle w:val="FootnoteReference"/>
          <w:vertAlign w:val="baseline"/>
        </w:rPr>
        <w:footnoteRef/>
      </w:r>
      <w:r w:rsidRPr="0024116D">
        <w:t xml:space="preserve"> </w:t>
      </w:r>
      <w:r>
        <w:tab/>
        <w:t>Clause 30.</w:t>
      </w:r>
    </w:p>
  </w:footnote>
  <w:footnote w:id="29">
    <w:p w:rsidR="000E264E" w:rsidRPr="0024116D" w:rsidRDefault="000E264E" w:rsidP="000E264E">
      <w:pPr>
        <w:pStyle w:val="FootnoteText"/>
        <w:spacing w:after="120"/>
      </w:pPr>
      <w:r w:rsidRPr="0024116D">
        <w:rPr>
          <w:rStyle w:val="FootnoteReference"/>
          <w:vertAlign w:val="baseline"/>
        </w:rPr>
        <w:footnoteRef/>
      </w:r>
      <w:r w:rsidRPr="0024116D">
        <w:t xml:space="preserve"> </w:t>
      </w:r>
      <w:r>
        <w:tab/>
        <w:t xml:space="preserve">In relation to judicial review, see the committee's comments in relation to the </w:t>
      </w:r>
      <w:r w:rsidRPr="0024116D">
        <w:t>Commonwealth Redress Scheme for Institutional Child Sexual Abuse (Consequential Amendments) Bill 2017</w:t>
      </w:r>
      <w:r>
        <w:t xml:space="preserve">, at </w:t>
      </w:r>
      <w:r w:rsidRPr="00B460AE">
        <w:t>p</w:t>
      </w:r>
      <w:r>
        <w:t>p</w:t>
      </w:r>
      <w:r w:rsidRPr="00B460AE">
        <w:t xml:space="preserve"> </w:t>
      </w:r>
      <w:r>
        <w:t>20-21 of this Digest.</w:t>
      </w:r>
    </w:p>
  </w:footnote>
  <w:footnote w:id="30">
    <w:p w:rsidR="000E264E" w:rsidRPr="0024116D" w:rsidRDefault="000E264E" w:rsidP="000E264E">
      <w:pPr>
        <w:pStyle w:val="FootnoteText"/>
        <w:spacing w:after="120"/>
      </w:pPr>
      <w:r w:rsidRPr="0024116D">
        <w:rPr>
          <w:rStyle w:val="FootnoteReference"/>
          <w:vertAlign w:val="baseline"/>
        </w:rPr>
        <w:footnoteRef/>
      </w:r>
      <w:r w:rsidRPr="0024116D">
        <w:t xml:space="preserve"> </w:t>
      </w:r>
      <w:r>
        <w:tab/>
        <w:t>Explanatory memorandum, p. 7.</w:t>
      </w:r>
    </w:p>
  </w:footnote>
  <w:footnote w:id="31">
    <w:p w:rsidR="000E264E" w:rsidRPr="00A14E08" w:rsidRDefault="000E264E" w:rsidP="000E264E">
      <w:pPr>
        <w:pStyle w:val="FootnoteText"/>
        <w:spacing w:after="120"/>
      </w:pPr>
      <w:r w:rsidRPr="00A14E08">
        <w:rPr>
          <w:rStyle w:val="FootnoteReference"/>
          <w:vertAlign w:val="baseline"/>
        </w:rPr>
        <w:footnoteRef/>
      </w:r>
      <w:r w:rsidRPr="00A14E08">
        <w:t xml:space="preserve"> </w:t>
      </w:r>
      <w:r>
        <w:tab/>
        <w:t>Subclause 109(4). The committee draws Senators’ attention to this provision pursuant to principle 1(a</w:t>
      </w:r>
      <w:r w:rsidRPr="00F97C0C">
        <w:t>)</w:t>
      </w:r>
      <w:r>
        <w:t>(i) of the committee’s terms of reference.</w:t>
      </w:r>
    </w:p>
  </w:footnote>
  <w:footnote w:id="32">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50-52.</w:t>
      </w:r>
    </w:p>
  </w:footnote>
  <w:footnote w:id="33">
    <w:p w:rsidR="000E264E" w:rsidRPr="0034418D" w:rsidRDefault="000E264E" w:rsidP="000E264E">
      <w:pPr>
        <w:pStyle w:val="FootnoteText"/>
        <w:spacing w:after="120"/>
      </w:pPr>
      <w:r w:rsidRPr="0034418D">
        <w:rPr>
          <w:rStyle w:val="FootnoteReference"/>
          <w:vertAlign w:val="baseline"/>
        </w:rPr>
        <w:footnoteRef/>
      </w:r>
      <w:r w:rsidRPr="0034418D">
        <w:t xml:space="preserve"> </w:t>
      </w:r>
      <w:r>
        <w:tab/>
        <w:t>Clause 120. The committee draws Senators’ attention to this provision pursuant to principle 1(a</w:t>
      </w:r>
      <w:r w:rsidRPr="00F97C0C">
        <w:t>)</w:t>
      </w:r>
      <w:r>
        <w:t>(ii) of the committee’s terms of reference</w:t>
      </w:r>
    </w:p>
  </w:footnote>
  <w:footnote w:id="34">
    <w:p w:rsidR="000E264E" w:rsidRPr="001C3B15" w:rsidRDefault="000E264E" w:rsidP="000E264E">
      <w:pPr>
        <w:pStyle w:val="FootnoteText"/>
        <w:spacing w:after="120"/>
      </w:pPr>
      <w:r w:rsidRPr="001C3B15">
        <w:rPr>
          <w:rStyle w:val="FootnoteReference"/>
          <w:vertAlign w:val="baseline"/>
        </w:rPr>
        <w:footnoteRef/>
      </w:r>
      <w:r w:rsidRPr="001C3B15">
        <w:t xml:space="preserve"> </w:t>
      </w:r>
      <w:r>
        <w:tab/>
        <w:t>See clause 9.</w:t>
      </w:r>
    </w:p>
  </w:footnote>
  <w:footnote w:id="35">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 xml:space="preserve">Schedule 3, item 1. The committee draws Senators’ attention to this provision pursuant to principle </w:t>
      </w:r>
      <w:r w:rsidRPr="003302DB">
        <w:t>1(a)(ii) of the committee’s</w:t>
      </w:r>
      <w:r>
        <w:t xml:space="preserve"> terms of reference.</w:t>
      </w:r>
    </w:p>
  </w:footnote>
  <w:footnote w:id="36">
    <w:p w:rsidR="000E264E" w:rsidRPr="00240DAE" w:rsidRDefault="000E264E" w:rsidP="000E264E">
      <w:pPr>
        <w:pStyle w:val="FootnoteText"/>
        <w:spacing w:after="120"/>
      </w:pPr>
      <w:r w:rsidRPr="00240DAE">
        <w:rPr>
          <w:rStyle w:val="FootnoteReference"/>
          <w:vertAlign w:val="baseline"/>
        </w:rPr>
        <w:footnoteRef/>
      </w:r>
      <w:r w:rsidRPr="00240DAE">
        <w:t xml:space="preserve"> </w:t>
      </w:r>
      <w:r>
        <w:tab/>
      </w:r>
      <w:r w:rsidRPr="00B64FFE">
        <w:t>Schedule 1, item 6. The committee draws Senators’ attention to this provision pursuant to principle 1(a)(i) of the committee’s terms of reference.</w:t>
      </w:r>
    </w:p>
  </w:footnote>
  <w:footnote w:id="37">
    <w:p w:rsidR="000E264E" w:rsidRPr="00D63281" w:rsidRDefault="000E264E" w:rsidP="000E264E">
      <w:pPr>
        <w:pStyle w:val="FootnoteText"/>
        <w:spacing w:after="120"/>
      </w:pPr>
      <w:r w:rsidRPr="008D5103">
        <w:rPr>
          <w:rStyle w:val="FootnoteReference"/>
          <w:vertAlign w:val="baseline"/>
        </w:rPr>
        <w:footnoteRef/>
      </w:r>
      <w:r w:rsidRPr="00D63281">
        <w:t xml:space="preserve"> </w:t>
      </w:r>
      <w:r>
        <w:tab/>
        <w:t>See Schedule 1, item 10.</w:t>
      </w:r>
    </w:p>
  </w:footnote>
  <w:footnote w:id="38">
    <w:p w:rsidR="000E264E" w:rsidRPr="00F073E6" w:rsidRDefault="000E264E" w:rsidP="000E264E">
      <w:pPr>
        <w:pStyle w:val="FootnoteText"/>
        <w:spacing w:after="120"/>
      </w:pPr>
      <w:r w:rsidRPr="00F073E6">
        <w:rPr>
          <w:rStyle w:val="FootnoteReference"/>
          <w:vertAlign w:val="baseline"/>
        </w:rPr>
        <w:footnoteRef/>
      </w:r>
      <w:r w:rsidRPr="00F073E6">
        <w:t xml:space="preserve"> </w:t>
      </w:r>
      <w:r>
        <w:tab/>
        <w:t>Explanatory memorandum, p. 5.</w:t>
      </w:r>
    </w:p>
  </w:footnote>
  <w:footnote w:id="39">
    <w:p w:rsidR="000E264E" w:rsidRPr="00190BB7" w:rsidRDefault="000E264E" w:rsidP="000E264E">
      <w:pPr>
        <w:pStyle w:val="FootnoteText"/>
        <w:spacing w:after="120"/>
      </w:pPr>
      <w:r w:rsidRPr="008D5103">
        <w:rPr>
          <w:rStyle w:val="FootnoteReference"/>
          <w:vertAlign w:val="baseline"/>
        </w:rPr>
        <w:footnoteRef/>
      </w:r>
      <w:r w:rsidRPr="00190BB7">
        <w:t xml:space="preserve"> </w:t>
      </w:r>
      <w:r>
        <w:tab/>
        <w:t>Statement of compatibility, p. xiii.</w:t>
      </w:r>
    </w:p>
  </w:footnote>
  <w:footnote w:id="40">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r>
      <w:r w:rsidRPr="00131142">
        <w:t>Schedule 2, item 13</w:t>
      </w:r>
      <w:r>
        <w:t>, proposed section 329MB</w:t>
      </w:r>
      <w:r w:rsidRPr="00131142">
        <w:t>. The committee draws Senators’ attention to this provision pursuant to principle 1(a)(ii) of the committee’s terms of reference.</w:t>
      </w:r>
    </w:p>
  </w:footnote>
  <w:footnote w:id="41">
    <w:p w:rsidR="000E264E" w:rsidRPr="00B800DC" w:rsidRDefault="000E264E" w:rsidP="000E264E">
      <w:pPr>
        <w:pStyle w:val="FootnoteText"/>
        <w:spacing w:after="120"/>
      </w:pPr>
      <w:r w:rsidRPr="008D5103">
        <w:rPr>
          <w:rStyle w:val="FootnoteReference"/>
          <w:vertAlign w:val="baseline"/>
        </w:rPr>
        <w:footnoteRef/>
      </w:r>
      <w:r w:rsidRPr="00B800DC">
        <w:t xml:space="preserve"> </w:t>
      </w:r>
      <w:r>
        <w:tab/>
        <w:t xml:space="preserve">See Schedule 2, item 13, proposed sections 329ME and 329MF. </w:t>
      </w:r>
    </w:p>
  </w:footnote>
  <w:footnote w:id="42">
    <w:p w:rsidR="000E264E" w:rsidRPr="00B800DC" w:rsidRDefault="000E264E" w:rsidP="000E264E">
      <w:pPr>
        <w:pStyle w:val="FootnoteText"/>
        <w:spacing w:after="120"/>
      </w:pPr>
      <w:r w:rsidRPr="008D5103">
        <w:rPr>
          <w:rStyle w:val="FootnoteReference"/>
          <w:vertAlign w:val="baseline"/>
        </w:rPr>
        <w:footnoteRef/>
      </w:r>
      <w:r w:rsidRPr="00B800DC">
        <w:t xml:space="preserve"> </w:t>
      </w:r>
      <w:r>
        <w:tab/>
        <w:t xml:space="preserve">See section 329CA of the </w:t>
      </w:r>
      <w:r w:rsidRPr="008D5103">
        <w:rPr>
          <w:i/>
        </w:rPr>
        <w:t>Fair Work (Registered Organisations) Act 2009</w:t>
      </w:r>
      <w:r>
        <w:t>.</w:t>
      </w:r>
    </w:p>
  </w:footnote>
  <w:footnote w:id="43">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Pr>
          <w:szCs w:val="22"/>
        </w:rPr>
        <w:t>, September 2011, p</w:t>
      </w:r>
      <w:r w:rsidRPr="00221A90">
        <w:rPr>
          <w:szCs w:val="22"/>
        </w:rPr>
        <w:t>.</w:t>
      </w:r>
      <w:r>
        <w:rPr>
          <w:szCs w:val="22"/>
        </w:rPr>
        <w:t xml:space="preserve"> 60.</w:t>
      </w:r>
    </w:p>
  </w:footnote>
  <w:footnote w:id="44">
    <w:p w:rsidR="000E264E" w:rsidRPr="00674263" w:rsidRDefault="000E264E" w:rsidP="000E264E">
      <w:pPr>
        <w:pStyle w:val="FootnoteText"/>
        <w:spacing w:after="120"/>
      </w:pPr>
      <w:r w:rsidRPr="00674263">
        <w:rPr>
          <w:rStyle w:val="FootnoteReference"/>
          <w:vertAlign w:val="baseline"/>
        </w:rPr>
        <w:footnoteRef/>
      </w:r>
      <w:r w:rsidRPr="00674263">
        <w:t xml:space="preserve"> </w:t>
      </w:r>
      <w:r>
        <w:tab/>
        <w:t>Explanatory Memorandum, p. 27.</w:t>
      </w:r>
    </w:p>
  </w:footnote>
  <w:footnote w:id="45">
    <w:p w:rsidR="000E264E" w:rsidRPr="003163F8" w:rsidRDefault="000E264E" w:rsidP="000E264E">
      <w:pPr>
        <w:pStyle w:val="FootnoteText"/>
        <w:spacing w:after="120"/>
      </w:pPr>
      <w:r w:rsidRPr="003163F8">
        <w:rPr>
          <w:rStyle w:val="FootnoteReference"/>
          <w:vertAlign w:val="baseline"/>
        </w:rPr>
        <w:footnoteRef/>
      </w:r>
      <w:r w:rsidRPr="003163F8">
        <w:t xml:space="preserve"> </w:t>
      </w:r>
      <w:r>
        <w:tab/>
      </w:r>
      <w:r w:rsidRPr="00131142">
        <w:t>Schedule 2, item 13</w:t>
      </w:r>
      <w:r>
        <w:t>, proposed section 329MK</w:t>
      </w:r>
      <w:r w:rsidRPr="00131142">
        <w:t>. The committee draws Senators’ attention to this provision pursuant to principle 1(a)(i) of the committee’s terms of reference.</w:t>
      </w:r>
    </w:p>
  </w:footnote>
  <w:footnote w:id="46">
    <w:p w:rsidR="000E264E" w:rsidRPr="008A4DC9" w:rsidRDefault="000E264E" w:rsidP="000E264E">
      <w:pPr>
        <w:pStyle w:val="FootnoteText"/>
        <w:spacing w:after="120"/>
      </w:pPr>
      <w:r w:rsidRPr="008A4DC9">
        <w:rPr>
          <w:rStyle w:val="FootnoteReference"/>
          <w:vertAlign w:val="baseline"/>
        </w:rPr>
        <w:footnoteRef/>
      </w:r>
      <w:r w:rsidRPr="008A4DC9">
        <w:t xml:space="preserve"> </w:t>
      </w:r>
      <w:r>
        <w:tab/>
      </w:r>
      <w:r w:rsidRPr="00654935">
        <w:t>Schedule 2, item 13</w:t>
      </w:r>
      <w:r>
        <w:t>, proposed section 329NI</w:t>
      </w:r>
      <w:r w:rsidRPr="00654935">
        <w:t>. The committee draws Senators’ attention to this provision pursuant to principle 1(a)(iii) of the committee’s terms of reference.</w:t>
      </w:r>
    </w:p>
  </w:footnote>
  <w:footnote w:id="47">
    <w:p w:rsidR="000E264E" w:rsidRPr="0008668B" w:rsidRDefault="000E264E" w:rsidP="000E264E">
      <w:pPr>
        <w:pStyle w:val="FootnoteText"/>
        <w:spacing w:after="120"/>
      </w:pPr>
      <w:r w:rsidRPr="0008668B">
        <w:rPr>
          <w:rStyle w:val="FootnoteReference"/>
          <w:vertAlign w:val="baseline"/>
        </w:rPr>
        <w:footnoteRef/>
      </w:r>
      <w:r w:rsidRPr="0008668B">
        <w:t xml:space="preserve"> </w:t>
      </w:r>
      <w:r>
        <w:tab/>
        <w:t>Explanatory memorandum, p. 31.</w:t>
      </w:r>
    </w:p>
  </w:footnote>
  <w:footnote w:id="48">
    <w:p w:rsidR="000E264E" w:rsidRPr="005124F5" w:rsidRDefault="000E264E" w:rsidP="000E264E">
      <w:pPr>
        <w:pStyle w:val="FootnoteText"/>
        <w:spacing w:after="120"/>
      </w:pPr>
      <w:r w:rsidRPr="005124F5">
        <w:rPr>
          <w:rStyle w:val="FootnoteReference"/>
          <w:vertAlign w:val="baseline"/>
        </w:rPr>
        <w:footnoteRef/>
      </w:r>
      <w:r w:rsidRPr="005124F5">
        <w:t xml:space="preserve"> </w:t>
      </w:r>
      <w:r>
        <w:tab/>
      </w:r>
      <w:r w:rsidRPr="00654935">
        <w:t>Schedule 2, item 13</w:t>
      </w:r>
      <w:r>
        <w:t>, proposed section 329NF</w:t>
      </w:r>
      <w:r w:rsidRPr="00654935">
        <w:t>. The committee draws Senators’ attention to this provision pursuant to principle 1(a)(i) of the committee’s terms of reference.</w:t>
      </w:r>
    </w:p>
  </w:footnote>
  <w:footnote w:id="49">
    <w:p w:rsidR="000E264E" w:rsidRPr="008F70DD" w:rsidRDefault="000E264E" w:rsidP="000E264E">
      <w:pPr>
        <w:pStyle w:val="FootnoteText"/>
        <w:spacing w:after="120"/>
      </w:pPr>
      <w:r w:rsidRPr="008F70DD">
        <w:rPr>
          <w:rStyle w:val="FootnoteReference"/>
          <w:vertAlign w:val="baseline"/>
        </w:rPr>
        <w:footnoteRef/>
      </w:r>
      <w:r w:rsidRPr="008F70DD">
        <w:t xml:space="preserve"> </w:t>
      </w:r>
      <w:r>
        <w:tab/>
        <w:t>Explanatory memorandum, p. 30.</w:t>
      </w:r>
    </w:p>
  </w:footnote>
  <w:footnote w:id="50">
    <w:p w:rsidR="000E264E" w:rsidRPr="002F0649" w:rsidRDefault="000E264E" w:rsidP="000E264E">
      <w:pPr>
        <w:pStyle w:val="FootnoteText"/>
        <w:spacing w:after="120"/>
      </w:pPr>
      <w:r w:rsidRPr="008D5103">
        <w:rPr>
          <w:rStyle w:val="FootnoteReference"/>
          <w:vertAlign w:val="baseline"/>
        </w:rPr>
        <w:footnoteRef/>
      </w:r>
      <w:r w:rsidRPr="002F0649">
        <w:t xml:space="preserve"> </w:t>
      </w:r>
      <w:r>
        <w:tab/>
        <w:t xml:space="preserve">See paragraph 4D(1)(b) of the </w:t>
      </w:r>
      <w:r w:rsidRPr="008D5103">
        <w:rPr>
          <w:i/>
        </w:rPr>
        <w:t>Crimes Act 1914</w:t>
      </w:r>
      <w:r>
        <w:t xml:space="preserve"> which provides that a penalty set out at the foot of any provision of an Act, where the provision does not expressly create an offence, indicates that contravention of the provision is an offence against the provision.</w:t>
      </w:r>
    </w:p>
  </w:footnote>
  <w:footnote w:id="51">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50-52.</w:t>
      </w:r>
    </w:p>
  </w:footnote>
  <w:footnote w:id="52">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Schedule 1, item 56, proposed subsection 11CI(3), Schedule 2, item 135, proposed subsection 109A(3); and Schedule 3, item 102, proposed subsection 231A(3). The committee draws Senators’ attention to these provisions pursuant to principle 1(a)</w:t>
      </w:r>
      <w:r w:rsidRPr="00B93CD7">
        <w:t>(</w:t>
      </w:r>
      <w:r>
        <w:t>i</w:t>
      </w:r>
      <w:r w:rsidRPr="00B93CD7">
        <w:t>) o</w:t>
      </w:r>
      <w:r>
        <w:t>f the committee’s terms of reference.</w:t>
      </w:r>
    </w:p>
  </w:footnote>
  <w:footnote w:id="53">
    <w:p w:rsidR="000E264E" w:rsidRPr="002A7654" w:rsidRDefault="000E264E" w:rsidP="000E264E">
      <w:pPr>
        <w:pStyle w:val="FootnoteText"/>
        <w:spacing w:after="120"/>
      </w:pPr>
      <w:r w:rsidRPr="00F142A4">
        <w:rPr>
          <w:rStyle w:val="FootnoteReference"/>
          <w:vertAlign w:val="baseline"/>
        </w:rPr>
        <w:footnoteRef/>
      </w:r>
      <w:r w:rsidRPr="002A7654">
        <w:t xml:space="preserve"> </w:t>
      </w:r>
      <w:r>
        <w:tab/>
        <w:t>Explanatory memorandum, p. 85.</w:t>
      </w:r>
    </w:p>
  </w:footnote>
  <w:footnote w:id="54">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50-52.</w:t>
      </w:r>
    </w:p>
  </w:footnote>
  <w:footnote w:id="55">
    <w:p w:rsidR="000E264E" w:rsidRPr="00E578A2" w:rsidRDefault="000E264E" w:rsidP="000E264E">
      <w:pPr>
        <w:pStyle w:val="FootnoteText"/>
        <w:spacing w:after="120"/>
      </w:pPr>
      <w:r w:rsidRPr="00E578A2">
        <w:rPr>
          <w:rStyle w:val="FootnoteReference"/>
          <w:vertAlign w:val="baseline"/>
        </w:rPr>
        <w:footnoteRef/>
      </w:r>
      <w:r w:rsidRPr="00E578A2">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Pr>
          <w:szCs w:val="22"/>
        </w:rPr>
        <w:t>, September 2011, p. 50.</w:t>
      </w:r>
    </w:p>
  </w:footnote>
  <w:footnote w:id="56">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50-52.</w:t>
      </w:r>
    </w:p>
  </w:footnote>
  <w:footnote w:id="57">
    <w:p w:rsidR="000E264E" w:rsidRPr="00867586" w:rsidRDefault="000E264E" w:rsidP="000E264E">
      <w:pPr>
        <w:pStyle w:val="FootnoteText"/>
        <w:spacing w:after="120"/>
      </w:pPr>
      <w:r w:rsidRPr="00867586">
        <w:rPr>
          <w:rStyle w:val="FootnoteReference"/>
          <w:vertAlign w:val="baseline"/>
        </w:rPr>
        <w:footnoteRef/>
      </w:r>
      <w:r w:rsidRPr="00867586">
        <w:t xml:space="preserve"> </w:t>
      </w:r>
      <w:r>
        <w:tab/>
        <w:t>Schedule 1, item 190, proposed section 15B; Schedule 2, item 33, proposed section 62P; item 58, proposed section 62ZOR; Schedule 3, item 28, proposed section 161; item 52, proposed section 179AR. The committee draws Senators’ attention to these provisions pursuant to principle 1(a)</w:t>
      </w:r>
      <w:r w:rsidRPr="00B93CD7">
        <w:t>(</w:t>
      </w:r>
      <w:r>
        <w:t>i</w:t>
      </w:r>
      <w:r w:rsidRPr="00B93CD7">
        <w:t>) o</w:t>
      </w:r>
      <w:r>
        <w:t>f the committee’s terms of reference.</w:t>
      </w:r>
    </w:p>
  </w:footnote>
  <w:footnote w:id="58">
    <w:p w:rsidR="000E264E" w:rsidRPr="00223E09" w:rsidRDefault="000E264E" w:rsidP="000E264E">
      <w:pPr>
        <w:pStyle w:val="FootnoteText"/>
        <w:spacing w:after="120"/>
      </w:pPr>
      <w:r w:rsidRPr="00223E09">
        <w:rPr>
          <w:rStyle w:val="FootnoteReference"/>
          <w:vertAlign w:val="baseline"/>
        </w:rPr>
        <w:footnoteRef/>
      </w:r>
      <w:r w:rsidRPr="00223E09">
        <w:t xml:space="preserve"> </w:t>
      </w:r>
      <w:r>
        <w:tab/>
        <w:t>Explanatory memorandum, p. 43.</w:t>
      </w:r>
    </w:p>
  </w:footnote>
  <w:footnote w:id="59">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Schedule 2, item 58, proposed section 62ZOD and Schedule 3, item 52, proposed section 179AD. The committee draws Senators’ attention to these provisions pursuant to principle 1(a)</w:t>
      </w:r>
      <w:r w:rsidRPr="00B93CD7">
        <w:t>(</w:t>
      </w:r>
      <w:r>
        <w:t>i</w:t>
      </w:r>
      <w:r w:rsidRPr="00B93CD7">
        <w:t>) o</w:t>
      </w:r>
      <w:r>
        <w:t>f the committee’s terms of reference.</w:t>
      </w:r>
    </w:p>
  </w:footnote>
  <w:footnote w:id="60">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221A90">
        <w:rPr>
          <w:i/>
          <w:szCs w:val="22"/>
        </w:rPr>
        <w:t xml:space="preserve">Sorby v Commonwealth </w:t>
      </w:r>
      <w:r w:rsidRPr="00221A90">
        <w:rPr>
          <w:szCs w:val="22"/>
        </w:rPr>
        <w:t xml:space="preserve">(1983) 152 CLR 281; </w:t>
      </w:r>
      <w:r w:rsidRPr="00221A90">
        <w:rPr>
          <w:i/>
          <w:szCs w:val="22"/>
        </w:rPr>
        <w:t>Pyneboard Pty Ltd v Trade Practices Commission</w:t>
      </w:r>
      <w:r w:rsidRPr="00221A90">
        <w:rPr>
          <w:szCs w:val="22"/>
        </w:rPr>
        <w:t xml:space="preserve"> (1983) 152 CLR 328.</w:t>
      </w:r>
    </w:p>
  </w:footnote>
  <w:footnote w:id="61">
    <w:p w:rsidR="000E264E" w:rsidRPr="003B3787" w:rsidRDefault="000E264E" w:rsidP="000E264E">
      <w:pPr>
        <w:pStyle w:val="FootnoteText"/>
        <w:spacing w:after="120"/>
      </w:pPr>
      <w:r w:rsidRPr="00F142A4">
        <w:rPr>
          <w:rStyle w:val="FootnoteReference"/>
          <w:vertAlign w:val="baseline"/>
        </w:rPr>
        <w:footnoteRef/>
      </w:r>
      <w:r w:rsidRPr="003B3787">
        <w:t xml:space="preserve"> </w:t>
      </w:r>
      <w:r>
        <w:tab/>
        <w:t>Statement of compatibility, pp 224-225.</w:t>
      </w:r>
    </w:p>
  </w:footnote>
  <w:footnote w:id="62">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94-99.</w:t>
      </w:r>
    </w:p>
  </w:footnote>
  <w:footnote w:id="63">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Schedule 1, item 12, proposed paragraph 140ZN(e). The committee draws Senators’ attention to this provision pursuant to principle 1(a)</w:t>
      </w:r>
      <w:r w:rsidRPr="00B34A99">
        <w:t>(</w:t>
      </w:r>
      <w:r>
        <w:t>iv</w:t>
      </w:r>
      <w:r w:rsidRPr="00B34A99">
        <w:t>)</w:t>
      </w:r>
      <w:r>
        <w:t xml:space="preserve"> of the committee’s terms of reference.</w:t>
      </w:r>
    </w:p>
  </w:footnote>
  <w:footnote w:id="64">
    <w:p w:rsidR="000E264E" w:rsidRPr="00FB023E" w:rsidRDefault="000E264E" w:rsidP="000E264E">
      <w:pPr>
        <w:pStyle w:val="FootnoteText"/>
        <w:spacing w:after="120"/>
      </w:pPr>
      <w:r w:rsidRPr="00FB023E">
        <w:rPr>
          <w:rStyle w:val="FootnoteReference"/>
          <w:vertAlign w:val="baseline"/>
        </w:rPr>
        <w:footnoteRef/>
      </w:r>
      <w:r w:rsidRPr="00FB023E">
        <w:t xml:space="preserve"> </w:t>
      </w:r>
      <w:r>
        <w:tab/>
        <w:t>Explanatory memorandum p. 7.</w:t>
      </w:r>
    </w:p>
  </w:footnote>
  <w:footnote w:id="65">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Schedule 1, items 14, 24, 34 and 38; Schedule 2, item 11; Schedule 4, items 4 and 7; and Schedule 6, item 1. The committee draws Senators’ attention to these provisions pursuant to principle 1(a)</w:t>
      </w:r>
      <w:r w:rsidRPr="000F35B8">
        <w:t>(iv)</w:t>
      </w:r>
      <w:r>
        <w:t xml:space="preserve"> and (v) of the committee’s terms of reference.</w:t>
      </w:r>
    </w:p>
  </w:footnote>
  <w:footnote w:id="66">
    <w:p w:rsidR="000E264E" w:rsidRPr="00306796" w:rsidRDefault="000E264E" w:rsidP="000E264E">
      <w:pPr>
        <w:pStyle w:val="FootnoteText"/>
        <w:spacing w:after="120"/>
      </w:pPr>
      <w:r w:rsidRPr="00306796">
        <w:rPr>
          <w:rStyle w:val="FootnoteReference"/>
          <w:vertAlign w:val="baseline"/>
        </w:rPr>
        <w:footnoteRef/>
      </w:r>
      <w:r w:rsidRPr="00306796">
        <w:t xml:space="preserve"> </w:t>
      </w:r>
      <w:r>
        <w:tab/>
        <w:t>Schedule 1, items 14, 24, 34 and 38; and Schedule 2, item 11.</w:t>
      </w:r>
    </w:p>
  </w:footnote>
  <w:footnote w:id="67">
    <w:p w:rsidR="000E264E" w:rsidRPr="00306796" w:rsidRDefault="000E264E" w:rsidP="000E264E">
      <w:pPr>
        <w:pStyle w:val="FootnoteText"/>
        <w:spacing w:after="120"/>
      </w:pPr>
      <w:r w:rsidRPr="00306796">
        <w:rPr>
          <w:rStyle w:val="FootnoteReference"/>
          <w:vertAlign w:val="baseline"/>
        </w:rPr>
        <w:footnoteRef/>
      </w:r>
      <w:r w:rsidRPr="00306796">
        <w:t xml:space="preserve"> </w:t>
      </w:r>
      <w:r>
        <w:tab/>
        <w:t>Schedule 4, items 4 and 7; and Schedule 6, item 1.</w:t>
      </w:r>
    </w:p>
  </w:footnote>
  <w:footnote w:id="68">
    <w:p w:rsidR="000E264E" w:rsidRPr="00C66102" w:rsidRDefault="000E264E" w:rsidP="000E264E">
      <w:pPr>
        <w:pStyle w:val="FootnoteText"/>
        <w:spacing w:after="120"/>
      </w:pPr>
      <w:r w:rsidRPr="00C66102">
        <w:rPr>
          <w:rStyle w:val="FootnoteReference"/>
          <w:vertAlign w:val="baseline"/>
        </w:rPr>
        <w:footnoteRef/>
      </w:r>
      <w:r w:rsidRPr="00C66102">
        <w:t xml:space="preserve"> </w:t>
      </w:r>
      <w:r>
        <w:tab/>
        <w:t>Explanatory memorandum, p. 3.</w:t>
      </w:r>
    </w:p>
  </w:footnote>
  <w:footnote w:id="69">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Clause 31</w:t>
      </w:r>
      <w:r w:rsidRPr="00927BA5">
        <w:t>.</w:t>
      </w:r>
      <w:r>
        <w:t xml:space="preserve"> The committee draws Senators’ attention to this provision pursuant to principle 1(a)</w:t>
      </w:r>
      <w:r w:rsidRPr="00927BA5">
        <w:t>(</w:t>
      </w:r>
      <w:r>
        <w:t>i</w:t>
      </w:r>
      <w:r w:rsidRPr="00927BA5">
        <w:t>)</w:t>
      </w:r>
      <w:r>
        <w:t xml:space="preserve"> of the committee’s terms of reference.</w:t>
      </w:r>
    </w:p>
  </w:footnote>
  <w:footnote w:id="70">
    <w:p w:rsidR="000E264E" w:rsidRPr="005814D1" w:rsidRDefault="000E264E" w:rsidP="000E264E">
      <w:pPr>
        <w:pStyle w:val="FootnoteText"/>
        <w:spacing w:after="120"/>
      </w:pPr>
      <w:r w:rsidRPr="005814D1">
        <w:rPr>
          <w:rStyle w:val="FootnoteReference"/>
          <w:vertAlign w:val="baseline"/>
        </w:rPr>
        <w:footnoteRef/>
      </w:r>
      <w:r w:rsidRPr="005814D1">
        <w:t xml:space="preserve"> </w:t>
      </w:r>
      <w:r>
        <w:tab/>
        <w:t xml:space="preserve">See eg, </w:t>
      </w:r>
      <w:r w:rsidRPr="002927E2">
        <w:rPr>
          <w:i/>
        </w:rPr>
        <w:t xml:space="preserve">Saeed v Minister for Immigration and Citizenship </w:t>
      </w:r>
      <w:r>
        <w:t>[2010] HCA 23 [14-15].</w:t>
      </w:r>
    </w:p>
  </w:footnote>
  <w:footnote w:id="71">
    <w:p w:rsidR="000E264E" w:rsidRPr="0074051D" w:rsidRDefault="000E264E" w:rsidP="000E264E">
      <w:pPr>
        <w:pStyle w:val="FootnoteText"/>
        <w:spacing w:after="120"/>
      </w:pPr>
      <w:r w:rsidRPr="00653557">
        <w:rPr>
          <w:rStyle w:val="FootnoteReference"/>
          <w:vertAlign w:val="baseline"/>
        </w:rPr>
        <w:footnoteRef/>
      </w:r>
      <w:r w:rsidRPr="00653557">
        <w:t xml:space="preserve"> </w:t>
      </w:r>
      <w:r w:rsidRPr="00653557">
        <w:tab/>
        <w:t xml:space="preserve">Explanatory memorandum, </w:t>
      </w:r>
      <w:r w:rsidRPr="00B22198">
        <w:t>note on clause 33</w:t>
      </w:r>
      <w:r w:rsidRPr="00653557">
        <w:t>.</w:t>
      </w:r>
    </w:p>
  </w:footnote>
  <w:footnote w:id="72">
    <w:p w:rsidR="000E264E" w:rsidRPr="0074051D" w:rsidRDefault="000E264E" w:rsidP="000E264E">
      <w:pPr>
        <w:pStyle w:val="FootnoteText"/>
        <w:spacing w:after="120"/>
      </w:pPr>
      <w:r w:rsidRPr="0074051D">
        <w:rPr>
          <w:rStyle w:val="FootnoteReference"/>
          <w:vertAlign w:val="baseline"/>
        </w:rPr>
        <w:footnoteRef/>
      </w:r>
      <w:r w:rsidRPr="0074051D">
        <w:t xml:space="preserve"> </w:t>
      </w:r>
      <w:r>
        <w:tab/>
        <w:t>See subclause 33(4).</w:t>
      </w:r>
    </w:p>
  </w:footnote>
  <w:footnote w:id="73">
    <w:p w:rsidR="000E264E" w:rsidRPr="0074051D" w:rsidRDefault="000E264E" w:rsidP="000E264E">
      <w:pPr>
        <w:pStyle w:val="FootnoteText"/>
        <w:spacing w:after="120"/>
      </w:pPr>
      <w:r w:rsidRPr="0074051D">
        <w:rPr>
          <w:rStyle w:val="FootnoteReference"/>
          <w:vertAlign w:val="baseline"/>
        </w:rPr>
        <w:footnoteRef/>
      </w:r>
      <w:r w:rsidRPr="0074051D">
        <w:t xml:space="preserve"> </w:t>
      </w:r>
      <w:r>
        <w:tab/>
        <w:t>See clause 157.</w:t>
      </w:r>
    </w:p>
  </w:footnote>
  <w:footnote w:id="74">
    <w:p w:rsidR="000E264E" w:rsidRPr="0074051D" w:rsidRDefault="000E264E" w:rsidP="000E264E">
      <w:pPr>
        <w:pStyle w:val="FootnoteText"/>
        <w:spacing w:after="120"/>
      </w:pPr>
      <w:r w:rsidRPr="0074051D">
        <w:rPr>
          <w:rStyle w:val="FootnoteReference"/>
          <w:vertAlign w:val="baseline"/>
        </w:rPr>
        <w:footnoteRef/>
      </w:r>
      <w:r w:rsidRPr="0074051D">
        <w:t xml:space="preserve"> </w:t>
      </w:r>
      <w:r>
        <w:tab/>
        <w:t xml:space="preserve">See </w:t>
      </w:r>
      <w:r w:rsidRPr="00B66E69">
        <w:rPr>
          <w:i/>
        </w:rPr>
        <w:t xml:space="preserve">Ainsworth v Criminal Justice Commission (Qld) </w:t>
      </w:r>
      <w:r>
        <w:rPr>
          <w:szCs w:val="24"/>
        </w:rPr>
        <w:t>(1992) 175 CLR 564.</w:t>
      </w:r>
    </w:p>
  </w:footnote>
  <w:footnote w:id="75">
    <w:p w:rsidR="000E264E" w:rsidRPr="007569F9" w:rsidRDefault="000E264E" w:rsidP="000E264E">
      <w:pPr>
        <w:pStyle w:val="FootnoteText"/>
        <w:spacing w:after="120"/>
      </w:pPr>
      <w:r w:rsidRPr="00B22198">
        <w:rPr>
          <w:rStyle w:val="FootnoteReference"/>
          <w:vertAlign w:val="baseline"/>
        </w:rPr>
        <w:footnoteRef/>
      </w:r>
      <w:r w:rsidRPr="007569F9">
        <w:t xml:space="preserve"> </w:t>
      </w:r>
      <w:r>
        <w:tab/>
        <w:t>Clauses 43 and 45–48 and clauses64-66. The committee draws Senators’ attention to these provisions pursuant to principle 1(a)</w:t>
      </w:r>
      <w:r w:rsidRPr="00525495">
        <w:t>(</w:t>
      </w:r>
      <w:r>
        <w:t>i</w:t>
      </w:r>
      <w:r w:rsidRPr="00525495">
        <w:t>)</w:t>
      </w:r>
      <w:r>
        <w:t xml:space="preserve"> of the committee’s terms of reference.</w:t>
      </w:r>
    </w:p>
  </w:footnote>
  <w:footnote w:id="76">
    <w:p w:rsidR="000E264E" w:rsidRPr="002273B9" w:rsidRDefault="000E264E" w:rsidP="000E264E">
      <w:pPr>
        <w:pStyle w:val="FootnoteText"/>
        <w:spacing w:after="120"/>
      </w:pPr>
      <w:r w:rsidRPr="00B22198">
        <w:rPr>
          <w:rStyle w:val="FootnoteReference"/>
          <w:vertAlign w:val="baseline"/>
        </w:rPr>
        <w:footnoteRef/>
      </w:r>
      <w:r w:rsidRPr="002273B9">
        <w:t xml:space="preserve"> </w:t>
      </w:r>
      <w:r>
        <w:tab/>
        <w:t>Subparagraph 47(1)(a).</w:t>
      </w:r>
    </w:p>
  </w:footnote>
  <w:footnote w:id="77">
    <w:p w:rsidR="000E264E" w:rsidRPr="002273B9" w:rsidRDefault="000E264E" w:rsidP="000E264E">
      <w:pPr>
        <w:pStyle w:val="FootnoteText"/>
        <w:spacing w:after="120"/>
      </w:pPr>
      <w:r w:rsidRPr="00B22198">
        <w:rPr>
          <w:rStyle w:val="FootnoteReference"/>
          <w:vertAlign w:val="baseline"/>
        </w:rPr>
        <w:footnoteRef/>
      </w:r>
      <w:r w:rsidRPr="002273B9">
        <w:t xml:space="preserve"> </w:t>
      </w:r>
      <w:r>
        <w:tab/>
        <w:t>Subparagraph 47(4).</w:t>
      </w:r>
    </w:p>
  </w:footnote>
  <w:footnote w:id="78">
    <w:p w:rsidR="000E264E" w:rsidRPr="00134D1D" w:rsidRDefault="000E264E" w:rsidP="000E264E">
      <w:pPr>
        <w:pStyle w:val="FootnoteText"/>
        <w:spacing w:after="120"/>
      </w:pPr>
      <w:r w:rsidRPr="00B22198">
        <w:rPr>
          <w:rStyle w:val="FootnoteReference"/>
          <w:vertAlign w:val="baseline"/>
        </w:rPr>
        <w:footnoteRef/>
      </w:r>
      <w:r w:rsidRPr="007569F9">
        <w:t xml:space="preserve"> </w:t>
      </w:r>
      <w:r w:rsidRPr="007569F9">
        <w:tab/>
        <w:t xml:space="preserve">Explanatory memorandum, </w:t>
      </w:r>
      <w:r w:rsidRPr="00987B84">
        <w:t>note</w:t>
      </w:r>
      <w:r>
        <w:t>s</w:t>
      </w:r>
      <w:r w:rsidRPr="00987B84">
        <w:t xml:space="preserve"> </w:t>
      </w:r>
      <w:r w:rsidRPr="00B22198">
        <w:t>on</w:t>
      </w:r>
      <w:r w:rsidRPr="007569F9">
        <w:t xml:space="preserve"> clauses 46, 47 and 48</w:t>
      </w:r>
      <w:r w:rsidRPr="00987B84">
        <w:t>.</w:t>
      </w:r>
    </w:p>
  </w:footnote>
  <w:footnote w:id="79">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Clauses 48 and 66. The committee draws Senators’ attention to these provisions pursuant to principle 1(a</w:t>
      </w:r>
      <w:r w:rsidRPr="00D2663C">
        <w:t>)(</w:t>
      </w:r>
      <w:r>
        <w:t>i</w:t>
      </w:r>
      <w:r w:rsidRPr="00D2663C">
        <w:t>)</w:t>
      </w:r>
      <w:r>
        <w:t xml:space="preserve"> of the committee’s terms of reference.</w:t>
      </w:r>
    </w:p>
  </w:footnote>
  <w:footnote w:id="80">
    <w:p w:rsidR="000E264E" w:rsidRPr="00134D1D" w:rsidRDefault="000E264E" w:rsidP="000E264E">
      <w:pPr>
        <w:pStyle w:val="FootnoteText"/>
        <w:spacing w:after="120"/>
      </w:pPr>
      <w:r w:rsidRPr="00BB1465">
        <w:rPr>
          <w:rStyle w:val="FootnoteReference"/>
          <w:vertAlign w:val="baseline"/>
        </w:rPr>
        <w:footnoteRef/>
      </w:r>
      <w:r w:rsidRPr="00134D1D">
        <w:t xml:space="preserve"> </w:t>
      </w:r>
      <w:r>
        <w:tab/>
        <w:t>Subclause 48(3).</w:t>
      </w:r>
    </w:p>
  </w:footnote>
  <w:footnote w:id="81">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82">
    <w:p w:rsidR="000E264E" w:rsidRPr="00AC2A4A" w:rsidRDefault="000E264E" w:rsidP="000E264E">
      <w:pPr>
        <w:pStyle w:val="FootnoteText"/>
        <w:spacing w:after="120"/>
      </w:pPr>
      <w:r w:rsidRPr="00AC2A4A">
        <w:rPr>
          <w:rStyle w:val="FootnoteReference"/>
          <w:vertAlign w:val="baseline"/>
        </w:rPr>
        <w:footnoteRef/>
      </w:r>
      <w:r w:rsidRPr="00AC2A4A">
        <w:t xml:space="preserve"> </w:t>
      </w:r>
      <w:r>
        <w:tab/>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Pr>
          <w:szCs w:val="22"/>
        </w:rPr>
        <w:t>, September 2011, p. 23.</w:t>
      </w:r>
    </w:p>
  </w:footnote>
  <w:footnote w:id="83">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22–25</w:t>
      </w:r>
      <w:r>
        <w:rPr>
          <w:szCs w:val="22"/>
        </w:rPr>
        <w:t xml:space="preserve"> and </w:t>
      </w:r>
      <w:r w:rsidRPr="00221A90">
        <w:rPr>
          <w:szCs w:val="22"/>
        </w:rPr>
        <w:t>50-52.</w:t>
      </w:r>
    </w:p>
  </w:footnote>
  <w:footnote w:id="84">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Clauses 49 and 67. The committee draws Senators’ attention to this provision pursuant to principle 1(a</w:t>
      </w:r>
      <w:r w:rsidRPr="00D2663C">
        <w:t>)(</w:t>
      </w:r>
      <w:r>
        <w:t>i</w:t>
      </w:r>
      <w:r w:rsidRPr="00D2663C">
        <w:t>)</w:t>
      </w:r>
      <w:r>
        <w:t xml:space="preserve"> of the committee’s terms of reference.</w:t>
      </w:r>
    </w:p>
  </w:footnote>
  <w:footnote w:id="85">
    <w:p w:rsidR="000E264E" w:rsidRPr="00F5332F" w:rsidRDefault="000E264E" w:rsidP="000E264E">
      <w:pPr>
        <w:pStyle w:val="FootnoteText"/>
        <w:spacing w:after="120"/>
      </w:pPr>
      <w:r w:rsidRPr="00B22198">
        <w:rPr>
          <w:rStyle w:val="FootnoteReference"/>
          <w:vertAlign w:val="baseline"/>
        </w:rPr>
        <w:footnoteRef/>
      </w:r>
      <w:r w:rsidRPr="00856393">
        <w:t xml:space="preserve"> </w:t>
      </w:r>
      <w:r w:rsidRPr="00856393">
        <w:tab/>
        <w:t xml:space="preserve">Explanatory memorandum, note </w:t>
      </w:r>
      <w:r w:rsidRPr="00B22198">
        <w:t>on</w:t>
      </w:r>
      <w:r w:rsidRPr="00856393">
        <w:t xml:space="preserve"> clause 49.</w:t>
      </w:r>
    </w:p>
  </w:footnote>
  <w:footnote w:id="86">
    <w:p w:rsidR="000E264E" w:rsidRPr="00667C2A" w:rsidRDefault="000E264E" w:rsidP="000E264E">
      <w:pPr>
        <w:pStyle w:val="FootnoteText"/>
        <w:spacing w:after="120"/>
      </w:pPr>
      <w:r w:rsidRPr="00B22198">
        <w:rPr>
          <w:rStyle w:val="FootnoteReference"/>
          <w:vertAlign w:val="baseline"/>
        </w:rPr>
        <w:footnoteRef/>
      </w:r>
      <w:r w:rsidRPr="00667C2A">
        <w:t xml:space="preserve"> </w:t>
      </w:r>
      <w:r>
        <w:tab/>
      </w:r>
      <w:r w:rsidRPr="00376EA6">
        <w:t xml:space="preserve">Attorney-General's Department, </w:t>
      </w:r>
      <w:r w:rsidRPr="00B22198">
        <w:rPr>
          <w:i/>
        </w:rPr>
        <w:t>A Guide to Framing Commonwealth Offences, Infringement Notices and Enforcement Powers</w:t>
      </w:r>
      <w:r w:rsidRPr="00376EA6">
        <w:t>, September 2011, pp 94-99.</w:t>
      </w:r>
    </w:p>
  </w:footnote>
  <w:footnote w:id="87">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 xml:space="preserve">Clauses 71. The committee draws Senators’ attention to these provisions pursuant to principle </w:t>
      </w:r>
      <w:r w:rsidRPr="00EB7402">
        <w:t>1(a)(</w:t>
      </w:r>
      <w:r>
        <w:t>i</w:t>
      </w:r>
      <w:r w:rsidRPr="00EB7402">
        <w:t>)</w:t>
      </w:r>
      <w:r>
        <w:t xml:space="preserve"> of the committee’s terms of reference.</w:t>
      </w:r>
    </w:p>
  </w:footnote>
  <w:footnote w:id="88">
    <w:p w:rsidR="000E264E" w:rsidRPr="00667C2A" w:rsidRDefault="000E264E" w:rsidP="000E264E">
      <w:pPr>
        <w:pStyle w:val="FootnoteText"/>
        <w:spacing w:after="120"/>
      </w:pPr>
      <w:r w:rsidRPr="00B22198">
        <w:rPr>
          <w:rStyle w:val="FootnoteReference"/>
          <w:vertAlign w:val="baseline"/>
        </w:rPr>
        <w:footnoteRef/>
      </w:r>
      <w:r w:rsidRPr="00667C2A">
        <w:t xml:space="preserve"> </w:t>
      </w:r>
      <w:r>
        <w:tab/>
        <w:t>Clauses 78–87.</w:t>
      </w:r>
    </w:p>
  </w:footnote>
  <w:footnote w:id="89">
    <w:p w:rsidR="000E264E" w:rsidRPr="001C6AFA" w:rsidRDefault="000E264E" w:rsidP="000E264E">
      <w:pPr>
        <w:pStyle w:val="FootnoteText"/>
        <w:spacing w:after="120"/>
      </w:pPr>
      <w:r w:rsidRPr="00B22198">
        <w:rPr>
          <w:rStyle w:val="FootnoteReference"/>
          <w:vertAlign w:val="baseline"/>
        </w:rPr>
        <w:footnoteRef/>
      </w:r>
      <w:r w:rsidRPr="001C6AFA">
        <w:t xml:space="preserve"> </w:t>
      </w:r>
      <w:r>
        <w:tab/>
        <w:t>Explanatory memorandum, note on clause 110.</w:t>
      </w:r>
    </w:p>
  </w:footnote>
  <w:footnote w:id="90">
    <w:p w:rsidR="000E264E" w:rsidRPr="00653557" w:rsidRDefault="000E264E" w:rsidP="000E264E">
      <w:pPr>
        <w:pStyle w:val="FootnoteText"/>
        <w:spacing w:after="120"/>
      </w:pPr>
      <w:r w:rsidRPr="00B22198">
        <w:rPr>
          <w:rStyle w:val="FootnoteReference"/>
          <w:vertAlign w:val="baseline"/>
        </w:rPr>
        <w:footnoteRef/>
      </w:r>
      <w:r w:rsidRPr="00653557">
        <w:t xml:space="preserve"> </w:t>
      </w:r>
      <w:r>
        <w:tab/>
      </w:r>
      <w:r w:rsidRPr="00376EA6">
        <w:t xml:space="preserve">Attorney-General's Department, </w:t>
      </w:r>
      <w:r w:rsidRPr="00DB6CCB">
        <w:rPr>
          <w:i/>
        </w:rPr>
        <w:t>A Guide to Framing Commonwealth Offences, Infringement Notices and Enforcement Powers</w:t>
      </w:r>
      <w:r w:rsidRPr="00376EA6">
        <w:t xml:space="preserve">, September 2011, pp </w:t>
      </w:r>
      <w:r>
        <w:t>102–3</w:t>
      </w:r>
      <w:r w:rsidRPr="00376EA6">
        <w:t>.</w:t>
      </w:r>
    </w:p>
  </w:footnote>
  <w:footnote w:id="91">
    <w:p w:rsidR="000E264E" w:rsidRPr="00653557" w:rsidRDefault="000E264E" w:rsidP="000E264E">
      <w:pPr>
        <w:pStyle w:val="FootnoteText"/>
        <w:spacing w:after="120"/>
      </w:pPr>
      <w:r w:rsidRPr="00B22198">
        <w:rPr>
          <w:rStyle w:val="FootnoteReference"/>
          <w:vertAlign w:val="baseline"/>
        </w:rPr>
        <w:footnoteRef/>
      </w:r>
      <w:r w:rsidRPr="00653557">
        <w:t xml:space="preserve"> </w:t>
      </w:r>
      <w:r>
        <w:tab/>
      </w:r>
      <w:r w:rsidRPr="00376EA6">
        <w:t xml:space="preserve">Attorney-General's Department, </w:t>
      </w:r>
      <w:r w:rsidRPr="00DB6CCB">
        <w:rPr>
          <w:i/>
        </w:rPr>
        <w:t>A Guide to Framing Commonwealth Offences, Infringement Notices and Enforcement Powers</w:t>
      </w:r>
      <w:r w:rsidRPr="00376EA6">
        <w:t xml:space="preserve">, September 2011, pp </w:t>
      </w:r>
      <w:r>
        <w:t>102–3</w:t>
      </w:r>
      <w:r w:rsidRPr="00376EA6">
        <w:t>.</w:t>
      </w:r>
    </w:p>
  </w:footnote>
  <w:footnote w:id="92">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Schedule 1, item 14. The committee draws Senators' attention to this provision pursuant to principle 1(a</w:t>
      </w:r>
      <w:r w:rsidRPr="00232E02">
        <w:t>)(i)</w:t>
      </w:r>
      <w:r>
        <w:t xml:space="preserve"> of the committee's terms of reference.</w:t>
      </w:r>
    </w:p>
  </w:footnote>
  <w:footnote w:id="93">
    <w:p w:rsidR="000E264E" w:rsidRPr="00531C0E" w:rsidRDefault="000E264E" w:rsidP="000E264E">
      <w:pPr>
        <w:pStyle w:val="FootnoteText"/>
        <w:spacing w:after="120"/>
      </w:pPr>
      <w:r w:rsidRPr="00531C0E">
        <w:rPr>
          <w:rStyle w:val="FootnoteReference"/>
          <w:vertAlign w:val="baseline"/>
        </w:rPr>
        <w:footnoteRef/>
      </w:r>
      <w:r w:rsidRPr="00531C0E">
        <w:t xml:space="preserve"> </w:t>
      </w:r>
      <w:r>
        <w:tab/>
        <w:t xml:space="preserve">'Unexplained wealth' refers to an amount that is the difference between a person's total wealth and the wealth shown to have been derived lawfully: see section 179E(2) of the Act. </w:t>
      </w:r>
    </w:p>
  </w:footnote>
  <w:footnote w:id="94">
    <w:p w:rsidR="000E264E" w:rsidRPr="00E205DB" w:rsidRDefault="000E264E" w:rsidP="000E264E">
      <w:pPr>
        <w:pStyle w:val="FootnoteText"/>
        <w:spacing w:after="120"/>
      </w:pPr>
      <w:r w:rsidRPr="00E205DB">
        <w:rPr>
          <w:rStyle w:val="FootnoteReference"/>
          <w:vertAlign w:val="baseline"/>
        </w:rPr>
        <w:footnoteRef/>
      </w:r>
      <w:r w:rsidRPr="00E205DB">
        <w:t xml:space="preserve"> </w:t>
      </w:r>
      <w:r>
        <w:tab/>
        <w:t>See section 179E(1) of the POC Act</w:t>
      </w:r>
      <w:r>
        <w:rPr>
          <w:i/>
        </w:rPr>
        <w:t xml:space="preserve">. </w:t>
      </w:r>
    </w:p>
  </w:footnote>
  <w:footnote w:id="95">
    <w:p w:rsidR="000E264E" w:rsidRPr="00232E02" w:rsidRDefault="000E264E" w:rsidP="000E264E">
      <w:pPr>
        <w:pStyle w:val="FootnoteText"/>
        <w:spacing w:after="120"/>
      </w:pPr>
      <w:r w:rsidRPr="00232E02">
        <w:rPr>
          <w:rStyle w:val="FootnoteReference"/>
          <w:vertAlign w:val="baseline"/>
        </w:rPr>
        <w:footnoteRef/>
      </w:r>
      <w:r w:rsidRPr="00232E02">
        <w:t xml:space="preserve"> </w:t>
      </w:r>
      <w:r>
        <w:tab/>
        <w:t>Explanatory memorandum, pp 14-15.</w:t>
      </w:r>
    </w:p>
  </w:footnote>
  <w:footnote w:id="96">
    <w:p w:rsidR="000E264E" w:rsidRPr="00232E02" w:rsidRDefault="000E264E" w:rsidP="000E264E">
      <w:pPr>
        <w:pStyle w:val="FootnoteText"/>
        <w:spacing w:after="120"/>
      </w:pPr>
      <w:r w:rsidRPr="00232E02">
        <w:rPr>
          <w:rStyle w:val="FootnoteReference"/>
          <w:vertAlign w:val="baseline"/>
        </w:rPr>
        <w:footnoteRef/>
      </w:r>
      <w:r w:rsidRPr="00232E02">
        <w:t xml:space="preserve"> </w:t>
      </w:r>
      <w:r>
        <w:tab/>
        <w:t>Explanatory memorandum, p. 15.</w:t>
      </w:r>
    </w:p>
  </w:footnote>
  <w:footnote w:id="97">
    <w:p w:rsidR="000E264E" w:rsidRPr="00232E02" w:rsidRDefault="000E264E" w:rsidP="000E264E">
      <w:pPr>
        <w:pStyle w:val="FootnoteText"/>
        <w:spacing w:after="120"/>
      </w:pPr>
      <w:r w:rsidRPr="00232E02">
        <w:rPr>
          <w:rStyle w:val="FootnoteReference"/>
          <w:vertAlign w:val="baseline"/>
        </w:rPr>
        <w:footnoteRef/>
      </w:r>
      <w:r w:rsidRPr="00232E02">
        <w:t xml:space="preserve"> </w:t>
      </w:r>
      <w:r>
        <w:tab/>
        <w:t xml:space="preserve">See Scrutiny of Bills committee, </w:t>
      </w:r>
      <w:r w:rsidRPr="00775E27">
        <w:rPr>
          <w:i/>
        </w:rPr>
        <w:t>Alert Digest 14 of 2001</w:t>
      </w:r>
      <w:r w:rsidRPr="00775E27">
        <w:t>, 13</w:t>
      </w:r>
      <w:r>
        <w:t>.</w:t>
      </w:r>
    </w:p>
  </w:footnote>
  <w:footnote w:id="98">
    <w:p w:rsidR="000E264E" w:rsidRPr="00775E27" w:rsidRDefault="000E264E" w:rsidP="000E264E">
      <w:pPr>
        <w:pStyle w:val="FootnoteText"/>
        <w:spacing w:after="120"/>
      </w:pPr>
      <w:r w:rsidRPr="00775E27">
        <w:rPr>
          <w:rStyle w:val="FootnoteReference"/>
          <w:vertAlign w:val="baseline"/>
        </w:rPr>
        <w:footnoteRef/>
      </w:r>
      <w:r w:rsidRPr="00775E27">
        <w:t xml:space="preserve"> </w:t>
      </w:r>
      <w:r>
        <w:tab/>
        <w:t>Explanatory memorandum, p. 15.</w:t>
      </w:r>
    </w:p>
  </w:footnote>
  <w:footnote w:id="99">
    <w:p w:rsidR="000E264E" w:rsidRPr="001A09F4" w:rsidRDefault="000E264E" w:rsidP="000E264E">
      <w:pPr>
        <w:pStyle w:val="FootnoteText"/>
        <w:spacing w:after="120"/>
      </w:pPr>
      <w:r w:rsidRPr="00490774">
        <w:rPr>
          <w:rStyle w:val="FootnoteReference"/>
          <w:vertAlign w:val="baseline"/>
        </w:rPr>
        <w:footnoteRef/>
      </w:r>
      <w:r w:rsidRPr="001A09F4">
        <w:t xml:space="preserve"> </w:t>
      </w:r>
      <w:r>
        <w:tab/>
        <w:t>Schedule 1, item 5, proposed new subsections (7D), (7E) and (7F).</w:t>
      </w:r>
      <w:r w:rsidRPr="001A09F4">
        <w:t xml:space="preserve"> </w:t>
      </w:r>
      <w:r>
        <w:t>The committee draws Senators’ attention to this provision pursuant to principle 1(a</w:t>
      </w:r>
      <w:r w:rsidRPr="002666C6">
        <w:t>)(i) of</w:t>
      </w:r>
      <w:r>
        <w:t xml:space="preserve"> the committee’s terms of reference.</w:t>
      </w:r>
    </w:p>
  </w:footnote>
  <w:footnote w:id="100">
    <w:p w:rsidR="000E264E" w:rsidRPr="00D42473" w:rsidRDefault="000E264E" w:rsidP="000E264E">
      <w:pPr>
        <w:pStyle w:val="FootnoteText"/>
        <w:spacing w:after="120"/>
      </w:pPr>
      <w:r w:rsidRPr="00490774">
        <w:rPr>
          <w:rStyle w:val="FootnoteReference"/>
          <w:vertAlign w:val="baseline"/>
        </w:rPr>
        <w:footnoteRef/>
      </w:r>
      <w:r w:rsidRPr="00D42473">
        <w:t xml:space="preserve"> </w:t>
      </w:r>
      <w:r>
        <w:tab/>
        <w:t xml:space="preserve">A number of existing offence-specific defences to this offence are set out in the following subsections of section 56 of the </w:t>
      </w:r>
      <w:r w:rsidRPr="00490774">
        <w:rPr>
          <w:i/>
        </w:rPr>
        <w:t>Australian Prudential Regulation Authority Act 1998</w:t>
      </w:r>
      <w:r>
        <w:t>: (3), (4), (5), (5AA), (5A), (5B), (5C), (6), (7), (7A), (7B) and (7C).</w:t>
      </w:r>
    </w:p>
  </w:footnote>
  <w:footnote w:id="101">
    <w:p w:rsidR="000E264E" w:rsidRPr="0056789F" w:rsidRDefault="000E264E" w:rsidP="000E264E">
      <w:pPr>
        <w:pStyle w:val="FootnoteText"/>
        <w:spacing w:after="120"/>
      </w:pPr>
      <w:r w:rsidRPr="00490774">
        <w:rPr>
          <w:rStyle w:val="FootnoteReference"/>
          <w:vertAlign w:val="baseline"/>
        </w:rPr>
        <w:footnoteRef/>
      </w:r>
      <w:r w:rsidRPr="0056789F">
        <w:t xml:space="preserve"> </w:t>
      </w:r>
      <w:r>
        <w:tab/>
        <w:t xml:space="preserve">Schedule 1, item 5, proposed subsection (7D); </w:t>
      </w:r>
    </w:p>
  </w:footnote>
  <w:footnote w:id="102">
    <w:p w:rsidR="000E264E" w:rsidRPr="0056789F" w:rsidRDefault="000E264E" w:rsidP="000E264E">
      <w:pPr>
        <w:pStyle w:val="FootnoteText"/>
        <w:spacing w:after="120"/>
      </w:pPr>
      <w:r w:rsidRPr="00490774">
        <w:rPr>
          <w:rStyle w:val="FootnoteReference"/>
          <w:vertAlign w:val="baseline"/>
        </w:rPr>
        <w:footnoteRef/>
      </w:r>
      <w:r w:rsidRPr="0056789F">
        <w:t xml:space="preserve"> </w:t>
      </w:r>
      <w:r>
        <w:tab/>
        <w:t>Schedule 1, item 5, proposed subsection (7E).</w:t>
      </w:r>
    </w:p>
  </w:footnote>
  <w:footnote w:id="103">
    <w:p w:rsidR="000E264E" w:rsidRPr="00810836" w:rsidRDefault="000E264E" w:rsidP="000E264E">
      <w:pPr>
        <w:pStyle w:val="FootnoteText"/>
        <w:spacing w:after="120"/>
      </w:pPr>
      <w:r w:rsidRPr="00490774">
        <w:rPr>
          <w:rStyle w:val="FootnoteReference"/>
          <w:vertAlign w:val="baseline"/>
        </w:rPr>
        <w:footnoteRef/>
      </w:r>
      <w:r w:rsidRPr="00810836">
        <w:t xml:space="preserve"> </w:t>
      </w:r>
      <w:r>
        <w:tab/>
        <w:t>Schedule 1, item 5, proposed subsection (7F).</w:t>
      </w:r>
    </w:p>
  </w:footnote>
  <w:footnote w:id="104">
    <w:p w:rsidR="000E264E" w:rsidRPr="009E2208" w:rsidRDefault="000E264E" w:rsidP="000E264E">
      <w:pPr>
        <w:pStyle w:val="FootnoteText"/>
        <w:spacing w:after="120"/>
      </w:pPr>
      <w:r w:rsidRPr="00490774">
        <w:rPr>
          <w:rStyle w:val="FootnoteReference"/>
          <w:vertAlign w:val="baseline"/>
        </w:rPr>
        <w:footnoteRef/>
      </w:r>
      <w:r w:rsidRPr="009E2208">
        <w:t xml:space="preserve"> </w:t>
      </w:r>
      <w:r>
        <w:tab/>
        <w:t>Explanatory memorandum, p. 38.</w:t>
      </w:r>
    </w:p>
  </w:footnote>
  <w:footnote w:id="105">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50-52.</w:t>
      </w:r>
    </w:p>
  </w:footnote>
  <w:footnote w:id="106">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Schedule 2, items 2 to 6. The committee draws Senators’ attention to these provisions pursuant to principle 1(a</w:t>
      </w:r>
      <w:r w:rsidRPr="002666C6">
        <w:t>)(i) of</w:t>
      </w:r>
      <w:r>
        <w:t xml:space="preserve"> the committee’s terms of reference.</w:t>
      </w:r>
    </w:p>
  </w:footnote>
  <w:footnote w:id="107">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221A90">
        <w:rPr>
          <w:i/>
          <w:szCs w:val="22"/>
        </w:rPr>
        <w:t xml:space="preserve">Sorby v Commonwealth </w:t>
      </w:r>
      <w:r w:rsidRPr="00221A90">
        <w:rPr>
          <w:szCs w:val="22"/>
        </w:rPr>
        <w:t xml:space="preserve">(1983) 152 CLR 281; </w:t>
      </w:r>
      <w:r w:rsidRPr="00221A90">
        <w:rPr>
          <w:i/>
          <w:szCs w:val="22"/>
        </w:rPr>
        <w:t>Pyneboard Pty Ltd v Trade Practices Commission</w:t>
      </w:r>
      <w:r w:rsidRPr="00221A90">
        <w:rPr>
          <w:szCs w:val="22"/>
        </w:rPr>
        <w:t xml:space="preserve"> (1983) 152 CLR 328.</w:t>
      </w:r>
    </w:p>
  </w:footnote>
  <w:footnote w:id="108">
    <w:p w:rsidR="000E264E" w:rsidRPr="00837335" w:rsidRDefault="000E264E" w:rsidP="000E264E">
      <w:pPr>
        <w:pStyle w:val="FootnoteText"/>
        <w:spacing w:after="120"/>
      </w:pPr>
      <w:r w:rsidRPr="00D61522">
        <w:rPr>
          <w:rStyle w:val="FootnoteReference"/>
          <w:vertAlign w:val="baseline"/>
        </w:rPr>
        <w:footnoteRef/>
      </w:r>
      <w:r w:rsidRPr="00837335">
        <w:t xml:space="preserve"> </w:t>
      </w:r>
      <w:r>
        <w:tab/>
        <w:t xml:space="preserve">A use immunity generally provides that </w:t>
      </w:r>
      <w:r w:rsidRPr="00051B08">
        <w:t>the</w:t>
      </w:r>
      <w:r>
        <w:t xml:space="preserve"> relevant information or documents produced in response to the statutory requirement will not be </w:t>
      </w:r>
      <w:r w:rsidRPr="00051B08">
        <w:t xml:space="preserve">admissible in evidence </w:t>
      </w:r>
      <w:r>
        <w:t xml:space="preserve">against the person that produced it, </w:t>
      </w:r>
      <w:r w:rsidRPr="00051B08">
        <w:t>in most proceedings</w:t>
      </w:r>
      <w:r>
        <w:t xml:space="preserve">. A derivative use immunity generally provides that anything </w:t>
      </w:r>
      <w:r w:rsidRPr="00051B08">
        <w:t xml:space="preserve">obtained as a direct or indirect consequence of </w:t>
      </w:r>
      <w:r>
        <w:t xml:space="preserve">the production of the information or documents will not be </w:t>
      </w:r>
      <w:r w:rsidRPr="00051B08">
        <w:t xml:space="preserve">admissible in evidence </w:t>
      </w:r>
      <w:r>
        <w:t xml:space="preserve">against the person that produced it, </w:t>
      </w:r>
      <w:r w:rsidRPr="00051B08">
        <w:t>in most proceedings</w:t>
      </w:r>
      <w:r>
        <w:t>.</w:t>
      </w:r>
    </w:p>
  </w:footnote>
  <w:footnote w:id="109">
    <w:p w:rsidR="000E264E" w:rsidRPr="003B47C3" w:rsidRDefault="000E264E" w:rsidP="000E264E">
      <w:pPr>
        <w:pStyle w:val="FootnoteText"/>
        <w:spacing w:after="120"/>
      </w:pPr>
      <w:r w:rsidRPr="003B47C3">
        <w:rPr>
          <w:rStyle w:val="FootnoteReference"/>
          <w:vertAlign w:val="baseline"/>
        </w:rPr>
        <w:footnoteRef/>
      </w:r>
      <w:r w:rsidRPr="003B47C3">
        <w:t xml:space="preserve"> </w:t>
      </w:r>
      <w:r>
        <w:tab/>
        <w:t>Explanatory memorandum, p. 79.</w:t>
      </w:r>
    </w:p>
  </w:footnote>
  <w:footnote w:id="110">
    <w:p w:rsidR="000E264E" w:rsidRPr="00F23060" w:rsidRDefault="000E264E" w:rsidP="000E264E">
      <w:pPr>
        <w:pStyle w:val="FootnoteText"/>
        <w:spacing w:after="120"/>
      </w:pPr>
      <w:r w:rsidRPr="00F23060">
        <w:rPr>
          <w:rStyle w:val="FootnoteReference"/>
          <w:vertAlign w:val="baseline"/>
        </w:rPr>
        <w:footnoteRef/>
      </w:r>
      <w:r w:rsidRPr="00F23060">
        <w:t xml:space="preserve"> </w:t>
      </w:r>
      <w:r>
        <w:tab/>
        <w:t>Explanatory memorandum, p. 39.</w:t>
      </w:r>
    </w:p>
  </w:footnote>
  <w:footnote w:id="111">
    <w:p w:rsidR="000E264E" w:rsidRPr="00076DF2" w:rsidRDefault="000E264E" w:rsidP="000E264E">
      <w:pPr>
        <w:pStyle w:val="FootnoteText"/>
        <w:spacing w:after="120"/>
      </w:pPr>
      <w:r w:rsidRPr="00076DF2">
        <w:rPr>
          <w:rStyle w:val="FootnoteReference"/>
          <w:vertAlign w:val="baseline"/>
        </w:rPr>
        <w:footnoteRef/>
      </w:r>
      <w:r w:rsidRPr="00076DF2">
        <w:t xml:space="preserve"> </w:t>
      </w:r>
      <w:r>
        <w:tab/>
        <w:t xml:space="preserve">See paragraph 52F(2)(a) of the </w:t>
      </w:r>
      <w:r>
        <w:rPr>
          <w:i/>
        </w:rPr>
        <w:t>Banking Act 1966</w:t>
      </w:r>
      <w:r>
        <w:t>.</w:t>
      </w:r>
    </w:p>
  </w:footnote>
  <w:footnote w:id="112">
    <w:p w:rsidR="000E264E" w:rsidRPr="002666C6" w:rsidRDefault="000E264E" w:rsidP="000E264E">
      <w:pPr>
        <w:pStyle w:val="FootnoteText"/>
        <w:spacing w:after="120"/>
      </w:pPr>
      <w:r w:rsidRPr="002666C6">
        <w:rPr>
          <w:rStyle w:val="FootnoteReference"/>
          <w:vertAlign w:val="baseline"/>
        </w:rPr>
        <w:footnoteRef/>
      </w:r>
      <w:r w:rsidRPr="002666C6">
        <w:t xml:space="preserve"> </w:t>
      </w:r>
      <w:r>
        <w:tab/>
        <w:t>Schedule 2, item 9, proposed sections 61E, 61F, and item 10, proposed section 62AA. The committee draws Senators’ attention to these provisions pursuant to principle 1(a</w:t>
      </w:r>
      <w:r w:rsidRPr="002666C6">
        <w:t>)(i) of</w:t>
      </w:r>
      <w:r>
        <w:t xml:space="preserve"> the committee’s terms of reference.</w:t>
      </w:r>
    </w:p>
  </w:footnote>
  <w:footnote w:id="113">
    <w:p w:rsidR="000E264E" w:rsidRPr="000F4338" w:rsidRDefault="000E264E" w:rsidP="000E264E">
      <w:pPr>
        <w:pStyle w:val="FootnoteText"/>
        <w:spacing w:after="120"/>
      </w:pPr>
      <w:r w:rsidRPr="000F4338">
        <w:rPr>
          <w:rStyle w:val="FootnoteReference"/>
          <w:vertAlign w:val="baseline"/>
        </w:rPr>
        <w:footnoteRef/>
      </w:r>
      <w:r w:rsidRPr="000F4338">
        <w:t xml:space="preserve"> </w:t>
      </w:r>
      <w:r>
        <w:tab/>
        <w:t>See Schedule 2, item 9, proposed section 61G.</w:t>
      </w:r>
    </w:p>
  </w:footnote>
  <w:footnote w:id="114">
    <w:p w:rsidR="000E264E" w:rsidRPr="00E2129E" w:rsidRDefault="000E264E" w:rsidP="000E264E">
      <w:pPr>
        <w:pStyle w:val="FootnoteText"/>
        <w:spacing w:after="120"/>
      </w:pPr>
      <w:r w:rsidRPr="00E2129E">
        <w:rPr>
          <w:rStyle w:val="FootnoteReference"/>
          <w:vertAlign w:val="baseline"/>
        </w:rPr>
        <w:footnoteRef/>
      </w:r>
      <w:r w:rsidRPr="00E2129E">
        <w:t xml:space="preserve"> </w:t>
      </w:r>
      <w:r>
        <w:tab/>
        <w:t xml:space="preserve">Explanatory memorandum, p. 39. </w:t>
      </w:r>
    </w:p>
  </w:footnote>
  <w:footnote w:id="115">
    <w:p w:rsidR="000E264E" w:rsidRPr="00200F0E" w:rsidRDefault="000E264E" w:rsidP="000E264E">
      <w:pPr>
        <w:pStyle w:val="FootnoteText"/>
        <w:spacing w:after="120"/>
      </w:pPr>
      <w:r w:rsidRPr="00200F0E">
        <w:rPr>
          <w:rStyle w:val="FootnoteReference"/>
          <w:vertAlign w:val="baseline"/>
        </w:rPr>
        <w:footnoteRef/>
      </w:r>
      <w:r w:rsidRPr="00200F0E">
        <w:t xml:space="preserve"> </w:t>
      </w:r>
      <w:r>
        <w:tab/>
        <w:t>See Schedule 2, item 9, proposed subsection 61H(7) and section 61G.</w:t>
      </w:r>
    </w:p>
  </w:footnote>
  <w:footnote w:id="116">
    <w:p w:rsidR="000E264E" w:rsidRPr="001A1B6B" w:rsidRDefault="000E264E" w:rsidP="000E264E">
      <w:pPr>
        <w:pStyle w:val="FootnoteText"/>
        <w:spacing w:after="120"/>
      </w:pPr>
      <w:r w:rsidRPr="001A1B6B">
        <w:rPr>
          <w:rStyle w:val="FootnoteReference"/>
          <w:vertAlign w:val="baseline"/>
        </w:rPr>
        <w:footnoteRef/>
      </w:r>
      <w:r w:rsidRPr="001A1B6B">
        <w:t xml:space="preserve"> </w:t>
      </w:r>
      <w:r>
        <w:tab/>
        <w:t>Schedule 2, item 10, proposed section 62AA.</w:t>
      </w:r>
    </w:p>
  </w:footnote>
  <w:footnote w:id="117">
    <w:p w:rsidR="000E264E" w:rsidRPr="006668DB" w:rsidRDefault="000E264E" w:rsidP="000E264E">
      <w:pPr>
        <w:pStyle w:val="FootnoteText"/>
        <w:spacing w:after="120"/>
      </w:pPr>
      <w:r w:rsidRPr="006668DB">
        <w:rPr>
          <w:rStyle w:val="FootnoteReference"/>
          <w:vertAlign w:val="baseline"/>
        </w:rPr>
        <w:footnoteRef/>
      </w:r>
      <w:r w:rsidRPr="006668DB">
        <w:t xml:space="preserve"> </w:t>
      </w:r>
      <w:r>
        <w:tab/>
        <w:t>Schedule 2, item 10, proposed subsection 62AA(2).</w:t>
      </w:r>
    </w:p>
  </w:footnote>
  <w:footnote w:id="118">
    <w:p w:rsidR="000E264E" w:rsidRPr="009D342B" w:rsidRDefault="000E264E" w:rsidP="000E264E">
      <w:pPr>
        <w:pStyle w:val="FootnoteText"/>
        <w:spacing w:after="120"/>
      </w:pPr>
      <w:r w:rsidRPr="009D342B">
        <w:rPr>
          <w:rStyle w:val="FootnoteReference"/>
          <w:vertAlign w:val="baseline"/>
        </w:rPr>
        <w:footnoteRef/>
      </w:r>
      <w:r w:rsidRPr="009D342B">
        <w:t xml:space="preserve"> </w:t>
      </w:r>
      <w:r>
        <w:tab/>
        <w:t>Explanatory memorandum, p. 40.</w:t>
      </w:r>
    </w:p>
  </w:footnote>
  <w:footnote w:id="119">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Schedule 1, item 2, proposed subsection 38C(7). The committee draws Senators’ attention to this provision pursuant to principle 1(a</w:t>
      </w:r>
      <w:r w:rsidRPr="000F1761">
        <w:t>)(</w:t>
      </w:r>
      <w:r>
        <w:t>iv</w:t>
      </w:r>
      <w:r w:rsidRPr="000F1761">
        <w:t>)</w:t>
      </w:r>
      <w:r>
        <w:t xml:space="preserve"> and (v) of the committee’s terms of reference.</w:t>
      </w:r>
    </w:p>
  </w:footnote>
  <w:footnote w:id="120">
    <w:p w:rsidR="000E264E" w:rsidRPr="00221A90" w:rsidRDefault="000E264E" w:rsidP="000E264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DC209B">
        <w:t xml:space="preserve">Joint Standing Committee on Delegated </w:t>
      </w:r>
      <w:r w:rsidRPr="00CC2A83">
        <w:t>Legislation</w:t>
      </w:r>
      <w:r w:rsidRPr="00CC2A83">
        <w:rPr>
          <w:szCs w:val="22"/>
        </w:rPr>
        <w:t>, Parliament of Western Australia,</w:t>
      </w:r>
      <w:r>
        <w:rPr>
          <w:i/>
          <w:szCs w:val="22"/>
        </w:rPr>
        <w:t xml:space="preserve"> </w:t>
      </w:r>
      <w:r w:rsidRPr="00221A90">
        <w:rPr>
          <w:i/>
          <w:szCs w:val="22"/>
        </w:rPr>
        <w:t>Access to Australian Standards Adopted in Delegated Legislation</w:t>
      </w:r>
      <w:r w:rsidRPr="00221A90">
        <w:rPr>
          <w:szCs w:val="22"/>
        </w:rPr>
        <w:t>, June 2016</w:t>
      </w:r>
      <w:r>
        <w:rPr>
          <w:szCs w:val="22"/>
        </w:rPr>
        <w:t>.</w:t>
      </w:r>
    </w:p>
  </w:footnote>
  <w:footnote w:id="121">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Schedule 1, item 2, proposed subsections 38F(4) and (5). The committee draws Senators’ attention to these provisions pursuant to principle 1(a</w:t>
      </w:r>
      <w:r w:rsidRPr="000F1761">
        <w:t>)(</w:t>
      </w:r>
      <w:r>
        <w:t>iv</w:t>
      </w:r>
      <w:r w:rsidRPr="000F1761">
        <w:t>)</w:t>
      </w:r>
      <w:r>
        <w:t xml:space="preserve"> of the committee’s terms of reference.</w:t>
      </w:r>
    </w:p>
  </w:footnote>
  <w:footnote w:id="122">
    <w:p w:rsidR="000E264E" w:rsidRPr="002F05AA" w:rsidRDefault="000E264E" w:rsidP="000E264E">
      <w:pPr>
        <w:pStyle w:val="FootnoteText"/>
        <w:spacing w:after="120"/>
      </w:pPr>
      <w:r w:rsidRPr="002F05AA">
        <w:rPr>
          <w:rStyle w:val="FootnoteReference"/>
          <w:vertAlign w:val="baseline"/>
        </w:rPr>
        <w:footnoteRef/>
      </w:r>
      <w:r w:rsidRPr="002F05AA">
        <w:t xml:space="preserve"> </w:t>
      </w:r>
      <w:r>
        <w:tab/>
        <w:t>Schedule 1, item 4. The committee draws Senators’ attention to this provision pursuant to principle 1(a)</w:t>
      </w:r>
      <w:r w:rsidRPr="00431056">
        <w:t>(v)</w:t>
      </w:r>
      <w:r>
        <w:t xml:space="preserve"> of the committee’s terms of reference.</w:t>
      </w:r>
    </w:p>
  </w:footnote>
  <w:footnote w:id="123">
    <w:p w:rsidR="000E264E" w:rsidRPr="00E62B38" w:rsidRDefault="000E264E" w:rsidP="000E264E">
      <w:pPr>
        <w:pStyle w:val="FootnoteText"/>
        <w:spacing w:after="120"/>
      </w:pPr>
      <w:r w:rsidRPr="00E62B38">
        <w:rPr>
          <w:rStyle w:val="FootnoteReference"/>
          <w:vertAlign w:val="baseline"/>
        </w:rPr>
        <w:footnoteRef/>
      </w:r>
      <w:r w:rsidRPr="00E62B38">
        <w:t xml:space="preserve"> </w:t>
      </w:r>
      <w:r>
        <w:tab/>
        <w:t>Explanatory memorandum, p. 14.</w:t>
      </w:r>
    </w:p>
  </w:footnote>
  <w:footnote w:id="124">
    <w:p w:rsidR="000E264E" w:rsidRPr="004474CF" w:rsidRDefault="000E264E" w:rsidP="000E264E">
      <w:pPr>
        <w:pStyle w:val="FootnoteText"/>
        <w:spacing w:after="120"/>
      </w:pPr>
      <w:r w:rsidRPr="004474CF">
        <w:rPr>
          <w:rStyle w:val="FootnoteReference"/>
          <w:vertAlign w:val="baseline"/>
        </w:rPr>
        <w:footnoteRef/>
      </w:r>
      <w:r w:rsidRPr="004474CF">
        <w:t xml:space="preserve"> </w:t>
      </w:r>
      <w:r>
        <w:tab/>
        <w:t>Schedule 1, item 4. The committee draws Senators’ attention to this provision pursuant to principle 1(a</w:t>
      </w:r>
      <w:r w:rsidRPr="00EF33BA">
        <w:t>)(v)</w:t>
      </w:r>
      <w:r>
        <w:t xml:space="preserve"> of the committee’s terms of reference.</w:t>
      </w:r>
    </w:p>
  </w:footnote>
  <w:footnote w:id="125">
    <w:p w:rsidR="000E264E" w:rsidRPr="004C7D3F" w:rsidRDefault="000E264E" w:rsidP="000E264E">
      <w:pPr>
        <w:pStyle w:val="FootnoteText"/>
        <w:spacing w:after="120"/>
      </w:pPr>
      <w:r w:rsidRPr="004C7D3F">
        <w:rPr>
          <w:rStyle w:val="FootnoteReference"/>
          <w:vertAlign w:val="baseline"/>
        </w:rPr>
        <w:footnoteRef/>
      </w:r>
      <w:r w:rsidRPr="004C7D3F">
        <w:t xml:space="preserve"> </w:t>
      </w:r>
      <w:r>
        <w:tab/>
        <w:t>Schedule 1, item 4, proposed subsections 15C(4) to (8)</w:t>
      </w:r>
    </w:p>
  </w:footnote>
  <w:footnote w:id="126">
    <w:p w:rsidR="000E264E" w:rsidRPr="00A8660E" w:rsidRDefault="000E264E" w:rsidP="000E264E">
      <w:pPr>
        <w:pStyle w:val="FootnoteText"/>
        <w:spacing w:after="120"/>
      </w:pPr>
      <w:r w:rsidRPr="00A8660E">
        <w:rPr>
          <w:rStyle w:val="FootnoteReference"/>
          <w:vertAlign w:val="baseline"/>
        </w:rPr>
        <w:footnoteRef/>
      </w:r>
      <w:r w:rsidRPr="00A8660E">
        <w:t xml:space="preserve"> </w:t>
      </w:r>
      <w:r>
        <w:tab/>
      </w:r>
      <w:r w:rsidRPr="00A8660E">
        <w:t>Section 96 of the Constitution provides that: 'the Parliament may grant financial assistance to any State on such terms and conditions as the Parliament thinks fit'.</w:t>
      </w:r>
    </w:p>
  </w:footnote>
  <w:footnote w:id="127">
    <w:p w:rsidR="000E264E" w:rsidRPr="0099174D" w:rsidRDefault="000E264E" w:rsidP="000E264E">
      <w:pPr>
        <w:pStyle w:val="FootnoteText"/>
        <w:spacing w:after="120"/>
      </w:pPr>
      <w:r w:rsidRPr="0099174D">
        <w:rPr>
          <w:rStyle w:val="FootnoteReference"/>
          <w:vertAlign w:val="baseline"/>
        </w:rPr>
        <w:footnoteRef/>
      </w:r>
      <w:r w:rsidRPr="0099174D">
        <w:t xml:space="preserve"> </w:t>
      </w:r>
      <w:r>
        <w:tab/>
        <w:t>Industrial Chemicals (Consequential Amendments and Transitional Provisions) Bill 2017; Industrial Chemicals Charges (Customs) Bill 2017;</w:t>
      </w:r>
      <w:r w:rsidRPr="0099174D">
        <w:t xml:space="preserve"> </w:t>
      </w:r>
      <w:r>
        <w:t>Industrial Chemicals Charges (Excise) Bill 2017 and Industrial Chemicals Charges (General) Bill 2017.</w:t>
      </w:r>
    </w:p>
  </w:footnote>
  <w:footnote w:id="128">
    <w:p w:rsidR="000E264E" w:rsidRPr="00925E3B" w:rsidRDefault="000E264E" w:rsidP="000E264E">
      <w:pPr>
        <w:pStyle w:val="FootnoteText"/>
        <w:spacing w:after="120"/>
      </w:pPr>
      <w:r w:rsidRPr="00925E3B">
        <w:rPr>
          <w:rStyle w:val="FootnoteReference"/>
          <w:vertAlign w:val="baseline"/>
        </w:rPr>
        <w:footnoteRef/>
      </w:r>
      <w:r w:rsidRPr="00925E3B">
        <w:t xml:space="preserve"> </w:t>
      </w:r>
      <w:r>
        <w:tab/>
        <w:t xml:space="preserve">Senate Standing Committee for the Scrutiny of Bills, </w:t>
      </w:r>
      <w:r>
        <w:rPr>
          <w:i/>
        </w:rPr>
        <w:t xml:space="preserve">Scrutiny Digest No. 8 of 2017, </w:t>
      </w:r>
      <w:r>
        <w:t>9 August 2017, pp 8</w:t>
      </w:r>
      <w:r w:rsidRPr="00104CF8">
        <w:t>9-</w:t>
      </w:r>
      <w:r>
        <w:t>102.</w:t>
      </w:r>
    </w:p>
  </w:footnote>
  <w:footnote w:id="129">
    <w:p w:rsidR="000E264E" w:rsidRPr="00925E3B" w:rsidRDefault="000E264E" w:rsidP="000E264E">
      <w:pPr>
        <w:pStyle w:val="FootnoteText"/>
        <w:spacing w:after="120"/>
      </w:pPr>
      <w:r w:rsidRPr="00925E3B">
        <w:rPr>
          <w:rStyle w:val="FootnoteReference"/>
          <w:vertAlign w:val="baseline"/>
        </w:rPr>
        <w:footnoteRef/>
      </w:r>
      <w:r w:rsidRPr="00925E3B">
        <w:t xml:space="preserve"> </w:t>
      </w:r>
      <w:r>
        <w:tab/>
        <w:t xml:space="preserve">Senate Standing Committee for the Scrutiny of Bills, </w:t>
      </w:r>
      <w:r>
        <w:rPr>
          <w:i/>
        </w:rPr>
        <w:t xml:space="preserve">Scrutiny Digest No. 8 of 2017, </w:t>
      </w:r>
      <w:r>
        <w:t>9 August 2017, pp 107-124.</w:t>
      </w:r>
    </w:p>
  </w:footnote>
  <w:footnote w:id="130">
    <w:p w:rsidR="000E264E" w:rsidRPr="0099174D" w:rsidRDefault="000E264E" w:rsidP="000E264E">
      <w:pPr>
        <w:pStyle w:val="FootnoteText"/>
        <w:spacing w:after="120"/>
      </w:pPr>
      <w:r w:rsidRPr="0099174D">
        <w:rPr>
          <w:rStyle w:val="FootnoteReference"/>
          <w:vertAlign w:val="baseline"/>
        </w:rPr>
        <w:footnoteRef/>
      </w:r>
      <w:r w:rsidRPr="0099174D">
        <w:t xml:space="preserve"> </w:t>
      </w:r>
      <w:r>
        <w:tab/>
        <w:t xml:space="preserve">Senate Standing Committee for the Scrutiny of Bills, </w:t>
      </w:r>
      <w:r>
        <w:rPr>
          <w:i/>
        </w:rPr>
        <w:t xml:space="preserve">Scrutiny Digest No. 6 of 2017, </w:t>
      </w:r>
      <w:r w:rsidRPr="00104CF8">
        <w:t>14 June</w:t>
      </w:r>
      <w:r>
        <w:t xml:space="preserve"> 2017, pp 158-159.</w:t>
      </w:r>
    </w:p>
  </w:footnote>
  <w:footnote w:id="131">
    <w:p w:rsidR="000E264E" w:rsidRPr="00EE571F" w:rsidRDefault="000E264E" w:rsidP="000E264E">
      <w:pPr>
        <w:pStyle w:val="FootnoteText"/>
        <w:spacing w:after="120"/>
      </w:pPr>
      <w:r w:rsidRPr="00EE571F">
        <w:rPr>
          <w:rStyle w:val="FootnoteReference"/>
          <w:vertAlign w:val="baseline"/>
        </w:rPr>
        <w:footnoteRef/>
      </w:r>
      <w:r w:rsidRPr="00EE571F">
        <w:t xml:space="preserve"> </w:t>
      </w:r>
      <w:r>
        <w:tab/>
        <w:t>On 16 October 2017 the Senate agreed to one Opposition amendment. On 18 October 2017 the House of Representatives agreed to the Senate amendment and the bill passed both Houses.</w:t>
      </w:r>
    </w:p>
  </w:footnote>
  <w:footnote w:id="132">
    <w:p w:rsidR="000E264E" w:rsidRPr="00693B56" w:rsidRDefault="000E264E" w:rsidP="000E264E">
      <w:pPr>
        <w:pStyle w:val="FootnoteText"/>
        <w:spacing w:after="120"/>
      </w:pPr>
      <w:r w:rsidRPr="00693B56">
        <w:rPr>
          <w:rStyle w:val="FootnoteReference"/>
          <w:vertAlign w:val="baseline"/>
        </w:rPr>
        <w:footnoteRef/>
      </w:r>
      <w:r w:rsidRPr="00693B56">
        <w:t xml:space="preserve"> </w:t>
      </w:r>
      <w:r>
        <w:tab/>
        <w:t>On 19 October 2017 the Senate agreed to five Government amendments and Senator McGrath tabled a supplementary explanatory memorandum. On the same day the House of Representatives agreed to the Senate amendments and the will was passed.</w:t>
      </w:r>
    </w:p>
  </w:footnote>
  <w:footnote w:id="133">
    <w:p w:rsidR="000E264E" w:rsidRPr="0080178C" w:rsidRDefault="000E264E" w:rsidP="006F5996">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12</w:t>
      </w:r>
      <w:r w:rsidRPr="00960438">
        <w:rPr>
          <w:i/>
        </w:rPr>
        <w:t xml:space="preserve"> of 2017</w:t>
      </w:r>
      <w:r>
        <w:t xml:space="preserve"> available at: </w:t>
      </w:r>
      <w:hyperlink r:id="rId1" w:history="1">
        <w:r w:rsidRPr="00FB0BB3">
          <w:rPr>
            <w:rStyle w:val="Hyperlink"/>
          </w:rPr>
          <w:t>www.aph.gov.au/senate_scrutiny_digest</w:t>
        </w:r>
      </w:hyperlink>
      <w:r>
        <w:t xml:space="preserve"> </w:t>
      </w:r>
    </w:p>
  </w:footnote>
  <w:footnote w:id="134">
    <w:p w:rsidR="000E264E" w:rsidRPr="00275C35" w:rsidRDefault="000E264E" w:rsidP="006F5996">
      <w:pPr>
        <w:pStyle w:val="FootnoteText"/>
        <w:spacing w:after="120"/>
      </w:pPr>
      <w:r w:rsidRPr="00275C35">
        <w:rPr>
          <w:rStyle w:val="FootnoteReference"/>
          <w:vertAlign w:val="baseline"/>
        </w:rPr>
        <w:footnoteRef/>
      </w:r>
      <w:r w:rsidRPr="00275C35">
        <w:t xml:space="preserve"> </w:t>
      </w:r>
      <w:r>
        <w:tab/>
        <w:t xml:space="preserve">Schedule 1. </w:t>
      </w:r>
      <w:r w:rsidRPr="0082155E">
        <w:t xml:space="preserve">The committee draws Senators’ attention to this </w:t>
      </w:r>
      <w:r>
        <w:t>Schedule</w:t>
      </w:r>
      <w:r w:rsidRPr="0082155E">
        <w:t xml:space="preserve"> pursuant to principle</w:t>
      </w:r>
      <w:r>
        <w:t>s</w:t>
      </w:r>
      <w:r w:rsidRPr="0082155E">
        <w:t xml:space="preserve"> 1(a)(i)</w:t>
      </w:r>
      <w:r>
        <w:t xml:space="preserve"> and (ii)</w:t>
      </w:r>
      <w:r w:rsidRPr="0082155E">
        <w:t xml:space="preserve"> of the committee’s terms of reference.</w:t>
      </w:r>
    </w:p>
  </w:footnote>
  <w:footnote w:id="135">
    <w:p w:rsidR="000E264E" w:rsidRPr="00A054EE" w:rsidRDefault="000E264E" w:rsidP="006F5996">
      <w:pPr>
        <w:pStyle w:val="FootnoteText"/>
        <w:spacing w:after="120"/>
      </w:pPr>
      <w:r w:rsidRPr="00A054EE">
        <w:rPr>
          <w:rStyle w:val="FootnoteReference"/>
          <w:vertAlign w:val="baseline"/>
        </w:rPr>
        <w:footnoteRef/>
      </w:r>
      <w:r w:rsidRPr="00A054EE">
        <w:t xml:space="preserve"> </w:t>
      </w:r>
      <w:r>
        <w:tab/>
        <w:t>Explanatory memorandum, p. 17.</w:t>
      </w:r>
    </w:p>
  </w:footnote>
  <w:footnote w:id="136">
    <w:p w:rsidR="000E264E" w:rsidRPr="00A054EE" w:rsidRDefault="000E264E" w:rsidP="006F5996">
      <w:pPr>
        <w:pStyle w:val="FootnoteText"/>
        <w:spacing w:after="120"/>
      </w:pPr>
      <w:r w:rsidRPr="00A054EE">
        <w:rPr>
          <w:rStyle w:val="FootnoteReference"/>
          <w:vertAlign w:val="baseline"/>
        </w:rPr>
        <w:footnoteRef/>
      </w:r>
      <w:r w:rsidRPr="00A054EE">
        <w:t xml:space="preserve"> </w:t>
      </w:r>
      <w:r>
        <w:tab/>
        <w:t>Statement of compatibility, p. 9.</w:t>
      </w:r>
    </w:p>
  </w:footnote>
  <w:footnote w:id="137">
    <w:p w:rsidR="000E264E" w:rsidRPr="00FC3F40" w:rsidRDefault="000E264E" w:rsidP="006F5996">
      <w:pPr>
        <w:pStyle w:val="FootnoteText"/>
        <w:spacing w:after="120"/>
      </w:pPr>
      <w:r w:rsidRPr="00FC3F40">
        <w:rPr>
          <w:rStyle w:val="FootnoteReference"/>
          <w:vertAlign w:val="baseline"/>
        </w:rPr>
        <w:footnoteRef/>
      </w:r>
      <w:r w:rsidRPr="00FC3F40">
        <w:t xml:space="preserve"> </w:t>
      </w:r>
      <w:r>
        <w:tab/>
      </w:r>
      <w:r w:rsidRPr="00FC3F40">
        <w:t>See Standing Order 24(1)(a)(i)</w:t>
      </w:r>
      <w:r>
        <w:t>.</w:t>
      </w:r>
    </w:p>
  </w:footnote>
  <w:footnote w:id="138">
    <w:p w:rsidR="000E264E" w:rsidRPr="0082155E" w:rsidRDefault="000E264E" w:rsidP="006F5996">
      <w:pPr>
        <w:pStyle w:val="FootnoteText"/>
        <w:spacing w:after="120"/>
      </w:pPr>
      <w:r w:rsidRPr="004474CF">
        <w:rPr>
          <w:rStyle w:val="FootnoteReference"/>
          <w:vertAlign w:val="baseline"/>
        </w:rPr>
        <w:footnoteRef/>
      </w:r>
      <w:r w:rsidRPr="004474CF">
        <w:t xml:space="preserve"> </w:t>
      </w:r>
      <w:r>
        <w:tab/>
        <w:t>Schedule 4, items 16, 18, 37 and</w:t>
      </w:r>
      <w:r w:rsidRPr="0082155E">
        <w:t xml:space="preserve"> 39. The committee draws Senators’ </w:t>
      </w:r>
      <w:r>
        <w:t>attention to these</w:t>
      </w:r>
      <w:r w:rsidRPr="0082155E">
        <w:t xml:space="preserve"> provision</w:t>
      </w:r>
      <w:r>
        <w:t>s</w:t>
      </w:r>
      <w:r w:rsidRPr="0082155E">
        <w:t xml:space="preserve"> pursuant to principle 1(a)(i) of the committee’s terms of reference.</w:t>
      </w:r>
    </w:p>
  </w:footnote>
  <w:footnote w:id="139">
    <w:p w:rsidR="000E264E" w:rsidRPr="001E593D" w:rsidRDefault="000E264E" w:rsidP="006F5996">
      <w:pPr>
        <w:pStyle w:val="FootnoteText"/>
        <w:spacing w:after="120"/>
      </w:pPr>
      <w:r w:rsidRPr="001E593D">
        <w:rPr>
          <w:rStyle w:val="FootnoteReference"/>
          <w:vertAlign w:val="baseline"/>
        </w:rPr>
        <w:footnoteRef/>
      </w:r>
      <w:r w:rsidRPr="001E593D">
        <w:t xml:space="preserve"> </w:t>
      </w:r>
      <w:r>
        <w:tab/>
        <w:t>Explanatory memorandum p. 25.</w:t>
      </w:r>
    </w:p>
  </w:footnote>
  <w:footnote w:id="140">
    <w:p w:rsidR="000E264E" w:rsidRPr="00DC283C" w:rsidRDefault="000E264E" w:rsidP="006F5996">
      <w:pPr>
        <w:pStyle w:val="FootnoteText"/>
        <w:spacing w:after="120"/>
      </w:pPr>
      <w:r w:rsidRPr="00DC283C">
        <w:rPr>
          <w:rStyle w:val="FootnoteReference"/>
          <w:vertAlign w:val="baseline"/>
        </w:rPr>
        <w:footnoteRef/>
      </w:r>
      <w:r w:rsidRPr="00DC283C">
        <w:t xml:space="preserve"> </w:t>
      </w:r>
      <w:r>
        <w:tab/>
        <w:t>See explanatory memorandum pp 34-35.</w:t>
      </w:r>
    </w:p>
  </w:footnote>
  <w:footnote w:id="141">
    <w:p w:rsidR="000E264E" w:rsidRPr="00221A90" w:rsidRDefault="000E264E" w:rsidP="006F599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Pr>
          <w:szCs w:val="22"/>
        </w:rPr>
        <w:t>, September 2011, pp 50–</w:t>
      </w:r>
      <w:r w:rsidRPr="00221A90">
        <w:rPr>
          <w:szCs w:val="22"/>
        </w:rPr>
        <w:t>52.</w:t>
      </w:r>
    </w:p>
  </w:footnote>
  <w:footnote w:id="142">
    <w:p w:rsidR="000E264E" w:rsidRPr="00E578A2" w:rsidRDefault="000E264E" w:rsidP="006F5996">
      <w:pPr>
        <w:pStyle w:val="FootnoteText"/>
        <w:spacing w:after="120"/>
      </w:pPr>
      <w:r w:rsidRPr="00E578A2">
        <w:rPr>
          <w:rStyle w:val="FootnoteReference"/>
          <w:vertAlign w:val="baseline"/>
        </w:rPr>
        <w:footnoteRef/>
      </w:r>
      <w:r w:rsidRPr="00E578A2">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Pr>
          <w:szCs w:val="22"/>
        </w:rPr>
        <w:t>, September 2011, p. 50.</w:t>
      </w:r>
    </w:p>
  </w:footnote>
  <w:footnote w:id="143">
    <w:p w:rsidR="000E264E" w:rsidRPr="00B704EA" w:rsidRDefault="000E264E" w:rsidP="006F5996">
      <w:pPr>
        <w:pStyle w:val="FootnoteText"/>
        <w:spacing w:after="120"/>
      </w:pPr>
      <w:r w:rsidRPr="00B704EA">
        <w:rPr>
          <w:rStyle w:val="FootnoteReference"/>
          <w:vertAlign w:val="baseline"/>
        </w:rPr>
        <w:footnoteRef/>
      </w:r>
      <w:r w:rsidRPr="00B704EA">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Pr>
          <w:szCs w:val="22"/>
        </w:rPr>
        <w:t>, September 2011, p. 52.</w:t>
      </w:r>
    </w:p>
  </w:footnote>
  <w:footnote w:id="144">
    <w:p w:rsidR="000E264E" w:rsidRPr="00B825A7" w:rsidRDefault="000E264E" w:rsidP="006F5996">
      <w:pPr>
        <w:pStyle w:val="FootnoteText"/>
        <w:spacing w:after="120"/>
      </w:pPr>
      <w:r w:rsidRPr="00B825A7">
        <w:rPr>
          <w:rStyle w:val="FootnoteReference"/>
          <w:vertAlign w:val="baseline"/>
        </w:rPr>
        <w:footnoteRef/>
      </w:r>
      <w:r w:rsidRPr="00B825A7">
        <w:t xml:space="preserve"> </w:t>
      </w:r>
      <w:r>
        <w:tab/>
        <w:t>See item 5, proposed section 471.25A and item 27, proposed section 474.27AA.</w:t>
      </w:r>
    </w:p>
  </w:footnote>
  <w:footnote w:id="145">
    <w:p w:rsidR="000E264E" w:rsidRPr="0082155E" w:rsidRDefault="000E264E" w:rsidP="006F5996">
      <w:pPr>
        <w:pStyle w:val="FootnoteText"/>
        <w:spacing w:after="120"/>
      </w:pPr>
      <w:r w:rsidRPr="0082155E">
        <w:rPr>
          <w:rStyle w:val="FootnoteReference"/>
          <w:vertAlign w:val="baseline"/>
        </w:rPr>
        <w:footnoteRef/>
      </w:r>
      <w:r w:rsidRPr="0082155E">
        <w:t xml:space="preserve"> </w:t>
      </w:r>
      <w:r w:rsidRPr="0082155E">
        <w:tab/>
        <w:t xml:space="preserve">Schedule 6. The committee draws Senators’ attention to this </w:t>
      </w:r>
      <w:r>
        <w:t>Schedule</w:t>
      </w:r>
      <w:r w:rsidRPr="0082155E">
        <w:t xml:space="preserve"> pursuant to principle 1(a)(i) of the committee’s terms of reference.</w:t>
      </w:r>
    </w:p>
  </w:footnote>
  <w:footnote w:id="146">
    <w:p w:rsidR="000E264E" w:rsidRPr="00EC5568" w:rsidRDefault="000E264E" w:rsidP="006F5996">
      <w:pPr>
        <w:pStyle w:val="FootnoteText"/>
        <w:spacing w:after="120"/>
      </w:pPr>
      <w:r w:rsidRPr="00EC5568">
        <w:rPr>
          <w:rStyle w:val="FootnoteReference"/>
          <w:vertAlign w:val="baseline"/>
        </w:rPr>
        <w:footnoteRef/>
      </w:r>
      <w:r w:rsidRPr="00EC5568">
        <w:t xml:space="preserve"> </w:t>
      </w:r>
      <w:r>
        <w:tab/>
        <w:t>See, Schedule 6, item 2, proposed section 16AAA. Mandatory minimum sentences would apply in relation to sections 272.8(1),</w:t>
      </w:r>
      <w:r w:rsidRPr="00EC5568">
        <w:rPr>
          <w:sz w:val="26"/>
        </w:rPr>
        <w:t xml:space="preserve"> </w:t>
      </w:r>
      <w:r w:rsidRPr="00EC5568">
        <w:t>272.8</w:t>
      </w:r>
      <w:r>
        <w:t>(2</w:t>
      </w:r>
      <w:r w:rsidRPr="00EC5568">
        <w:t>)</w:t>
      </w:r>
      <w:r>
        <w:t>, 272.9(1), 272.9(2), 272.10, 272.11, 272.18, 272.19, 273.7, 471.22, 474.23A, 474.25A(1), 474.25A(2), 474.25B of the</w:t>
      </w:r>
      <w:r w:rsidRPr="006D31B1">
        <w:t xml:space="preserve"> Criminal Code</w:t>
      </w:r>
      <w:r>
        <w:t xml:space="preserve">. </w:t>
      </w:r>
    </w:p>
  </w:footnote>
  <w:footnote w:id="147">
    <w:p w:rsidR="000E264E" w:rsidRPr="00EB5716" w:rsidRDefault="000E264E" w:rsidP="006F5996">
      <w:pPr>
        <w:pStyle w:val="FootnoteText"/>
        <w:spacing w:after="120"/>
      </w:pPr>
      <w:r w:rsidRPr="00EB5716">
        <w:rPr>
          <w:rStyle w:val="FootnoteReference"/>
          <w:vertAlign w:val="baseline"/>
        </w:rPr>
        <w:footnoteRef/>
      </w:r>
      <w:r w:rsidRPr="00EB5716">
        <w:t xml:space="preserve"> </w:t>
      </w:r>
      <w:r>
        <w:tab/>
        <w:t>Statement of compatibility, p. 10.</w:t>
      </w:r>
    </w:p>
  </w:footnote>
  <w:footnote w:id="148">
    <w:p w:rsidR="000E264E" w:rsidRPr="00613DDB" w:rsidRDefault="000E264E" w:rsidP="006F5996">
      <w:pPr>
        <w:pStyle w:val="FootnoteText"/>
        <w:spacing w:after="120"/>
      </w:pPr>
      <w:r w:rsidRPr="00613DDB">
        <w:rPr>
          <w:rStyle w:val="FootnoteReference"/>
          <w:vertAlign w:val="baseline"/>
        </w:rPr>
        <w:footnoteRef/>
      </w:r>
      <w:r w:rsidRPr="00613DDB">
        <w:t xml:space="preserve"> </w:t>
      </w:r>
      <w:r>
        <w:tab/>
        <w:t>Statement of compatibility, p. 10.</w:t>
      </w:r>
    </w:p>
  </w:footnote>
  <w:footnote w:id="149">
    <w:p w:rsidR="000E264E" w:rsidRPr="0082155E" w:rsidRDefault="000E264E" w:rsidP="006F5996">
      <w:pPr>
        <w:pStyle w:val="FootnoteText"/>
        <w:spacing w:after="120"/>
      </w:pPr>
      <w:r w:rsidRPr="0082155E">
        <w:rPr>
          <w:rStyle w:val="FootnoteReference"/>
          <w:vertAlign w:val="baseline"/>
        </w:rPr>
        <w:footnoteRef/>
      </w:r>
      <w:r w:rsidRPr="0082155E">
        <w:t xml:space="preserve"> </w:t>
      </w:r>
      <w:r>
        <w:tab/>
      </w:r>
      <w:r w:rsidRPr="0082155E">
        <w:t xml:space="preserve">Schedule </w:t>
      </w:r>
      <w:r>
        <w:t>7, Part 2</w:t>
      </w:r>
      <w:r w:rsidRPr="0082155E">
        <w:t xml:space="preserve">. The committee draws Senators’ attention to this </w:t>
      </w:r>
      <w:r>
        <w:t>Part</w:t>
      </w:r>
      <w:r w:rsidRPr="0082155E">
        <w:t xml:space="preserve"> pursuant to principle 1(a)(i) of the committee’s terms of reference.</w:t>
      </w:r>
    </w:p>
  </w:footnote>
  <w:footnote w:id="150">
    <w:p w:rsidR="000E264E" w:rsidRPr="002B1A31" w:rsidRDefault="000E264E" w:rsidP="006F5996">
      <w:pPr>
        <w:pStyle w:val="FootnoteText"/>
        <w:spacing w:after="120"/>
      </w:pPr>
      <w:r w:rsidRPr="002B1A31">
        <w:rPr>
          <w:rStyle w:val="FootnoteReference"/>
          <w:vertAlign w:val="baseline"/>
        </w:rPr>
        <w:footnoteRef/>
      </w:r>
      <w:r w:rsidRPr="002B1A31">
        <w:t xml:space="preserve"> </w:t>
      </w:r>
      <w:r>
        <w:tab/>
        <w:t>Statement of compatibility, p. 10.</w:t>
      </w:r>
    </w:p>
  </w:footnote>
  <w:footnote w:id="151">
    <w:p w:rsidR="000E264E" w:rsidRPr="002B1A31" w:rsidRDefault="000E264E" w:rsidP="006F5996">
      <w:pPr>
        <w:pStyle w:val="FootnoteText"/>
        <w:spacing w:after="120"/>
      </w:pPr>
      <w:r w:rsidRPr="002B1A31">
        <w:rPr>
          <w:rStyle w:val="FootnoteReference"/>
          <w:vertAlign w:val="baseline"/>
        </w:rPr>
        <w:footnoteRef/>
      </w:r>
      <w:r w:rsidRPr="002B1A31">
        <w:t xml:space="preserve"> </w:t>
      </w:r>
      <w:r>
        <w:tab/>
        <w:t>Statement of compatibility, p. 10.</w:t>
      </w:r>
    </w:p>
  </w:footnote>
  <w:footnote w:id="152">
    <w:p w:rsidR="000E264E" w:rsidRPr="0082155E" w:rsidRDefault="000E264E" w:rsidP="006F5996">
      <w:pPr>
        <w:pStyle w:val="FootnoteText"/>
        <w:spacing w:after="120"/>
      </w:pPr>
      <w:r w:rsidRPr="0082155E">
        <w:rPr>
          <w:rStyle w:val="FootnoteReference"/>
          <w:vertAlign w:val="baseline"/>
        </w:rPr>
        <w:footnoteRef/>
      </w:r>
      <w:r w:rsidRPr="0082155E">
        <w:t xml:space="preserve"> </w:t>
      </w:r>
      <w:r>
        <w:tab/>
      </w:r>
      <w:r w:rsidRPr="0082155E">
        <w:t xml:space="preserve">Schedule </w:t>
      </w:r>
      <w:r>
        <w:t>11</w:t>
      </w:r>
      <w:r w:rsidRPr="0082155E">
        <w:t xml:space="preserve">. The committee draws Senators’ attention to this </w:t>
      </w:r>
      <w:r>
        <w:t>Schedule</w:t>
      </w:r>
      <w:r w:rsidRPr="0082155E">
        <w:t xml:space="preserve"> pursuant to principle 1(a)(i) of the committee’s terms of reference.</w:t>
      </w:r>
    </w:p>
  </w:footnote>
  <w:footnote w:id="153">
    <w:p w:rsidR="000E264E" w:rsidRPr="00B51CEB" w:rsidRDefault="000E264E" w:rsidP="006F5996">
      <w:pPr>
        <w:pStyle w:val="FootnoteText"/>
        <w:spacing w:after="120"/>
      </w:pPr>
      <w:r w:rsidRPr="00B51CEB">
        <w:rPr>
          <w:rStyle w:val="FootnoteReference"/>
          <w:vertAlign w:val="baseline"/>
        </w:rPr>
        <w:footnoteRef/>
      </w:r>
      <w:r w:rsidRPr="00B51CEB">
        <w:t xml:space="preserve"> </w:t>
      </w:r>
      <w:r>
        <w:tab/>
        <w:t>Statement of compatibility, p. 11.</w:t>
      </w:r>
    </w:p>
  </w:footnote>
  <w:footnote w:id="154">
    <w:p w:rsidR="000E264E" w:rsidRPr="0082155E" w:rsidRDefault="000E264E" w:rsidP="006F5996">
      <w:pPr>
        <w:pStyle w:val="FootnoteText"/>
        <w:spacing w:after="120"/>
      </w:pPr>
      <w:r w:rsidRPr="0082155E">
        <w:rPr>
          <w:rStyle w:val="FootnoteReference"/>
          <w:vertAlign w:val="baseline"/>
        </w:rPr>
        <w:footnoteRef/>
      </w:r>
      <w:r w:rsidRPr="0082155E">
        <w:t xml:space="preserve"> </w:t>
      </w:r>
      <w:r>
        <w:tab/>
      </w:r>
      <w:r w:rsidRPr="0082155E">
        <w:t xml:space="preserve">Schedule </w:t>
      </w:r>
      <w:r>
        <w:t>13</w:t>
      </w:r>
      <w:r w:rsidRPr="0082155E">
        <w:t xml:space="preserve">. The committee draws Senators’ attention to this </w:t>
      </w:r>
      <w:r>
        <w:t>Schedule</w:t>
      </w:r>
      <w:r w:rsidRPr="0082155E">
        <w:t xml:space="preserve"> pursuant to principle 1(a)(i) of the committee’s terms of reference.</w:t>
      </w:r>
    </w:p>
  </w:footnote>
  <w:footnote w:id="155">
    <w:p w:rsidR="000E264E" w:rsidRPr="007D2237" w:rsidRDefault="000E264E" w:rsidP="006F5996">
      <w:pPr>
        <w:pStyle w:val="FootnoteText"/>
        <w:spacing w:after="120"/>
      </w:pPr>
      <w:r w:rsidRPr="007D2237">
        <w:rPr>
          <w:rStyle w:val="FootnoteReference"/>
          <w:vertAlign w:val="baseline"/>
        </w:rPr>
        <w:footnoteRef/>
      </w:r>
      <w:r w:rsidRPr="007D2237">
        <w:t xml:space="preserve"> </w:t>
      </w:r>
      <w:r>
        <w:tab/>
      </w:r>
      <w:r w:rsidRPr="007D2237">
        <w:rPr>
          <w:i/>
        </w:rPr>
        <w:t>Butler v Queensland Community Corrections Board</w:t>
      </w:r>
      <w:r>
        <w:t xml:space="preserve"> [2001] QCA 323, [19]. </w:t>
      </w:r>
      <w:r w:rsidRPr="007D2237">
        <w:t xml:space="preserve">This was cited with approval by the Federal Court of Australia in relation to section 19AL of the </w:t>
      </w:r>
      <w:r w:rsidRPr="00326DBA">
        <w:rPr>
          <w:i/>
        </w:rPr>
        <w:t>Crimes Act 19</w:t>
      </w:r>
      <w:r>
        <w:rPr>
          <w:i/>
        </w:rPr>
        <w:t>1</w:t>
      </w:r>
      <w:r w:rsidRPr="00326DBA">
        <w:rPr>
          <w:i/>
        </w:rPr>
        <w:t>4</w:t>
      </w:r>
      <w:r>
        <w:t xml:space="preserve">: see </w:t>
      </w:r>
      <w:r w:rsidRPr="007D2237">
        <w:rPr>
          <w:i/>
        </w:rPr>
        <w:t>Duxerty v Minister for Justice and Customs</w:t>
      </w:r>
      <w:r>
        <w:t xml:space="preserve"> [2002] FCA 1518, [22].</w:t>
      </w:r>
    </w:p>
  </w:footnote>
  <w:footnote w:id="156">
    <w:p w:rsidR="000E264E" w:rsidRPr="00326DBA" w:rsidRDefault="000E264E" w:rsidP="006F5996">
      <w:pPr>
        <w:pStyle w:val="FootnoteText"/>
        <w:spacing w:after="120"/>
      </w:pPr>
      <w:r w:rsidRPr="00326DBA">
        <w:rPr>
          <w:rStyle w:val="FootnoteReference"/>
          <w:vertAlign w:val="baseline"/>
        </w:rPr>
        <w:footnoteRef/>
      </w:r>
      <w:r w:rsidRPr="00326DBA">
        <w:t xml:space="preserve"> </w:t>
      </w:r>
      <w:r>
        <w:tab/>
      </w:r>
      <w:r w:rsidRPr="007D2237">
        <w:rPr>
          <w:i/>
        </w:rPr>
        <w:t>Butler v Queensland Community Corrections Board</w:t>
      </w:r>
      <w:r>
        <w:t xml:space="preserve"> [2001] QCA 323, [19].</w:t>
      </w:r>
    </w:p>
  </w:footnote>
  <w:footnote w:id="157">
    <w:p w:rsidR="000E264E" w:rsidRPr="00326DBA" w:rsidRDefault="000E264E" w:rsidP="006F5996">
      <w:pPr>
        <w:pStyle w:val="FootnoteText"/>
        <w:spacing w:after="120"/>
      </w:pPr>
      <w:r w:rsidRPr="00326DBA">
        <w:rPr>
          <w:rStyle w:val="FootnoteReference"/>
          <w:vertAlign w:val="baseline"/>
        </w:rPr>
        <w:footnoteRef/>
      </w:r>
      <w:r w:rsidRPr="00326DBA">
        <w:t xml:space="preserve"> </w:t>
      </w:r>
      <w:r>
        <w:tab/>
        <w:t>Explanatory memorandum, p. 51.</w:t>
      </w:r>
    </w:p>
  </w:footnote>
  <w:footnote w:id="158">
    <w:p w:rsidR="000E264E" w:rsidRPr="00326DBA" w:rsidRDefault="000E264E" w:rsidP="006F5996">
      <w:pPr>
        <w:pStyle w:val="FootnoteText"/>
        <w:spacing w:after="120"/>
      </w:pPr>
      <w:r w:rsidRPr="00326DBA">
        <w:rPr>
          <w:rStyle w:val="FootnoteReference"/>
          <w:vertAlign w:val="baseline"/>
        </w:rPr>
        <w:footnoteRef/>
      </w:r>
      <w:r w:rsidRPr="00326DBA">
        <w:t xml:space="preserve"> </w:t>
      </w:r>
      <w:r>
        <w:tab/>
        <w:t>Statement of compatibility, p. 12.</w:t>
      </w:r>
    </w:p>
  </w:footnote>
  <w:footnote w:id="159">
    <w:p w:rsidR="000E264E" w:rsidRPr="007D2237" w:rsidRDefault="000E264E" w:rsidP="006F5996">
      <w:pPr>
        <w:pStyle w:val="FootnoteText"/>
        <w:spacing w:after="120"/>
      </w:pPr>
      <w:r w:rsidRPr="007D2237">
        <w:rPr>
          <w:rStyle w:val="FootnoteReference"/>
          <w:vertAlign w:val="baseline"/>
        </w:rPr>
        <w:footnoteRef/>
      </w:r>
      <w:r w:rsidRPr="007D2237">
        <w:t xml:space="preserve"> </w:t>
      </w:r>
      <w:r>
        <w:tab/>
      </w:r>
      <w:r w:rsidRPr="007D2237">
        <w:rPr>
          <w:i/>
        </w:rPr>
        <w:t>Butler v Queensland Community Corrections Board</w:t>
      </w:r>
      <w:r>
        <w:t xml:space="preserve"> [2001] QCA 323, [19]. </w:t>
      </w:r>
      <w:r w:rsidRPr="007D2237">
        <w:t xml:space="preserve">This was cited with approval by the Federal Court of Australia in relation to section 19AL of the </w:t>
      </w:r>
      <w:r w:rsidRPr="00326DBA">
        <w:rPr>
          <w:i/>
        </w:rPr>
        <w:t>Crimes Act 19</w:t>
      </w:r>
      <w:r>
        <w:rPr>
          <w:i/>
        </w:rPr>
        <w:t>1</w:t>
      </w:r>
      <w:r w:rsidRPr="00326DBA">
        <w:rPr>
          <w:i/>
        </w:rPr>
        <w:t>4</w:t>
      </w:r>
      <w:r>
        <w:t xml:space="preserve">: see </w:t>
      </w:r>
      <w:r w:rsidRPr="007D2237">
        <w:rPr>
          <w:i/>
        </w:rPr>
        <w:t>Duxerty v Minister for Justice and Customs</w:t>
      </w:r>
      <w:r>
        <w:t xml:space="preserve"> [2002] FCA 1518, [22].</w:t>
      </w:r>
    </w:p>
  </w:footnote>
  <w:footnote w:id="160">
    <w:p w:rsidR="000E264E" w:rsidRPr="00326DBA" w:rsidRDefault="000E264E" w:rsidP="006F5996">
      <w:pPr>
        <w:pStyle w:val="FootnoteText"/>
        <w:spacing w:after="120"/>
      </w:pPr>
      <w:r w:rsidRPr="00326DBA">
        <w:rPr>
          <w:rStyle w:val="FootnoteReference"/>
          <w:vertAlign w:val="baseline"/>
        </w:rPr>
        <w:footnoteRef/>
      </w:r>
      <w:r w:rsidRPr="00326DBA">
        <w:t xml:space="preserve"> </w:t>
      </w:r>
      <w:r>
        <w:tab/>
      </w:r>
      <w:r w:rsidRPr="007D2237">
        <w:rPr>
          <w:i/>
        </w:rPr>
        <w:t>Butler v Queensland Community Corrections Board</w:t>
      </w:r>
      <w:r>
        <w:t xml:space="preserve"> [2001] QCA 323, [19].</w:t>
      </w:r>
    </w:p>
  </w:footnote>
  <w:footnote w:id="161">
    <w:p w:rsidR="000E264E" w:rsidRPr="0080178C" w:rsidRDefault="000E264E" w:rsidP="006F5996">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12</w:t>
      </w:r>
      <w:r w:rsidRPr="00960438">
        <w:rPr>
          <w:i/>
        </w:rPr>
        <w:t xml:space="preserve"> of 2017</w:t>
      </w:r>
      <w:r>
        <w:t xml:space="preserve"> available at: </w:t>
      </w:r>
      <w:hyperlink r:id="rId2" w:history="1">
        <w:r w:rsidRPr="00FB0BB3">
          <w:rPr>
            <w:rStyle w:val="Hyperlink"/>
          </w:rPr>
          <w:t>www.aph.gov.au/senate_scrutiny_digest</w:t>
        </w:r>
      </w:hyperlink>
      <w:r>
        <w:t xml:space="preserve"> </w:t>
      </w:r>
    </w:p>
  </w:footnote>
  <w:footnote w:id="162">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 xml:space="preserve">Items 1-5 of </w:t>
      </w:r>
      <w:r w:rsidRPr="00F37ED6">
        <w:t>Schedule 1</w:t>
      </w:r>
      <w:r>
        <w:t xml:space="preserve"> and item 7 of Schedule 2, proposed section 117AD</w:t>
      </w:r>
      <w:r w:rsidRPr="00F37ED6">
        <w:t>. The committee draws Senators</w:t>
      </w:r>
      <w:r>
        <w:t>'</w:t>
      </w:r>
      <w:r w:rsidRPr="00F37ED6">
        <w:t xml:space="preserve"> attention to these provisions pursuant to principle 1(a)(iv) of the</w:t>
      </w:r>
      <w:r>
        <w:t xml:space="preserve"> committee's terms of reference.</w:t>
      </w:r>
    </w:p>
  </w:footnote>
  <w:footnote w:id="163">
    <w:p w:rsidR="000E264E" w:rsidRPr="004D4EA7" w:rsidRDefault="000E264E" w:rsidP="006F5996">
      <w:pPr>
        <w:pStyle w:val="FootnoteText"/>
        <w:spacing w:after="120"/>
      </w:pPr>
      <w:r w:rsidRPr="004D4EA7">
        <w:rPr>
          <w:rStyle w:val="FootnoteReference"/>
          <w:vertAlign w:val="baseline"/>
        </w:rPr>
        <w:footnoteRef/>
      </w:r>
      <w:r w:rsidRPr="004D4EA7">
        <w:t xml:space="preserve"> </w:t>
      </w:r>
      <w:r>
        <w:tab/>
        <w:t>See Defence (Inquiry) Regulations 1985.</w:t>
      </w:r>
    </w:p>
  </w:footnote>
  <w:footnote w:id="164">
    <w:p w:rsidR="000E264E" w:rsidRPr="00F37ED6" w:rsidRDefault="000E264E" w:rsidP="006F5996">
      <w:pPr>
        <w:pStyle w:val="FootnoteText"/>
        <w:spacing w:after="120"/>
      </w:pPr>
      <w:r w:rsidRPr="00F37ED6">
        <w:rPr>
          <w:rStyle w:val="FootnoteReference"/>
          <w:vertAlign w:val="baseline"/>
        </w:rPr>
        <w:footnoteRef/>
      </w:r>
      <w:r w:rsidRPr="00F37ED6">
        <w:t xml:space="preserve"> </w:t>
      </w:r>
      <w:r>
        <w:tab/>
        <w:t>See explanatory memorandum, p. 8.</w:t>
      </w:r>
    </w:p>
  </w:footnote>
  <w:footnote w:id="165">
    <w:p w:rsidR="000E264E" w:rsidRPr="003B6E83" w:rsidRDefault="000E264E" w:rsidP="006F5996">
      <w:pPr>
        <w:pStyle w:val="FootnoteText"/>
        <w:spacing w:after="120"/>
      </w:pPr>
      <w:r w:rsidRPr="003B6E83">
        <w:rPr>
          <w:rStyle w:val="FootnoteReference"/>
          <w:vertAlign w:val="baseline"/>
        </w:rPr>
        <w:footnoteRef/>
      </w:r>
      <w:r w:rsidRPr="003B6E83">
        <w:t xml:space="preserve"> </w:t>
      </w:r>
      <w:r>
        <w:tab/>
        <w:t>See item 7 of Schedule 2, proposed section 117AE.</w:t>
      </w:r>
    </w:p>
  </w:footnote>
  <w:footnote w:id="166">
    <w:p w:rsidR="000E264E" w:rsidRPr="0013045E" w:rsidRDefault="000E264E" w:rsidP="006F5996">
      <w:pPr>
        <w:pStyle w:val="FootnoteText"/>
        <w:spacing w:after="120"/>
      </w:pPr>
      <w:r w:rsidRPr="0013045E">
        <w:rPr>
          <w:rStyle w:val="FootnoteReference"/>
          <w:vertAlign w:val="baseline"/>
        </w:rPr>
        <w:footnoteRef/>
      </w:r>
      <w:r w:rsidRPr="0013045E">
        <w:t xml:space="preserve"> </w:t>
      </w:r>
      <w:r>
        <w:tab/>
        <w:t>Explanatory memorandum, p. 10.</w:t>
      </w:r>
    </w:p>
  </w:footnote>
  <w:footnote w:id="167">
    <w:p w:rsidR="000E264E" w:rsidRPr="00D451A5" w:rsidRDefault="000E264E" w:rsidP="006F5996">
      <w:pPr>
        <w:pStyle w:val="FootnoteText"/>
        <w:spacing w:after="120"/>
      </w:pPr>
      <w:r w:rsidRPr="00D451A5">
        <w:rPr>
          <w:rStyle w:val="FootnoteReference"/>
          <w:vertAlign w:val="baseline"/>
        </w:rPr>
        <w:footnoteRef/>
      </w:r>
      <w:r w:rsidRPr="00D451A5">
        <w:t xml:space="preserve"> </w:t>
      </w:r>
      <w:r>
        <w:tab/>
        <w:t xml:space="preserve">Schedule 1, item 7, proposed subsection 117AE(4). The committee draws Senators' attention to this provision pursuant to principle </w:t>
      </w:r>
      <w:r w:rsidRPr="00D451A5">
        <w:t>1(a)(ii) of the</w:t>
      </w:r>
      <w:r>
        <w:t xml:space="preserve"> committee's terms of reference.</w:t>
      </w:r>
    </w:p>
  </w:footnote>
  <w:footnote w:id="168">
    <w:p w:rsidR="000E264E" w:rsidRDefault="000E264E" w:rsidP="006F5996">
      <w:pPr>
        <w:pStyle w:val="FootnoteText"/>
        <w:spacing w:after="120"/>
      </w:pPr>
      <w:r>
        <w:rPr>
          <w:rStyle w:val="FootnoteReference"/>
        </w:rPr>
        <w:footnoteRef/>
      </w:r>
      <w:r>
        <w:t xml:space="preserve"> </w:t>
      </w:r>
      <w:r>
        <w:tab/>
        <w:t xml:space="preserve">See Part 2 of the </w:t>
      </w:r>
      <w:r>
        <w:rPr>
          <w:i/>
        </w:rPr>
        <w:t>Regulatory Powers (Standard Provisions) Act 2014</w:t>
      </w:r>
      <w:r>
        <w:t>.</w:t>
      </w:r>
    </w:p>
  </w:footnote>
  <w:footnote w:id="169">
    <w:p w:rsidR="000E264E" w:rsidRPr="00D451A5" w:rsidRDefault="000E264E" w:rsidP="006F5996">
      <w:pPr>
        <w:pStyle w:val="FootnoteText"/>
        <w:spacing w:after="120"/>
      </w:pPr>
      <w:r w:rsidRPr="00D451A5">
        <w:rPr>
          <w:rStyle w:val="FootnoteReference"/>
          <w:vertAlign w:val="baseline"/>
        </w:rPr>
        <w:footnoteRef/>
      </w:r>
      <w:r w:rsidRPr="00D451A5">
        <w:t xml:space="preserve"> </w:t>
      </w:r>
      <w:r>
        <w:tab/>
        <w:t xml:space="preserve">Schedule 1, item 7, proposed subsection 117AF(3). The committee draws Senators' attention to this provision pursuant to principle </w:t>
      </w:r>
      <w:r w:rsidRPr="00D451A5">
        <w:t>1(a)(ii) of the</w:t>
      </w:r>
      <w:r>
        <w:t xml:space="preserve"> committee's terms of reference.</w:t>
      </w:r>
    </w:p>
  </w:footnote>
  <w:footnote w:id="170">
    <w:p w:rsidR="000E264E" w:rsidRPr="00060C5C" w:rsidRDefault="000E264E" w:rsidP="006F5996">
      <w:pPr>
        <w:pStyle w:val="FootnoteText"/>
        <w:spacing w:after="120"/>
      </w:pPr>
      <w:r w:rsidRPr="00060C5C">
        <w:rPr>
          <w:rStyle w:val="FootnoteReference"/>
          <w:vertAlign w:val="baseline"/>
        </w:rPr>
        <w:footnoteRef/>
      </w:r>
      <w:r w:rsidRPr="00060C5C">
        <w:t xml:space="preserve"> </w:t>
      </w:r>
      <w:r>
        <w:tab/>
        <w:t>Explanatory memorandum, pp 12-13.</w:t>
      </w:r>
    </w:p>
  </w:footnote>
  <w:footnote w:id="171">
    <w:p w:rsidR="000E264E" w:rsidRPr="001A0297" w:rsidRDefault="000E264E" w:rsidP="006F5996">
      <w:pPr>
        <w:pStyle w:val="FootnoteText"/>
        <w:spacing w:after="120"/>
      </w:pPr>
      <w:r w:rsidRPr="001A0297">
        <w:rPr>
          <w:rStyle w:val="FootnoteReference"/>
          <w:vertAlign w:val="baseline"/>
        </w:rPr>
        <w:footnoteRef/>
      </w:r>
      <w:r w:rsidRPr="001A0297">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Pr>
          <w:szCs w:val="22"/>
        </w:rPr>
        <w:t>, September 2011, p. 80.</w:t>
      </w:r>
    </w:p>
  </w:footnote>
  <w:footnote w:id="172">
    <w:p w:rsidR="000E264E" w:rsidRPr="0080178C" w:rsidRDefault="000E264E" w:rsidP="006F5996">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12</w:t>
      </w:r>
      <w:r w:rsidRPr="00960438">
        <w:rPr>
          <w:i/>
        </w:rPr>
        <w:t xml:space="preserve"> of 2017</w:t>
      </w:r>
      <w:r>
        <w:t xml:space="preserve"> available at: </w:t>
      </w:r>
      <w:hyperlink r:id="rId3" w:history="1">
        <w:r w:rsidRPr="00FB0BB3">
          <w:rPr>
            <w:rStyle w:val="Hyperlink"/>
          </w:rPr>
          <w:t>www.aph.gov.au/senate_scrutiny_digest</w:t>
        </w:r>
      </w:hyperlink>
      <w:r>
        <w:t xml:space="preserve"> </w:t>
      </w:r>
    </w:p>
  </w:footnote>
  <w:footnote w:id="173">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Schedule 1, item 43, new paragraph 58A(3B)(b)(iv) and 58A(3d)(c)(iii); and items 51; 74(3) and (6); 172(2) and (4); 174; 176; and 183. The committee draws Senators' attention to these provisions pursuant to principle 1(a)</w:t>
      </w:r>
      <w:r w:rsidRPr="00C0707B">
        <w:t>(i)</w:t>
      </w:r>
      <w:r>
        <w:t xml:space="preserve"> of the committee's terms of reference.</w:t>
      </w:r>
    </w:p>
  </w:footnote>
  <w:footnote w:id="174">
    <w:p w:rsidR="000E264E" w:rsidRPr="00C34F82" w:rsidRDefault="000E264E" w:rsidP="006F5996">
      <w:pPr>
        <w:pStyle w:val="FootnoteText"/>
        <w:spacing w:after="120"/>
      </w:pPr>
      <w:r w:rsidRPr="00740C83">
        <w:rPr>
          <w:rStyle w:val="FootnoteReference"/>
          <w:vertAlign w:val="baseline"/>
        </w:rPr>
        <w:footnoteRef/>
      </w:r>
      <w:r w:rsidRPr="00C34F82">
        <w:t xml:space="preserve"> </w:t>
      </w:r>
      <w:r>
        <w:tab/>
        <w:t>See Schedule 1, item 43, new paragraph 58A(3B)(b)(iv) and 58A(3d)(c)(iii); and items 51; 74(3) and (6); 172(2) and (4); 174; 176; and 183.</w:t>
      </w:r>
    </w:p>
  </w:footnote>
  <w:footnote w:id="175">
    <w:p w:rsidR="000E264E" w:rsidRPr="00394C70" w:rsidRDefault="000E264E" w:rsidP="006F5996">
      <w:pPr>
        <w:pStyle w:val="FootnoteText"/>
        <w:spacing w:after="120"/>
      </w:pPr>
      <w:r w:rsidRPr="00394C70">
        <w:rPr>
          <w:rStyle w:val="FootnoteReference"/>
          <w:vertAlign w:val="baseline"/>
        </w:rPr>
        <w:footnoteRef/>
      </w:r>
      <w:r w:rsidRPr="00394C70">
        <w:t xml:space="preserve"> </w:t>
      </w:r>
      <w:r>
        <w:tab/>
      </w:r>
      <w:r>
        <w:rPr>
          <w:lang w:eastAsia="en-AU"/>
        </w:rPr>
        <w:t xml:space="preserve">In the judgement of </w:t>
      </w:r>
      <w:r>
        <w:rPr>
          <w:i/>
          <w:iCs/>
          <w:lang w:eastAsia="en-AU"/>
        </w:rPr>
        <w:t xml:space="preserve">Masters </w:t>
      </w:r>
      <w:r>
        <w:rPr>
          <w:i/>
          <w:iCs/>
          <w:sz w:val="19"/>
          <w:szCs w:val="19"/>
          <w:lang w:eastAsia="en-AU"/>
        </w:rPr>
        <w:t xml:space="preserve">&amp; </w:t>
      </w:r>
      <w:r>
        <w:rPr>
          <w:i/>
          <w:iCs/>
          <w:lang w:eastAsia="en-AU"/>
        </w:rPr>
        <w:t xml:space="preserve">Cheyne </w:t>
      </w:r>
      <w:r>
        <w:rPr>
          <w:lang w:eastAsia="en-AU"/>
        </w:rPr>
        <w:t>[2016] FamCAFC 225, one of the judges (Murphy J)</w:t>
      </w:r>
      <w:r>
        <w:rPr>
          <w:sz w:val="19"/>
          <w:szCs w:val="19"/>
          <w:lang w:eastAsia="en-AU"/>
        </w:rPr>
        <w:t xml:space="preserve"> </w:t>
      </w:r>
      <w:r>
        <w:rPr>
          <w:lang w:eastAsia="en-AU"/>
        </w:rPr>
        <w:t>expressed a view consistent with the current policy while one of the other judges (Alridge</w:t>
      </w:r>
      <w:r w:rsidRPr="005F01ED">
        <w:rPr>
          <w:sz w:val="26"/>
        </w:rPr>
        <w:t xml:space="preserve"> </w:t>
      </w:r>
      <w:r>
        <w:t>J</w:t>
      </w:r>
      <w:r w:rsidRPr="005F01ED">
        <w:rPr>
          <w:sz w:val="26"/>
        </w:rPr>
        <w:t>)</w:t>
      </w:r>
      <w:r>
        <w:rPr>
          <w:sz w:val="19"/>
          <w:szCs w:val="19"/>
          <w:lang w:eastAsia="en-AU"/>
        </w:rPr>
        <w:t xml:space="preserve"> </w:t>
      </w:r>
      <w:r>
        <w:rPr>
          <w:lang w:eastAsia="en-AU"/>
        </w:rPr>
        <w:t>expressed a view inconsistent with the current policy.</w:t>
      </w:r>
    </w:p>
  </w:footnote>
  <w:footnote w:id="176">
    <w:p w:rsidR="000E264E" w:rsidRPr="00A01DA2" w:rsidRDefault="000E264E" w:rsidP="006F5996">
      <w:pPr>
        <w:pStyle w:val="FootnoteText"/>
        <w:spacing w:after="120"/>
      </w:pPr>
      <w:r w:rsidRPr="00A01DA2">
        <w:rPr>
          <w:rStyle w:val="FootnoteReference"/>
          <w:vertAlign w:val="baseline"/>
        </w:rPr>
        <w:footnoteRef/>
      </w:r>
      <w:r w:rsidRPr="00A01DA2">
        <w:t xml:space="preserve"> </w:t>
      </w:r>
      <w:r>
        <w:tab/>
      </w:r>
      <w:r>
        <w:rPr>
          <w:lang w:eastAsia="en-AU"/>
        </w:rPr>
        <w:t>Commonwealth Ombudsman's Annual Report 2012-13.</w:t>
      </w:r>
    </w:p>
  </w:footnote>
  <w:footnote w:id="177">
    <w:p w:rsidR="000E264E" w:rsidRPr="0080178C" w:rsidRDefault="000E264E" w:rsidP="006F5996">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12</w:t>
      </w:r>
      <w:r w:rsidRPr="00960438">
        <w:rPr>
          <w:i/>
        </w:rPr>
        <w:t xml:space="preserve"> of 2017</w:t>
      </w:r>
      <w:r>
        <w:t xml:space="preserve"> available at: </w:t>
      </w:r>
      <w:hyperlink r:id="rId4" w:history="1">
        <w:r w:rsidRPr="00FB0BB3">
          <w:rPr>
            <w:rStyle w:val="Hyperlink"/>
          </w:rPr>
          <w:t>www.aph.gov.au/senate_scrutiny_digest</w:t>
        </w:r>
      </w:hyperlink>
      <w:r>
        <w:t xml:space="preserve"> </w:t>
      </w:r>
    </w:p>
  </w:footnote>
  <w:footnote w:id="178">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Schedule 2, item 4. The committee draws Senators’ attention to this provision pursuant to principle 1</w:t>
      </w:r>
      <w:r w:rsidRPr="00453066">
        <w:t>(a)(i) of</w:t>
      </w:r>
      <w:r>
        <w:t xml:space="preserve"> the committee’s terms of reference.</w:t>
      </w:r>
    </w:p>
  </w:footnote>
  <w:footnote w:id="179">
    <w:p w:rsidR="000E264E" w:rsidRPr="00A20144" w:rsidRDefault="000E264E" w:rsidP="006F5996">
      <w:pPr>
        <w:pStyle w:val="FootnoteText"/>
        <w:spacing w:after="120"/>
      </w:pPr>
      <w:r w:rsidRPr="00A20144">
        <w:rPr>
          <w:rStyle w:val="FootnoteReference"/>
          <w:vertAlign w:val="baseline"/>
        </w:rPr>
        <w:footnoteRef/>
      </w:r>
      <w:r w:rsidRPr="00A20144">
        <w:t xml:space="preserve"> </w:t>
      </w:r>
      <w:r>
        <w:tab/>
        <w:t>Explanatory memorandum, p. 13.</w:t>
      </w:r>
    </w:p>
  </w:footnote>
  <w:footnote w:id="180">
    <w:p w:rsidR="000E264E" w:rsidRPr="005614E8" w:rsidRDefault="000E264E" w:rsidP="006F5996">
      <w:pPr>
        <w:pStyle w:val="FootnoteText"/>
        <w:spacing w:after="120"/>
      </w:pPr>
      <w:r w:rsidRPr="005614E8">
        <w:rPr>
          <w:rStyle w:val="FootnoteReference"/>
          <w:vertAlign w:val="baseline"/>
        </w:rPr>
        <w:footnoteRef/>
      </w:r>
      <w:r w:rsidRPr="005614E8">
        <w:t xml:space="preserve"> </w:t>
      </w:r>
      <w:r>
        <w:tab/>
        <w:t>Explanatory memorandum, p. 8.</w:t>
      </w:r>
    </w:p>
  </w:footnote>
  <w:footnote w:id="181">
    <w:p w:rsidR="000E264E" w:rsidRPr="0080178C" w:rsidRDefault="000E264E" w:rsidP="006F5996">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12</w:t>
      </w:r>
      <w:r w:rsidRPr="00960438">
        <w:rPr>
          <w:i/>
        </w:rPr>
        <w:t xml:space="preserve"> of 2017</w:t>
      </w:r>
      <w:r>
        <w:t xml:space="preserve"> available at: </w:t>
      </w:r>
      <w:hyperlink r:id="rId5" w:history="1">
        <w:r w:rsidRPr="00FB0BB3">
          <w:rPr>
            <w:rStyle w:val="Hyperlink"/>
          </w:rPr>
          <w:t>www.aph.gov.au/senate_scrutiny_digest</w:t>
        </w:r>
      </w:hyperlink>
      <w:r>
        <w:t xml:space="preserve"> </w:t>
      </w:r>
    </w:p>
  </w:footnote>
  <w:footnote w:id="182">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General comment. The committee draws Senators' attention to the bill pursuant to principle 1(a</w:t>
      </w:r>
      <w:r w:rsidRPr="00A33862">
        <w:t>)(i) of</w:t>
      </w:r>
      <w:r>
        <w:t xml:space="preserve"> the committee's terms of reference.</w:t>
      </w:r>
    </w:p>
  </w:footnote>
  <w:footnote w:id="183">
    <w:p w:rsidR="000E264E" w:rsidRPr="00A33862" w:rsidRDefault="000E264E" w:rsidP="006F5996">
      <w:pPr>
        <w:pStyle w:val="FootnoteText"/>
        <w:spacing w:after="120"/>
      </w:pPr>
      <w:r w:rsidRPr="00A33862">
        <w:rPr>
          <w:rStyle w:val="FootnoteReference"/>
          <w:vertAlign w:val="baseline"/>
        </w:rPr>
        <w:footnoteRef/>
      </w:r>
      <w:r w:rsidRPr="00A33862">
        <w:t xml:space="preserve"> </w:t>
      </w:r>
      <w:r>
        <w:tab/>
        <w:t>See item 2, proposed section 251A.</w:t>
      </w:r>
    </w:p>
  </w:footnote>
  <w:footnote w:id="184">
    <w:p w:rsidR="000E264E" w:rsidRPr="00041CAB" w:rsidRDefault="000E264E" w:rsidP="006F5996">
      <w:pPr>
        <w:pStyle w:val="FootnoteText"/>
        <w:spacing w:after="120"/>
      </w:pPr>
      <w:r w:rsidRPr="00041CAB">
        <w:rPr>
          <w:rStyle w:val="FootnoteReference"/>
          <w:vertAlign w:val="baseline"/>
        </w:rPr>
        <w:footnoteRef/>
      </w:r>
      <w:r w:rsidRPr="00041CAB">
        <w:t xml:space="preserve"> </w:t>
      </w:r>
      <w:r>
        <w:tab/>
        <w:t>See items 3-7.</w:t>
      </w:r>
    </w:p>
  </w:footnote>
  <w:footnote w:id="185">
    <w:p w:rsidR="000E264E" w:rsidRPr="00041CAB" w:rsidRDefault="000E264E" w:rsidP="006F5996">
      <w:pPr>
        <w:pStyle w:val="FootnoteText"/>
        <w:spacing w:after="120"/>
      </w:pPr>
      <w:r w:rsidRPr="00041CAB">
        <w:rPr>
          <w:rStyle w:val="FootnoteReference"/>
          <w:vertAlign w:val="baseline"/>
        </w:rPr>
        <w:footnoteRef/>
      </w:r>
      <w:r w:rsidRPr="00041CAB">
        <w:t xml:space="preserve"> </w:t>
      </w:r>
      <w:r>
        <w:tab/>
      </w:r>
      <w:r w:rsidRPr="001F24A5">
        <w:t>See items 10-14 and 15-18.</w:t>
      </w:r>
    </w:p>
  </w:footnote>
  <w:footnote w:id="186">
    <w:p w:rsidR="000E264E" w:rsidRPr="00880566" w:rsidRDefault="000E264E" w:rsidP="006F5996">
      <w:pPr>
        <w:pStyle w:val="FootnoteText"/>
        <w:spacing w:after="120"/>
      </w:pPr>
      <w:r w:rsidRPr="00880566">
        <w:rPr>
          <w:rStyle w:val="FootnoteReference"/>
          <w:vertAlign w:val="baseline"/>
        </w:rPr>
        <w:footnoteRef/>
      </w:r>
      <w:r w:rsidRPr="00880566">
        <w:t xml:space="preserve"> </w:t>
      </w:r>
      <w:r>
        <w:tab/>
        <w:t>Items 21, proposed section 252BA and 252BB.</w:t>
      </w:r>
    </w:p>
  </w:footnote>
  <w:footnote w:id="187">
    <w:p w:rsidR="000E264E" w:rsidRPr="0099013E" w:rsidRDefault="000E264E" w:rsidP="006F5996">
      <w:pPr>
        <w:pStyle w:val="FootnoteText"/>
        <w:spacing w:after="120"/>
      </w:pPr>
      <w:r w:rsidRPr="0099013E">
        <w:rPr>
          <w:rStyle w:val="FootnoteReference"/>
          <w:vertAlign w:val="baseline"/>
        </w:rPr>
        <w:footnoteRef/>
      </w:r>
      <w:r w:rsidRPr="0099013E">
        <w:t xml:space="preserve"> </w:t>
      </w:r>
      <w:r>
        <w:tab/>
        <w:t>Item 21, proposed subsection 252BA(6).</w:t>
      </w:r>
    </w:p>
  </w:footnote>
  <w:footnote w:id="188">
    <w:p w:rsidR="000E264E" w:rsidRPr="00171366" w:rsidRDefault="000E264E" w:rsidP="006F5996">
      <w:pPr>
        <w:pStyle w:val="FootnoteText"/>
        <w:spacing w:after="120"/>
      </w:pPr>
      <w:r w:rsidRPr="00171366">
        <w:rPr>
          <w:rStyle w:val="FootnoteReference"/>
          <w:vertAlign w:val="baseline"/>
        </w:rPr>
        <w:footnoteRef/>
      </w:r>
      <w:r w:rsidRPr="00171366">
        <w:t xml:space="preserve"> </w:t>
      </w:r>
      <w:r>
        <w:tab/>
        <w:t>Explanatory memorandum, p. 2.</w:t>
      </w:r>
    </w:p>
  </w:footnote>
  <w:footnote w:id="189">
    <w:p w:rsidR="000E264E" w:rsidRPr="004B7BBB" w:rsidRDefault="000E264E" w:rsidP="006F5996">
      <w:pPr>
        <w:pStyle w:val="FootnoteText"/>
        <w:spacing w:after="120"/>
      </w:pPr>
      <w:r w:rsidRPr="004B7BBB">
        <w:rPr>
          <w:rStyle w:val="FootnoteReference"/>
          <w:vertAlign w:val="baseline"/>
        </w:rPr>
        <w:footnoteRef/>
      </w:r>
      <w:r w:rsidRPr="004B7BBB">
        <w:t xml:space="preserve"> </w:t>
      </w:r>
      <w:r>
        <w:tab/>
        <w:t>Explanatory memorandum, p. 2.</w:t>
      </w:r>
    </w:p>
  </w:footnote>
  <w:footnote w:id="190">
    <w:p w:rsidR="000E264E" w:rsidRPr="004B7BBB" w:rsidRDefault="000E264E" w:rsidP="006F5996">
      <w:pPr>
        <w:pStyle w:val="FootnoteText"/>
        <w:spacing w:after="120"/>
      </w:pPr>
      <w:r w:rsidRPr="004B7BBB">
        <w:rPr>
          <w:rStyle w:val="FootnoteReference"/>
          <w:vertAlign w:val="baseline"/>
        </w:rPr>
        <w:footnoteRef/>
      </w:r>
      <w:r w:rsidRPr="004B7BBB">
        <w:t xml:space="preserve"> </w:t>
      </w:r>
      <w:r>
        <w:tab/>
        <w:t>Explanatory</w:t>
      </w:r>
      <w:r w:rsidRPr="004B7BBB">
        <w:t xml:space="preserve"> </w:t>
      </w:r>
      <w:r>
        <w:t>memorandum, p. 2.</w:t>
      </w:r>
    </w:p>
  </w:footnote>
  <w:footnote w:id="191">
    <w:p w:rsidR="000E264E" w:rsidRPr="00E413A4" w:rsidRDefault="000E264E" w:rsidP="006F5996">
      <w:pPr>
        <w:pStyle w:val="FootnoteText"/>
        <w:spacing w:after="120"/>
      </w:pPr>
      <w:r w:rsidRPr="00E413A4">
        <w:rPr>
          <w:rStyle w:val="FootnoteReference"/>
          <w:vertAlign w:val="baseline"/>
        </w:rPr>
        <w:footnoteRef/>
      </w:r>
      <w:r w:rsidRPr="00E413A4">
        <w:t xml:space="preserve"> </w:t>
      </w:r>
      <w:r>
        <w:tab/>
        <w:t>Senate Standing Order 24(1)(a)(i).</w:t>
      </w:r>
    </w:p>
  </w:footnote>
  <w:footnote w:id="192">
    <w:p w:rsidR="000E264E" w:rsidRPr="00E413A4" w:rsidRDefault="000E264E" w:rsidP="006F5996">
      <w:pPr>
        <w:pStyle w:val="FootnoteText"/>
        <w:spacing w:after="120"/>
      </w:pPr>
      <w:r w:rsidRPr="00E413A4">
        <w:rPr>
          <w:rStyle w:val="FootnoteReference"/>
          <w:vertAlign w:val="baseline"/>
        </w:rPr>
        <w:footnoteRef/>
      </w:r>
      <w:r w:rsidRPr="00E413A4">
        <w:t xml:space="preserve"> </w:t>
      </w:r>
      <w:r>
        <w:tab/>
        <w:t>Statement of compatibility, p. 24.</w:t>
      </w:r>
    </w:p>
  </w:footnote>
  <w:footnote w:id="193">
    <w:p w:rsidR="000E264E" w:rsidRPr="003976D8" w:rsidRDefault="000E264E" w:rsidP="006F5996">
      <w:pPr>
        <w:pStyle w:val="FootnoteText"/>
        <w:spacing w:after="120"/>
      </w:pPr>
      <w:r w:rsidRPr="003976D8">
        <w:rPr>
          <w:rStyle w:val="FootnoteReference"/>
          <w:vertAlign w:val="baseline"/>
        </w:rPr>
        <w:footnoteRef/>
      </w:r>
      <w:r w:rsidRPr="003976D8">
        <w:t xml:space="preserve"> </w:t>
      </w:r>
      <w:r>
        <w:tab/>
        <w:t>The committee notes the Minister's response states that 'almost three quarters' of the detainee population consists of high-risk individuals. In contrast, the statement of compatibility accompanying the bill states that 'more than half' of the population consists of high risk individuals (p. 24).</w:t>
      </w:r>
    </w:p>
  </w:footnote>
  <w:footnote w:id="194">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Item 2, proposed subsection 251A(2). The committee draws Senators’ attention to this provision pursuant to principle 1(a</w:t>
      </w:r>
      <w:r w:rsidRPr="00775104">
        <w:t>)(iv) and</w:t>
      </w:r>
      <w:r>
        <w:t xml:space="preserve"> (v) of the committee’s terms of reference.</w:t>
      </w:r>
    </w:p>
  </w:footnote>
  <w:footnote w:id="195">
    <w:p w:rsidR="000E264E" w:rsidRPr="00A33862" w:rsidRDefault="000E264E" w:rsidP="006F5996">
      <w:pPr>
        <w:pStyle w:val="FootnoteText"/>
        <w:spacing w:after="120"/>
      </w:pPr>
      <w:r w:rsidRPr="00A33862">
        <w:rPr>
          <w:rStyle w:val="FootnoteReference"/>
          <w:vertAlign w:val="baseline"/>
        </w:rPr>
        <w:footnoteRef/>
      </w:r>
      <w:r w:rsidRPr="00A33862">
        <w:t xml:space="preserve"> </w:t>
      </w:r>
      <w:r>
        <w:tab/>
        <w:t>See item 2, proposed section 251A.</w:t>
      </w:r>
    </w:p>
  </w:footnote>
  <w:footnote w:id="196">
    <w:p w:rsidR="000E264E" w:rsidRPr="00775104" w:rsidRDefault="000E264E" w:rsidP="006F5996">
      <w:pPr>
        <w:pStyle w:val="FootnoteText"/>
        <w:spacing w:after="120"/>
      </w:pPr>
      <w:r w:rsidRPr="00775104">
        <w:rPr>
          <w:rStyle w:val="FootnoteReference"/>
          <w:vertAlign w:val="baseline"/>
        </w:rPr>
        <w:footnoteRef/>
      </w:r>
      <w:r w:rsidRPr="00775104">
        <w:t xml:space="preserve"> </w:t>
      </w:r>
      <w:r>
        <w:tab/>
        <w:t>Explanatory memorandum, p. 6.</w:t>
      </w:r>
    </w:p>
  </w:footnote>
  <w:footnote w:id="197">
    <w:p w:rsidR="000E264E" w:rsidRPr="00221A90" w:rsidRDefault="000E264E" w:rsidP="006F599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See sections 18 and 19 of the </w:t>
      </w:r>
      <w:r w:rsidRPr="00221A90">
        <w:rPr>
          <w:i/>
          <w:szCs w:val="22"/>
        </w:rPr>
        <w:t>Legislation Act 2003</w:t>
      </w:r>
      <w:r w:rsidRPr="00221A90">
        <w:rPr>
          <w:szCs w:val="22"/>
        </w:rPr>
        <w:t>.</w:t>
      </w:r>
    </w:p>
  </w:footnote>
  <w:footnote w:id="198">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 xml:space="preserve">Item 21, proposed sections 252BA and 252BB. The committee draws Senators’ attention to these provisions pursuant to </w:t>
      </w:r>
      <w:r w:rsidRPr="00775104">
        <w:t>principle 1(a)(ii) of the committee’s</w:t>
      </w:r>
      <w:r>
        <w:t xml:space="preserve"> terms of reference.</w:t>
      </w:r>
    </w:p>
  </w:footnote>
  <w:footnote w:id="199">
    <w:p w:rsidR="000E264E" w:rsidRPr="00A36AB4" w:rsidRDefault="000E264E" w:rsidP="006F5996">
      <w:pPr>
        <w:pStyle w:val="FootnoteText"/>
        <w:spacing w:after="120"/>
      </w:pPr>
      <w:r w:rsidRPr="00A36AB4">
        <w:rPr>
          <w:rStyle w:val="FootnoteReference"/>
          <w:vertAlign w:val="baseline"/>
        </w:rPr>
        <w:footnoteRef/>
      </w:r>
      <w:r w:rsidRPr="00A36AB4">
        <w:t xml:space="preserve"> </w:t>
      </w:r>
      <w:r>
        <w:tab/>
        <w:t>Explanatory memorandum, p. 14.</w:t>
      </w:r>
    </w:p>
  </w:footnote>
  <w:footnote w:id="200">
    <w:p w:rsidR="000E264E" w:rsidRPr="00BB4337" w:rsidRDefault="000E264E" w:rsidP="006F5996">
      <w:pPr>
        <w:pStyle w:val="FootnoteText"/>
        <w:spacing w:after="120"/>
      </w:pPr>
      <w:r w:rsidRPr="00BB4337">
        <w:rPr>
          <w:rStyle w:val="FootnoteReference"/>
          <w:vertAlign w:val="baseline"/>
        </w:rPr>
        <w:footnoteRef/>
      </w:r>
      <w:r w:rsidRPr="00BB4337">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w:t>
      </w:r>
      <w:r>
        <w:rPr>
          <w:szCs w:val="22"/>
        </w:rPr>
        <w:t xml:space="preserve"> 73-75.</w:t>
      </w:r>
    </w:p>
  </w:footnote>
  <w:footnote w:id="201">
    <w:p w:rsidR="000E264E" w:rsidRPr="00BB4337" w:rsidRDefault="000E264E" w:rsidP="006F5996">
      <w:pPr>
        <w:pStyle w:val="FootnoteText"/>
        <w:spacing w:after="120"/>
      </w:pPr>
      <w:r w:rsidRPr="00BB4337">
        <w:rPr>
          <w:rStyle w:val="FootnoteReference"/>
          <w:vertAlign w:val="baseline"/>
        </w:rPr>
        <w:footnoteRef/>
      </w:r>
      <w:r w:rsidRPr="00BB4337">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w:t>
      </w:r>
      <w:r>
        <w:rPr>
          <w:szCs w:val="22"/>
        </w:rPr>
        <w:t xml:space="preserve"> 73-75.</w:t>
      </w:r>
    </w:p>
  </w:footnote>
  <w:footnote w:id="202">
    <w:p w:rsidR="000E264E" w:rsidRPr="0080178C" w:rsidRDefault="000E264E" w:rsidP="006F5996">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12</w:t>
      </w:r>
      <w:r w:rsidRPr="00960438">
        <w:rPr>
          <w:i/>
        </w:rPr>
        <w:t xml:space="preserve"> of 2017</w:t>
      </w:r>
      <w:r>
        <w:t xml:space="preserve"> available at: </w:t>
      </w:r>
      <w:hyperlink r:id="rId6" w:history="1">
        <w:r w:rsidRPr="00FB0BB3">
          <w:rPr>
            <w:rStyle w:val="Hyperlink"/>
          </w:rPr>
          <w:t>www.aph.gov.au/senate_scrutiny_digest</w:t>
        </w:r>
      </w:hyperlink>
      <w:r>
        <w:t xml:space="preserve"> </w:t>
      </w:r>
    </w:p>
  </w:footnote>
  <w:footnote w:id="203">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Item 5, proposed subsection 4(2A). The committee draws Senators’ attention to this provision pursuant to principle 1(a</w:t>
      </w:r>
      <w:r w:rsidRPr="008F29CA">
        <w:t>)(</w:t>
      </w:r>
      <w:r>
        <w:t>iv</w:t>
      </w:r>
      <w:r w:rsidRPr="008F29CA">
        <w:t>) o</w:t>
      </w:r>
      <w:r>
        <w:t>f the committee’s terms of reference.</w:t>
      </w:r>
    </w:p>
  </w:footnote>
  <w:footnote w:id="204">
    <w:p w:rsidR="000E264E" w:rsidRPr="00797204" w:rsidRDefault="000E264E" w:rsidP="006F5996">
      <w:pPr>
        <w:pStyle w:val="FootnoteText"/>
        <w:spacing w:after="120"/>
      </w:pPr>
      <w:r w:rsidRPr="00797204">
        <w:rPr>
          <w:rStyle w:val="FootnoteReference"/>
          <w:vertAlign w:val="baseline"/>
        </w:rPr>
        <w:footnoteRef/>
      </w:r>
      <w:r w:rsidRPr="00797204">
        <w:t xml:space="preserve"> </w:t>
      </w:r>
      <w:r>
        <w:tab/>
        <w:t xml:space="preserve">Explanatory memorandum, p. 1. </w:t>
      </w:r>
    </w:p>
  </w:footnote>
  <w:footnote w:id="205">
    <w:p w:rsidR="000E264E" w:rsidRPr="00004878" w:rsidRDefault="000E264E" w:rsidP="006F5996">
      <w:pPr>
        <w:pStyle w:val="FootnoteText"/>
        <w:spacing w:after="120"/>
      </w:pPr>
      <w:r w:rsidRPr="00004878">
        <w:rPr>
          <w:rStyle w:val="FootnoteReference"/>
          <w:vertAlign w:val="baseline"/>
        </w:rPr>
        <w:footnoteRef/>
      </w:r>
      <w:r w:rsidRPr="00004878">
        <w:t xml:space="preserve"> </w:t>
      </w:r>
      <w:r>
        <w:tab/>
        <w:t xml:space="preserve">Department of Finance, </w:t>
      </w:r>
      <w:r w:rsidRPr="00004878">
        <w:rPr>
          <w:i/>
        </w:rPr>
        <w:t>Australian Government Cost Recovery Guidelines</w:t>
      </w:r>
      <w:r>
        <w:t>, 3</w:t>
      </w:r>
      <w:r w:rsidRPr="00004878">
        <w:rPr>
          <w:vertAlign w:val="superscript"/>
        </w:rPr>
        <w:t>rd</w:t>
      </w:r>
      <w:r>
        <w:t xml:space="preserve"> edition, July 2014, available at: </w:t>
      </w:r>
      <w:hyperlink r:id="rId7" w:history="1">
        <w:r w:rsidRPr="005D4412">
          <w:rPr>
            <w:rStyle w:val="Hyperlink"/>
          </w:rPr>
          <w:t>https://www.finance.gov.au/resource-management/charging-framework/</w:t>
        </w:r>
      </w:hyperlink>
      <w:r>
        <w:t>.</w:t>
      </w:r>
    </w:p>
  </w:footnote>
  <w:footnote w:id="206">
    <w:p w:rsidR="000E264E" w:rsidRPr="00712952" w:rsidRDefault="000E264E" w:rsidP="006F5996">
      <w:pPr>
        <w:pStyle w:val="FootnoteText"/>
        <w:spacing w:after="120"/>
      </w:pPr>
      <w:r w:rsidRPr="00712952">
        <w:rPr>
          <w:rStyle w:val="FootnoteReference"/>
          <w:vertAlign w:val="baseline"/>
        </w:rPr>
        <w:footnoteRef/>
      </w:r>
      <w:r w:rsidRPr="00712952">
        <w:t xml:space="preserve"> </w:t>
      </w:r>
      <w:r>
        <w:tab/>
      </w:r>
      <w:r w:rsidRPr="002714AD">
        <w:t xml:space="preserve">This principle has been a foundational element of our system of governance for centuries: see, for example, article 4 of the </w:t>
      </w:r>
      <w:r w:rsidRPr="002714AD">
        <w:rPr>
          <w:i/>
        </w:rPr>
        <w:t>Bill of Rights 1688</w:t>
      </w:r>
      <w:r w:rsidRPr="002714AD">
        <w:t>: 'That levying money for or to the use of the Crown by pretence of prerogative without grant of Parliament for longer time or in other manner than the same is or shall be granted is illegal'.</w:t>
      </w:r>
    </w:p>
  </w:footnote>
  <w:footnote w:id="207">
    <w:p w:rsidR="000E264E" w:rsidRPr="0080178C" w:rsidRDefault="000E264E" w:rsidP="006F5996">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12</w:t>
      </w:r>
      <w:r w:rsidRPr="00960438">
        <w:rPr>
          <w:i/>
        </w:rPr>
        <w:t xml:space="preserve"> of 2017</w:t>
      </w:r>
      <w:r>
        <w:t xml:space="preserve"> available at: </w:t>
      </w:r>
      <w:hyperlink r:id="rId8" w:history="1">
        <w:r w:rsidRPr="00FB0BB3">
          <w:rPr>
            <w:rStyle w:val="Hyperlink"/>
          </w:rPr>
          <w:t>www.aph.gov.au/senate_scrutiny_digest</w:t>
        </w:r>
      </w:hyperlink>
      <w:r>
        <w:t xml:space="preserve"> </w:t>
      </w:r>
    </w:p>
  </w:footnote>
  <w:footnote w:id="208">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r>
      <w:r w:rsidRPr="009C20A8">
        <w:t>Schedule 1, items 14</w:t>
      </w:r>
      <w:r>
        <w:t>–</w:t>
      </w:r>
      <w:r w:rsidRPr="009C20A8">
        <w:t>17 and Schedule 2, item 19.</w:t>
      </w:r>
      <w:r>
        <w:t xml:space="preserve"> The committee draws Senators’ attention to these provisions pursuant to </w:t>
      </w:r>
      <w:r w:rsidRPr="006029D8">
        <w:t>principle 1(a)(iii) of the committee’s</w:t>
      </w:r>
      <w:r>
        <w:t xml:space="preserve"> terms of reference.</w:t>
      </w:r>
    </w:p>
  </w:footnote>
  <w:footnote w:id="209">
    <w:p w:rsidR="000E264E" w:rsidRPr="00867BD3" w:rsidRDefault="000E264E" w:rsidP="006F5996">
      <w:pPr>
        <w:pStyle w:val="FootnoteText"/>
        <w:spacing w:after="120"/>
      </w:pPr>
      <w:r w:rsidRPr="00867BD3">
        <w:rPr>
          <w:rStyle w:val="FootnoteReference"/>
          <w:vertAlign w:val="baseline"/>
        </w:rPr>
        <w:footnoteRef/>
      </w:r>
      <w:r w:rsidRPr="00867BD3">
        <w:t xml:space="preserve"> </w:t>
      </w:r>
      <w:r>
        <w:tab/>
        <w:t>Explanatory memorandum, p. 2.</w:t>
      </w:r>
    </w:p>
  </w:footnote>
  <w:footnote w:id="210">
    <w:p w:rsidR="000E264E" w:rsidRPr="00521D47" w:rsidRDefault="000E264E" w:rsidP="006F5996">
      <w:pPr>
        <w:pStyle w:val="FootnoteText"/>
        <w:spacing w:after="120"/>
      </w:pPr>
      <w:r w:rsidRPr="00521D47">
        <w:rPr>
          <w:rStyle w:val="FootnoteReference"/>
          <w:vertAlign w:val="baseline"/>
        </w:rPr>
        <w:footnoteRef/>
      </w:r>
      <w:r w:rsidRPr="00521D47">
        <w:t xml:space="preserve"> </w:t>
      </w:r>
      <w:r>
        <w:tab/>
        <w:t>Explanatory memorandum, p. 24.</w:t>
      </w:r>
    </w:p>
  </w:footnote>
  <w:footnote w:id="211">
    <w:p w:rsidR="000E264E" w:rsidRPr="00882C90" w:rsidRDefault="000E264E" w:rsidP="006F5996">
      <w:pPr>
        <w:pStyle w:val="FootnoteText"/>
        <w:spacing w:after="120"/>
      </w:pPr>
      <w:r w:rsidRPr="00882C90">
        <w:rPr>
          <w:rStyle w:val="FootnoteReference"/>
          <w:vertAlign w:val="baseline"/>
        </w:rPr>
        <w:footnoteRef/>
      </w:r>
      <w:r w:rsidRPr="00882C90">
        <w:t xml:space="preserve"> </w:t>
      </w:r>
      <w:r>
        <w:tab/>
        <w:t>Explanatory memorandum, pp 24–25.</w:t>
      </w:r>
    </w:p>
  </w:footnote>
  <w:footnote w:id="212">
    <w:p w:rsidR="000E264E" w:rsidRPr="00A56791" w:rsidRDefault="000E264E" w:rsidP="006F5996">
      <w:pPr>
        <w:pStyle w:val="FootnoteText"/>
        <w:spacing w:after="120"/>
      </w:pPr>
      <w:r w:rsidRPr="001018ED">
        <w:rPr>
          <w:rStyle w:val="FootnoteReference"/>
          <w:vertAlign w:val="baseline"/>
        </w:rPr>
        <w:footnoteRef/>
      </w:r>
      <w:r w:rsidRPr="00A56791">
        <w:t xml:space="preserve"> </w:t>
      </w:r>
      <w:r>
        <w:tab/>
        <w:t>See item 19 of Schedule 2.</w:t>
      </w:r>
    </w:p>
  </w:footnote>
  <w:footnote w:id="213">
    <w:p w:rsidR="000E264E" w:rsidRPr="001C496B" w:rsidRDefault="000E264E" w:rsidP="006F5996">
      <w:pPr>
        <w:pStyle w:val="FootnoteText"/>
        <w:spacing w:after="120"/>
      </w:pPr>
      <w:r w:rsidRPr="001C496B">
        <w:rPr>
          <w:rStyle w:val="FootnoteReference"/>
          <w:vertAlign w:val="baseline"/>
        </w:rPr>
        <w:footnoteRef/>
      </w:r>
      <w:r w:rsidRPr="001C496B">
        <w:t xml:space="preserve"> </w:t>
      </w:r>
      <w:r>
        <w:tab/>
        <w:t>Explanatory memorandum, p. 35.</w:t>
      </w:r>
    </w:p>
  </w:footnote>
  <w:footnote w:id="214">
    <w:p w:rsidR="000E264E" w:rsidRPr="00B61DFD" w:rsidRDefault="000E264E" w:rsidP="006F5996">
      <w:pPr>
        <w:pStyle w:val="FootnoteText"/>
        <w:spacing w:after="120"/>
      </w:pPr>
      <w:r w:rsidRPr="00B61DFD">
        <w:rPr>
          <w:rStyle w:val="FootnoteReference"/>
          <w:vertAlign w:val="baseline"/>
        </w:rPr>
        <w:footnoteRef/>
      </w:r>
      <w:r w:rsidRPr="00B61DFD">
        <w:t xml:space="preserve"> </w:t>
      </w:r>
      <w:r>
        <w:tab/>
        <w:t>Explanatory memorandum, p. 24.</w:t>
      </w:r>
    </w:p>
  </w:footnote>
  <w:footnote w:id="215">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Schedule 4, item 9, proposed section 29JCB; Schedule 5, item 11, proposed section 131DD. The committee draws Senators’ attention to these provisions pursuant to principle 1(a)</w:t>
      </w:r>
      <w:r w:rsidRPr="00475E3A">
        <w:t>(</w:t>
      </w:r>
      <w:r>
        <w:t>i</w:t>
      </w:r>
      <w:r w:rsidRPr="00475E3A">
        <w:t>)</w:t>
      </w:r>
      <w:r>
        <w:t xml:space="preserve"> of the committee’s terms of reference.</w:t>
      </w:r>
    </w:p>
  </w:footnote>
  <w:footnote w:id="216">
    <w:p w:rsidR="000E264E" w:rsidRPr="00115363" w:rsidRDefault="000E264E" w:rsidP="006F5996">
      <w:pPr>
        <w:pStyle w:val="FootnoteText"/>
        <w:spacing w:after="120"/>
      </w:pPr>
      <w:r w:rsidRPr="00115363">
        <w:rPr>
          <w:rStyle w:val="FootnoteReference"/>
          <w:vertAlign w:val="baseline"/>
        </w:rPr>
        <w:footnoteRef/>
      </w:r>
      <w:r w:rsidRPr="00115363">
        <w:t xml:space="preserve"> </w:t>
      </w:r>
      <w:r>
        <w:tab/>
        <w:t>Explanatory memorandum, p. 47.</w:t>
      </w:r>
    </w:p>
  </w:footnote>
  <w:footnote w:id="217">
    <w:p w:rsidR="000E264E" w:rsidRPr="00475E3A" w:rsidRDefault="000E264E" w:rsidP="006F5996">
      <w:pPr>
        <w:pStyle w:val="FootnoteText"/>
        <w:spacing w:after="120"/>
      </w:pPr>
      <w:r w:rsidRPr="00475E3A">
        <w:rPr>
          <w:rStyle w:val="FootnoteReference"/>
          <w:vertAlign w:val="baseline"/>
        </w:rPr>
        <w:footnoteRef/>
      </w:r>
      <w:r w:rsidRPr="00475E3A">
        <w:t xml:space="preserve"> </w:t>
      </w:r>
      <w:r>
        <w:tab/>
        <w:t>Explanatory memorandum, p. 69.</w:t>
      </w:r>
    </w:p>
  </w:footnote>
  <w:footnote w:id="218">
    <w:p w:rsidR="000E264E" w:rsidRPr="00221A90" w:rsidRDefault="000E264E" w:rsidP="006F599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219">
    <w:p w:rsidR="000E264E" w:rsidRPr="00221A90" w:rsidRDefault="000E264E" w:rsidP="006F599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Pr>
          <w:szCs w:val="22"/>
        </w:rPr>
        <w:t>, September 2011, p. 24</w:t>
      </w:r>
      <w:r w:rsidRPr="00221A90">
        <w:rPr>
          <w:szCs w:val="22"/>
        </w:rPr>
        <w:t>.</w:t>
      </w:r>
    </w:p>
  </w:footnote>
  <w:footnote w:id="220">
    <w:p w:rsidR="000E264E" w:rsidRPr="00221A90" w:rsidRDefault="000E264E" w:rsidP="006F599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221">
    <w:p w:rsidR="000E264E" w:rsidRPr="007B7EB2" w:rsidRDefault="000E264E" w:rsidP="006F5996">
      <w:pPr>
        <w:pStyle w:val="FootnoteText"/>
        <w:spacing w:after="120"/>
      </w:pPr>
      <w:r w:rsidRPr="007B7EB2">
        <w:rPr>
          <w:rStyle w:val="FootnoteReference"/>
          <w:vertAlign w:val="baseline"/>
        </w:rPr>
        <w:footnoteRef/>
      </w:r>
      <w:r w:rsidRPr="007B7EB2">
        <w:t xml:space="preserve"> </w:t>
      </w:r>
      <w:r>
        <w:tab/>
      </w:r>
      <w:r w:rsidRPr="007B7EB2">
        <w:t xml:space="preserve">Attorney-General's Department, </w:t>
      </w:r>
      <w:r w:rsidRPr="007B7EB2">
        <w:rPr>
          <w:i/>
        </w:rPr>
        <w:t>A Guide to Framing Commonwealth Offences, Infringement Notices and Enforcement Powers</w:t>
      </w:r>
      <w:r w:rsidRPr="007B7EB2">
        <w:t>, September 2011, p</w:t>
      </w:r>
      <w:r>
        <w:t>.</w:t>
      </w:r>
      <w:r w:rsidRPr="007B7EB2">
        <w:t xml:space="preserve"> </w:t>
      </w:r>
      <w:r>
        <w:t>22</w:t>
      </w:r>
      <w:r w:rsidRPr="007B7EB2">
        <w:t>.</w:t>
      </w:r>
    </w:p>
  </w:footnote>
  <w:footnote w:id="222">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Schedule 7, item 5, proposed subsections 29PA(6), 29PB(3), 29PC(3), 29PD(3) and 29PE(3). The committee draws Senators’ attention to these provisions pursuant to principles 1(a)</w:t>
      </w:r>
      <w:r w:rsidRPr="006C255B">
        <w:t>(</w:t>
      </w:r>
      <w:r>
        <w:t>i</w:t>
      </w:r>
      <w:r w:rsidRPr="006C255B">
        <w:t>)</w:t>
      </w:r>
      <w:r>
        <w:t xml:space="preserve"> and (iv) of the committee’s terms of reference.</w:t>
      </w:r>
    </w:p>
  </w:footnote>
  <w:footnote w:id="223">
    <w:p w:rsidR="000E264E" w:rsidRPr="00FD151A" w:rsidRDefault="000E264E" w:rsidP="006F5996">
      <w:pPr>
        <w:pStyle w:val="FootnoteText"/>
        <w:spacing w:after="120"/>
      </w:pPr>
      <w:r w:rsidRPr="00FD151A">
        <w:rPr>
          <w:rStyle w:val="FootnoteReference"/>
          <w:vertAlign w:val="baseline"/>
        </w:rPr>
        <w:footnoteRef/>
      </w:r>
      <w:r w:rsidRPr="00FD151A">
        <w:t xml:space="preserve"> </w:t>
      </w:r>
      <w:r>
        <w:tab/>
        <w:t>Explanatory memorandum, p. 94.</w:t>
      </w:r>
    </w:p>
  </w:footnote>
  <w:footnote w:id="224">
    <w:p w:rsidR="000E264E" w:rsidRPr="00C50FF1" w:rsidRDefault="000E264E" w:rsidP="006F5996">
      <w:pPr>
        <w:pStyle w:val="FootnoteText"/>
        <w:spacing w:after="120"/>
      </w:pPr>
      <w:r w:rsidRPr="00C50FF1">
        <w:rPr>
          <w:rStyle w:val="FootnoteReference"/>
          <w:vertAlign w:val="baseline"/>
        </w:rPr>
        <w:footnoteRef/>
      </w:r>
      <w:r w:rsidRPr="00C50FF1">
        <w:t xml:space="preserve"> </w:t>
      </w:r>
      <w:r>
        <w:tab/>
        <w:t>Explanatory memorandum, p. 96.</w:t>
      </w:r>
    </w:p>
  </w:footnote>
  <w:footnote w:id="225">
    <w:p w:rsidR="000E264E" w:rsidRPr="003A6D57" w:rsidRDefault="000E264E" w:rsidP="006F5996">
      <w:pPr>
        <w:pStyle w:val="FootnoteText"/>
        <w:spacing w:after="120"/>
      </w:pPr>
      <w:r w:rsidRPr="003A6D57">
        <w:rPr>
          <w:rStyle w:val="FootnoteReference"/>
          <w:vertAlign w:val="baseline"/>
        </w:rPr>
        <w:footnoteRef/>
      </w:r>
      <w:r w:rsidRPr="003A6D57">
        <w:t xml:space="preserve"> </w:t>
      </w:r>
      <w:r>
        <w:tab/>
        <w:t xml:space="preserve">See </w:t>
      </w:r>
      <w:r>
        <w:rPr>
          <w:rFonts w:eastAsiaTheme="minorHAnsi"/>
        </w:rPr>
        <w:t>p</w:t>
      </w:r>
      <w:r w:rsidRPr="00370B97">
        <w:rPr>
          <w:rFonts w:eastAsiaTheme="minorHAnsi"/>
        </w:rPr>
        <w:t xml:space="preserve">roposed </w:t>
      </w:r>
      <w:r>
        <w:rPr>
          <w:rFonts w:eastAsiaTheme="minorHAnsi"/>
        </w:rPr>
        <w:t>sub</w:t>
      </w:r>
      <w:r w:rsidRPr="00370B97">
        <w:rPr>
          <w:rFonts w:eastAsiaTheme="minorHAnsi"/>
        </w:rPr>
        <w:t xml:space="preserve">sections </w:t>
      </w:r>
      <w:r w:rsidRPr="00370B97">
        <w:t>29PB(</w:t>
      </w:r>
      <w:r>
        <w:t>3</w:t>
      </w:r>
      <w:r w:rsidRPr="00370B97">
        <w:t>)</w:t>
      </w:r>
      <w:r>
        <w:t>(d)</w:t>
      </w:r>
      <w:r w:rsidRPr="00370B97">
        <w:t>, 29PC(</w:t>
      </w:r>
      <w:r>
        <w:t>3</w:t>
      </w:r>
      <w:r w:rsidRPr="00370B97">
        <w:t>)</w:t>
      </w:r>
      <w:r>
        <w:t>(d), 29PD</w:t>
      </w:r>
      <w:r w:rsidRPr="00370B97">
        <w:t>(</w:t>
      </w:r>
      <w:r>
        <w:t>3</w:t>
      </w:r>
      <w:r w:rsidRPr="00370B97">
        <w:t>)</w:t>
      </w:r>
      <w:r>
        <w:t>(d)</w:t>
      </w:r>
      <w:r w:rsidRPr="00370B97">
        <w:t xml:space="preserve"> and 29PE(</w:t>
      </w:r>
      <w:r>
        <w:t>3</w:t>
      </w:r>
      <w:r w:rsidRPr="00370B97">
        <w:t>)</w:t>
      </w:r>
      <w:r>
        <w:t>(d).</w:t>
      </w:r>
    </w:p>
  </w:footnote>
  <w:footnote w:id="226">
    <w:p w:rsidR="000E264E" w:rsidRPr="00221A90" w:rsidRDefault="000E264E" w:rsidP="006F599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50-52.</w:t>
      </w:r>
    </w:p>
  </w:footnote>
  <w:footnote w:id="227">
    <w:p w:rsidR="000E264E" w:rsidRPr="0080178C" w:rsidRDefault="000E264E" w:rsidP="006F5996">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12</w:t>
      </w:r>
      <w:r w:rsidRPr="00960438">
        <w:rPr>
          <w:i/>
        </w:rPr>
        <w:t xml:space="preserve"> of 2017</w:t>
      </w:r>
      <w:r>
        <w:t xml:space="preserve"> available at: </w:t>
      </w:r>
      <w:hyperlink r:id="rId9" w:history="1">
        <w:r w:rsidRPr="00FB0BB3">
          <w:rPr>
            <w:rStyle w:val="Hyperlink"/>
          </w:rPr>
          <w:t>www.aph.gov.au/senate_scrutiny_digest</w:t>
        </w:r>
      </w:hyperlink>
      <w:r>
        <w:t xml:space="preserve"> </w:t>
      </w:r>
    </w:p>
  </w:footnote>
  <w:footnote w:id="228">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Schedule 1, item 2, proposed section 1050. The committee draws Senators’ attention to this provision pursuant to principle 1(a)</w:t>
      </w:r>
      <w:r w:rsidRPr="00183301">
        <w:t>(</w:t>
      </w:r>
      <w:r>
        <w:t>iv</w:t>
      </w:r>
      <w:r w:rsidRPr="00183301">
        <w:t>)</w:t>
      </w:r>
      <w:r>
        <w:t xml:space="preserve"> of the committee’s terms of reference.</w:t>
      </w:r>
    </w:p>
  </w:footnote>
  <w:footnote w:id="229">
    <w:p w:rsidR="000E264E" w:rsidRPr="00551AF5" w:rsidRDefault="000E264E" w:rsidP="006F5996">
      <w:pPr>
        <w:pStyle w:val="FootnoteText"/>
        <w:spacing w:after="120"/>
      </w:pPr>
      <w:r w:rsidRPr="00551AF5">
        <w:rPr>
          <w:rStyle w:val="FootnoteReference"/>
          <w:vertAlign w:val="baseline"/>
        </w:rPr>
        <w:footnoteRef/>
      </w:r>
      <w:r w:rsidRPr="00551AF5">
        <w:t xml:space="preserve"> </w:t>
      </w:r>
      <w:r>
        <w:tab/>
        <w:t xml:space="preserve">See </w:t>
      </w:r>
      <w:r w:rsidRPr="00551AF5">
        <w:rPr>
          <w:i/>
        </w:rPr>
        <w:t>Legislation Act 2003</w:t>
      </w:r>
      <w:r>
        <w:t>.</w:t>
      </w:r>
    </w:p>
  </w:footnote>
  <w:footnote w:id="230">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Schedule 1, item 2, proposed subsections 1054A(4) and 1058(2). The committee draws Senators’ attention to this provision pursuant to principle 1(a)</w:t>
      </w:r>
      <w:r w:rsidRPr="00183301">
        <w:t>(</w:t>
      </w:r>
      <w:r>
        <w:t>i</w:t>
      </w:r>
      <w:r w:rsidRPr="00183301">
        <w:t>)</w:t>
      </w:r>
      <w:r>
        <w:t xml:space="preserve"> of the committee’s terms of reference.</w:t>
      </w:r>
    </w:p>
  </w:footnote>
  <w:footnote w:id="231">
    <w:p w:rsidR="000E264E" w:rsidRPr="00221A90" w:rsidRDefault="000E264E" w:rsidP="006F599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232">
    <w:p w:rsidR="000E264E" w:rsidRPr="00221A90" w:rsidRDefault="000E264E" w:rsidP="006F599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233">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 xml:space="preserve">Schedule 1, item 11, proposed paragraph (hba) of Schedule 1 to the </w:t>
      </w:r>
      <w:r>
        <w:rPr>
          <w:i/>
        </w:rPr>
        <w:t>Administrative Decisions (Judicial Review) Act 1977.</w:t>
      </w:r>
      <w:r>
        <w:t xml:space="preserve"> The committee draws Senators’ attention to this provision pursuant to principle 1(a)</w:t>
      </w:r>
      <w:r w:rsidRPr="00183301">
        <w:t>(</w:t>
      </w:r>
      <w:r>
        <w:t>iii</w:t>
      </w:r>
      <w:r w:rsidRPr="00183301">
        <w:t>)</w:t>
      </w:r>
      <w:r>
        <w:t xml:space="preserve"> of the committee’s terms of reference.</w:t>
      </w:r>
    </w:p>
  </w:footnote>
  <w:footnote w:id="234">
    <w:p w:rsidR="000E264E" w:rsidRPr="001C32E6" w:rsidRDefault="000E264E" w:rsidP="006F5996">
      <w:pPr>
        <w:pStyle w:val="FootnoteText"/>
        <w:spacing w:after="120"/>
      </w:pPr>
      <w:r w:rsidRPr="001C32E6">
        <w:rPr>
          <w:rStyle w:val="FootnoteReference"/>
          <w:vertAlign w:val="baseline"/>
        </w:rPr>
        <w:footnoteRef/>
      </w:r>
      <w:r w:rsidRPr="001C32E6">
        <w:t xml:space="preserve"> </w:t>
      </w:r>
      <w:r>
        <w:tab/>
        <w:t>Explanatory memorandum, p. 44.</w:t>
      </w:r>
    </w:p>
  </w:footnote>
  <w:footnote w:id="235">
    <w:p w:rsidR="000E264E" w:rsidRPr="004E234F" w:rsidRDefault="000E264E" w:rsidP="006F5996">
      <w:pPr>
        <w:pStyle w:val="FootnoteText"/>
      </w:pPr>
      <w:r w:rsidRPr="004E234F">
        <w:rPr>
          <w:rStyle w:val="FootnoteReference"/>
          <w:vertAlign w:val="baseline"/>
        </w:rPr>
        <w:footnoteRef/>
      </w:r>
      <w:r w:rsidRPr="004E234F">
        <w:t xml:space="preserve"> </w:t>
      </w:r>
      <w:r>
        <w:tab/>
        <w:t xml:space="preserve">See Superannuation Complaints Tribunal, </w:t>
      </w:r>
      <w:r w:rsidRPr="004E234F">
        <w:rPr>
          <w:i/>
        </w:rPr>
        <w:t xml:space="preserve">Submission </w:t>
      </w:r>
      <w:r>
        <w:rPr>
          <w:i/>
        </w:rPr>
        <w:t xml:space="preserve">in response to the Consultation </w:t>
      </w:r>
      <w:r w:rsidRPr="004E234F">
        <w:rPr>
          <w:i/>
        </w:rPr>
        <w:t>Paper: Improving dispute resolution in the financial system</w:t>
      </w:r>
      <w:r>
        <w:t xml:space="preserve">, p. 10, available at </w:t>
      </w:r>
      <w:hyperlink r:id="rId10" w:history="1">
        <w:r w:rsidRPr="003938E5">
          <w:rPr>
            <w:rStyle w:val="Hyperlink"/>
          </w:rPr>
          <w:t>https://static.treasury.gov.au/uploads/sites/1/2017/09/Superannuation-Complaints-Tribunal.pdf</w:t>
        </w:r>
      </w:hyperlink>
      <w:r>
        <w:t xml:space="preserve">. </w:t>
      </w:r>
    </w:p>
  </w:footnote>
  <w:footnote w:id="236">
    <w:p w:rsidR="000E264E" w:rsidRPr="0040689D" w:rsidRDefault="000E264E" w:rsidP="006F5996">
      <w:pPr>
        <w:pStyle w:val="FootnoteText"/>
        <w:spacing w:after="120"/>
      </w:pPr>
      <w:r w:rsidRPr="0040689D">
        <w:rPr>
          <w:rStyle w:val="FootnoteReference"/>
          <w:vertAlign w:val="baseline"/>
        </w:rPr>
        <w:footnoteRef/>
      </w:r>
      <w:r w:rsidRPr="0040689D">
        <w:t xml:space="preserve"> </w:t>
      </w:r>
      <w:r>
        <w:tab/>
        <w:t>Explanatory memorandum, p. 44.</w:t>
      </w:r>
    </w:p>
  </w:footnote>
  <w:footnote w:id="237">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Items 13, 14 and 29 of Schedule 1</w:t>
      </w:r>
      <w:r>
        <w:rPr>
          <w:i/>
        </w:rPr>
        <w:t>.</w:t>
      </w:r>
      <w:r>
        <w:t xml:space="preserve"> The committee draws Senators' attention to these provisions pursuant to principle 1(a)</w:t>
      </w:r>
      <w:r w:rsidRPr="00183301">
        <w:t>(</w:t>
      </w:r>
      <w:r>
        <w:t>i</w:t>
      </w:r>
      <w:r w:rsidRPr="00183301">
        <w:t>)</w:t>
      </w:r>
      <w:r>
        <w:t xml:space="preserve"> of the committee's terms of reference.</w:t>
      </w:r>
    </w:p>
  </w:footnote>
  <w:footnote w:id="238">
    <w:p w:rsidR="000E264E" w:rsidRPr="00923CFB" w:rsidRDefault="000E264E" w:rsidP="006F5996">
      <w:pPr>
        <w:pStyle w:val="FootnoteText"/>
        <w:spacing w:after="120"/>
      </w:pPr>
      <w:r w:rsidRPr="0059043F">
        <w:rPr>
          <w:rStyle w:val="FootnoteReference"/>
          <w:vertAlign w:val="baseline"/>
        </w:rPr>
        <w:footnoteRef/>
      </w:r>
      <w:r w:rsidRPr="00923CFB">
        <w:t xml:space="preserve"> </w:t>
      </w:r>
      <w:r>
        <w:tab/>
        <w:t xml:space="preserve">See Minister's response in </w:t>
      </w:r>
      <w:r w:rsidRPr="008024B7">
        <w:t>paragraph [</w:t>
      </w:r>
      <w:r>
        <w:fldChar w:fldCharType="begin"/>
      </w:r>
      <w:r>
        <w:instrText xml:space="preserve"> REF _Ref498508197 \r \h </w:instrText>
      </w:r>
      <w:r>
        <w:fldChar w:fldCharType="separate"/>
      </w:r>
      <w:r>
        <w:t>2.243</w:t>
      </w:r>
      <w:r>
        <w:fldChar w:fldCharType="end"/>
      </w:r>
      <w:r w:rsidRPr="008024B7">
        <w:t>]</w:t>
      </w:r>
      <w:r>
        <w:t xml:space="preserve"> above.</w:t>
      </w:r>
    </w:p>
  </w:footnote>
  <w:footnote w:id="239">
    <w:p w:rsidR="000E264E" w:rsidRPr="004474CF" w:rsidRDefault="000E264E" w:rsidP="006F5996">
      <w:pPr>
        <w:pStyle w:val="FootnoteText"/>
        <w:spacing w:after="120"/>
      </w:pPr>
      <w:r w:rsidRPr="004474CF">
        <w:rPr>
          <w:rStyle w:val="FootnoteReference"/>
          <w:vertAlign w:val="baseline"/>
        </w:rPr>
        <w:footnoteRef/>
      </w:r>
      <w:r w:rsidRPr="004474CF">
        <w:t xml:space="preserve"> </w:t>
      </w:r>
      <w:r>
        <w:tab/>
        <w:t>Schedule 2, items 7 and 9, p</w:t>
      </w:r>
      <w:r w:rsidRPr="008E0B09">
        <w:t xml:space="preserve">roposed subsection 47(2A) of the </w:t>
      </w:r>
      <w:r w:rsidRPr="008E0B09">
        <w:rPr>
          <w:i/>
        </w:rPr>
        <w:t>Retirement Savings Accounts Act 1997</w:t>
      </w:r>
      <w:r w:rsidRPr="008E0B09">
        <w:t xml:space="preserve"> and proposed subsection 101(1B) of the </w:t>
      </w:r>
      <w:r w:rsidRPr="008E0B09">
        <w:rPr>
          <w:i/>
        </w:rPr>
        <w:t>Superannuation Industry (Supervision</w:t>
      </w:r>
      <w:r>
        <w:rPr>
          <w:i/>
        </w:rPr>
        <w:t>)</w:t>
      </w:r>
      <w:r w:rsidRPr="008E0B09">
        <w:rPr>
          <w:i/>
        </w:rPr>
        <w:t xml:space="preserve"> Act 1993</w:t>
      </w:r>
      <w:r>
        <w:rPr>
          <w:i/>
        </w:rPr>
        <w:t>.</w:t>
      </w:r>
      <w:r>
        <w:t xml:space="preserve"> The committee draws Senators' attention to this provision pursuant to principle 1(a)</w:t>
      </w:r>
      <w:r w:rsidRPr="00183301">
        <w:t>(</w:t>
      </w:r>
      <w:r>
        <w:t>iv</w:t>
      </w:r>
      <w:r w:rsidRPr="00183301">
        <w:t>)</w:t>
      </w:r>
      <w:r>
        <w:t xml:space="preserve"> of the committee's terms of reference.</w:t>
      </w:r>
    </w:p>
  </w:footnote>
  <w:footnote w:id="240">
    <w:p w:rsidR="000E264E" w:rsidRPr="0070409E" w:rsidRDefault="000E264E" w:rsidP="006F5996">
      <w:pPr>
        <w:pStyle w:val="FootnoteText"/>
        <w:spacing w:after="120"/>
      </w:pPr>
      <w:r w:rsidRPr="0070409E">
        <w:rPr>
          <w:rStyle w:val="FootnoteReference"/>
          <w:vertAlign w:val="baseline"/>
        </w:rPr>
        <w:footnoteRef/>
      </w:r>
      <w:r w:rsidRPr="0070409E">
        <w:t xml:space="preserve"> </w:t>
      </w:r>
      <w:r>
        <w:tab/>
      </w:r>
      <w:r w:rsidRPr="0070409E">
        <w:rPr>
          <w:i/>
        </w:rPr>
        <w:t>Superannuation Industry (Supervision</w:t>
      </w:r>
      <w:r>
        <w:rPr>
          <w:i/>
        </w:rPr>
        <w:t>)</w:t>
      </w:r>
      <w:r w:rsidRPr="0070409E">
        <w:rPr>
          <w:i/>
        </w:rPr>
        <w:t xml:space="preserve"> Act 1993</w:t>
      </w:r>
      <w:r>
        <w:t xml:space="preserve"> s 101(2); </w:t>
      </w:r>
      <w:r>
        <w:rPr>
          <w:i/>
        </w:rPr>
        <w:t>Retirement Savings Accounts Act 1997</w:t>
      </w:r>
      <w:r>
        <w:t xml:space="preserve"> s 47(3).</w:t>
      </w:r>
    </w:p>
  </w:footnote>
  <w:footnote w:id="241">
    <w:p w:rsidR="000E264E" w:rsidRPr="008E0B09" w:rsidRDefault="000E264E" w:rsidP="006F5996">
      <w:pPr>
        <w:pStyle w:val="FootnoteText"/>
        <w:spacing w:after="120"/>
      </w:pPr>
      <w:r w:rsidRPr="008E0B09">
        <w:rPr>
          <w:rStyle w:val="FootnoteReference"/>
          <w:vertAlign w:val="baseline"/>
        </w:rPr>
        <w:footnoteRef/>
      </w:r>
      <w:r w:rsidRPr="008E0B09">
        <w:t xml:space="preserve"> </w:t>
      </w:r>
      <w:r>
        <w:tab/>
        <w:t xml:space="preserve">Proposed subsection 47(2A) of the </w:t>
      </w:r>
      <w:r>
        <w:rPr>
          <w:i/>
        </w:rPr>
        <w:t>Retirement Savings Accounts Act 1997</w:t>
      </w:r>
      <w:r>
        <w:t xml:space="preserve"> and proposed subsection 101(1B) of the </w:t>
      </w:r>
      <w:r w:rsidRPr="008E0B09">
        <w:rPr>
          <w:i/>
        </w:rPr>
        <w:t>Superannuation Industry (Supervision</w:t>
      </w:r>
      <w:r>
        <w:rPr>
          <w:i/>
        </w:rPr>
        <w:t>)</w:t>
      </w:r>
      <w:r w:rsidRPr="008E0B09">
        <w:rPr>
          <w:i/>
        </w:rPr>
        <w:t xml:space="preserve"> Act 1993</w:t>
      </w:r>
      <w:r>
        <w:t>.</w:t>
      </w:r>
    </w:p>
  </w:footnote>
  <w:footnote w:id="242">
    <w:p w:rsidR="000E264E" w:rsidRPr="008E0B09" w:rsidRDefault="000E264E" w:rsidP="006F5996">
      <w:pPr>
        <w:pStyle w:val="FootnoteText"/>
        <w:spacing w:after="120"/>
      </w:pPr>
      <w:r w:rsidRPr="008E0B09">
        <w:rPr>
          <w:rStyle w:val="FootnoteReference"/>
          <w:vertAlign w:val="baseline"/>
        </w:rPr>
        <w:footnoteRef/>
      </w:r>
      <w:r w:rsidRPr="008E0B09">
        <w:t xml:space="preserve"> </w:t>
      </w:r>
      <w:r>
        <w:tab/>
        <w:t>Explanatory memorandum, p. 54.</w:t>
      </w:r>
    </w:p>
  </w:footnote>
  <w:footnote w:id="243">
    <w:p w:rsidR="000E264E" w:rsidRPr="00D26CA4" w:rsidRDefault="000E264E" w:rsidP="006F5996">
      <w:pPr>
        <w:pStyle w:val="FootnoteText"/>
        <w:spacing w:after="120"/>
      </w:pPr>
      <w:r w:rsidRPr="00D26CA4">
        <w:rPr>
          <w:rStyle w:val="FootnoteReference"/>
          <w:vertAlign w:val="baseline"/>
        </w:rPr>
        <w:footnoteRef/>
      </w:r>
      <w:r w:rsidRPr="00D26CA4">
        <w:t xml:space="preserve"> </w:t>
      </w:r>
      <w:r>
        <w:tab/>
        <w:t xml:space="preserve">The Consolidated Revenue Fund is appropriated for expenditure for the purposes of special accounts by virtue of section 80 of the </w:t>
      </w:r>
      <w:r w:rsidRPr="002F6BBC">
        <w:rPr>
          <w:i/>
        </w:rPr>
        <w:t>Public Governance, Performance and Accountability Act 2013</w:t>
      </w:r>
      <w:r>
        <w:t>.</w:t>
      </w:r>
    </w:p>
  </w:footnote>
  <w:footnote w:id="244">
    <w:p w:rsidR="000E264E" w:rsidRPr="006C630C" w:rsidRDefault="000E264E" w:rsidP="006F5996">
      <w:pPr>
        <w:pStyle w:val="FootnoteText"/>
        <w:spacing w:after="120"/>
      </w:pPr>
      <w:r w:rsidRPr="006C630C">
        <w:rPr>
          <w:rStyle w:val="FootnoteReference"/>
          <w:vertAlign w:val="baseline"/>
        </w:rPr>
        <w:footnoteRef/>
      </w:r>
      <w:r w:rsidRPr="006C630C">
        <w:t xml:space="preserve"> </w:t>
      </w:r>
      <w:r>
        <w:tab/>
        <w:t>For further detail, see Senate Standing Committee for the Scrutiny of Bills</w:t>
      </w:r>
      <w:r w:rsidRPr="003A5036">
        <w:t xml:space="preserve"> </w:t>
      </w:r>
      <w:hyperlink r:id="rId11" w:history="1">
        <w:r w:rsidRPr="001329DB">
          <w:rPr>
            <w:rStyle w:val="Hyperlink"/>
            <w:i/>
          </w:rPr>
          <w:t>Fourteenth Report of 2005</w:t>
        </w:r>
      </w:hyperlink>
      <w:r>
        <w:t>.</w:t>
      </w:r>
    </w:p>
  </w:footnote>
  <w:footnote w:id="245">
    <w:p w:rsidR="000E264E" w:rsidRPr="00E7694C" w:rsidRDefault="000E264E" w:rsidP="00E7694C">
      <w:pPr>
        <w:pStyle w:val="FootnoteText"/>
        <w:spacing w:after="120"/>
      </w:pPr>
      <w:r w:rsidRPr="00E7694C">
        <w:rPr>
          <w:rStyle w:val="FootnoteReference"/>
          <w:vertAlign w:val="baseline"/>
        </w:rPr>
        <w:footnoteRef/>
      </w:r>
      <w:r w:rsidRPr="00E7694C">
        <w:t xml:space="preserve"> </w:t>
      </w:r>
      <w:r>
        <w:tab/>
      </w:r>
      <w:r w:rsidRPr="00E7694C">
        <w:rPr>
          <w:i/>
        </w:rPr>
        <w:t>Journals of the Senate</w:t>
      </w:r>
      <w:r>
        <w:t>, No. 21, 29 November 2016, pp 656–7. Referred to here as the 'temporary order'.</w:t>
      </w:r>
    </w:p>
  </w:footnote>
  <w:footnote w:id="246">
    <w:p w:rsidR="000E264E" w:rsidRPr="00681328" w:rsidRDefault="000E264E" w:rsidP="00681328">
      <w:pPr>
        <w:pStyle w:val="FootnoteText"/>
        <w:spacing w:after="120"/>
      </w:pPr>
      <w:r w:rsidRPr="00681328">
        <w:rPr>
          <w:rStyle w:val="FootnoteReference"/>
          <w:vertAlign w:val="baseline"/>
        </w:rPr>
        <w:footnoteRef/>
      </w:r>
      <w:r w:rsidRPr="00681328">
        <w:t xml:space="preserve"> </w:t>
      </w:r>
      <w:r>
        <w:tab/>
      </w:r>
      <w:r w:rsidRPr="00E7694C">
        <w:rPr>
          <w:i/>
        </w:rPr>
        <w:t>Journals of the Senate</w:t>
      </w:r>
      <w:r>
        <w:t>, No. 21, 29 November 2016, pp 656–7.</w:t>
      </w:r>
    </w:p>
  </w:footnote>
  <w:footnote w:id="247">
    <w:p w:rsidR="000E264E" w:rsidRPr="00C56490" w:rsidRDefault="000E264E" w:rsidP="00C56490">
      <w:pPr>
        <w:pStyle w:val="FootnoteText"/>
        <w:spacing w:after="120"/>
      </w:pPr>
      <w:r w:rsidRPr="00C56490">
        <w:rPr>
          <w:rStyle w:val="FootnoteReference"/>
          <w:vertAlign w:val="baseline"/>
        </w:rPr>
        <w:footnoteRef/>
      </w:r>
      <w:r w:rsidRPr="00C56490">
        <w:t xml:space="preserve"> </w:t>
      </w:r>
      <w:r>
        <w:tab/>
        <w:t xml:space="preserve">Senate Standing Committee for the Scrutiny of Bills, </w:t>
      </w:r>
      <w:r>
        <w:rPr>
          <w:i/>
        </w:rPr>
        <w:t>Ministerial Responses</w:t>
      </w:r>
      <w:r>
        <w:t xml:space="preserve">, </w:t>
      </w:r>
      <w:r w:rsidRPr="00446728">
        <w:t>https://www.aph.gov.au/Parliamentary_Business/Committees/Senate/</w:t>
      </w:r>
      <w:r>
        <w:t xml:space="preserve"> </w:t>
      </w:r>
      <w:r w:rsidRPr="00446728">
        <w:t>Scrutiny_of_Bills/</w:t>
      </w:r>
      <w:r>
        <w:br/>
      </w:r>
      <w:r w:rsidRPr="00446728">
        <w:t>Ministerial_Responses</w:t>
      </w:r>
      <w:r>
        <w:t xml:space="preserve"> (accessed 25 October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2</w:t>
    </w:r>
    <w:r>
      <w:rPr>
        <w:noProof/>
      </w:rPr>
      <w:fldChar w:fldCharType="end"/>
    </w:r>
    <w:r>
      <w:rPr>
        <w:b/>
      </w:rPr>
      <w:tab/>
      <w:t>Scrutiny Digest 13/17</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t>161</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6F5996" w:rsidRDefault="000E264E" w:rsidP="006F5996">
    <w:pPr>
      <w:pStyle w:val="Heade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163</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rPr>
        <w:b/>
      </w:rPr>
      <w:tab/>
    </w:r>
    <w:r>
      <w:fldChar w:fldCharType="begin"/>
    </w:r>
    <w:r>
      <w:instrText xml:space="preserve"> PAGE </w:instrText>
    </w:r>
    <w:r>
      <w:fldChar w:fldCharType="separate"/>
    </w:r>
    <w:r w:rsidR="005E31FE">
      <w:rPr>
        <w:noProof/>
      </w:rPr>
      <w:t>3</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C46699">
      <w:rPr>
        <w:noProof/>
      </w:rPr>
      <w:t>6</w:t>
    </w:r>
    <w:r>
      <w:rPr>
        <w:noProof/>
      </w:rPr>
      <w:fldChar w:fldCharType="end"/>
    </w:r>
    <w:r>
      <w:tab/>
    </w:r>
    <w:r>
      <w:rPr>
        <w:b/>
      </w:rPr>
      <w:t>Scrutiny Digest 13/17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5</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4</w:t>
    </w:r>
    <w:r>
      <w:rPr>
        <w:noProof/>
      </w:rPr>
      <w:fldChar w:fldCharType="end"/>
    </w:r>
    <w:r>
      <w:rPr>
        <w:b/>
      </w:rPr>
      <w:tab/>
      <w:t>Scrutiny Digest 13/17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6</w:t>
    </w:r>
    <w:r>
      <w:rPr>
        <w:noProof/>
      </w:rPr>
      <w:fldChar w:fldCharType="end"/>
    </w:r>
    <w:r>
      <w:rPr>
        <w:b/>
      </w:rPr>
      <w:tab/>
      <w:t>Scrutiny Digest 13/17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7</w:t>
    </w:r>
    <w:r>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18</w:t>
    </w:r>
    <w:r>
      <w:rPr>
        <w:noProof/>
      </w:rPr>
      <w:fldChar w:fldCharType="end"/>
    </w:r>
    <w:r>
      <w:tab/>
    </w:r>
    <w:r>
      <w:rPr>
        <w:b/>
      </w:rPr>
      <w:t>Scrutiny Digest 13/17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19</w:t>
    </w:r>
    <w:r>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8</w:t>
    </w:r>
    <w:r>
      <w:rPr>
        <w:noProof/>
      </w:rPr>
      <w:fldChar w:fldCharType="end"/>
    </w:r>
    <w:r>
      <w:rPr>
        <w:b/>
      </w:rPr>
      <w:tab/>
      <w:t>Scrutiny Digest 13/17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C46699">
      <w:rPr>
        <w:noProof/>
      </w:rPr>
      <w:t>22</w:t>
    </w:r>
    <w:r>
      <w:rPr>
        <w:noProof/>
      </w:rPr>
      <w:fldChar w:fldCharType="end"/>
    </w:r>
    <w:r>
      <w:tab/>
    </w:r>
    <w:r>
      <w:rPr>
        <w:b/>
      </w:rPr>
      <w:t>Scrutiny Digest 13/17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21</w:t>
    </w:r>
    <w:r>
      <w:rPr>
        <w:noProof/>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20</w:t>
    </w:r>
    <w:r>
      <w:rPr>
        <w:noProof/>
      </w:rPr>
      <w:fldChar w:fldCharType="end"/>
    </w:r>
    <w:r>
      <w:rPr>
        <w:b/>
      </w:rPr>
      <w:tab/>
      <w:t>Scrutiny Digest 13/17</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26</w:t>
    </w:r>
    <w:r>
      <w:rPr>
        <w:noProof/>
      </w:rPr>
      <w:fldChar w:fldCharType="end"/>
    </w:r>
    <w:r>
      <w:tab/>
    </w:r>
    <w:r>
      <w:rPr>
        <w:b/>
      </w:rPr>
      <w:t>Scrutiny Digest 13/17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27</w:t>
    </w:r>
    <w:r>
      <w:rPr>
        <w:noProof/>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22</w:t>
    </w:r>
    <w:r>
      <w:rPr>
        <w:noProof/>
      </w:rPr>
      <w:fldChar w:fldCharType="end"/>
    </w:r>
    <w:r>
      <w:rPr>
        <w:b/>
      </w:rPr>
      <w:tab/>
      <w:t>Scrutiny Digest 13/17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32</w:t>
    </w:r>
    <w:r>
      <w:rPr>
        <w:noProof/>
      </w:rPr>
      <w:fldChar w:fldCharType="end"/>
    </w:r>
    <w:r>
      <w:tab/>
    </w:r>
    <w:r>
      <w:rPr>
        <w:b/>
      </w:rPr>
      <w:t>Scrutiny Digest 13/17</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31</w:t>
    </w:r>
    <w:r>
      <w:rPr>
        <w:noProof/>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28</w:t>
    </w:r>
    <w:r>
      <w:rPr>
        <w:noProof/>
      </w:rPr>
      <w:fldChar w:fldCharType="end"/>
    </w:r>
    <w:r>
      <w:rPr>
        <w:b/>
      </w:rPr>
      <w:tab/>
      <w:t>Scrutiny Digest 13/17</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33</w:t>
    </w:r>
    <w:r>
      <w:rPr>
        <w:noProof/>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34</w:t>
    </w:r>
    <w:r>
      <w:rPr>
        <w:noProof/>
      </w:rPr>
      <w:fldChar w:fldCharType="end"/>
    </w:r>
    <w:r>
      <w:rPr>
        <w:b/>
      </w:rPr>
      <w:tab/>
      <w:t>Scrutiny Digest 13/17</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35</w:t>
    </w:r>
    <w:r>
      <w:rPr>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C46699">
      <w:rPr>
        <w:noProof/>
      </w:rPr>
      <w:t>38</w:t>
    </w:r>
    <w:r>
      <w:rPr>
        <w:noProof/>
      </w:rPr>
      <w:fldChar w:fldCharType="end"/>
    </w:r>
    <w:r>
      <w:tab/>
    </w:r>
    <w:r>
      <w:rPr>
        <w:b/>
      </w:rPr>
      <w:t>Scrutiny Digest 13/17</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37</w:t>
    </w:r>
    <w:r>
      <w:rPr>
        <w:noProof/>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36</w:t>
    </w:r>
    <w:r>
      <w:rPr>
        <w:noProof/>
      </w:rPr>
      <w:fldChar w:fldCharType="end"/>
    </w:r>
    <w:r>
      <w:rPr>
        <w:b/>
      </w:rPr>
      <w:tab/>
      <w:t>Scrutiny Digest 13/17</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44</w:t>
    </w:r>
    <w:r>
      <w:rPr>
        <w:noProof/>
      </w:rPr>
      <w:fldChar w:fldCharType="end"/>
    </w:r>
    <w:r>
      <w:tab/>
    </w:r>
    <w:r>
      <w:rPr>
        <w:b/>
      </w:rPr>
      <w:t>Scrutiny Digest 13/17</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45</w:t>
    </w:r>
    <w:r>
      <w:rPr>
        <w:noProof/>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38</w:t>
    </w:r>
    <w:r>
      <w:rPr>
        <w:noProof/>
      </w:rPr>
      <w:fldChar w:fldCharType="end"/>
    </w:r>
    <w:r>
      <w:rPr>
        <w:b/>
      </w:rPr>
      <w:tab/>
      <w:t>Scrutiny Digest 13/17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48</w:t>
    </w:r>
    <w:r>
      <w:rPr>
        <w:noProof/>
      </w:rPr>
      <w:fldChar w:fldCharType="end"/>
    </w:r>
    <w:r>
      <w:tab/>
    </w:r>
    <w:r>
      <w:rPr>
        <w:b/>
      </w:rPr>
      <w:t>Scrutiny Digest 13/17</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47</w:t>
    </w:r>
    <w:r>
      <w:rPr>
        <w:noProof/>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46</w:t>
    </w:r>
    <w:r>
      <w:rPr>
        <w:noProof/>
      </w:rPr>
      <w:fldChar w:fldCharType="end"/>
    </w:r>
    <w:r>
      <w:rPr>
        <w:b/>
      </w:rPr>
      <w:tab/>
      <w:t>Scrutiny Digest 13/17</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49</w:t>
    </w:r>
    <w:r>
      <w:rPr>
        <w:noProof/>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54</w:t>
    </w:r>
    <w:r>
      <w:rPr>
        <w:noProof/>
      </w:rPr>
      <w:fldChar w:fldCharType="end"/>
    </w:r>
    <w:r>
      <w:tab/>
    </w:r>
    <w:r>
      <w:rPr>
        <w:b/>
      </w:rPr>
      <w:t>Scrutiny Digest 13/17</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55</w:t>
    </w:r>
    <w:r>
      <w:rPr>
        <w:noProof/>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50</w:t>
    </w:r>
    <w:r>
      <w:rPr>
        <w:noProof/>
      </w:rPr>
      <w:fldChar w:fldCharType="end"/>
    </w:r>
    <w:r>
      <w:rPr>
        <w:b/>
      </w:rPr>
      <w:tab/>
      <w:t>Scrutiny Digest 13/17</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58</w:t>
    </w:r>
    <w:r>
      <w:rPr>
        <w:noProof/>
      </w:rPr>
      <w:fldChar w:fldCharType="end"/>
    </w:r>
    <w:r>
      <w:tab/>
    </w:r>
    <w:r>
      <w:rPr>
        <w:b/>
      </w:rPr>
      <w:t>Scrutiny Digest 13/17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57</w:t>
    </w:r>
    <w:r>
      <w:rPr>
        <w:noProof/>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56</w:t>
    </w:r>
    <w:r>
      <w:rPr>
        <w:noProof/>
      </w:rPr>
      <w:fldChar w:fldCharType="end"/>
    </w:r>
    <w:r>
      <w:rPr>
        <w:b/>
      </w:rPr>
      <w:tab/>
      <w:t>Scrutiny Digest 13/17</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59</w:t>
    </w:r>
    <w:r>
      <w:rPr>
        <w:noProof/>
      </w:rPr>
      <w:fldChar w:fldCharType="end"/>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60</w:t>
    </w:r>
    <w:r>
      <w:rPr>
        <w:noProof/>
      </w:rPr>
      <w:fldChar w:fldCharType="end"/>
    </w:r>
    <w:r>
      <w:rPr>
        <w:b/>
      </w:rPr>
      <w:tab/>
      <w:t>Scrutiny Digest 13/17</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62</w:t>
    </w:r>
    <w:r>
      <w:rPr>
        <w:noProof/>
      </w:rPr>
      <w:fldChar w:fldCharType="end"/>
    </w:r>
    <w:r>
      <w:tab/>
    </w:r>
    <w:r>
      <w:rPr>
        <w:b/>
      </w:rPr>
      <w:t>Scrutiny Digest 13/17</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63</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99" w:rsidRDefault="00C46699"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w:t>
    </w:r>
    <w:r>
      <w:rPr>
        <w:noProof/>
      </w:rPr>
      <w:fldChar w:fldCharType="end"/>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61</w:t>
    </w:r>
    <w:r>
      <w:rPr>
        <w:noProof/>
      </w:rPr>
      <w:fldChar w:fldCharType="end"/>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F710D5" w:rsidRDefault="000E264E">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88</w:t>
    </w:r>
    <w:r>
      <w:rPr>
        <w:noProof/>
      </w:rPr>
      <w:fldChar w:fldCharType="end"/>
    </w:r>
    <w:r>
      <w:tab/>
    </w:r>
    <w:r>
      <w:rPr>
        <w:b/>
      </w:rPr>
      <w:t>Scrutiny Digest 13/17</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89</w:t>
    </w:r>
    <w:r>
      <w:rPr>
        <w:noProof/>
      </w:rPr>
      <w:fldChar w:fldCharType="end"/>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64</w:t>
    </w:r>
    <w:r>
      <w:rPr>
        <w:noProof/>
      </w:rPr>
      <w:fldChar w:fldCharType="end"/>
    </w:r>
    <w:r>
      <w:rPr>
        <w:b/>
      </w:rPr>
      <w:tab/>
      <w:t>Scrutiny Digest 13/17</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67</w:t>
    </w:r>
    <w:r>
      <w:rPr>
        <w:noProof/>
      </w:rPr>
      <w:fldChar w:fldCharType="end"/>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98</w:t>
    </w:r>
    <w:r>
      <w:rPr>
        <w:noProof/>
      </w:rPr>
      <w:fldChar w:fldCharType="end"/>
    </w:r>
    <w:r>
      <w:tab/>
    </w:r>
    <w:r>
      <w:rPr>
        <w:b/>
      </w:rPr>
      <w:t>Scrutiny Digest 13/17</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97</w:t>
    </w:r>
    <w:r>
      <w:rPr>
        <w:noProof/>
      </w:rPr>
      <w:fldChar w:fldCharType="end"/>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90</w:t>
    </w:r>
    <w:r>
      <w:rPr>
        <w:noProof/>
      </w:rPr>
      <w:fldChar w:fldCharType="end"/>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106</w:t>
    </w:r>
    <w:r>
      <w:rPr>
        <w:noProof/>
      </w:rPr>
      <w:fldChar w:fldCharType="end"/>
    </w:r>
    <w:r>
      <w:tab/>
    </w:r>
    <w:r>
      <w:rPr>
        <w:b/>
      </w:rPr>
      <w:t>Scrutiny Digest 13/17</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105</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99</w:t>
    </w:r>
    <w:r>
      <w:rPr>
        <w:noProof/>
      </w:rPr>
      <w:fldChar w:fldCharType="end"/>
    </w:r>
    <w:r>
      <w:rPr>
        <w:b/>
      </w:rPr>
      <w:tab/>
      <w:t>Scrutiny Digest 13/17</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110</w:t>
    </w:r>
    <w:r>
      <w:rPr>
        <w:noProof/>
      </w:rPr>
      <w:fldChar w:fldCharType="end"/>
    </w:r>
    <w:r>
      <w:tab/>
    </w:r>
    <w:r>
      <w:rPr>
        <w:b/>
      </w:rPr>
      <w:t>Scrutiny Digest 13/17</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109</w:t>
    </w:r>
    <w:r>
      <w:rPr>
        <w:noProof/>
      </w:rPr>
      <w:fldChar w:fldCharType="end"/>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107</w:t>
    </w:r>
    <w:r>
      <w:rPr>
        <w:noProof/>
      </w:rPr>
      <w:fldChar w:fldCharType="end"/>
    </w:r>
    <w:r>
      <w:rPr>
        <w:b/>
      </w:rPr>
      <w:tab/>
      <w:t>Scrutiny Digest 13/17</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124</w:t>
    </w:r>
    <w:r>
      <w:rPr>
        <w:noProof/>
      </w:rPr>
      <w:fldChar w:fldCharType="end"/>
    </w:r>
    <w:r>
      <w:tab/>
    </w:r>
    <w:r>
      <w:rPr>
        <w:b/>
      </w:rPr>
      <w:t>Scrutiny Digest 13/17</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123</w:t>
    </w:r>
    <w:r>
      <w:rPr>
        <w:noProof/>
      </w:rPr>
      <w:fldChar w:fldCharType="end"/>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111</w:t>
    </w:r>
    <w:r>
      <w:rPr>
        <w:noProof/>
      </w:rPr>
      <w:fldChar w:fldCharType="end"/>
    </w:r>
    <w:r>
      <w:rPr>
        <w:b/>
      </w:rPr>
      <w:tab/>
      <w:t>Scrutiny Digest 13/17</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128</w:t>
    </w:r>
    <w:r>
      <w:rPr>
        <w:noProof/>
      </w:rPr>
      <w:fldChar w:fldCharType="end"/>
    </w:r>
    <w:r>
      <w:tab/>
    </w:r>
    <w:r>
      <w:rPr>
        <w:b/>
      </w:rPr>
      <w:t>Scrutiny Digest 13/17</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5E31FE">
      <w:rPr>
        <w:noProof/>
      </w:rPr>
      <w:t>127</w:t>
    </w:r>
    <w:r>
      <w:rPr>
        <w:noProof/>
      </w:rPr>
      <w:fldChar w:fldCharType="end"/>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125</w:t>
    </w:r>
    <w:r>
      <w:rPr>
        <w:noProof/>
      </w:rPr>
      <w:fldChar w:fldCharType="end"/>
    </w:r>
    <w:r>
      <w:rPr>
        <w:b/>
      </w:rPr>
      <w:tab/>
      <w:t>Scrutiny Digest 13/17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134</w:t>
    </w:r>
    <w:r>
      <w:rPr>
        <w:noProof/>
      </w:rPr>
      <w:fldChar w:fldCharType="end"/>
    </w:r>
    <w:r>
      <w:tab/>
    </w:r>
    <w:r>
      <w:rPr>
        <w:b/>
      </w:rPr>
      <w:t>Scrutiny Digest 13/17</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135</w:t>
    </w:r>
    <w:r>
      <w:rPr>
        <w:noProof/>
      </w:rPr>
      <w:fldChar w:fldCharType="end"/>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129</w:t>
    </w:r>
    <w:r>
      <w:rPr>
        <w:noProof/>
      </w:rPr>
      <w:fldChar w:fldCharType="end"/>
    </w:r>
    <w:r>
      <w:rPr>
        <w:b/>
      </w:rPr>
      <w:tab/>
      <w:t>Scrutiny Digest 13/17</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144</w:t>
    </w:r>
    <w:r>
      <w:rPr>
        <w:noProof/>
      </w:rPr>
      <w:fldChar w:fldCharType="end"/>
    </w:r>
    <w:r>
      <w:tab/>
    </w:r>
    <w:r>
      <w:rPr>
        <w:b/>
      </w:rPr>
      <w:t>Scrutiny Digest 13/17</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143</w:t>
    </w:r>
    <w:r>
      <w:rPr>
        <w:noProof/>
      </w:rPr>
      <w:fldChar w:fldCharType="end"/>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136</w:t>
    </w:r>
    <w:r>
      <w:rPr>
        <w:noProof/>
      </w:rPr>
      <w:fldChar w:fldCharType="end"/>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223A86" w:rsidRDefault="000E264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5E31FE">
      <w:rPr>
        <w:noProof/>
      </w:rPr>
      <w:t>164</w:t>
    </w:r>
    <w:r>
      <w:rPr>
        <w:noProof/>
      </w:rPr>
      <w:fldChar w:fldCharType="end"/>
    </w:r>
    <w:r>
      <w:tab/>
    </w:r>
    <w:r>
      <w:rPr>
        <w:b/>
      </w:rPr>
      <w:t>Scrutiny Digest 13/17</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pPr>
      <w:pStyle w:val="Header"/>
      <w:pBdr>
        <w:bottom w:val="single" w:sz="4" w:space="1" w:color="auto"/>
      </w:pBdr>
      <w:tabs>
        <w:tab w:val="clear" w:pos="8306"/>
        <w:tab w:val="right" w:pos="9000"/>
      </w:tabs>
    </w:pPr>
    <w:r>
      <w:rPr>
        <w:b/>
      </w:rPr>
      <w:t>Scrutiny Digest 13/17</w:t>
    </w:r>
    <w:r>
      <w:tab/>
    </w:r>
    <w:r>
      <w:fldChar w:fldCharType="begin"/>
    </w:r>
    <w:r>
      <w:instrText xml:space="preserve"> PAGE </w:instrText>
    </w:r>
    <w:r>
      <w:fldChar w:fldCharType="separate"/>
    </w:r>
    <w:r w:rsidR="005E31FE">
      <w:rPr>
        <w:noProof/>
      </w:rPr>
      <w:t>165</w:t>
    </w:r>
    <w:r>
      <w:rPr>
        <w:noProof/>
      </w:rPr>
      <w:fldChar w:fldCharType="end"/>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Default="000E264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5E31FE">
      <w:rPr>
        <w:noProof/>
      </w:rPr>
      <w:t>145</w:t>
    </w:r>
    <w:r>
      <w:rPr>
        <w:noProof/>
      </w:rPr>
      <w:fldChar w:fldCharType="end"/>
    </w:r>
    <w:r>
      <w:rPr>
        <w:b/>
      </w:rPr>
      <w:tab/>
      <w:t>Scrutiny Digest 13/17</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4E" w:rsidRPr="006F5996" w:rsidRDefault="000E264E" w:rsidP="006F5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DC7717B"/>
    <w:multiLevelType w:val="multilevel"/>
    <w:tmpl w:val="BE8A5390"/>
    <w:lvl w:ilvl="0">
      <w:start w:val="174"/>
      <w:numFmt w:val="decimal"/>
      <w:lvlText w:val="1.%1"/>
      <w:lvlJc w:val="left"/>
      <w:pPr>
        <w:tabs>
          <w:tab w:val="num" w:pos="850"/>
        </w:tabs>
        <w:ind w:left="0" w:firstLine="0"/>
      </w:pPr>
      <w:rPr>
        <w:rFonts w:hint="default"/>
      </w:rPr>
    </w:lvl>
    <w:lvl w:ilvl="1">
      <w:start w:val="1"/>
      <w:numFmt w:val="lowerLetter"/>
      <w:lvlText w:val="(%2)"/>
      <w:lvlJc w:val="left"/>
      <w:pPr>
        <w:tabs>
          <w:tab w:val="num" w:pos="1417"/>
        </w:tabs>
        <w:ind w:left="1417" w:hanging="567"/>
      </w:pPr>
      <w:rPr>
        <w:rFonts w:hint="default"/>
      </w:rPr>
    </w:lvl>
    <w:lvl w:ilvl="2">
      <w:start w:val="1"/>
      <w:numFmt w:val="lowerRoman"/>
      <w:lvlText w:val="(%3)"/>
      <w:lvlJc w:val="left"/>
      <w:pPr>
        <w:tabs>
          <w:tab w:val="num" w:pos="1984"/>
        </w:tabs>
        <w:ind w:left="1984"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3D2471F"/>
    <w:multiLevelType w:val="multilevel"/>
    <w:tmpl w:val="0FB62110"/>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8F41608"/>
    <w:multiLevelType w:val="hybridMultilevel"/>
    <w:tmpl w:val="F140D8C4"/>
    <w:lvl w:ilvl="0" w:tplc="F28C82D6">
      <w:start w:val="1995"/>
      <w:numFmt w:val="bullet"/>
      <w:lvlText w:val="-"/>
      <w:lvlJc w:val="left"/>
      <w:pPr>
        <w:ind w:left="1211" w:hanging="360"/>
      </w:pPr>
      <w:rPr>
        <w:rFonts w:ascii="Calibri" w:eastAsia="Times New Roman" w:hAnsi="Calibri"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3"/>
  </w:num>
  <w:num w:numId="4">
    <w:abstractNumId w:val="14"/>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8"/>
  </w:num>
  <w:num w:numId="20">
    <w:abstractNumId w:val="10"/>
  </w:num>
  <w:num w:numId="21">
    <w:abstractNumId w:val="25"/>
  </w:num>
  <w:num w:numId="22">
    <w:abstractNumId w:val="19"/>
  </w:num>
  <w:num w:numId="23">
    <w:abstractNumId w:val="27"/>
  </w:num>
  <w:num w:numId="24">
    <w:abstractNumId w:val="20"/>
  </w:num>
  <w:num w:numId="25">
    <w:abstractNumId w:val="21"/>
  </w:num>
  <w:num w:numId="26">
    <w:abstractNumId w:val="25"/>
  </w:num>
  <w:num w:numId="27">
    <w:abstractNumId w:val="25"/>
  </w:num>
  <w:num w:numId="28">
    <w:abstractNumId w:val="29"/>
  </w:num>
  <w:num w:numId="29">
    <w:abstractNumId w:val="29"/>
  </w:num>
  <w:num w:numId="30">
    <w:abstractNumId w:val="29"/>
  </w:num>
  <w:num w:numId="31">
    <w:abstractNumId w:val="25"/>
  </w:num>
  <w:num w:numId="32">
    <w:abstractNumId w:val="25"/>
  </w:num>
  <w:num w:numId="33">
    <w:abstractNumId w:val="17"/>
  </w:num>
  <w:num w:numId="34">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9B"/>
    <w:rsid w:val="000052BA"/>
    <w:rsid w:val="00011C2B"/>
    <w:rsid w:val="0001571B"/>
    <w:rsid w:val="0002676B"/>
    <w:rsid w:val="00031176"/>
    <w:rsid w:val="00036C8C"/>
    <w:rsid w:val="0005082C"/>
    <w:rsid w:val="00057C01"/>
    <w:rsid w:val="00075200"/>
    <w:rsid w:val="00091C51"/>
    <w:rsid w:val="000A00BB"/>
    <w:rsid w:val="000A1150"/>
    <w:rsid w:val="000B0300"/>
    <w:rsid w:val="000B1929"/>
    <w:rsid w:val="000B484C"/>
    <w:rsid w:val="000B572F"/>
    <w:rsid w:val="000D56E8"/>
    <w:rsid w:val="000E264E"/>
    <w:rsid w:val="000E422F"/>
    <w:rsid w:val="00106C8B"/>
    <w:rsid w:val="00121E00"/>
    <w:rsid w:val="001428C3"/>
    <w:rsid w:val="00180AE3"/>
    <w:rsid w:val="0018124A"/>
    <w:rsid w:val="00194588"/>
    <w:rsid w:val="00197A7C"/>
    <w:rsid w:val="001A5ADD"/>
    <w:rsid w:val="001C4262"/>
    <w:rsid w:val="001C6152"/>
    <w:rsid w:val="001D534B"/>
    <w:rsid w:val="001D6D69"/>
    <w:rsid w:val="001D6D9A"/>
    <w:rsid w:val="001E183A"/>
    <w:rsid w:val="0020632E"/>
    <w:rsid w:val="002269A5"/>
    <w:rsid w:val="0022783A"/>
    <w:rsid w:val="00234EAE"/>
    <w:rsid w:val="00241271"/>
    <w:rsid w:val="00296ADC"/>
    <w:rsid w:val="002A1F4E"/>
    <w:rsid w:val="002A3D62"/>
    <w:rsid w:val="002C513C"/>
    <w:rsid w:val="002C5EA1"/>
    <w:rsid w:val="002F42FE"/>
    <w:rsid w:val="00300522"/>
    <w:rsid w:val="00312055"/>
    <w:rsid w:val="003168FA"/>
    <w:rsid w:val="00325264"/>
    <w:rsid w:val="00333EC9"/>
    <w:rsid w:val="00336B0A"/>
    <w:rsid w:val="00350769"/>
    <w:rsid w:val="00360A6A"/>
    <w:rsid w:val="00376EFB"/>
    <w:rsid w:val="00383609"/>
    <w:rsid w:val="00394DAE"/>
    <w:rsid w:val="003A54AE"/>
    <w:rsid w:val="003B204F"/>
    <w:rsid w:val="003B327F"/>
    <w:rsid w:val="003B65EC"/>
    <w:rsid w:val="003C1275"/>
    <w:rsid w:val="003D344E"/>
    <w:rsid w:val="003D6C9D"/>
    <w:rsid w:val="003E0C8F"/>
    <w:rsid w:val="003E69ED"/>
    <w:rsid w:val="003E7814"/>
    <w:rsid w:val="00401F51"/>
    <w:rsid w:val="004122C6"/>
    <w:rsid w:val="00420018"/>
    <w:rsid w:val="00431B9A"/>
    <w:rsid w:val="004360E7"/>
    <w:rsid w:val="0044126A"/>
    <w:rsid w:val="00446728"/>
    <w:rsid w:val="00455E53"/>
    <w:rsid w:val="00472EE1"/>
    <w:rsid w:val="004A1373"/>
    <w:rsid w:val="004A2D5A"/>
    <w:rsid w:val="004B4F86"/>
    <w:rsid w:val="004D18FB"/>
    <w:rsid w:val="00501FBB"/>
    <w:rsid w:val="00515CB4"/>
    <w:rsid w:val="00520991"/>
    <w:rsid w:val="0053695B"/>
    <w:rsid w:val="0054303F"/>
    <w:rsid w:val="0056550E"/>
    <w:rsid w:val="0057445B"/>
    <w:rsid w:val="0057540A"/>
    <w:rsid w:val="00576299"/>
    <w:rsid w:val="00595D06"/>
    <w:rsid w:val="005B3BA3"/>
    <w:rsid w:val="005B6FD8"/>
    <w:rsid w:val="005C5800"/>
    <w:rsid w:val="005D07D1"/>
    <w:rsid w:val="005D4B94"/>
    <w:rsid w:val="005E31FE"/>
    <w:rsid w:val="005E77C4"/>
    <w:rsid w:val="005F471F"/>
    <w:rsid w:val="006007DB"/>
    <w:rsid w:val="00601136"/>
    <w:rsid w:val="00611E27"/>
    <w:rsid w:val="006165FD"/>
    <w:rsid w:val="00622CFB"/>
    <w:rsid w:val="006248BA"/>
    <w:rsid w:val="0062568A"/>
    <w:rsid w:val="00626634"/>
    <w:rsid w:val="00626A32"/>
    <w:rsid w:val="00634E02"/>
    <w:rsid w:val="00636559"/>
    <w:rsid w:val="00640A68"/>
    <w:rsid w:val="00646851"/>
    <w:rsid w:val="00651B5E"/>
    <w:rsid w:val="00654AE1"/>
    <w:rsid w:val="0065534E"/>
    <w:rsid w:val="006620D8"/>
    <w:rsid w:val="00681328"/>
    <w:rsid w:val="006B2755"/>
    <w:rsid w:val="006B4263"/>
    <w:rsid w:val="006C26F3"/>
    <w:rsid w:val="006C5547"/>
    <w:rsid w:val="006C6FC3"/>
    <w:rsid w:val="006D1BD0"/>
    <w:rsid w:val="006D545C"/>
    <w:rsid w:val="006F5996"/>
    <w:rsid w:val="007007A9"/>
    <w:rsid w:val="00703114"/>
    <w:rsid w:val="00713133"/>
    <w:rsid w:val="00723009"/>
    <w:rsid w:val="0073407A"/>
    <w:rsid w:val="00744BD7"/>
    <w:rsid w:val="00750698"/>
    <w:rsid w:val="00750F05"/>
    <w:rsid w:val="0078200D"/>
    <w:rsid w:val="00792C72"/>
    <w:rsid w:val="00796DF9"/>
    <w:rsid w:val="007978E2"/>
    <w:rsid w:val="007C246E"/>
    <w:rsid w:val="007C4CE2"/>
    <w:rsid w:val="007E3921"/>
    <w:rsid w:val="007F5E17"/>
    <w:rsid w:val="00814995"/>
    <w:rsid w:val="00825054"/>
    <w:rsid w:val="008326C3"/>
    <w:rsid w:val="00837D9C"/>
    <w:rsid w:val="00854AE4"/>
    <w:rsid w:val="00880BC6"/>
    <w:rsid w:val="00881CA3"/>
    <w:rsid w:val="0089069E"/>
    <w:rsid w:val="008A1C03"/>
    <w:rsid w:val="008B21BF"/>
    <w:rsid w:val="008C219D"/>
    <w:rsid w:val="008D1418"/>
    <w:rsid w:val="008E740A"/>
    <w:rsid w:val="009060FC"/>
    <w:rsid w:val="0090671B"/>
    <w:rsid w:val="00931095"/>
    <w:rsid w:val="00937D43"/>
    <w:rsid w:val="0094076E"/>
    <w:rsid w:val="009A3CEC"/>
    <w:rsid w:val="009A5729"/>
    <w:rsid w:val="009B4379"/>
    <w:rsid w:val="00A05815"/>
    <w:rsid w:val="00A1047F"/>
    <w:rsid w:val="00A31357"/>
    <w:rsid w:val="00A4055A"/>
    <w:rsid w:val="00A6738A"/>
    <w:rsid w:val="00A87FCF"/>
    <w:rsid w:val="00AA0AC5"/>
    <w:rsid w:val="00AA149B"/>
    <w:rsid w:val="00AB621C"/>
    <w:rsid w:val="00AC07F2"/>
    <w:rsid w:val="00AC1950"/>
    <w:rsid w:val="00AD5BF2"/>
    <w:rsid w:val="00AE08B6"/>
    <w:rsid w:val="00AE366E"/>
    <w:rsid w:val="00AE36C7"/>
    <w:rsid w:val="00B0092F"/>
    <w:rsid w:val="00B0142C"/>
    <w:rsid w:val="00B04A05"/>
    <w:rsid w:val="00B14A2A"/>
    <w:rsid w:val="00B15BA5"/>
    <w:rsid w:val="00B3193C"/>
    <w:rsid w:val="00B35F5E"/>
    <w:rsid w:val="00B37C37"/>
    <w:rsid w:val="00B428BB"/>
    <w:rsid w:val="00B76317"/>
    <w:rsid w:val="00B83DE8"/>
    <w:rsid w:val="00BA5A92"/>
    <w:rsid w:val="00BB1DDF"/>
    <w:rsid w:val="00BD229F"/>
    <w:rsid w:val="00BF5420"/>
    <w:rsid w:val="00BF6FBD"/>
    <w:rsid w:val="00C021F5"/>
    <w:rsid w:val="00C16299"/>
    <w:rsid w:val="00C17E58"/>
    <w:rsid w:val="00C2182F"/>
    <w:rsid w:val="00C245B4"/>
    <w:rsid w:val="00C273A1"/>
    <w:rsid w:val="00C30B77"/>
    <w:rsid w:val="00C328A5"/>
    <w:rsid w:val="00C340DF"/>
    <w:rsid w:val="00C46699"/>
    <w:rsid w:val="00C531A1"/>
    <w:rsid w:val="00C55F19"/>
    <w:rsid w:val="00C56490"/>
    <w:rsid w:val="00C77954"/>
    <w:rsid w:val="00C82777"/>
    <w:rsid w:val="00C82795"/>
    <w:rsid w:val="00C87E4F"/>
    <w:rsid w:val="00C924AB"/>
    <w:rsid w:val="00CA5CD1"/>
    <w:rsid w:val="00CB27C0"/>
    <w:rsid w:val="00CB2C79"/>
    <w:rsid w:val="00CB6D80"/>
    <w:rsid w:val="00CC3A7E"/>
    <w:rsid w:val="00CE460C"/>
    <w:rsid w:val="00D11015"/>
    <w:rsid w:val="00D11AFF"/>
    <w:rsid w:val="00D2612A"/>
    <w:rsid w:val="00D35325"/>
    <w:rsid w:val="00D4535E"/>
    <w:rsid w:val="00D470B0"/>
    <w:rsid w:val="00D54C3E"/>
    <w:rsid w:val="00D65131"/>
    <w:rsid w:val="00D65DA3"/>
    <w:rsid w:val="00D712DA"/>
    <w:rsid w:val="00DA1837"/>
    <w:rsid w:val="00DA5F74"/>
    <w:rsid w:val="00DB3357"/>
    <w:rsid w:val="00DE1781"/>
    <w:rsid w:val="00DE3368"/>
    <w:rsid w:val="00DE65B1"/>
    <w:rsid w:val="00E0235E"/>
    <w:rsid w:val="00E50BC0"/>
    <w:rsid w:val="00E65188"/>
    <w:rsid w:val="00E7694C"/>
    <w:rsid w:val="00EA03DD"/>
    <w:rsid w:val="00EB5055"/>
    <w:rsid w:val="00EC1588"/>
    <w:rsid w:val="00EC3543"/>
    <w:rsid w:val="00EC729C"/>
    <w:rsid w:val="00ED5971"/>
    <w:rsid w:val="00EE353D"/>
    <w:rsid w:val="00EE4A6C"/>
    <w:rsid w:val="00F61F98"/>
    <w:rsid w:val="00F75E9F"/>
    <w:rsid w:val="00F841E2"/>
    <w:rsid w:val="00F9740D"/>
    <w:rsid w:val="00FB3CB0"/>
    <w:rsid w:val="00FC49DD"/>
    <w:rsid w:val="00FF0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6F5996"/>
    <w:pPr>
      <w:keepNext/>
      <w:numPr>
        <w:ilvl w:val="3"/>
        <w:numId w:val="32"/>
      </w:numPr>
      <w:outlineLvl w:val="3"/>
    </w:pPr>
    <w:rPr>
      <w:b/>
      <w:i/>
    </w:rPr>
  </w:style>
  <w:style w:type="paragraph" w:styleId="Heading5">
    <w:name w:val="heading 5"/>
    <w:basedOn w:val="Normal"/>
    <w:next w:val="Normal"/>
    <w:link w:val="Heading5Char"/>
    <w:qFormat/>
    <w:rsid w:val="006F5996"/>
    <w:pPr>
      <w:keepNext/>
      <w:numPr>
        <w:ilvl w:val="4"/>
        <w:numId w:val="32"/>
      </w:numPr>
      <w:jc w:val="left"/>
      <w:outlineLvl w:val="4"/>
    </w:pPr>
    <w:rPr>
      <w:i/>
    </w:rPr>
  </w:style>
  <w:style w:type="paragraph" w:styleId="Heading6">
    <w:name w:val="heading 6"/>
    <w:basedOn w:val="Normal"/>
    <w:next w:val="Normal"/>
    <w:link w:val="Heading6Char"/>
    <w:qFormat/>
    <w:locked/>
    <w:rsid w:val="006F5996"/>
    <w:pPr>
      <w:numPr>
        <w:ilvl w:val="5"/>
        <w:numId w:val="32"/>
      </w:numPr>
      <w:spacing w:before="240" w:after="60"/>
      <w:outlineLvl w:val="5"/>
    </w:pPr>
    <w:rPr>
      <w:i/>
      <w:sz w:val="22"/>
    </w:rPr>
  </w:style>
  <w:style w:type="paragraph" w:styleId="Heading7">
    <w:name w:val="heading 7"/>
    <w:basedOn w:val="Normal"/>
    <w:next w:val="Normal"/>
    <w:link w:val="Heading7Char"/>
    <w:qFormat/>
    <w:locked/>
    <w:rsid w:val="006F5996"/>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6F5996"/>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6F599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6F5996"/>
    <w:pPr>
      <w:numPr>
        <w:numId w:val="32"/>
      </w:numPr>
    </w:pPr>
  </w:style>
  <w:style w:type="paragraph" w:customStyle="1" w:styleId="Level2">
    <w:name w:val="Level2"/>
    <w:basedOn w:val="Normal"/>
    <w:rsid w:val="006F5996"/>
    <w:pPr>
      <w:numPr>
        <w:ilvl w:val="1"/>
        <w:numId w:val="32"/>
      </w:numPr>
      <w:spacing w:before="0"/>
    </w:pPr>
  </w:style>
  <w:style w:type="paragraph" w:customStyle="1" w:styleId="Level3">
    <w:name w:val="Level3"/>
    <w:basedOn w:val="Normal"/>
    <w:link w:val="Level3Char"/>
    <w:rsid w:val="006F5996"/>
    <w:pPr>
      <w:numPr>
        <w:ilvl w:val="2"/>
        <w:numId w:val="32"/>
      </w:numPr>
      <w:spacing w:before="0"/>
    </w:pPr>
  </w:style>
  <w:style w:type="paragraph" w:styleId="FootnoteText">
    <w:name w:val="footnote text"/>
    <w:link w:val="FootnoteTextChar"/>
    <w:qFormat/>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6F5996"/>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6F5996"/>
    <w:rPr>
      <w:rFonts w:asciiTheme="minorHAnsi" w:hAnsiTheme="minorHAnsi"/>
      <w:sz w:val="22"/>
      <w:lang w:eastAsia="en-US"/>
    </w:rPr>
  </w:style>
  <w:style w:type="character" w:customStyle="1" w:styleId="Heading1Char">
    <w:name w:val="Heading 1 Char"/>
    <w:basedOn w:val="DefaultParagraphFont"/>
    <w:link w:val="Heading1"/>
    <w:rsid w:val="006F5996"/>
    <w:rPr>
      <w:rFonts w:ascii="Calibri" w:hAnsi="Calibri"/>
      <w:b/>
      <w:kern w:val="28"/>
      <w:sz w:val="40"/>
      <w:lang w:eastAsia="en-US"/>
    </w:rPr>
  </w:style>
  <w:style w:type="character" w:customStyle="1" w:styleId="Heading2Char">
    <w:name w:val="Heading 2 Char"/>
    <w:basedOn w:val="DefaultParagraphFont"/>
    <w:link w:val="Heading2"/>
    <w:rsid w:val="006F5996"/>
    <w:rPr>
      <w:rFonts w:ascii="Calibri" w:hAnsi="Calibri"/>
      <w:b/>
      <w:sz w:val="36"/>
      <w:lang w:eastAsia="en-US"/>
    </w:rPr>
  </w:style>
  <w:style w:type="character" w:customStyle="1" w:styleId="Heading3Char">
    <w:name w:val="Heading 3 Char"/>
    <w:basedOn w:val="DefaultParagraphFont"/>
    <w:link w:val="Heading3"/>
    <w:rsid w:val="006F5996"/>
    <w:rPr>
      <w:rFonts w:ascii="Calibri" w:hAnsi="Calibri"/>
      <w:b/>
      <w:sz w:val="28"/>
      <w:lang w:eastAsia="en-US"/>
    </w:rPr>
  </w:style>
  <w:style w:type="character" w:customStyle="1" w:styleId="Heading4Char">
    <w:name w:val="Heading 4 Char"/>
    <w:basedOn w:val="DefaultParagraphFont"/>
    <w:link w:val="Heading4"/>
    <w:rsid w:val="006F5996"/>
    <w:rPr>
      <w:rFonts w:asciiTheme="minorHAnsi" w:hAnsiTheme="minorHAnsi"/>
      <w:b/>
      <w:i/>
      <w:sz w:val="26"/>
      <w:lang w:eastAsia="en-US"/>
    </w:rPr>
  </w:style>
  <w:style w:type="character" w:customStyle="1" w:styleId="Heading5Char">
    <w:name w:val="Heading 5 Char"/>
    <w:basedOn w:val="DefaultParagraphFont"/>
    <w:link w:val="Heading5"/>
    <w:rsid w:val="006F5996"/>
    <w:rPr>
      <w:rFonts w:asciiTheme="minorHAnsi" w:hAnsiTheme="minorHAnsi"/>
      <w:i/>
      <w:sz w:val="26"/>
      <w:lang w:eastAsia="en-US"/>
    </w:rPr>
  </w:style>
  <w:style w:type="character" w:customStyle="1" w:styleId="Heading6Char">
    <w:name w:val="Heading 6 Char"/>
    <w:basedOn w:val="DefaultParagraphFont"/>
    <w:link w:val="Heading6"/>
    <w:rsid w:val="006F5996"/>
    <w:rPr>
      <w:rFonts w:asciiTheme="minorHAnsi" w:hAnsiTheme="minorHAnsi"/>
      <w:i/>
      <w:sz w:val="22"/>
      <w:lang w:eastAsia="en-US"/>
    </w:rPr>
  </w:style>
  <w:style w:type="character" w:customStyle="1" w:styleId="Heading7Char">
    <w:name w:val="Heading 7 Char"/>
    <w:basedOn w:val="DefaultParagraphFont"/>
    <w:link w:val="Heading7"/>
    <w:rsid w:val="006F5996"/>
    <w:rPr>
      <w:rFonts w:ascii="Arial" w:hAnsi="Arial"/>
      <w:lang w:eastAsia="en-US"/>
    </w:rPr>
  </w:style>
  <w:style w:type="character" w:customStyle="1" w:styleId="Heading8Char">
    <w:name w:val="Heading 8 Char"/>
    <w:basedOn w:val="DefaultParagraphFont"/>
    <w:link w:val="Heading8"/>
    <w:rsid w:val="006F5996"/>
    <w:rPr>
      <w:rFonts w:ascii="Arial" w:hAnsi="Arial"/>
      <w:i/>
      <w:lang w:eastAsia="en-US"/>
    </w:rPr>
  </w:style>
  <w:style w:type="character" w:customStyle="1" w:styleId="Heading9Char">
    <w:name w:val="Heading 9 Char"/>
    <w:basedOn w:val="DefaultParagraphFont"/>
    <w:link w:val="Heading9"/>
    <w:rsid w:val="006F5996"/>
    <w:rPr>
      <w:rFonts w:ascii="Arial" w:hAnsi="Arial"/>
      <w:b/>
      <w:i/>
      <w:sz w:val="18"/>
      <w:lang w:eastAsia="en-US"/>
    </w:rPr>
  </w:style>
  <w:style w:type="character" w:customStyle="1" w:styleId="HeaderChar">
    <w:name w:val="Header Char"/>
    <w:basedOn w:val="DefaultParagraphFont"/>
    <w:link w:val="Header"/>
    <w:semiHidden/>
    <w:rsid w:val="006F5996"/>
    <w:rPr>
      <w:rFonts w:asciiTheme="minorHAnsi" w:hAnsiTheme="minorHAnsi"/>
      <w:sz w:val="22"/>
      <w:lang w:eastAsia="en-US"/>
    </w:rPr>
  </w:style>
  <w:style w:type="character" w:customStyle="1" w:styleId="FooterChar">
    <w:name w:val="Footer Char"/>
    <w:basedOn w:val="DefaultParagraphFont"/>
    <w:link w:val="Footer"/>
    <w:uiPriority w:val="99"/>
    <w:rsid w:val="006F5996"/>
    <w:rPr>
      <w:rFonts w:asciiTheme="minorHAnsi" w:hAnsiTheme="minorHAnsi"/>
      <w:sz w:val="22"/>
      <w:lang w:eastAsia="en-US"/>
    </w:rPr>
  </w:style>
  <w:style w:type="character" w:customStyle="1" w:styleId="QuoteChar">
    <w:name w:val="Quote Char"/>
    <w:basedOn w:val="DefaultParagraphFont"/>
    <w:link w:val="Quote"/>
    <w:rsid w:val="006F5996"/>
    <w:rPr>
      <w:rFonts w:asciiTheme="minorHAnsi" w:hAnsiTheme="minorHAnsi"/>
      <w:sz w:val="24"/>
      <w:lang w:eastAsia="en-US"/>
    </w:rPr>
  </w:style>
  <w:style w:type="character" w:customStyle="1" w:styleId="EndnoteTextChar">
    <w:name w:val="Endnote Text Char"/>
    <w:basedOn w:val="DefaultParagraphFont"/>
    <w:link w:val="EndnoteText"/>
    <w:semiHidden/>
    <w:rsid w:val="006F5996"/>
    <w:rPr>
      <w:rFonts w:asciiTheme="minorHAnsi" w:hAnsiTheme="minorHAnsi"/>
      <w:lang w:eastAsia="en-US"/>
    </w:rPr>
  </w:style>
  <w:style w:type="character" w:customStyle="1" w:styleId="BalloonTextChar">
    <w:name w:val="Balloon Text Char"/>
    <w:basedOn w:val="DefaultParagraphFont"/>
    <w:link w:val="BalloonText"/>
    <w:semiHidden/>
    <w:rsid w:val="006F5996"/>
    <w:rPr>
      <w:rFonts w:ascii="Tahoma" w:hAnsi="Tahoma" w:cs="Tahoma"/>
      <w:sz w:val="16"/>
      <w:szCs w:val="16"/>
      <w:lang w:eastAsia="en-US"/>
    </w:rPr>
  </w:style>
  <w:style w:type="character" w:customStyle="1" w:styleId="BodyTextChar">
    <w:name w:val="Body Text Char"/>
    <w:basedOn w:val="DefaultParagraphFont"/>
    <w:link w:val="BodyText"/>
    <w:semiHidden/>
    <w:rsid w:val="006F5996"/>
    <w:rPr>
      <w:rFonts w:asciiTheme="minorHAnsi" w:hAnsiTheme="minorHAnsi"/>
      <w:sz w:val="26"/>
      <w:lang w:eastAsia="en-US"/>
    </w:rPr>
  </w:style>
  <w:style w:type="character" w:customStyle="1" w:styleId="BodyText2Char">
    <w:name w:val="Body Text 2 Char"/>
    <w:basedOn w:val="DefaultParagraphFont"/>
    <w:link w:val="BodyText2"/>
    <w:semiHidden/>
    <w:rsid w:val="006F5996"/>
    <w:rPr>
      <w:rFonts w:asciiTheme="minorHAnsi" w:hAnsiTheme="minorHAnsi"/>
      <w:sz w:val="26"/>
      <w:lang w:eastAsia="en-US"/>
    </w:rPr>
  </w:style>
  <w:style w:type="character" w:customStyle="1" w:styleId="BodyText3Char">
    <w:name w:val="Body Text 3 Char"/>
    <w:basedOn w:val="DefaultParagraphFont"/>
    <w:link w:val="BodyText3"/>
    <w:semiHidden/>
    <w:rsid w:val="006F5996"/>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6F5996"/>
    <w:rPr>
      <w:rFonts w:asciiTheme="minorHAnsi" w:hAnsiTheme="minorHAnsi"/>
      <w:sz w:val="26"/>
      <w:lang w:eastAsia="en-US"/>
    </w:rPr>
  </w:style>
  <w:style w:type="character" w:customStyle="1" w:styleId="BodyTextIndentChar">
    <w:name w:val="Body Text Indent Char"/>
    <w:basedOn w:val="DefaultParagraphFont"/>
    <w:link w:val="BodyTextIndent"/>
    <w:semiHidden/>
    <w:rsid w:val="006F5996"/>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6F5996"/>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6F5996"/>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6F5996"/>
    <w:rPr>
      <w:rFonts w:asciiTheme="minorHAnsi" w:hAnsiTheme="minorHAnsi"/>
      <w:sz w:val="16"/>
      <w:szCs w:val="16"/>
      <w:lang w:eastAsia="en-US"/>
    </w:rPr>
  </w:style>
  <w:style w:type="character" w:customStyle="1" w:styleId="ClosingChar">
    <w:name w:val="Closing Char"/>
    <w:basedOn w:val="DefaultParagraphFont"/>
    <w:link w:val="Closing"/>
    <w:semiHidden/>
    <w:rsid w:val="006F5996"/>
    <w:rPr>
      <w:rFonts w:asciiTheme="minorHAnsi" w:hAnsiTheme="minorHAnsi"/>
      <w:sz w:val="26"/>
      <w:lang w:eastAsia="en-US"/>
    </w:rPr>
  </w:style>
  <w:style w:type="character" w:customStyle="1" w:styleId="CommentTextChar">
    <w:name w:val="Comment Text Char"/>
    <w:basedOn w:val="DefaultParagraphFont"/>
    <w:link w:val="CommentText"/>
    <w:semiHidden/>
    <w:rsid w:val="006F5996"/>
    <w:rPr>
      <w:rFonts w:asciiTheme="minorHAnsi" w:hAnsiTheme="minorHAnsi"/>
      <w:lang w:eastAsia="en-US"/>
    </w:rPr>
  </w:style>
  <w:style w:type="character" w:customStyle="1" w:styleId="CommentSubjectChar">
    <w:name w:val="Comment Subject Char"/>
    <w:basedOn w:val="CommentTextChar"/>
    <w:link w:val="CommentSubject"/>
    <w:semiHidden/>
    <w:rsid w:val="006F5996"/>
    <w:rPr>
      <w:rFonts w:asciiTheme="minorHAnsi" w:hAnsiTheme="minorHAnsi"/>
      <w:b/>
      <w:bCs/>
      <w:lang w:eastAsia="en-US"/>
    </w:rPr>
  </w:style>
  <w:style w:type="character" w:customStyle="1" w:styleId="DateChar">
    <w:name w:val="Date Char"/>
    <w:basedOn w:val="DefaultParagraphFont"/>
    <w:link w:val="Date"/>
    <w:semiHidden/>
    <w:rsid w:val="006F5996"/>
    <w:rPr>
      <w:rFonts w:asciiTheme="minorHAnsi" w:hAnsiTheme="minorHAnsi"/>
      <w:sz w:val="26"/>
      <w:lang w:eastAsia="en-US"/>
    </w:rPr>
  </w:style>
  <w:style w:type="character" w:customStyle="1" w:styleId="DocumentMapChar">
    <w:name w:val="Document Map Char"/>
    <w:basedOn w:val="DefaultParagraphFont"/>
    <w:link w:val="DocumentMap"/>
    <w:semiHidden/>
    <w:rsid w:val="006F5996"/>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6F5996"/>
    <w:rPr>
      <w:rFonts w:asciiTheme="minorHAnsi" w:hAnsiTheme="minorHAnsi"/>
      <w:sz w:val="26"/>
      <w:lang w:eastAsia="en-US"/>
    </w:rPr>
  </w:style>
  <w:style w:type="character" w:customStyle="1" w:styleId="HTMLAddressChar">
    <w:name w:val="HTML Address Char"/>
    <w:basedOn w:val="DefaultParagraphFont"/>
    <w:link w:val="HTMLAddress"/>
    <w:semiHidden/>
    <w:rsid w:val="006F5996"/>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6F5996"/>
    <w:rPr>
      <w:rFonts w:ascii="Courier New" w:hAnsi="Courier New" w:cs="Courier New"/>
      <w:lang w:eastAsia="en-US"/>
    </w:rPr>
  </w:style>
  <w:style w:type="character" w:customStyle="1" w:styleId="MacroTextChar">
    <w:name w:val="Macro Text Char"/>
    <w:basedOn w:val="DefaultParagraphFont"/>
    <w:link w:val="MacroText"/>
    <w:semiHidden/>
    <w:rsid w:val="006F5996"/>
    <w:rPr>
      <w:rFonts w:ascii="Courier New" w:hAnsi="Courier New" w:cs="Courier New"/>
      <w:lang w:eastAsia="en-US"/>
    </w:rPr>
  </w:style>
  <w:style w:type="character" w:customStyle="1" w:styleId="MessageHeaderChar">
    <w:name w:val="Message Header Char"/>
    <w:basedOn w:val="DefaultParagraphFont"/>
    <w:link w:val="MessageHeader"/>
    <w:semiHidden/>
    <w:rsid w:val="006F5996"/>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6F5996"/>
    <w:rPr>
      <w:rFonts w:asciiTheme="minorHAnsi" w:hAnsiTheme="minorHAnsi"/>
      <w:sz w:val="26"/>
      <w:lang w:eastAsia="en-US"/>
    </w:rPr>
  </w:style>
  <w:style w:type="character" w:customStyle="1" w:styleId="PlainTextChar">
    <w:name w:val="Plain Text Char"/>
    <w:basedOn w:val="DefaultParagraphFont"/>
    <w:link w:val="PlainText"/>
    <w:semiHidden/>
    <w:rsid w:val="006F5996"/>
    <w:rPr>
      <w:rFonts w:ascii="Courier New" w:hAnsi="Courier New" w:cs="Courier New"/>
      <w:lang w:eastAsia="en-US"/>
    </w:rPr>
  </w:style>
  <w:style w:type="character" w:customStyle="1" w:styleId="SalutationChar">
    <w:name w:val="Salutation Char"/>
    <w:basedOn w:val="DefaultParagraphFont"/>
    <w:link w:val="Salutation"/>
    <w:semiHidden/>
    <w:rsid w:val="006F5996"/>
    <w:rPr>
      <w:rFonts w:asciiTheme="minorHAnsi" w:hAnsiTheme="minorHAnsi"/>
      <w:sz w:val="26"/>
      <w:lang w:eastAsia="en-US"/>
    </w:rPr>
  </w:style>
  <w:style w:type="character" w:customStyle="1" w:styleId="SignatureChar">
    <w:name w:val="Signature Char"/>
    <w:basedOn w:val="DefaultParagraphFont"/>
    <w:link w:val="Signature"/>
    <w:semiHidden/>
    <w:rsid w:val="006F5996"/>
    <w:rPr>
      <w:rFonts w:asciiTheme="minorHAnsi" w:hAnsiTheme="minorHAnsi"/>
      <w:sz w:val="26"/>
      <w:lang w:eastAsia="en-US"/>
    </w:rPr>
  </w:style>
  <w:style w:type="character" w:customStyle="1" w:styleId="SubtitleChar">
    <w:name w:val="Subtitle Char"/>
    <w:basedOn w:val="DefaultParagraphFont"/>
    <w:link w:val="Subtitle"/>
    <w:rsid w:val="006F5996"/>
    <w:rPr>
      <w:rFonts w:ascii="Arial" w:hAnsi="Arial" w:cs="Arial"/>
      <w:sz w:val="24"/>
      <w:szCs w:val="24"/>
      <w:lang w:eastAsia="en-US"/>
    </w:rPr>
  </w:style>
  <w:style w:type="character" w:customStyle="1" w:styleId="TitleChar">
    <w:name w:val="Title Char"/>
    <w:basedOn w:val="DefaultParagraphFont"/>
    <w:link w:val="Title"/>
    <w:rsid w:val="006F5996"/>
    <w:rPr>
      <w:rFonts w:ascii="Arial" w:hAnsi="Arial" w:cs="Arial"/>
      <w:b/>
      <w:bCs/>
      <w:kern w:val="28"/>
      <w:sz w:val="32"/>
      <w:szCs w:val="32"/>
      <w:lang w:eastAsia="en-US"/>
    </w:rPr>
  </w:style>
  <w:style w:type="paragraph" w:customStyle="1" w:styleId="Level11">
    <w:name w:val="Level11"/>
    <w:basedOn w:val="Normal"/>
    <w:rsid w:val="006F5996"/>
    <w:pPr>
      <w:tabs>
        <w:tab w:val="num" w:pos="850"/>
      </w:tabs>
    </w:pPr>
  </w:style>
  <w:style w:type="paragraph" w:customStyle="1" w:styleId="Level21">
    <w:name w:val="Level21"/>
    <w:basedOn w:val="Normal"/>
    <w:rsid w:val="006F5996"/>
    <w:pPr>
      <w:tabs>
        <w:tab w:val="num" w:pos="1417"/>
      </w:tabs>
      <w:spacing w:before="0"/>
      <w:ind w:left="1417" w:hanging="567"/>
    </w:pPr>
  </w:style>
  <w:style w:type="paragraph" w:customStyle="1" w:styleId="Level31">
    <w:name w:val="Level31"/>
    <w:basedOn w:val="Normal"/>
    <w:rsid w:val="006F5996"/>
    <w:pPr>
      <w:tabs>
        <w:tab w:val="num" w:pos="1984"/>
      </w:tabs>
      <w:spacing w:before="0"/>
      <w:ind w:left="1984" w:hanging="567"/>
    </w:pPr>
  </w:style>
  <w:style w:type="paragraph" w:customStyle="1" w:styleId="Bullet21">
    <w:name w:val="Bullet21"/>
    <w:basedOn w:val="Normal"/>
    <w:rsid w:val="006F5996"/>
    <w:pPr>
      <w:tabs>
        <w:tab w:val="left" w:pos="1418"/>
      </w:tabs>
      <w:spacing w:before="0"/>
      <w:ind w:left="1418" w:hanging="567"/>
    </w:pPr>
  </w:style>
  <w:style w:type="paragraph" w:customStyle="1" w:styleId="Level12">
    <w:name w:val="Level12"/>
    <w:basedOn w:val="Normal"/>
    <w:rsid w:val="006F5996"/>
    <w:pPr>
      <w:tabs>
        <w:tab w:val="num" w:pos="850"/>
      </w:tabs>
    </w:pPr>
  </w:style>
  <w:style w:type="paragraph" w:customStyle="1" w:styleId="Level13">
    <w:name w:val="Level13"/>
    <w:basedOn w:val="Normal"/>
    <w:rsid w:val="006F5996"/>
    <w:pPr>
      <w:tabs>
        <w:tab w:val="num" w:pos="850"/>
      </w:tabs>
    </w:pPr>
  </w:style>
  <w:style w:type="paragraph" w:customStyle="1" w:styleId="Level22">
    <w:name w:val="Level22"/>
    <w:basedOn w:val="Normal"/>
    <w:rsid w:val="006F5996"/>
    <w:pPr>
      <w:tabs>
        <w:tab w:val="num" w:pos="1417"/>
      </w:tabs>
      <w:spacing w:before="0"/>
      <w:ind w:left="1417" w:hanging="567"/>
    </w:pPr>
  </w:style>
  <w:style w:type="paragraph" w:customStyle="1" w:styleId="Level32">
    <w:name w:val="Level32"/>
    <w:basedOn w:val="Normal"/>
    <w:rsid w:val="006F5996"/>
    <w:pPr>
      <w:tabs>
        <w:tab w:val="num" w:pos="1984"/>
      </w:tabs>
      <w:spacing w:before="0"/>
      <w:ind w:left="1984" w:hanging="567"/>
    </w:pPr>
  </w:style>
  <w:style w:type="paragraph" w:customStyle="1" w:styleId="Bullet22">
    <w:name w:val="Bullet22"/>
    <w:basedOn w:val="Normal"/>
    <w:rsid w:val="006F5996"/>
    <w:pPr>
      <w:tabs>
        <w:tab w:val="left" w:pos="1418"/>
      </w:tabs>
      <w:spacing w:before="0"/>
      <w:ind w:left="1418" w:hanging="567"/>
    </w:pPr>
  </w:style>
  <w:style w:type="character" w:customStyle="1" w:styleId="Heading3Char1">
    <w:name w:val="Heading 3 Char1"/>
    <w:basedOn w:val="DefaultParagraphFont"/>
    <w:rsid w:val="006F5996"/>
    <w:rPr>
      <w:rFonts w:ascii="Calibri" w:hAnsi="Calibri"/>
      <w:b/>
      <w:sz w:val="28"/>
      <w:lang w:eastAsia="en-US"/>
    </w:rPr>
  </w:style>
  <w:style w:type="character" w:customStyle="1" w:styleId="FootnoteTextChar1">
    <w:name w:val="Footnote Text Char1"/>
    <w:basedOn w:val="DefaultParagraphFont"/>
    <w:rsid w:val="006F5996"/>
    <w:rPr>
      <w:rFonts w:asciiTheme="minorHAnsi" w:hAnsiTheme="minorHAnsi"/>
      <w:sz w:val="22"/>
      <w:lang w:eastAsia="en-US"/>
    </w:rPr>
  </w:style>
  <w:style w:type="paragraph" w:customStyle="1" w:styleId="Level131">
    <w:name w:val="Level131"/>
    <w:basedOn w:val="Normal"/>
    <w:rsid w:val="006F5996"/>
    <w:pPr>
      <w:tabs>
        <w:tab w:val="num" w:pos="850"/>
      </w:tabs>
    </w:pPr>
  </w:style>
  <w:style w:type="paragraph" w:customStyle="1" w:styleId="Level14">
    <w:name w:val="Level14"/>
    <w:basedOn w:val="Normal"/>
    <w:rsid w:val="006F5996"/>
    <w:pPr>
      <w:tabs>
        <w:tab w:val="num" w:pos="850"/>
      </w:tabs>
    </w:pPr>
  </w:style>
  <w:style w:type="paragraph" w:customStyle="1" w:styleId="Level23">
    <w:name w:val="Level23"/>
    <w:basedOn w:val="Normal"/>
    <w:rsid w:val="006F5996"/>
    <w:pPr>
      <w:tabs>
        <w:tab w:val="num" w:pos="1417"/>
      </w:tabs>
      <w:spacing w:before="0"/>
      <w:ind w:left="1417" w:hanging="567"/>
    </w:pPr>
  </w:style>
  <w:style w:type="paragraph" w:customStyle="1" w:styleId="Level33">
    <w:name w:val="Level33"/>
    <w:basedOn w:val="Normal"/>
    <w:rsid w:val="006F5996"/>
    <w:pPr>
      <w:tabs>
        <w:tab w:val="num" w:pos="1984"/>
      </w:tabs>
      <w:spacing w:before="0"/>
      <w:ind w:left="1984" w:hanging="567"/>
    </w:pPr>
  </w:style>
  <w:style w:type="paragraph" w:customStyle="1" w:styleId="Bullet23">
    <w:name w:val="Bullet23"/>
    <w:basedOn w:val="Normal"/>
    <w:rsid w:val="006F5996"/>
    <w:pPr>
      <w:tabs>
        <w:tab w:val="left" w:pos="1418"/>
      </w:tabs>
      <w:spacing w:before="0"/>
      <w:ind w:left="1418" w:hanging="567"/>
    </w:pPr>
  </w:style>
  <w:style w:type="character" w:customStyle="1" w:styleId="FootnoteTextChar2">
    <w:name w:val="Footnote Text Char2"/>
    <w:basedOn w:val="DefaultParagraphFont"/>
    <w:rsid w:val="006F5996"/>
    <w:rPr>
      <w:rFonts w:asciiTheme="minorHAnsi" w:hAnsiTheme="minorHAnsi"/>
      <w:sz w:val="22"/>
      <w:lang w:eastAsia="en-US"/>
    </w:rPr>
  </w:style>
  <w:style w:type="character" w:customStyle="1" w:styleId="Heading3Char2">
    <w:name w:val="Heading 3 Char2"/>
    <w:basedOn w:val="DefaultParagraphFont"/>
    <w:rsid w:val="006F5996"/>
    <w:rPr>
      <w:rFonts w:ascii="Calibri" w:hAnsi="Calibri"/>
      <w:b/>
      <w:sz w:val="28"/>
      <w:lang w:eastAsia="en-US"/>
    </w:rPr>
  </w:style>
  <w:style w:type="paragraph" w:customStyle="1" w:styleId="Level15">
    <w:name w:val="Level15"/>
    <w:basedOn w:val="Normal"/>
    <w:rsid w:val="006F5996"/>
    <w:pPr>
      <w:tabs>
        <w:tab w:val="num" w:pos="850"/>
      </w:tabs>
    </w:pPr>
  </w:style>
  <w:style w:type="paragraph" w:customStyle="1" w:styleId="Level16">
    <w:name w:val="Level16"/>
    <w:basedOn w:val="Normal"/>
    <w:rsid w:val="006F5996"/>
    <w:pPr>
      <w:tabs>
        <w:tab w:val="num" w:pos="850"/>
      </w:tabs>
    </w:pPr>
  </w:style>
  <w:style w:type="paragraph" w:customStyle="1" w:styleId="Level24">
    <w:name w:val="Level24"/>
    <w:basedOn w:val="Normal"/>
    <w:rsid w:val="006F5996"/>
    <w:pPr>
      <w:tabs>
        <w:tab w:val="num" w:pos="1417"/>
      </w:tabs>
      <w:spacing w:before="0"/>
      <w:ind w:left="1417" w:hanging="567"/>
    </w:pPr>
  </w:style>
  <w:style w:type="paragraph" w:customStyle="1" w:styleId="Level34">
    <w:name w:val="Level34"/>
    <w:basedOn w:val="Normal"/>
    <w:rsid w:val="006F5996"/>
    <w:pPr>
      <w:tabs>
        <w:tab w:val="num" w:pos="1984"/>
      </w:tabs>
      <w:spacing w:before="0"/>
      <w:ind w:left="1984" w:hanging="567"/>
    </w:pPr>
  </w:style>
  <w:style w:type="paragraph" w:customStyle="1" w:styleId="Bullet24">
    <w:name w:val="Bullet24"/>
    <w:basedOn w:val="Normal"/>
    <w:rsid w:val="006F5996"/>
    <w:pPr>
      <w:tabs>
        <w:tab w:val="left" w:pos="1418"/>
      </w:tabs>
      <w:spacing w:before="0"/>
      <w:ind w:left="1418" w:hanging="567"/>
    </w:pPr>
  </w:style>
  <w:style w:type="character" w:customStyle="1" w:styleId="FootnoteTextChar3">
    <w:name w:val="Footnote Text Char3"/>
    <w:basedOn w:val="DefaultParagraphFont"/>
    <w:rsid w:val="006F5996"/>
    <w:rPr>
      <w:rFonts w:asciiTheme="minorHAnsi" w:hAnsiTheme="minorHAnsi"/>
      <w:sz w:val="22"/>
      <w:lang w:eastAsia="en-US"/>
    </w:rPr>
  </w:style>
  <w:style w:type="character" w:customStyle="1" w:styleId="Heading3Char3">
    <w:name w:val="Heading 3 Char3"/>
    <w:basedOn w:val="DefaultParagraphFont"/>
    <w:rsid w:val="006F5996"/>
    <w:rPr>
      <w:rFonts w:ascii="Calibri" w:hAnsi="Calibri"/>
      <w:b/>
      <w:sz w:val="28"/>
      <w:lang w:eastAsia="en-US"/>
    </w:rPr>
  </w:style>
  <w:style w:type="paragraph" w:customStyle="1" w:styleId="Level161">
    <w:name w:val="Level161"/>
    <w:basedOn w:val="Normal"/>
    <w:rsid w:val="006F5996"/>
    <w:pPr>
      <w:tabs>
        <w:tab w:val="num" w:pos="850"/>
      </w:tabs>
    </w:pPr>
  </w:style>
  <w:style w:type="paragraph" w:customStyle="1" w:styleId="Level17">
    <w:name w:val="Level17"/>
    <w:basedOn w:val="Normal"/>
    <w:rsid w:val="006F5996"/>
    <w:pPr>
      <w:tabs>
        <w:tab w:val="num" w:pos="850"/>
      </w:tabs>
    </w:pPr>
  </w:style>
  <w:style w:type="paragraph" w:customStyle="1" w:styleId="Level25">
    <w:name w:val="Level25"/>
    <w:basedOn w:val="Normal"/>
    <w:rsid w:val="006F5996"/>
    <w:pPr>
      <w:tabs>
        <w:tab w:val="num" w:pos="1417"/>
      </w:tabs>
      <w:spacing w:before="0"/>
      <w:ind w:left="1417" w:hanging="567"/>
    </w:pPr>
  </w:style>
  <w:style w:type="paragraph" w:customStyle="1" w:styleId="Level35">
    <w:name w:val="Level35"/>
    <w:basedOn w:val="Normal"/>
    <w:rsid w:val="006F5996"/>
    <w:pPr>
      <w:tabs>
        <w:tab w:val="num" w:pos="1984"/>
      </w:tabs>
      <w:spacing w:before="0"/>
      <w:ind w:left="1984" w:hanging="567"/>
    </w:pPr>
  </w:style>
  <w:style w:type="paragraph" w:customStyle="1" w:styleId="Bullet25">
    <w:name w:val="Bullet25"/>
    <w:basedOn w:val="Normal"/>
    <w:rsid w:val="006F5996"/>
    <w:pPr>
      <w:tabs>
        <w:tab w:val="left" w:pos="1418"/>
      </w:tabs>
      <w:spacing w:before="0"/>
      <w:ind w:left="1418" w:hanging="567"/>
    </w:pPr>
  </w:style>
  <w:style w:type="character" w:customStyle="1" w:styleId="FootnoteTextChar4">
    <w:name w:val="Footnote Text Char4"/>
    <w:basedOn w:val="DefaultParagraphFont"/>
    <w:rsid w:val="006F5996"/>
    <w:rPr>
      <w:rFonts w:asciiTheme="minorHAnsi" w:hAnsiTheme="minorHAnsi"/>
      <w:sz w:val="22"/>
      <w:lang w:eastAsia="en-US"/>
    </w:rPr>
  </w:style>
  <w:style w:type="character" w:customStyle="1" w:styleId="Heading3Char4">
    <w:name w:val="Heading 3 Char4"/>
    <w:basedOn w:val="DefaultParagraphFont"/>
    <w:rsid w:val="006F5996"/>
    <w:rPr>
      <w:rFonts w:ascii="Calibri" w:hAnsi="Calibri"/>
      <w:b/>
      <w:sz w:val="28"/>
      <w:lang w:eastAsia="en-US"/>
    </w:rPr>
  </w:style>
  <w:style w:type="paragraph" w:customStyle="1" w:styleId="Level18">
    <w:name w:val="Level18"/>
    <w:basedOn w:val="Normal"/>
    <w:rsid w:val="006F5996"/>
    <w:pPr>
      <w:tabs>
        <w:tab w:val="num" w:pos="850"/>
      </w:tabs>
    </w:pPr>
  </w:style>
  <w:style w:type="paragraph" w:customStyle="1" w:styleId="Level19">
    <w:name w:val="Level19"/>
    <w:basedOn w:val="Normal"/>
    <w:rsid w:val="006F5996"/>
    <w:pPr>
      <w:tabs>
        <w:tab w:val="num" w:pos="850"/>
      </w:tabs>
    </w:pPr>
  </w:style>
  <w:style w:type="paragraph" w:customStyle="1" w:styleId="Level26">
    <w:name w:val="Level26"/>
    <w:basedOn w:val="Normal"/>
    <w:rsid w:val="006F5996"/>
    <w:pPr>
      <w:tabs>
        <w:tab w:val="num" w:pos="1417"/>
      </w:tabs>
      <w:spacing w:before="0"/>
      <w:ind w:left="1417" w:hanging="567"/>
    </w:pPr>
  </w:style>
  <w:style w:type="paragraph" w:customStyle="1" w:styleId="Level36">
    <w:name w:val="Level36"/>
    <w:basedOn w:val="Normal"/>
    <w:rsid w:val="006F5996"/>
    <w:pPr>
      <w:tabs>
        <w:tab w:val="num" w:pos="1984"/>
      </w:tabs>
      <w:spacing w:before="0"/>
      <w:ind w:left="1984" w:hanging="567"/>
    </w:pPr>
  </w:style>
  <w:style w:type="paragraph" w:customStyle="1" w:styleId="Bullet26">
    <w:name w:val="Bullet26"/>
    <w:basedOn w:val="Normal"/>
    <w:rsid w:val="006F5996"/>
    <w:pPr>
      <w:tabs>
        <w:tab w:val="left" w:pos="1418"/>
      </w:tabs>
      <w:spacing w:before="0"/>
      <w:ind w:left="1418" w:hanging="567"/>
    </w:pPr>
  </w:style>
  <w:style w:type="character" w:customStyle="1" w:styleId="FootnoteTextChar5">
    <w:name w:val="Footnote Text Char5"/>
    <w:basedOn w:val="DefaultParagraphFont"/>
    <w:rsid w:val="006F5996"/>
    <w:rPr>
      <w:rFonts w:asciiTheme="minorHAnsi" w:hAnsiTheme="minorHAnsi"/>
      <w:sz w:val="22"/>
      <w:lang w:eastAsia="en-US"/>
    </w:rPr>
  </w:style>
  <w:style w:type="character" w:customStyle="1" w:styleId="Heading3Char5">
    <w:name w:val="Heading 3 Char5"/>
    <w:basedOn w:val="DefaultParagraphFont"/>
    <w:rsid w:val="006F5996"/>
    <w:rPr>
      <w:rFonts w:ascii="Calibri" w:hAnsi="Calibri"/>
      <w:b/>
      <w:sz w:val="28"/>
      <w:lang w:eastAsia="en-US"/>
    </w:rPr>
  </w:style>
  <w:style w:type="paragraph" w:customStyle="1" w:styleId="Level111">
    <w:name w:val="Level111"/>
    <w:basedOn w:val="Normal"/>
    <w:rsid w:val="006F5996"/>
    <w:pPr>
      <w:tabs>
        <w:tab w:val="num" w:pos="850"/>
      </w:tabs>
    </w:pPr>
  </w:style>
  <w:style w:type="paragraph" w:customStyle="1" w:styleId="Level110">
    <w:name w:val="Level110"/>
    <w:basedOn w:val="Normal"/>
    <w:rsid w:val="006F5996"/>
    <w:pPr>
      <w:tabs>
        <w:tab w:val="num" w:pos="850"/>
      </w:tabs>
    </w:pPr>
  </w:style>
  <w:style w:type="paragraph" w:customStyle="1" w:styleId="Level27">
    <w:name w:val="Level27"/>
    <w:basedOn w:val="Normal"/>
    <w:rsid w:val="006F5996"/>
    <w:pPr>
      <w:tabs>
        <w:tab w:val="num" w:pos="1417"/>
      </w:tabs>
      <w:spacing w:before="0"/>
      <w:ind w:left="1417" w:hanging="567"/>
    </w:pPr>
  </w:style>
  <w:style w:type="paragraph" w:customStyle="1" w:styleId="Level37">
    <w:name w:val="Level37"/>
    <w:basedOn w:val="Normal"/>
    <w:rsid w:val="006F5996"/>
    <w:pPr>
      <w:tabs>
        <w:tab w:val="num" w:pos="1984"/>
      </w:tabs>
      <w:spacing w:before="0"/>
      <w:ind w:left="1984" w:hanging="567"/>
    </w:pPr>
  </w:style>
  <w:style w:type="paragraph" w:customStyle="1" w:styleId="Bullet27">
    <w:name w:val="Bullet27"/>
    <w:basedOn w:val="Normal"/>
    <w:rsid w:val="006F5996"/>
    <w:pPr>
      <w:tabs>
        <w:tab w:val="left" w:pos="1418"/>
      </w:tabs>
      <w:spacing w:before="0"/>
      <w:ind w:left="1418" w:hanging="567"/>
    </w:pPr>
  </w:style>
  <w:style w:type="character" w:customStyle="1" w:styleId="FootnoteTextChar6">
    <w:name w:val="Footnote Text Char6"/>
    <w:basedOn w:val="DefaultParagraphFont"/>
    <w:rsid w:val="006F5996"/>
    <w:rPr>
      <w:rFonts w:asciiTheme="minorHAnsi" w:hAnsiTheme="minorHAnsi"/>
      <w:sz w:val="22"/>
      <w:lang w:eastAsia="en-US"/>
    </w:rPr>
  </w:style>
  <w:style w:type="character" w:customStyle="1" w:styleId="Heading3Char6">
    <w:name w:val="Heading 3 Char6"/>
    <w:basedOn w:val="DefaultParagraphFont"/>
    <w:rsid w:val="006F5996"/>
    <w:rPr>
      <w:rFonts w:ascii="Calibri" w:hAnsi="Calibri"/>
      <w:b/>
      <w:sz w:val="28"/>
      <w:lang w:eastAsia="en-US"/>
    </w:rPr>
  </w:style>
  <w:style w:type="paragraph" w:customStyle="1" w:styleId="Level1101">
    <w:name w:val="Level1101"/>
    <w:basedOn w:val="Normal"/>
    <w:rsid w:val="006F5996"/>
    <w:pPr>
      <w:tabs>
        <w:tab w:val="num" w:pos="850"/>
      </w:tabs>
    </w:pPr>
  </w:style>
  <w:style w:type="paragraph" w:customStyle="1" w:styleId="Level112">
    <w:name w:val="Level112"/>
    <w:basedOn w:val="Normal"/>
    <w:rsid w:val="006F5996"/>
    <w:pPr>
      <w:tabs>
        <w:tab w:val="num" w:pos="850"/>
      </w:tabs>
    </w:pPr>
  </w:style>
  <w:style w:type="paragraph" w:customStyle="1" w:styleId="Level28">
    <w:name w:val="Level28"/>
    <w:basedOn w:val="Normal"/>
    <w:rsid w:val="006F5996"/>
    <w:pPr>
      <w:tabs>
        <w:tab w:val="num" w:pos="1417"/>
      </w:tabs>
      <w:spacing w:before="0"/>
      <w:ind w:left="1417" w:hanging="567"/>
    </w:pPr>
  </w:style>
  <w:style w:type="paragraph" w:customStyle="1" w:styleId="Level38">
    <w:name w:val="Level38"/>
    <w:basedOn w:val="Normal"/>
    <w:rsid w:val="006F5996"/>
    <w:pPr>
      <w:tabs>
        <w:tab w:val="num" w:pos="1984"/>
      </w:tabs>
      <w:spacing w:before="0"/>
      <w:ind w:left="1984" w:hanging="567"/>
    </w:pPr>
  </w:style>
  <w:style w:type="character" w:customStyle="1" w:styleId="Heading3Char7">
    <w:name w:val="Heading 3 Char7"/>
    <w:basedOn w:val="DefaultParagraphFont"/>
    <w:rsid w:val="006F5996"/>
    <w:rPr>
      <w:rFonts w:ascii="Calibri" w:hAnsi="Calibri"/>
      <w:b/>
      <w:sz w:val="28"/>
      <w:lang w:eastAsia="en-US"/>
    </w:rPr>
  </w:style>
  <w:style w:type="character" w:customStyle="1" w:styleId="FootnoteTextChar7">
    <w:name w:val="Footnote Text Char7"/>
    <w:basedOn w:val="DefaultParagraphFont"/>
    <w:rsid w:val="006F5996"/>
    <w:rPr>
      <w:rFonts w:asciiTheme="minorHAnsi" w:hAnsiTheme="minorHAnsi"/>
      <w:sz w:val="22"/>
      <w:lang w:eastAsia="en-US"/>
    </w:rPr>
  </w:style>
  <w:style w:type="paragraph" w:customStyle="1" w:styleId="Level1121">
    <w:name w:val="Level1121"/>
    <w:basedOn w:val="Normal"/>
    <w:rsid w:val="006F5996"/>
    <w:pPr>
      <w:tabs>
        <w:tab w:val="num" w:pos="850"/>
      </w:tabs>
    </w:pPr>
  </w:style>
  <w:style w:type="paragraph" w:customStyle="1" w:styleId="Level113">
    <w:name w:val="Level113"/>
    <w:basedOn w:val="Normal"/>
    <w:rsid w:val="006F5996"/>
    <w:pPr>
      <w:tabs>
        <w:tab w:val="num" w:pos="850"/>
      </w:tabs>
    </w:pPr>
  </w:style>
  <w:style w:type="paragraph" w:customStyle="1" w:styleId="Level29">
    <w:name w:val="Level29"/>
    <w:basedOn w:val="Normal"/>
    <w:rsid w:val="006F5996"/>
    <w:pPr>
      <w:tabs>
        <w:tab w:val="num" w:pos="1417"/>
      </w:tabs>
      <w:spacing w:before="0"/>
      <w:ind w:left="1417" w:hanging="567"/>
    </w:pPr>
  </w:style>
  <w:style w:type="paragraph" w:customStyle="1" w:styleId="Level39">
    <w:name w:val="Level39"/>
    <w:basedOn w:val="Normal"/>
    <w:rsid w:val="006F5996"/>
    <w:pPr>
      <w:tabs>
        <w:tab w:val="num" w:pos="1984"/>
      </w:tabs>
      <w:spacing w:before="0"/>
      <w:ind w:left="1984" w:hanging="567"/>
    </w:pPr>
  </w:style>
  <w:style w:type="paragraph" w:customStyle="1" w:styleId="Bullet28">
    <w:name w:val="Bullet28"/>
    <w:basedOn w:val="Normal"/>
    <w:rsid w:val="006F5996"/>
    <w:pPr>
      <w:tabs>
        <w:tab w:val="left" w:pos="1418"/>
      </w:tabs>
      <w:spacing w:before="0"/>
      <w:ind w:left="1418" w:hanging="567"/>
    </w:pPr>
  </w:style>
  <w:style w:type="character" w:customStyle="1" w:styleId="FootnoteTextChar8">
    <w:name w:val="Footnote Text Char8"/>
    <w:basedOn w:val="DefaultParagraphFont"/>
    <w:rsid w:val="006F5996"/>
    <w:rPr>
      <w:rFonts w:asciiTheme="minorHAnsi" w:hAnsiTheme="minorHAnsi"/>
      <w:sz w:val="22"/>
      <w:lang w:eastAsia="en-US"/>
    </w:rPr>
  </w:style>
  <w:style w:type="character" w:customStyle="1" w:styleId="Heading3Char8">
    <w:name w:val="Heading 3 Char8"/>
    <w:basedOn w:val="DefaultParagraphFont"/>
    <w:rsid w:val="006F5996"/>
    <w:rPr>
      <w:rFonts w:ascii="Calibri" w:hAnsi="Calibri"/>
      <w:b/>
      <w:sz w:val="28"/>
      <w:lang w:eastAsia="en-US"/>
    </w:rPr>
  </w:style>
  <w:style w:type="paragraph" w:customStyle="1" w:styleId="Level1131">
    <w:name w:val="Level1131"/>
    <w:basedOn w:val="Normal"/>
    <w:rsid w:val="006F5996"/>
    <w:pPr>
      <w:tabs>
        <w:tab w:val="num" w:pos="850"/>
      </w:tabs>
    </w:pPr>
  </w:style>
  <w:style w:type="paragraph" w:customStyle="1" w:styleId="Bullet213">
    <w:name w:val="Bullet213"/>
    <w:basedOn w:val="Normal"/>
    <w:rsid w:val="006F5996"/>
    <w:pPr>
      <w:tabs>
        <w:tab w:val="left" w:pos="1418"/>
      </w:tabs>
      <w:spacing w:before="0"/>
      <w:ind w:left="1418" w:hanging="567"/>
    </w:pPr>
  </w:style>
  <w:style w:type="paragraph" w:customStyle="1" w:styleId="Level210">
    <w:name w:val="Level210"/>
    <w:basedOn w:val="Normal"/>
    <w:rsid w:val="000E264E"/>
    <w:pPr>
      <w:tabs>
        <w:tab w:val="num" w:pos="1417"/>
      </w:tabs>
      <w:spacing w:before="0"/>
      <w:ind w:left="1417" w:hanging="567"/>
    </w:pPr>
  </w:style>
  <w:style w:type="paragraph" w:customStyle="1" w:styleId="Level310">
    <w:name w:val="Level310"/>
    <w:basedOn w:val="Normal"/>
    <w:rsid w:val="000E264E"/>
    <w:pPr>
      <w:tabs>
        <w:tab w:val="num" w:pos="1984"/>
      </w:tabs>
      <w:spacing w:before="0"/>
      <w:ind w:left="1984" w:hanging="567"/>
    </w:pPr>
  </w:style>
  <w:style w:type="paragraph" w:customStyle="1" w:styleId="Level211">
    <w:name w:val="Level211"/>
    <w:basedOn w:val="Normal"/>
    <w:rsid w:val="000E264E"/>
    <w:pPr>
      <w:tabs>
        <w:tab w:val="num" w:pos="1417"/>
      </w:tabs>
      <w:spacing w:before="0"/>
      <w:ind w:left="1417" w:hanging="567"/>
    </w:pPr>
  </w:style>
  <w:style w:type="paragraph" w:customStyle="1" w:styleId="Level311">
    <w:name w:val="Level311"/>
    <w:basedOn w:val="Normal"/>
    <w:rsid w:val="000E264E"/>
    <w:pPr>
      <w:tabs>
        <w:tab w:val="num" w:pos="1984"/>
      </w:tabs>
      <w:spacing w:before="0"/>
      <w:ind w:left="1984" w:hanging="567"/>
    </w:pPr>
  </w:style>
  <w:style w:type="paragraph" w:customStyle="1" w:styleId="Level212">
    <w:name w:val="Level212"/>
    <w:basedOn w:val="Normal"/>
    <w:rsid w:val="000E264E"/>
    <w:pPr>
      <w:tabs>
        <w:tab w:val="num" w:pos="1417"/>
      </w:tabs>
      <w:spacing w:before="0"/>
      <w:ind w:left="1417" w:hanging="567"/>
    </w:pPr>
  </w:style>
  <w:style w:type="paragraph" w:customStyle="1" w:styleId="Level312">
    <w:name w:val="Level312"/>
    <w:basedOn w:val="Normal"/>
    <w:rsid w:val="000E264E"/>
    <w:pPr>
      <w:tabs>
        <w:tab w:val="num" w:pos="1984"/>
      </w:tabs>
      <w:spacing w:before="0"/>
      <w:ind w:left="1984" w:hanging="567"/>
    </w:pPr>
  </w:style>
  <w:style w:type="paragraph" w:customStyle="1" w:styleId="Bullet29">
    <w:name w:val="Bullet29"/>
    <w:basedOn w:val="Normal"/>
    <w:rsid w:val="000E264E"/>
    <w:pPr>
      <w:tabs>
        <w:tab w:val="left" w:pos="1418"/>
      </w:tabs>
      <w:spacing w:before="0"/>
      <w:ind w:left="1418" w:hanging="567"/>
    </w:pPr>
  </w:style>
  <w:style w:type="paragraph" w:customStyle="1" w:styleId="Level213">
    <w:name w:val="Level213"/>
    <w:basedOn w:val="Normal"/>
    <w:rsid w:val="000E264E"/>
    <w:pPr>
      <w:tabs>
        <w:tab w:val="num" w:pos="1417"/>
      </w:tabs>
      <w:spacing w:before="0"/>
      <w:ind w:left="1417" w:hanging="567"/>
    </w:pPr>
  </w:style>
  <w:style w:type="paragraph" w:customStyle="1" w:styleId="Level313">
    <w:name w:val="Level313"/>
    <w:basedOn w:val="Normal"/>
    <w:rsid w:val="000E264E"/>
    <w:pPr>
      <w:tabs>
        <w:tab w:val="num" w:pos="1984"/>
      </w:tabs>
      <w:spacing w:before="0"/>
      <w:ind w:left="1984" w:hanging="567"/>
    </w:pPr>
  </w:style>
  <w:style w:type="paragraph" w:customStyle="1" w:styleId="Bullet210">
    <w:name w:val="Bullet210"/>
    <w:basedOn w:val="Normal"/>
    <w:rsid w:val="000E264E"/>
    <w:pPr>
      <w:tabs>
        <w:tab w:val="left" w:pos="1418"/>
      </w:tabs>
      <w:spacing w:before="0"/>
      <w:ind w:left="1418" w:hanging="567"/>
    </w:pPr>
  </w:style>
  <w:style w:type="paragraph" w:customStyle="1" w:styleId="Level114">
    <w:name w:val="Level114"/>
    <w:basedOn w:val="Normal"/>
    <w:rsid w:val="000E264E"/>
    <w:pPr>
      <w:tabs>
        <w:tab w:val="num" w:pos="850"/>
      </w:tabs>
    </w:pPr>
  </w:style>
  <w:style w:type="paragraph" w:customStyle="1" w:styleId="Level214">
    <w:name w:val="Level214"/>
    <w:basedOn w:val="Normal"/>
    <w:rsid w:val="000E264E"/>
    <w:pPr>
      <w:tabs>
        <w:tab w:val="num" w:pos="1417"/>
      </w:tabs>
      <w:spacing w:before="0"/>
      <w:ind w:left="1417" w:hanging="567"/>
    </w:pPr>
  </w:style>
  <w:style w:type="paragraph" w:customStyle="1" w:styleId="Level314">
    <w:name w:val="Level314"/>
    <w:basedOn w:val="Normal"/>
    <w:rsid w:val="000E264E"/>
    <w:pPr>
      <w:tabs>
        <w:tab w:val="num" w:pos="1984"/>
      </w:tabs>
      <w:spacing w:before="0"/>
      <w:ind w:left="1984" w:hanging="567"/>
    </w:pPr>
  </w:style>
  <w:style w:type="paragraph" w:customStyle="1" w:styleId="Bullet211">
    <w:name w:val="Bullet211"/>
    <w:basedOn w:val="Normal"/>
    <w:rsid w:val="000E264E"/>
    <w:pPr>
      <w:tabs>
        <w:tab w:val="left" w:pos="1418"/>
      </w:tabs>
      <w:spacing w:before="0"/>
      <w:ind w:left="1418" w:hanging="567"/>
    </w:pPr>
  </w:style>
  <w:style w:type="paragraph" w:customStyle="1" w:styleId="Bullet212">
    <w:name w:val="Bullet212"/>
    <w:basedOn w:val="Normal"/>
    <w:rsid w:val="000E264E"/>
    <w:pPr>
      <w:tabs>
        <w:tab w:val="left" w:pos="1418"/>
      </w:tabs>
      <w:spacing w:before="0"/>
      <w:ind w:left="1418" w:hanging="567"/>
    </w:pPr>
  </w:style>
  <w:style w:type="paragraph" w:customStyle="1" w:styleId="Level115">
    <w:name w:val="Level115"/>
    <w:basedOn w:val="Normal"/>
    <w:rsid w:val="000E264E"/>
    <w:pPr>
      <w:tabs>
        <w:tab w:val="num" w:pos="850"/>
      </w:tabs>
    </w:pPr>
  </w:style>
  <w:style w:type="paragraph" w:customStyle="1" w:styleId="Level215">
    <w:name w:val="Level215"/>
    <w:basedOn w:val="Normal"/>
    <w:rsid w:val="000E264E"/>
    <w:pPr>
      <w:tabs>
        <w:tab w:val="num" w:pos="1417"/>
      </w:tabs>
      <w:spacing w:before="0"/>
      <w:ind w:left="1417" w:hanging="567"/>
    </w:pPr>
  </w:style>
  <w:style w:type="paragraph" w:customStyle="1" w:styleId="Level315">
    <w:name w:val="Level315"/>
    <w:basedOn w:val="Normal"/>
    <w:rsid w:val="000E264E"/>
    <w:pPr>
      <w:tabs>
        <w:tab w:val="num" w:pos="1984"/>
      </w:tabs>
      <w:spacing w:before="0"/>
      <w:ind w:left="1984" w:hanging="567"/>
    </w:pPr>
  </w:style>
  <w:style w:type="paragraph" w:customStyle="1" w:styleId="Level116">
    <w:name w:val="Level116"/>
    <w:basedOn w:val="Normal"/>
    <w:rsid w:val="000E264E"/>
    <w:pPr>
      <w:tabs>
        <w:tab w:val="num" w:pos="850"/>
      </w:tabs>
    </w:pPr>
  </w:style>
  <w:style w:type="paragraph" w:customStyle="1" w:styleId="Level216">
    <w:name w:val="Level216"/>
    <w:basedOn w:val="Normal"/>
    <w:rsid w:val="000E264E"/>
    <w:pPr>
      <w:tabs>
        <w:tab w:val="num" w:pos="1417"/>
      </w:tabs>
      <w:spacing w:before="0"/>
      <w:ind w:left="1417" w:hanging="567"/>
    </w:pPr>
  </w:style>
  <w:style w:type="paragraph" w:customStyle="1" w:styleId="Level316">
    <w:name w:val="Level316"/>
    <w:basedOn w:val="Normal"/>
    <w:rsid w:val="000E264E"/>
    <w:pPr>
      <w:tabs>
        <w:tab w:val="num" w:pos="1984"/>
      </w:tabs>
      <w:spacing w:before="0"/>
      <w:ind w:left="1984" w:hanging="567"/>
    </w:pPr>
  </w:style>
  <w:style w:type="paragraph" w:customStyle="1" w:styleId="Bullet214">
    <w:name w:val="Bullet214"/>
    <w:basedOn w:val="Normal"/>
    <w:rsid w:val="000E264E"/>
    <w:pPr>
      <w:tabs>
        <w:tab w:val="left" w:pos="1418"/>
      </w:tabs>
      <w:spacing w:before="0"/>
      <w:ind w:left="1418" w:hanging="567"/>
    </w:pPr>
  </w:style>
  <w:style w:type="paragraph" w:customStyle="1" w:styleId="Level117">
    <w:name w:val="Level117"/>
    <w:basedOn w:val="Normal"/>
    <w:rsid w:val="000E264E"/>
    <w:pPr>
      <w:tabs>
        <w:tab w:val="num" w:pos="850"/>
      </w:tabs>
    </w:pPr>
  </w:style>
  <w:style w:type="paragraph" w:customStyle="1" w:styleId="Level217">
    <w:name w:val="Level217"/>
    <w:basedOn w:val="Normal"/>
    <w:rsid w:val="000E264E"/>
    <w:pPr>
      <w:tabs>
        <w:tab w:val="num" w:pos="1417"/>
      </w:tabs>
      <w:spacing w:before="0"/>
      <w:ind w:left="1417" w:hanging="567"/>
    </w:pPr>
  </w:style>
  <w:style w:type="paragraph" w:customStyle="1" w:styleId="Level317">
    <w:name w:val="Level317"/>
    <w:basedOn w:val="Normal"/>
    <w:rsid w:val="000E264E"/>
    <w:pPr>
      <w:tabs>
        <w:tab w:val="num" w:pos="1984"/>
      </w:tabs>
      <w:spacing w:before="0"/>
      <w:ind w:left="1984" w:hanging="567"/>
    </w:pPr>
  </w:style>
  <w:style w:type="paragraph" w:customStyle="1" w:styleId="Level118">
    <w:name w:val="Level118"/>
    <w:basedOn w:val="Normal"/>
    <w:rsid w:val="000E264E"/>
    <w:pPr>
      <w:tabs>
        <w:tab w:val="num" w:pos="850"/>
      </w:tabs>
    </w:pPr>
  </w:style>
  <w:style w:type="paragraph" w:customStyle="1" w:styleId="Level218">
    <w:name w:val="Level218"/>
    <w:basedOn w:val="Normal"/>
    <w:rsid w:val="000E264E"/>
    <w:pPr>
      <w:tabs>
        <w:tab w:val="num" w:pos="1417"/>
      </w:tabs>
      <w:spacing w:before="0"/>
      <w:ind w:left="1417" w:hanging="567"/>
    </w:pPr>
  </w:style>
  <w:style w:type="paragraph" w:customStyle="1" w:styleId="Level318">
    <w:name w:val="Level318"/>
    <w:basedOn w:val="Normal"/>
    <w:rsid w:val="000E264E"/>
    <w:pPr>
      <w:tabs>
        <w:tab w:val="num" w:pos="1984"/>
      </w:tabs>
      <w:spacing w:before="0"/>
      <w:ind w:left="1984" w:hanging="567"/>
    </w:pPr>
  </w:style>
  <w:style w:type="paragraph" w:customStyle="1" w:styleId="Level119">
    <w:name w:val="Level119"/>
    <w:basedOn w:val="Normal"/>
    <w:rsid w:val="000E264E"/>
    <w:pPr>
      <w:tabs>
        <w:tab w:val="num" w:pos="850"/>
      </w:tabs>
    </w:pPr>
  </w:style>
  <w:style w:type="paragraph" w:customStyle="1" w:styleId="Level219">
    <w:name w:val="Level219"/>
    <w:basedOn w:val="Normal"/>
    <w:rsid w:val="000E264E"/>
    <w:pPr>
      <w:tabs>
        <w:tab w:val="num" w:pos="1417"/>
      </w:tabs>
      <w:spacing w:before="0"/>
      <w:ind w:left="1417" w:hanging="567"/>
    </w:pPr>
  </w:style>
  <w:style w:type="paragraph" w:customStyle="1" w:styleId="Level319">
    <w:name w:val="Level319"/>
    <w:basedOn w:val="Normal"/>
    <w:rsid w:val="000E264E"/>
    <w:pPr>
      <w:tabs>
        <w:tab w:val="num" w:pos="1984"/>
      </w:tabs>
      <w:spacing w:before="0"/>
      <w:ind w:left="1984" w:hanging="567"/>
    </w:pPr>
  </w:style>
  <w:style w:type="paragraph" w:customStyle="1" w:styleId="Bullet215">
    <w:name w:val="Bullet215"/>
    <w:basedOn w:val="Normal"/>
    <w:rsid w:val="000E264E"/>
    <w:pPr>
      <w:tabs>
        <w:tab w:val="left" w:pos="1418"/>
      </w:tabs>
      <w:spacing w:before="0"/>
      <w:ind w:left="1418" w:hanging="567"/>
    </w:pPr>
  </w:style>
  <w:style w:type="paragraph" w:customStyle="1" w:styleId="Level120">
    <w:name w:val="Level120"/>
    <w:basedOn w:val="Normal"/>
    <w:rsid w:val="000E264E"/>
    <w:pPr>
      <w:tabs>
        <w:tab w:val="num" w:pos="850"/>
      </w:tabs>
    </w:pPr>
  </w:style>
  <w:style w:type="character" w:customStyle="1" w:styleId="Level1Char">
    <w:name w:val="Level1 Char"/>
    <w:basedOn w:val="DefaultParagraphFont"/>
    <w:link w:val="Level1"/>
    <w:rsid w:val="00C46699"/>
    <w:rPr>
      <w:rFonts w:asciiTheme="minorHAnsi" w:hAnsiTheme="minorHAnsi"/>
      <w:sz w:val="26"/>
      <w:lang w:eastAsia="en-US"/>
    </w:rPr>
  </w:style>
  <w:style w:type="paragraph" w:customStyle="1" w:styleId="TOCBullet">
    <w:name w:val="TOCBullet"/>
    <w:basedOn w:val="TOC1"/>
    <w:qFormat/>
    <w:rsid w:val="00C46699"/>
    <w:pPr>
      <w:numPr>
        <w:numId w:val="39"/>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6F5996"/>
    <w:pPr>
      <w:keepNext/>
      <w:numPr>
        <w:ilvl w:val="3"/>
        <w:numId w:val="32"/>
      </w:numPr>
      <w:outlineLvl w:val="3"/>
    </w:pPr>
    <w:rPr>
      <w:b/>
      <w:i/>
    </w:rPr>
  </w:style>
  <w:style w:type="paragraph" w:styleId="Heading5">
    <w:name w:val="heading 5"/>
    <w:basedOn w:val="Normal"/>
    <w:next w:val="Normal"/>
    <w:link w:val="Heading5Char"/>
    <w:qFormat/>
    <w:rsid w:val="006F5996"/>
    <w:pPr>
      <w:keepNext/>
      <w:numPr>
        <w:ilvl w:val="4"/>
        <w:numId w:val="32"/>
      </w:numPr>
      <w:jc w:val="left"/>
      <w:outlineLvl w:val="4"/>
    </w:pPr>
    <w:rPr>
      <w:i/>
    </w:rPr>
  </w:style>
  <w:style w:type="paragraph" w:styleId="Heading6">
    <w:name w:val="heading 6"/>
    <w:basedOn w:val="Normal"/>
    <w:next w:val="Normal"/>
    <w:link w:val="Heading6Char"/>
    <w:qFormat/>
    <w:locked/>
    <w:rsid w:val="006F5996"/>
    <w:pPr>
      <w:numPr>
        <w:ilvl w:val="5"/>
        <w:numId w:val="32"/>
      </w:numPr>
      <w:spacing w:before="240" w:after="60"/>
      <w:outlineLvl w:val="5"/>
    </w:pPr>
    <w:rPr>
      <w:i/>
      <w:sz w:val="22"/>
    </w:rPr>
  </w:style>
  <w:style w:type="paragraph" w:styleId="Heading7">
    <w:name w:val="heading 7"/>
    <w:basedOn w:val="Normal"/>
    <w:next w:val="Normal"/>
    <w:link w:val="Heading7Char"/>
    <w:qFormat/>
    <w:locked/>
    <w:rsid w:val="006F5996"/>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6F5996"/>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6F599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6F5996"/>
    <w:pPr>
      <w:numPr>
        <w:numId w:val="32"/>
      </w:numPr>
    </w:pPr>
  </w:style>
  <w:style w:type="paragraph" w:customStyle="1" w:styleId="Level2">
    <w:name w:val="Level2"/>
    <w:basedOn w:val="Normal"/>
    <w:rsid w:val="006F5996"/>
    <w:pPr>
      <w:numPr>
        <w:ilvl w:val="1"/>
        <w:numId w:val="32"/>
      </w:numPr>
      <w:spacing w:before="0"/>
    </w:pPr>
  </w:style>
  <w:style w:type="paragraph" w:customStyle="1" w:styleId="Level3">
    <w:name w:val="Level3"/>
    <w:basedOn w:val="Normal"/>
    <w:link w:val="Level3Char"/>
    <w:rsid w:val="006F5996"/>
    <w:pPr>
      <w:numPr>
        <w:ilvl w:val="2"/>
        <w:numId w:val="32"/>
      </w:numPr>
      <w:spacing w:before="0"/>
    </w:pPr>
  </w:style>
  <w:style w:type="paragraph" w:styleId="FootnoteText">
    <w:name w:val="footnote text"/>
    <w:link w:val="FootnoteTextChar"/>
    <w:qFormat/>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6F5996"/>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6F5996"/>
    <w:rPr>
      <w:rFonts w:asciiTheme="minorHAnsi" w:hAnsiTheme="minorHAnsi"/>
      <w:sz w:val="22"/>
      <w:lang w:eastAsia="en-US"/>
    </w:rPr>
  </w:style>
  <w:style w:type="character" w:customStyle="1" w:styleId="Heading1Char">
    <w:name w:val="Heading 1 Char"/>
    <w:basedOn w:val="DefaultParagraphFont"/>
    <w:link w:val="Heading1"/>
    <w:rsid w:val="006F5996"/>
    <w:rPr>
      <w:rFonts w:ascii="Calibri" w:hAnsi="Calibri"/>
      <w:b/>
      <w:kern w:val="28"/>
      <w:sz w:val="40"/>
      <w:lang w:eastAsia="en-US"/>
    </w:rPr>
  </w:style>
  <w:style w:type="character" w:customStyle="1" w:styleId="Heading2Char">
    <w:name w:val="Heading 2 Char"/>
    <w:basedOn w:val="DefaultParagraphFont"/>
    <w:link w:val="Heading2"/>
    <w:rsid w:val="006F5996"/>
    <w:rPr>
      <w:rFonts w:ascii="Calibri" w:hAnsi="Calibri"/>
      <w:b/>
      <w:sz w:val="36"/>
      <w:lang w:eastAsia="en-US"/>
    </w:rPr>
  </w:style>
  <w:style w:type="character" w:customStyle="1" w:styleId="Heading3Char">
    <w:name w:val="Heading 3 Char"/>
    <w:basedOn w:val="DefaultParagraphFont"/>
    <w:link w:val="Heading3"/>
    <w:rsid w:val="006F5996"/>
    <w:rPr>
      <w:rFonts w:ascii="Calibri" w:hAnsi="Calibri"/>
      <w:b/>
      <w:sz w:val="28"/>
      <w:lang w:eastAsia="en-US"/>
    </w:rPr>
  </w:style>
  <w:style w:type="character" w:customStyle="1" w:styleId="Heading4Char">
    <w:name w:val="Heading 4 Char"/>
    <w:basedOn w:val="DefaultParagraphFont"/>
    <w:link w:val="Heading4"/>
    <w:rsid w:val="006F5996"/>
    <w:rPr>
      <w:rFonts w:asciiTheme="minorHAnsi" w:hAnsiTheme="minorHAnsi"/>
      <w:b/>
      <w:i/>
      <w:sz w:val="26"/>
      <w:lang w:eastAsia="en-US"/>
    </w:rPr>
  </w:style>
  <w:style w:type="character" w:customStyle="1" w:styleId="Heading5Char">
    <w:name w:val="Heading 5 Char"/>
    <w:basedOn w:val="DefaultParagraphFont"/>
    <w:link w:val="Heading5"/>
    <w:rsid w:val="006F5996"/>
    <w:rPr>
      <w:rFonts w:asciiTheme="minorHAnsi" w:hAnsiTheme="minorHAnsi"/>
      <w:i/>
      <w:sz w:val="26"/>
      <w:lang w:eastAsia="en-US"/>
    </w:rPr>
  </w:style>
  <w:style w:type="character" w:customStyle="1" w:styleId="Heading6Char">
    <w:name w:val="Heading 6 Char"/>
    <w:basedOn w:val="DefaultParagraphFont"/>
    <w:link w:val="Heading6"/>
    <w:rsid w:val="006F5996"/>
    <w:rPr>
      <w:rFonts w:asciiTheme="minorHAnsi" w:hAnsiTheme="minorHAnsi"/>
      <w:i/>
      <w:sz w:val="22"/>
      <w:lang w:eastAsia="en-US"/>
    </w:rPr>
  </w:style>
  <w:style w:type="character" w:customStyle="1" w:styleId="Heading7Char">
    <w:name w:val="Heading 7 Char"/>
    <w:basedOn w:val="DefaultParagraphFont"/>
    <w:link w:val="Heading7"/>
    <w:rsid w:val="006F5996"/>
    <w:rPr>
      <w:rFonts w:ascii="Arial" w:hAnsi="Arial"/>
      <w:lang w:eastAsia="en-US"/>
    </w:rPr>
  </w:style>
  <w:style w:type="character" w:customStyle="1" w:styleId="Heading8Char">
    <w:name w:val="Heading 8 Char"/>
    <w:basedOn w:val="DefaultParagraphFont"/>
    <w:link w:val="Heading8"/>
    <w:rsid w:val="006F5996"/>
    <w:rPr>
      <w:rFonts w:ascii="Arial" w:hAnsi="Arial"/>
      <w:i/>
      <w:lang w:eastAsia="en-US"/>
    </w:rPr>
  </w:style>
  <w:style w:type="character" w:customStyle="1" w:styleId="Heading9Char">
    <w:name w:val="Heading 9 Char"/>
    <w:basedOn w:val="DefaultParagraphFont"/>
    <w:link w:val="Heading9"/>
    <w:rsid w:val="006F5996"/>
    <w:rPr>
      <w:rFonts w:ascii="Arial" w:hAnsi="Arial"/>
      <w:b/>
      <w:i/>
      <w:sz w:val="18"/>
      <w:lang w:eastAsia="en-US"/>
    </w:rPr>
  </w:style>
  <w:style w:type="character" w:customStyle="1" w:styleId="HeaderChar">
    <w:name w:val="Header Char"/>
    <w:basedOn w:val="DefaultParagraphFont"/>
    <w:link w:val="Header"/>
    <w:semiHidden/>
    <w:rsid w:val="006F5996"/>
    <w:rPr>
      <w:rFonts w:asciiTheme="minorHAnsi" w:hAnsiTheme="minorHAnsi"/>
      <w:sz w:val="22"/>
      <w:lang w:eastAsia="en-US"/>
    </w:rPr>
  </w:style>
  <w:style w:type="character" w:customStyle="1" w:styleId="FooterChar">
    <w:name w:val="Footer Char"/>
    <w:basedOn w:val="DefaultParagraphFont"/>
    <w:link w:val="Footer"/>
    <w:uiPriority w:val="99"/>
    <w:rsid w:val="006F5996"/>
    <w:rPr>
      <w:rFonts w:asciiTheme="minorHAnsi" w:hAnsiTheme="minorHAnsi"/>
      <w:sz w:val="22"/>
      <w:lang w:eastAsia="en-US"/>
    </w:rPr>
  </w:style>
  <w:style w:type="character" w:customStyle="1" w:styleId="QuoteChar">
    <w:name w:val="Quote Char"/>
    <w:basedOn w:val="DefaultParagraphFont"/>
    <w:link w:val="Quote"/>
    <w:rsid w:val="006F5996"/>
    <w:rPr>
      <w:rFonts w:asciiTheme="minorHAnsi" w:hAnsiTheme="minorHAnsi"/>
      <w:sz w:val="24"/>
      <w:lang w:eastAsia="en-US"/>
    </w:rPr>
  </w:style>
  <w:style w:type="character" w:customStyle="1" w:styleId="EndnoteTextChar">
    <w:name w:val="Endnote Text Char"/>
    <w:basedOn w:val="DefaultParagraphFont"/>
    <w:link w:val="EndnoteText"/>
    <w:semiHidden/>
    <w:rsid w:val="006F5996"/>
    <w:rPr>
      <w:rFonts w:asciiTheme="minorHAnsi" w:hAnsiTheme="minorHAnsi"/>
      <w:lang w:eastAsia="en-US"/>
    </w:rPr>
  </w:style>
  <w:style w:type="character" w:customStyle="1" w:styleId="BalloonTextChar">
    <w:name w:val="Balloon Text Char"/>
    <w:basedOn w:val="DefaultParagraphFont"/>
    <w:link w:val="BalloonText"/>
    <w:semiHidden/>
    <w:rsid w:val="006F5996"/>
    <w:rPr>
      <w:rFonts w:ascii="Tahoma" w:hAnsi="Tahoma" w:cs="Tahoma"/>
      <w:sz w:val="16"/>
      <w:szCs w:val="16"/>
      <w:lang w:eastAsia="en-US"/>
    </w:rPr>
  </w:style>
  <w:style w:type="character" w:customStyle="1" w:styleId="BodyTextChar">
    <w:name w:val="Body Text Char"/>
    <w:basedOn w:val="DefaultParagraphFont"/>
    <w:link w:val="BodyText"/>
    <w:semiHidden/>
    <w:rsid w:val="006F5996"/>
    <w:rPr>
      <w:rFonts w:asciiTheme="minorHAnsi" w:hAnsiTheme="minorHAnsi"/>
      <w:sz w:val="26"/>
      <w:lang w:eastAsia="en-US"/>
    </w:rPr>
  </w:style>
  <w:style w:type="character" w:customStyle="1" w:styleId="BodyText2Char">
    <w:name w:val="Body Text 2 Char"/>
    <w:basedOn w:val="DefaultParagraphFont"/>
    <w:link w:val="BodyText2"/>
    <w:semiHidden/>
    <w:rsid w:val="006F5996"/>
    <w:rPr>
      <w:rFonts w:asciiTheme="minorHAnsi" w:hAnsiTheme="minorHAnsi"/>
      <w:sz w:val="26"/>
      <w:lang w:eastAsia="en-US"/>
    </w:rPr>
  </w:style>
  <w:style w:type="character" w:customStyle="1" w:styleId="BodyText3Char">
    <w:name w:val="Body Text 3 Char"/>
    <w:basedOn w:val="DefaultParagraphFont"/>
    <w:link w:val="BodyText3"/>
    <w:semiHidden/>
    <w:rsid w:val="006F5996"/>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6F5996"/>
    <w:rPr>
      <w:rFonts w:asciiTheme="minorHAnsi" w:hAnsiTheme="minorHAnsi"/>
      <w:sz w:val="26"/>
      <w:lang w:eastAsia="en-US"/>
    </w:rPr>
  </w:style>
  <w:style w:type="character" w:customStyle="1" w:styleId="BodyTextIndentChar">
    <w:name w:val="Body Text Indent Char"/>
    <w:basedOn w:val="DefaultParagraphFont"/>
    <w:link w:val="BodyTextIndent"/>
    <w:semiHidden/>
    <w:rsid w:val="006F5996"/>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6F5996"/>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6F5996"/>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6F5996"/>
    <w:rPr>
      <w:rFonts w:asciiTheme="minorHAnsi" w:hAnsiTheme="minorHAnsi"/>
      <w:sz w:val="16"/>
      <w:szCs w:val="16"/>
      <w:lang w:eastAsia="en-US"/>
    </w:rPr>
  </w:style>
  <w:style w:type="character" w:customStyle="1" w:styleId="ClosingChar">
    <w:name w:val="Closing Char"/>
    <w:basedOn w:val="DefaultParagraphFont"/>
    <w:link w:val="Closing"/>
    <w:semiHidden/>
    <w:rsid w:val="006F5996"/>
    <w:rPr>
      <w:rFonts w:asciiTheme="minorHAnsi" w:hAnsiTheme="minorHAnsi"/>
      <w:sz w:val="26"/>
      <w:lang w:eastAsia="en-US"/>
    </w:rPr>
  </w:style>
  <w:style w:type="character" w:customStyle="1" w:styleId="CommentTextChar">
    <w:name w:val="Comment Text Char"/>
    <w:basedOn w:val="DefaultParagraphFont"/>
    <w:link w:val="CommentText"/>
    <w:semiHidden/>
    <w:rsid w:val="006F5996"/>
    <w:rPr>
      <w:rFonts w:asciiTheme="minorHAnsi" w:hAnsiTheme="minorHAnsi"/>
      <w:lang w:eastAsia="en-US"/>
    </w:rPr>
  </w:style>
  <w:style w:type="character" w:customStyle="1" w:styleId="CommentSubjectChar">
    <w:name w:val="Comment Subject Char"/>
    <w:basedOn w:val="CommentTextChar"/>
    <w:link w:val="CommentSubject"/>
    <w:semiHidden/>
    <w:rsid w:val="006F5996"/>
    <w:rPr>
      <w:rFonts w:asciiTheme="minorHAnsi" w:hAnsiTheme="minorHAnsi"/>
      <w:b/>
      <w:bCs/>
      <w:lang w:eastAsia="en-US"/>
    </w:rPr>
  </w:style>
  <w:style w:type="character" w:customStyle="1" w:styleId="DateChar">
    <w:name w:val="Date Char"/>
    <w:basedOn w:val="DefaultParagraphFont"/>
    <w:link w:val="Date"/>
    <w:semiHidden/>
    <w:rsid w:val="006F5996"/>
    <w:rPr>
      <w:rFonts w:asciiTheme="minorHAnsi" w:hAnsiTheme="minorHAnsi"/>
      <w:sz w:val="26"/>
      <w:lang w:eastAsia="en-US"/>
    </w:rPr>
  </w:style>
  <w:style w:type="character" w:customStyle="1" w:styleId="DocumentMapChar">
    <w:name w:val="Document Map Char"/>
    <w:basedOn w:val="DefaultParagraphFont"/>
    <w:link w:val="DocumentMap"/>
    <w:semiHidden/>
    <w:rsid w:val="006F5996"/>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6F5996"/>
    <w:rPr>
      <w:rFonts w:asciiTheme="minorHAnsi" w:hAnsiTheme="minorHAnsi"/>
      <w:sz w:val="26"/>
      <w:lang w:eastAsia="en-US"/>
    </w:rPr>
  </w:style>
  <w:style w:type="character" w:customStyle="1" w:styleId="HTMLAddressChar">
    <w:name w:val="HTML Address Char"/>
    <w:basedOn w:val="DefaultParagraphFont"/>
    <w:link w:val="HTMLAddress"/>
    <w:semiHidden/>
    <w:rsid w:val="006F5996"/>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6F5996"/>
    <w:rPr>
      <w:rFonts w:ascii="Courier New" w:hAnsi="Courier New" w:cs="Courier New"/>
      <w:lang w:eastAsia="en-US"/>
    </w:rPr>
  </w:style>
  <w:style w:type="character" w:customStyle="1" w:styleId="MacroTextChar">
    <w:name w:val="Macro Text Char"/>
    <w:basedOn w:val="DefaultParagraphFont"/>
    <w:link w:val="MacroText"/>
    <w:semiHidden/>
    <w:rsid w:val="006F5996"/>
    <w:rPr>
      <w:rFonts w:ascii="Courier New" w:hAnsi="Courier New" w:cs="Courier New"/>
      <w:lang w:eastAsia="en-US"/>
    </w:rPr>
  </w:style>
  <w:style w:type="character" w:customStyle="1" w:styleId="MessageHeaderChar">
    <w:name w:val="Message Header Char"/>
    <w:basedOn w:val="DefaultParagraphFont"/>
    <w:link w:val="MessageHeader"/>
    <w:semiHidden/>
    <w:rsid w:val="006F5996"/>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6F5996"/>
    <w:rPr>
      <w:rFonts w:asciiTheme="minorHAnsi" w:hAnsiTheme="minorHAnsi"/>
      <w:sz w:val="26"/>
      <w:lang w:eastAsia="en-US"/>
    </w:rPr>
  </w:style>
  <w:style w:type="character" w:customStyle="1" w:styleId="PlainTextChar">
    <w:name w:val="Plain Text Char"/>
    <w:basedOn w:val="DefaultParagraphFont"/>
    <w:link w:val="PlainText"/>
    <w:semiHidden/>
    <w:rsid w:val="006F5996"/>
    <w:rPr>
      <w:rFonts w:ascii="Courier New" w:hAnsi="Courier New" w:cs="Courier New"/>
      <w:lang w:eastAsia="en-US"/>
    </w:rPr>
  </w:style>
  <w:style w:type="character" w:customStyle="1" w:styleId="SalutationChar">
    <w:name w:val="Salutation Char"/>
    <w:basedOn w:val="DefaultParagraphFont"/>
    <w:link w:val="Salutation"/>
    <w:semiHidden/>
    <w:rsid w:val="006F5996"/>
    <w:rPr>
      <w:rFonts w:asciiTheme="minorHAnsi" w:hAnsiTheme="minorHAnsi"/>
      <w:sz w:val="26"/>
      <w:lang w:eastAsia="en-US"/>
    </w:rPr>
  </w:style>
  <w:style w:type="character" w:customStyle="1" w:styleId="SignatureChar">
    <w:name w:val="Signature Char"/>
    <w:basedOn w:val="DefaultParagraphFont"/>
    <w:link w:val="Signature"/>
    <w:semiHidden/>
    <w:rsid w:val="006F5996"/>
    <w:rPr>
      <w:rFonts w:asciiTheme="minorHAnsi" w:hAnsiTheme="minorHAnsi"/>
      <w:sz w:val="26"/>
      <w:lang w:eastAsia="en-US"/>
    </w:rPr>
  </w:style>
  <w:style w:type="character" w:customStyle="1" w:styleId="SubtitleChar">
    <w:name w:val="Subtitle Char"/>
    <w:basedOn w:val="DefaultParagraphFont"/>
    <w:link w:val="Subtitle"/>
    <w:rsid w:val="006F5996"/>
    <w:rPr>
      <w:rFonts w:ascii="Arial" w:hAnsi="Arial" w:cs="Arial"/>
      <w:sz w:val="24"/>
      <w:szCs w:val="24"/>
      <w:lang w:eastAsia="en-US"/>
    </w:rPr>
  </w:style>
  <w:style w:type="character" w:customStyle="1" w:styleId="TitleChar">
    <w:name w:val="Title Char"/>
    <w:basedOn w:val="DefaultParagraphFont"/>
    <w:link w:val="Title"/>
    <w:rsid w:val="006F5996"/>
    <w:rPr>
      <w:rFonts w:ascii="Arial" w:hAnsi="Arial" w:cs="Arial"/>
      <w:b/>
      <w:bCs/>
      <w:kern w:val="28"/>
      <w:sz w:val="32"/>
      <w:szCs w:val="32"/>
      <w:lang w:eastAsia="en-US"/>
    </w:rPr>
  </w:style>
  <w:style w:type="paragraph" w:customStyle="1" w:styleId="Level11">
    <w:name w:val="Level11"/>
    <w:basedOn w:val="Normal"/>
    <w:rsid w:val="006F5996"/>
    <w:pPr>
      <w:tabs>
        <w:tab w:val="num" w:pos="850"/>
      </w:tabs>
    </w:pPr>
  </w:style>
  <w:style w:type="paragraph" w:customStyle="1" w:styleId="Level21">
    <w:name w:val="Level21"/>
    <w:basedOn w:val="Normal"/>
    <w:rsid w:val="006F5996"/>
    <w:pPr>
      <w:tabs>
        <w:tab w:val="num" w:pos="1417"/>
      </w:tabs>
      <w:spacing w:before="0"/>
      <w:ind w:left="1417" w:hanging="567"/>
    </w:pPr>
  </w:style>
  <w:style w:type="paragraph" w:customStyle="1" w:styleId="Level31">
    <w:name w:val="Level31"/>
    <w:basedOn w:val="Normal"/>
    <w:rsid w:val="006F5996"/>
    <w:pPr>
      <w:tabs>
        <w:tab w:val="num" w:pos="1984"/>
      </w:tabs>
      <w:spacing w:before="0"/>
      <w:ind w:left="1984" w:hanging="567"/>
    </w:pPr>
  </w:style>
  <w:style w:type="paragraph" w:customStyle="1" w:styleId="Bullet21">
    <w:name w:val="Bullet21"/>
    <w:basedOn w:val="Normal"/>
    <w:rsid w:val="006F5996"/>
    <w:pPr>
      <w:tabs>
        <w:tab w:val="left" w:pos="1418"/>
      </w:tabs>
      <w:spacing w:before="0"/>
      <w:ind w:left="1418" w:hanging="567"/>
    </w:pPr>
  </w:style>
  <w:style w:type="paragraph" w:customStyle="1" w:styleId="Level12">
    <w:name w:val="Level12"/>
    <w:basedOn w:val="Normal"/>
    <w:rsid w:val="006F5996"/>
    <w:pPr>
      <w:tabs>
        <w:tab w:val="num" w:pos="850"/>
      </w:tabs>
    </w:pPr>
  </w:style>
  <w:style w:type="paragraph" w:customStyle="1" w:styleId="Level13">
    <w:name w:val="Level13"/>
    <w:basedOn w:val="Normal"/>
    <w:rsid w:val="006F5996"/>
    <w:pPr>
      <w:tabs>
        <w:tab w:val="num" w:pos="850"/>
      </w:tabs>
    </w:pPr>
  </w:style>
  <w:style w:type="paragraph" w:customStyle="1" w:styleId="Level22">
    <w:name w:val="Level22"/>
    <w:basedOn w:val="Normal"/>
    <w:rsid w:val="006F5996"/>
    <w:pPr>
      <w:tabs>
        <w:tab w:val="num" w:pos="1417"/>
      </w:tabs>
      <w:spacing w:before="0"/>
      <w:ind w:left="1417" w:hanging="567"/>
    </w:pPr>
  </w:style>
  <w:style w:type="paragraph" w:customStyle="1" w:styleId="Level32">
    <w:name w:val="Level32"/>
    <w:basedOn w:val="Normal"/>
    <w:rsid w:val="006F5996"/>
    <w:pPr>
      <w:tabs>
        <w:tab w:val="num" w:pos="1984"/>
      </w:tabs>
      <w:spacing w:before="0"/>
      <w:ind w:left="1984" w:hanging="567"/>
    </w:pPr>
  </w:style>
  <w:style w:type="paragraph" w:customStyle="1" w:styleId="Bullet22">
    <w:name w:val="Bullet22"/>
    <w:basedOn w:val="Normal"/>
    <w:rsid w:val="006F5996"/>
    <w:pPr>
      <w:tabs>
        <w:tab w:val="left" w:pos="1418"/>
      </w:tabs>
      <w:spacing w:before="0"/>
      <w:ind w:left="1418" w:hanging="567"/>
    </w:pPr>
  </w:style>
  <w:style w:type="character" w:customStyle="1" w:styleId="Heading3Char1">
    <w:name w:val="Heading 3 Char1"/>
    <w:basedOn w:val="DefaultParagraphFont"/>
    <w:rsid w:val="006F5996"/>
    <w:rPr>
      <w:rFonts w:ascii="Calibri" w:hAnsi="Calibri"/>
      <w:b/>
      <w:sz w:val="28"/>
      <w:lang w:eastAsia="en-US"/>
    </w:rPr>
  </w:style>
  <w:style w:type="character" w:customStyle="1" w:styleId="FootnoteTextChar1">
    <w:name w:val="Footnote Text Char1"/>
    <w:basedOn w:val="DefaultParagraphFont"/>
    <w:rsid w:val="006F5996"/>
    <w:rPr>
      <w:rFonts w:asciiTheme="minorHAnsi" w:hAnsiTheme="minorHAnsi"/>
      <w:sz w:val="22"/>
      <w:lang w:eastAsia="en-US"/>
    </w:rPr>
  </w:style>
  <w:style w:type="paragraph" w:customStyle="1" w:styleId="Level131">
    <w:name w:val="Level131"/>
    <w:basedOn w:val="Normal"/>
    <w:rsid w:val="006F5996"/>
    <w:pPr>
      <w:tabs>
        <w:tab w:val="num" w:pos="850"/>
      </w:tabs>
    </w:pPr>
  </w:style>
  <w:style w:type="paragraph" w:customStyle="1" w:styleId="Level14">
    <w:name w:val="Level14"/>
    <w:basedOn w:val="Normal"/>
    <w:rsid w:val="006F5996"/>
    <w:pPr>
      <w:tabs>
        <w:tab w:val="num" w:pos="850"/>
      </w:tabs>
    </w:pPr>
  </w:style>
  <w:style w:type="paragraph" w:customStyle="1" w:styleId="Level23">
    <w:name w:val="Level23"/>
    <w:basedOn w:val="Normal"/>
    <w:rsid w:val="006F5996"/>
    <w:pPr>
      <w:tabs>
        <w:tab w:val="num" w:pos="1417"/>
      </w:tabs>
      <w:spacing w:before="0"/>
      <w:ind w:left="1417" w:hanging="567"/>
    </w:pPr>
  </w:style>
  <w:style w:type="paragraph" w:customStyle="1" w:styleId="Level33">
    <w:name w:val="Level33"/>
    <w:basedOn w:val="Normal"/>
    <w:rsid w:val="006F5996"/>
    <w:pPr>
      <w:tabs>
        <w:tab w:val="num" w:pos="1984"/>
      </w:tabs>
      <w:spacing w:before="0"/>
      <w:ind w:left="1984" w:hanging="567"/>
    </w:pPr>
  </w:style>
  <w:style w:type="paragraph" w:customStyle="1" w:styleId="Bullet23">
    <w:name w:val="Bullet23"/>
    <w:basedOn w:val="Normal"/>
    <w:rsid w:val="006F5996"/>
    <w:pPr>
      <w:tabs>
        <w:tab w:val="left" w:pos="1418"/>
      </w:tabs>
      <w:spacing w:before="0"/>
      <w:ind w:left="1418" w:hanging="567"/>
    </w:pPr>
  </w:style>
  <w:style w:type="character" w:customStyle="1" w:styleId="FootnoteTextChar2">
    <w:name w:val="Footnote Text Char2"/>
    <w:basedOn w:val="DefaultParagraphFont"/>
    <w:rsid w:val="006F5996"/>
    <w:rPr>
      <w:rFonts w:asciiTheme="minorHAnsi" w:hAnsiTheme="minorHAnsi"/>
      <w:sz w:val="22"/>
      <w:lang w:eastAsia="en-US"/>
    </w:rPr>
  </w:style>
  <w:style w:type="character" w:customStyle="1" w:styleId="Heading3Char2">
    <w:name w:val="Heading 3 Char2"/>
    <w:basedOn w:val="DefaultParagraphFont"/>
    <w:rsid w:val="006F5996"/>
    <w:rPr>
      <w:rFonts w:ascii="Calibri" w:hAnsi="Calibri"/>
      <w:b/>
      <w:sz w:val="28"/>
      <w:lang w:eastAsia="en-US"/>
    </w:rPr>
  </w:style>
  <w:style w:type="paragraph" w:customStyle="1" w:styleId="Level15">
    <w:name w:val="Level15"/>
    <w:basedOn w:val="Normal"/>
    <w:rsid w:val="006F5996"/>
    <w:pPr>
      <w:tabs>
        <w:tab w:val="num" w:pos="850"/>
      </w:tabs>
    </w:pPr>
  </w:style>
  <w:style w:type="paragraph" w:customStyle="1" w:styleId="Level16">
    <w:name w:val="Level16"/>
    <w:basedOn w:val="Normal"/>
    <w:rsid w:val="006F5996"/>
    <w:pPr>
      <w:tabs>
        <w:tab w:val="num" w:pos="850"/>
      </w:tabs>
    </w:pPr>
  </w:style>
  <w:style w:type="paragraph" w:customStyle="1" w:styleId="Level24">
    <w:name w:val="Level24"/>
    <w:basedOn w:val="Normal"/>
    <w:rsid w:val="006F5996"/>
    <w:pPr>
      <w:tabs>
        <w:tab w:val="num" w:pos="1417"/>
      </w:tabs>
      <w:spacing w:before="0"/>
      <w:ind w:left="1417" w:hanging="567"/>
    </w:pPr>
  </w:style>
  <w:style w:type="paragraph" w:customStyle="1" w:styleId="Level34">
    <w:name w:val="Level34"/>
    <w:basedOn w:val="Normal"/>
    <w:rsid w:val="006F5996"/>
    <w:pPr>
      <w:tabs>
        <w:tab w:val="num" w:pos="1984"/>
      </w:tabs>
      <w:spacing w:before="0"/>
      <w:ind w:left="1984" w:hanging="567"/>
    </w:pPr>
  </w:style>
  <w:style w:type="paragraph" w:customStyle="1" w:styleId="Bullet24">
    <w:name w:val="Bullet24"/>
    <w:basedOn w:val="Normal"/>
    <w:rsid w:val="006F5996"/>
    <w:pPr>
      <w:tabs>
        <w:tab w:val="left" w:pos="1418"/>
      </w:tabs>
      <w:spacing w:before="0"/>
      <w:ind w:left="1418" w:hanging="567"/>
    </w:pPr>
  </w:style>
  <w:style w:type="character" w:customStyle="1" w:styleId="FootnoteTextChar3">
    <w:name w:val="Footnote Text Char3"/>
    <w:basedOn w:val="DefaultParagraphFont"/>
    <w:rsid w:val="006F5996"/>
    <w:rPr>
      <w:rFonts w:asciiTheme="minorHAnsi" w:hAnsiTheme="minorHAnsi"/>
      <w:sz w:val="22"/>
      <w:lang w:eastAsia="en-US"/>
    </w:rPr>
  </w:style>
  <w:style w:type="character" w:customStyle="1" w:styleId="Heading3Char3">
    <w:name w:val="Heading 3 Char3"/>
    <w:basedOn w:val="DefaultParagraphFont"/>
    <w:rsid w:val="006F5996"/>
    <w:rPr>
      <w:rFonts w:ascii="Calibri" w:hAnsi="Calibri"/>
      <w:b/>
      <w:sz w:val="28"/>
      <w:lang w:eastAsia="en-US"/>
    </w:rPr>
  </w:style>
  <w:style w:type="paragraph" w:customStyle="1" w:styleId="Level161">
    <w:name w:val="Level161"/>
    <w:basedOn w:val="Normal"/>
    <w:rsid w:val="006F5996"/>
    <w:pPr>
      <w:tabs>
        <w:tab w:val="num" w:pos="850"/>
      </w:tabs>
    </w:pPr>
  </w:style>
  <w:style w:type="paragraph" w:customStyle="1" w:styleId="Level17">
    <w:name w:val="Level17"/>
    <w:basedOn w:val="Normal"/>
    <w:rsid w:val="006F5996"/>
    <w:pPr>
      <w:tabs>
        <w:tab w:val="num" w:pos="850"/>
      </w:tabs>
    </w:pPr>
  </w:style>
  <w:style w:type="paragraph" w:customStyle="1" w:styleId="Level25">
    <w:name w:val="Level25"/>
    <w:basedOn w:val="Normal"/>
    <w:rsid w:val="006F5996"/>
    <w:pPr>
      <w:tabs>
        <w:tab w:val="num" w:pos="1417"/>
      </w:tabs>
      <w:spacing w:before="0"/>
      <w:ind w:left="1417" w:hanging="567"/>
    </w:pPr>
  </w:style>
  <w:style w:type="paragraph" w:customStyle="1" w:styleId="Level35">
    <w:name w:val="Level35"/>
    <w:basedOn w:val="Normal"/>
    <w:rsid w:val="006F5996"/>
    <w:pPr>
      <w:tabs>
        <w:tab w:val="num" w:pos="1984"/>
      </w:tabs>
      <w:spacing w:before="0"/>
      <w:ind w:left="1984" w:hanging="567"/>
    </w:pPr>
  </w:style>
  <w:style w:type="paragraph" w:customStyle="1" w:styleId="Bullet25">
    <w:name w:val="Bullet25"/>
    <w:basedOn w:val="Normal"/>
    <w:rsid w:val="006F5996"/>
    <w:pPr>
      <w:tabs>
        <w:tab w:val="left" w:pos="1418"/>
      </w:tabs>
      <w:spacing w:before="0"/>
      <w:ind w:left="1418" w:hanging="567"/>
    </w:pPr>
  </w:style>
  <w:style w:type="character" w:customStyle="1" w:styleId="FootnoteTextChar4">
    <w:name w:val="Footnote Text Char4"/>
    <w:basedOn w:val="DefaultParagraphFont"/>
    <w:rsid w:val="006F5996"/>
    <w:rPr>
      <w:rFonts w:asciiTheme="minorHAnsi" w:hAnsiTheme="minorHAnsi"/>
      <w:sz w:val="22"/>
      <w:lang w:eastAsia="en-US"/>
    </w:rPr>
  </w:style>
  <w:style w:type="character" w:customStyle="1" w:styleId="Heading3Char4">
    <w:name w:val="Heading 3 Char4"/>
    <w:basedOn w:val="DefaultParagraphFont"/>
    <w:rsid w:val="006F5996"/>
    <w:rPr>
      <w:rFonts w:ascii="Calibri" w:hAnsi="Calibri"/>
      <w:b/>
      <w:sz w:val="28"/>
      <w:lang w:eastAsia="en-US"/>
    </w:rPr>
  </w:style>
  <w:style w:type="paragraph" w:customStyle="1" w:styleId="Level18">
    <w:name w:val="Level18"/>
    <w:basedOn w:val="Normal"/>
    <w:rsid w:val="006F5996"/>
    <w:pPr>
      <w:tabs>
        <w:tab w:val="num" w:pos="850"/>
      </w:tabs>
    </w:pPr>
  </w:style>
  <w:style w:type="paragraph" w:customStyle="1" w:styleId="Level19">
    <w:name w:val="Level19"/>
    <w:basedOn w:val="Normal"/>
    <w:rsid w:val="006F5996"/>
    <w:pPr>
      <w:tabs>
        <w:tab w:val="num" w:pos="850"/>
      </w:tabs>
    </w:pPr>
  </w:style>
  <w:style w:type="paragraph" w:customStyle="1" w:styleId="Level26">
    <w:name w:val="Level26"/>
    <w:basedOn w:val="Normal"/>
    <w:rsid w:val="006F5996"/>
    <w:pPr>
      <w:tabs>
        <w:tab w:val="num" w:pos="1417"/>
      </w:tabs>
      <w:spacing w:before="0"/>
      <w:ind w:left="1417" w:hanging="567"/>
    </w:pPr>
  </w:style>
  <w:style w:type="paragraph" w:customStyle="1" w:styleId="Level36">
    <w:name w:val="Level36"/>
    <w:basedOn w:val="Normal"/>
    <w:rsid w:val="006F5996"/>
    <w:pPr>
      <w:tabs>
        <w:tab w:val="num" w:pos="1984"/>
      </w:tabs>
      <w:spacing w:before="0"/>
      <w:ind w:left="1984" w:hanging="567"/>
    </w:pPr>
  </w:style>
  <w:style w:type="paragraph" w:customStyle="1" w:styleId="Bullet26">
    <w:name w:val="Bullet26"/>
    <w:basedOn w:val="Normal"/>
    <w:rsid w:val="006F5996"/>
    <w:pPr>
      <w:tabs>
        <w:tab w:val="left" w:pos="1418"/>
      </w:tabs>
      <w:spacing w:before="0"/>
      <w:ind w:left="1418" w:hanging="567"/>
    </w:pPr>
  </w:style>
  <w:style w:type="character" w:customStyle="1" w:styleId="FootnoteTextChar5">
    <w:name w:val="Footnote Text Char5"/>
    <w:basedOn w:val="DefaultParagraphFont"/>
    <w:rsid w:val="006F5996"/>
    <w:rPr>
      <w:rFonts w:asciiTheme="minorHAnsi" w:hAnsiTheme="minorHAnsi"/>
      <w:sz w:val="22"/>
      <w:lang w:eastAsia="en-US"/>
    </w:rPr>
  </w:style>
  <w:style w:type="character" w:customStyle="1" w:styleId="Heading3Char5">
    <w:name w:val="Heading 3 Char5"/>
    <w:basedOn w:val="DefaultParagraphFont"/>
    <w:rsid w:val="006F5996"/>
    <w:rPr>
      <w:rFonts w:ascii="Calibri" w:hAnsi="Calibri"/>
      <w:b/>
      <w:sz w:val="28"/>
      <w:lang w:eastAsia="en-US"/>
    </w:rPr>
  </w:style>
  <w:style w:type="paragraph" w:customStyle="1" w:styleId="Level111">
    <w:name w:val="Level111"/>
    <w:basedOn w:val="Normal"/>
    <w:rsid w:val="006F5996"/>
    <w:pPr>
      <w:tabs>
        <w:tab w:val="num" w:pos="850"/>
      </w:tabs>
    </w:pPr>
  </w:style>
  <w:style w:type="paragraph" w:customStyle="1" w:styleId="Level110">
    <w:name w:val="Level110"/>
    <w:basedOn w:val="Normal"/>
    <w:rsid w:val="006F5996"/>
    <w:pPr>
      <w:tabs>
        <w:tab w:val="num" w:pos="850"/>
      </w:tabs>
    </w:pPr>
  </w:style>
  <w:style w:type="paragraph" w:customStyle="1" w:styleId="Level27">
    <w:name w:val="Level27"/>
    <w:basedOn w:val="Normal"/>
    <w:rsid w:val="006F5996"/>
    <w:pPr>
      <w:tabs>
        <w:tab w:val="num" w:pos="1417"/>
      </w:tabs>
      <w:spacing w:before="0"/>
      <w:ind w:left="1417" w:hanging="567"/>
    </w:pPr>
  </w:style>
  <w:style w:type="paragraph" w:customStyle="1" w:styleId="Level37">
    <w:name w:val="Level37"/>
    <w:basedOn w:val="Normal"/>
    <w:rsid w:val="006F5996"/>
    <w:pPr>
      <w:tabs>
        <w:tab w:val="num" w:pos="1984"/>
      </w:tabs>
      <w:spacing w:before="0"/>
      <w:ind w:left="1984" w:hanging="567"/>
    </w:pPr>
  </w:style>
  <w:style w:type="paragraph" w:customStyle="1" w:styleId="Bullet27">
    <w:name w:val="Bullet27"/>
    <w:basedOn w:val="Normal"/>
    <w:rsid w:val="006F5996"/>
    <w:pPr>
      <w:tabs>
        <w:tab w:val="left" w:pos="1418"/>
      </w:tabs>
      <w:spacing w:before="0"/>
      <w:ind w:left="1418" w:hanging="567"/>
    </w:pPr>
  </w:style>
  <w:style w:type="character" w:customStyle="1" w:styleId="FootnoteTextChar6">
    <w:name w:val="Footnote Text Char6"/>
    <w:basedOn w:val="DefaultParagraphFont"/>
    <w:rsid w:val="006F5996"/>
    <w:rPr>
      <w:rFonts w:asciiTheme="minorHAnsi" w:hAnsiTheme="minorHAnsi"/>
      <w:sz w:val="22"/>
      <w:lang w:eastAsia="en-US"/>
    </w:rPr>
  </w:style>
  <w:style w:type="character" w:customStyle="1" w:styleId="Heading3Char6">
    <w:name w:val="Heading 3 Char6"/>
    <w:basedOn w:val="DefaultParagraphFont"/>
    <w:rsid w:val="006F5996"/>
    <w:rPr>
      <w:rFonts w:ascii="Calibri" w:hAnsi="Calibri"/>
      <w:b/>
      <w:sz w:val="28"/>
      <w:lang w:eastAsia="en-US"/>
    </w:rPr>
  </w:style>
  <w:style w:type="paragraph" w:customStyle="1" w:styleId="Level1101">
    <w:name w:val="Level1101"/>
    <w:basedOn w:val="Normal"/>
    <w:rsid w:val="006F5996"/>
    <w:pPr>
      <w:tabs>
        <w:tab w:val="num" w:pos="850"/>
      </w:tabs>
    </w:pPr>
  </w:style>
  <w:style w:type="paragraph" w:customStyle="1" w:styleId="Level112">
    <w:name w:val="Level112"/>
    <w:basedOn w:val="Normal"/>
    <w:rsid w:val="006F5996"/>
    <w:pPr>
      <w:tabs>
        <w:tab w:val="num" w:pos="850"/>
      </w:tabs>
    </w:pPr>
  </w:style>
  <w:style w:type="paragraph" w:customStyle="1" w:styleId="Level28">
    <w:name w:val="Level28"/>
    <w:basedOn w:val="Normal"/>
    <w:rsid w:val="006F5996"/>
    <w:pPr>
      <w:tabs>
        <w:tab w:val="num" w:pos="1417"/>
      </w:tabs>
      <w:spacing w:before="0"/>
      <w:ind w:left="1417" w:hanging="567"/>
    </w:pPr>
  </w:style>
  <w:style w:type="paragraph" w:customStyle="1" w:styleId="Level38">
    <w:name w:val="Level38"/>
    <w:basedOn w:val="Normal"/>
    <w:rsid w:val="006F5996"/>
    <w:pPr>
      <w:tabs>
        <w:tab w:val="num" w:pos="1984"/>
      </w:tabs>
      <w:spacing w:before="0"/>
      <w:ind w:left="1984" w:hanging="567"/>
    </w:pPr>
  </w:style>
  <w:style w:type="character" w:customStyle="1" w:styleId="Heading3Char7">
    <w:name w:val="Heading 3 Char7"/>
    <w:basedOn w:val="DefaultParagraphFont"/>
    <w:rsid w:val="006F5996"/>
    <w:rPr>
      <w:rFonts w:ascii="Calibri" w:hAnsi="Calibri"/>
      <w:b/>
      <w:sz w:val="28"/>
      <w:lang w:eastAsia="en-US"/>
    </w:rPr>
  </w:style>
  <w:style w:type="character" w:customStyle="1" w:styleId="FootnoteTextChar7">
    <w:name w:val="Footnote Text Char7"/>
    <w:basedOn w:val="DefaultParagraphFont"/>
    <w:rsid w:val="006F5996"/>
    <w:rPr>
      <w:rFonts w:asciiTheme="minorHAnsi" w:hAnsiTheme="minorHAnsi"/>
      <w:sz w:val="22"/>
      <w:lang w:eastAsia="en-US"/>
    </w:rPr>
  </w:style>
  <w:style w:type="paragraph" w:customStyle="1" w:styleId="Level1121">
    <w:name w:val="Level1121"/>
    <w:basedOn w:val="Normal"/>
    <w:rsid w:val="006F5996"/>
    <w:pPr>
      <w:tabs>
        <w:tab w:val="num" w:pos="850"/>
      </w:tabs>
    </w:pPr>
  </w:style>
  <w:style w:type="paragraph" w:customStyle="1" w:styleId="Level113">
    <w:name w:val="Level113"/>
    <w:basedOn w:val="Normal"/>
    <w:rsid w:val="006F5996"/>
    <w:pPr>
      <w:tabs>
        <w:tab w:val="num" w:pos="850"/>
      </w:tabs>
    </w:pPr>
  </w:style>
  <w:style w:type="paragraph" w:customStyle="1" w:styleId="Level29">
    <w:name w:val="Level29"/>
    <w:basedOn w:val="Normal"/>
    <w:rsid w:val="006F5996"/>
    <w:pPr>
      <w:tabs>
        <w:tab w:val="num" w:pos="1417"/>
      </w:tabs>
      <w:spacing w:before="0"/>
      <w:ind w:left="1417" w:hanging="567"/>
    </w:pPr>
  </w:style>
  <w:style w:type="paragraph" w:customStyle="1" w:styleId="Level39">
    <w:name w:val="Level39"/>
    <w:basedOn w:val="Normal"/>
    <w:rsid w:val="006F5996"/>
    <w:pPr>
      <w:tabs>
        <w:tab w:val="num" w:pos="1984"/>
      </w:tabs>
      <w:spacing w:before="0"/>
      <w:ind w:left="1984" w:hanging="567"/>
    </w:pPr>
  </w:style>
  <w:style w:type="paragraph" w:customStyle="1" w:styleId="Bullet28">
    <w:name w:val="Bullet28"/>
    <w:basedOn w:val="Normal"/>
    <w:rsid w:val="006F5996"/>
    <w:pPr>
      <w:tabs>
        <w:tab w:val="left" w:pos="1418"/>
      </w:tabs>
      <w:spacing w:before="0"/>
      <w:ind w:left="1418" w:hanging="567"/>
    </w:pPr>
  </w:style>
  <w:style w:type="character" w:customStyle="1" w:styleId="FootnoteTextChar8">
    <w:name w:val="Footnote Text Char8"/>
    <w:basedOn w:val="DefaultParagraphFont"/>
    <w:rsid w:val="006F5996"/>
    <w:rPr>
      <w:rFonts w:asciiTheme="minorHAnsi" w:hAnsiTheme="minorHAnsi"/>
      <w:sz w:val="22"/>
      <w:lang w:eastAsia="en-US"/>
    </w:rPr>
  </w:style>
  <w:style w:type="character" w:customStyle="1" w:styleId="Heading3Char8">
    <w:name w:val="Heading 3 Char8"/>
    <w:basedOn w:val="DefaultParagraphFont"/>
    <w:rsid w:val="006F5996"/>
    <w:rPr>
      <w:rFonts w:ascii="Calibri" w:hAnsi="Calibri"/>
      <w:b/>
      <w:sz w:val="28"/>
      <w:lang w:eastAsia="en-US"/>
    </w:rPr>
  </w:style>
  <w:style w:type="paragraph" w:customStyle="1" w:styleId="Level1131">
    <w:name w:val="Level1131"/>
    <w:basedOn w:val="Normal"/>
    <w:rsid w:val="006F5996"/>
    <w:pPr>
      <w:tabs>
        <w:tab w:val="num" w:pos="850"/>
      </w:tabs>
    </w:pPr>
  </w:style>
  <w:style w:type="paragraph" w:customStyle="1" w:styleId="Bullet213">
    <w:name w:val="Bullet213"/>
    <w:basedOn w:val="Normal"/>
    <w:rsid w:val="006F5996"/>
    <w:pPr>
      <w:tabs>
        <w:tab w:val="left" w:pos="1418"/>
      </w:tabs>
      <w:spacing w:before="0"/>
      <w:ind w:left="1418" w:hanging="567"/>
    </w:pPr>
  </w:style>
  <w:style w:type="paragraph" w:customStyle="1" w:styleId="Level210">
    <w:name w:val="Level210"/>
    <w:basedOn w:val="Normal"/>
    <w:rsid w:val="000E264E"/>
    <w:pPr>
      <w:tabs>
        <w:tab w:val="num" w:pos="1417"/>
      </w:tabs>
      <w:spacing w:before="0"/>
      <w:ind w:left="1417" w:hanging="567"/>
    </w:pPr>
  </w:style>
  <w:style w:type="paragraph" w:customStyle="1" w:styleId="Level310">
    <w:name w:val="Level310"/>
    <w:basedOn w:val="Normal"/>
    <w:rsid w:val="000E264E"/>
    <w:pPr>
      <w:tabs>
        <w:tab w:val="num" w:pos="1984"/>
      </w:tabs>
      <w:spacing w:before="0"/>
      <w:ind w:left="1984" w:hanging="567"/>
    </w:pPr>
  </w:style>
  <w:style w:type="paragraph" w:customStyle="1" w:styleId="Level211">
    <w:name w:val="Level211"/>
    <w:basedOn w:val="Normal"/>
    <w:rsid w:val="000E264E"/>
    <w:pPr>
      <w:tabs>
        <w:tab w:val="num" w:pos="1417"/>
      </w:tabs>
      <w:spacing w:before="0"/>
      <w:ind w:left="1417" w:hanging="567"/>
    </w:pPr>
  </w:style>
  <w:style w:type="paragraph" w:customStyle="1" w:styleId="Level311">
    <w:name w:val="Level311"/>
    <w:basedOn w:val="Normal"/>
    <w:rsid w:val="000E264E"/>
    <w:pPr>
      <w:tabs>
        <w:tab w:val="num" w:pos="1984"/>
      </w:tabs>
      <w:spacing w:before="0"/>
      <w:ind w:left="1984" w:hanging="567"/>
    </w:pPr>
  </w:style>
  <w:style w:type="paragraph" w:customStyle="1" w:styleId="Level212">
    <w:name w:val="Level212"/>
    <w:basedOn w:val="Normal"/>
    <w:rsid w:val="000E264E"/>
    <w:pPr>
      <w:tabs>
        <w:tab w:val="num" w:pos="1417"/>
      </w:tabs>
      <w:spacing w:before="0"/>
      <w:ind w:left="1417" w:hanging="567"/>
    </w:pPr>
  </w:style>
  <w:style w:type="paragraph" w:customStyle="1" w:styleId="Level312">
    <w:name w:val="Level312"/>
    <w:basedOn w:val="Normal"/>
    <w:rsid w:val="000E264E"/>
    <w:pPr>
      <w:tabs>
        <w:tab w:val="num" w:pos="1984"/>
      </w:tabs>
      <w:spacing w:before="0"/>
      <w:ind w:left="1984" w:hanging="567"/>
    </w:pPr>
  </w:style>
  <w:style w:type="paragraph" w:customStyle="1" w:styleId="Bullet29">
    <w:name w:val="Bullet29"/>
    <w:basedOn w:val="Normal"/>
    <w:rsid w:val="000E264E"/>
    <w:pPr>
      <w:tabs>
        <w:tab w:val="left" w:pos="1418"/>
      </w:tabs>
      <w:spacing w:before="0"/>
      <w:ind w:left="1418" w:hanging="567"/>
    </w:pPr>
  </w:style>
  <w:style w:type="paragraph" w:customStyle="1" w:styleId="Level213">
    <w:name w:val="Level213"/>
    <w:basedOn w:val="Normal"/>
    <w:rsid w:val="000E264E"/>
    <w:pPr>
      <w:tabs>
        <w:tab w:val="num" w:pos="1417"/>
      </w:tabs>
      <w:spacing w:before="0"/>
      <w:ind w:left="1417" w:hanging="567"/>
    </w:pPr>
  </w:style>
  <w:style w:type="paragraph" w:customStyle="1" w:styleId="Level313">
    <w:name w:val="Level313"/>
    <w:basedOn w:val="Normal"/>
    <w:rsid w:val="000E264E"/>
    <w:pPr>
      <w:tabs>
        <w:tab w:val="num" w:pos="1984"/>
      </w:tabs>
      <w:spacing w:before="0"/>
      <w:ind w:left="1984" w:hanging="567"/>
    </w:pPr>
  </w:style>
  <w:style w:type="paragraph" w:customStyle="1" w:styleId="Bullet210">
    <w:name w:val="Bullet210"/>
    <w:basedOn w:val="Normal"/>
    <w:rsid w:val="000E264E"/>
    <w:pPr>
      <w:tabs>
        <w:tab w:val="left" w:pos="1418"/>
      </w:tabs>
      <w:spacing w:before="0"/>
      <w:ind w:left="1418" w:hanging="567"/>
    </w:pPr>
  </w:style>
  <w:style w:type="paragraph" w:customStyle="1" w:styleId="Level114">
    <w:name w:val="Level114"/>
    <w:basedOn w:val="Normal"/>
    <w:rsid w:val="000E264E"/>
    <w:pPr>
      <w:tabs>
        <w:tab w:val="num" w:pos="850"/>
      </w:tabs>
    </w:pPr>
  </w:style>
  <w:style w:type="paragraph" w:customStyle="1" w:styleId="Level214">
    <w:name w:val="Level214"/>
    <w:basedOn w:val="Normal"/>
    <w:rsid w:val="000E264E"/>
    <w:pPr>
      <w:tabs>
        <w:tab w:val="num" w:pos="1417"/>
      </w:tabs>
      <w:spacing w:before="0"/>
      <w:ind w:left="1417" w:hanging="567"/>
    </w:pPr>
  </w:style>
  <w:style w:type="paragraph" w:customStyle="1" w:styleId="Level314">
    <w:name w:val="Level314"/>
    <w:basedOn w:val="Normal"/>
    <w:rsid w:val="000E264E"/>
    <w:pPr>
      <w:tabs>
        <w:tab w:val="num" w:pos="1984"/>
      </w:tabs>
      <w:spacing w:before="0"/>
      <w:ind w:left="1984" w:hanging="567"/>
    </w:pPr>
  </w:style>
  <w:style w:type="paragraph" w:customStyle="1" w:styleId="Bullet211">
    <w:name w:val="Bullet211"/>
    <w:basedOn w:val="Normal"/>
    <w:rsid w:val="000E264E"/>
    <w:pPr>
      <w:tabs>
        <w:tab w:val="left" w:pos="1418"/>
      </w:tabs>
      <w:spacing w:before="0"/>
      <w:ind w:left="1418" w:hanging="567"/>
    </w:pPr>
  </w:style>
  <w:style w:type="paragraph" w:customStyle="1" w:styleId="Bullet212">
    <w:name w:val="Bullet212"/>
    <w:basedOn w:val="Normal"/>
    <w:rsid w:val="000E264E"/>
    <w:pPr>
      <w:tabs>
        <w:tab w:val="left" w:pos="1418"/>
      </w:tabs>
      <w:spacing w:before="0"/>
      <w:ind w:left="1418" w:hanging="567"/>
    </w:pPr>
  </w:style>
  <w:style w:type="paragraph" w:customStyle="1" w:styleId="Level115">
    <w:name w:val="Level115"/>
    <w:basedOn w:val="Normal"/>
    <w:rsid w:val="000E264E"/>
    <w:pPr>
      <w:tabs>
        <w:tab w:val="num" w:pos="850"/>
      </w:tabs>
    </w:pPr>
  </w:style>
  <w:style w:type="paragraph" w:customStyle="1" w:styleId="Level215">
    <w:name w:val="Level215"/>
    <w:basedOn w:val="Normal"/>
    <w:rsid w:val="000E264E"/>
    <w:pPr>
      <w:tabs>
        <w:tab w:val="num" w:pos="1417"/>
      </w:tabs>
      <w:spacing w:before="0"/>
      <w:ind w:left="1417" w:hanging="567"/>
    </w:pPr>
  </w:style>
  <w:style w:type="paragraph" w:customStyle="1" w:styleId="Level315">
    <w:name w:val="Level315"/>
    <w:basedOn w:val="Normal"/>
    <w:rsid w:val="000E264E"/>
    <w:pPr>
      <w:tabs>
        <w:tab w:val="num" w:pos="1984"/>
      </w:tabs>
      <w:spacing w:before="0"/>
      <w:ind w:left="1984" w:hanging="567"/>
    </w:pPr>
  </w:style>
  <w:style w:type="paragraph" w:customStyle="1" w:styleId="Level116">
    <w:name w:val="Level116"/>
    <w:basedOn w:val="Normal"/>
    <w:rsid w:val="000E264E"/>
    <w:pPr>
      <w:tabs>
        <w:tab w:val="num" w:pos="850"/>
      </w:tabs>
    </w:pPr>
  </w:style>
  <w:style w:type="paragraph" w:customStyle="1" w:styleId="Level216">
    <w:name w:val="Level216"/>
    <w:basedOn w:val="Normal"/>
    <w:rsid w:val="000E264E"/>
    <w:pPr>
      <w:tabs>
        <w:tab w:val="num" w:pos="1417"/>
      </w:tabs>
      <w:spacing w:before="0"/>
      <w:ind w:left="1417" w:hanging="567"/>
    </w:pPr>
  </w:style>
  <w:style w:type="paragraph" w:customStyle="1" w:styleId="Level316">
    <w:name w:val="Level316"/>
    <w:basedOn w:val="Normal"/>
    <w:rsid w:val="000E264E"/>
    <w:pPr>
      <w:tabs>
        <w:tab w:val="num" w:pos="1984"/>
      </w:tabs>
      <w:spacing w:before="0"/>
      <w:ind w:left="1984" w:hanging="567"/>
    </w:pPr>
  </w:style>
  <w:style w:type="paragraph" w:customStyle="1" w:styleId="Bullet214">
    <w:name w:val="Bullet214"/>
    <w:basedOn w:val="Normal"/>
    <w:rsid w:val="000E264E"/>
    <w:pPr>
      <w:tabs>
        <w:tab w:val="left" w:pos="1418"/>
      </w:tabs>
      <w:spacing w:before="0"/>
      <w:ind w:left="1418" w:hanging="567"/>
    </w:pPr>
  </w:style>
  <w:style w:type="paragraph" w:customStyle="1" w:styleId="Level117">
    <w:name w:val="Level117"/>
    <w:basedOn w:val="Normal"/>
    <w:rsid w:val="000E264E"/>
    <w:pPr>
      <w:tabs>
        <w:tab w:val="num" w:pos="850"/>
      </w:tabs>
    </w:pPr>
  </w:style>
  <w:style w:type="paragraph" w:customStyle="1" w:styleId="Level217">
    <w:name w:val="Level217"/>
    <w:basedOn w:val="Normal"/>
    <w:rsid w:val="000E264E"/>
    <w:pPr>
      <w:tabs>
        <w:tab w:val="num" w:pos="1417"/>
      </w:tabs>
      <w:spacing w:before="0"/>
      <w:ind w:left="1417" w:hanging="567"/>
    </w:pPr>
  </w:style>
  <w:style w:type="paragraph" w:customStyle="1" w:styleId="Level317">
    <w:name w:val="Level317"/>
    <w:basedOn w:val="Normal"/>
    <w:rsid w:val="000E264E"/>
    <w:pPr>
      <w:tabs>
        <w:tab w:val="num" w:pos="1984"/>
      </w:tabs>
      <w:spacing w:before="0"/>
      <w:ind w:left="1984" w:hanging="567"/>
    </w:pPr>
  </w:style>
  <w:style w:type="paragraph" w:customStyle="1" w:styleId="Level118">
    <w:name w:val="Level118"/>
    <w:basedOn w:val="Normal"/>
    <w:rsid w:val="000E264E"/>
    <w:pPr>
      <w:tabs>
        <w:tab w:val="num" w:pos="850"/>
      </w:tabs>
    </w:pPr>
  </w:style>
  <w:style w:type="paragraph" w:customStyle="1" w:styleId="Level218">
    <w:name w:val="Level218"/>
    <w:basedOn w:val="Normal"/>
    <w:rsid w:val="000E264E"/>
    <w:pPr>
      <w:tabs>
        <w:tab w:val="num" w:pos="1417"/>
      </w:tabs>
      <w:spacing w:before="0"/>
      <w:ind w:left="1417" w:hanging="567"/>
    </w:pPr>
  </w:style>
  <w:style w:type="paragraph" w:customStyle="1" w:styleId="Level318">
    <w:name w:val="Level318"/>
    <w:basedOn w:val="Normal"/>
    <w:rsid w:val="000E264E"/>
    <w:pPr>
      <w:tabs>
        <w:tab w:val="num" w:pos="1984"/>
      </w:tabs>
      <w:spacing w:before="0"/>
      <w:ind w:left="1984" w:hanging="567"/>
    </w:pPr>
  </w:style>
  <w:style w:type="paragraph" w:customStyle="1" w:styleId="Level119">
    <w:name w:val="Level119"/>
    <w:basedOn w:val="Normal"/>
    <w:rsid w:val="000E264E"/>
    <w:pPr>
      <w:tabs>
        <w:tab w:val="num" w:pos="850"/>
      </w:tabs>
    </w:pPr>
  </w:style>
  <w:style w:type="paragraph" w:customStyle="1" w:styleId="Level219">
    <w:name w:val="Level219"/>
    <w:basedOn w:val="Normal"/>
    <w:rsid w:val="000E264E"/>
    <w:pPr>
      <w:tabs>
        <w:tab w:val="num" w:pos="1417"/>
      </w:tabs>
      <w:spacing w:before="0"/>
      <w:ind w:left="1417" w:hanging="567"/>
    </w:pPr>
  </w:style>
  <w:style w:type="paragraph" w:customStyle="1" w:styleId="Level319">
    <w:name w:val="Level319"/>
    <w:basedOn w:val="Normal"/>
    <w:rsid w:val="000E264E"/>
    <w:pPr>
      <w:tabs>
        <w:tab w:val="num" w:pos="1984"/>
      </w:tabs>
      <w:spacing w:before="0"/>
      <w:ind w:left="1984" w:hanging="567"/>
    </w:pPr>
  </w:style>
  <w:style w:type="paragraph" w:customStyle="1" w:styleId="Bullet215">
    <w:name w:val="Bullet215"/>
    <w:basedOn w:val="Normal"/>
    <w:rsid w:val="000E264E"/>
    <w:pPr>
      <w:tabs>
        <w:tab w:val="left" w:pos="1418"/>
      </w:tabs>
      <w:spacing w:before="0"/>
      <w:ind w:left="1418" w:hanging="567"/>
    </w:pPr>
  </w:style>
  <w:style w:type="paragraph" w:customStyle="1" w:styleId="Level120">
    <w:name w:val="Level120"/>
    <w:basedOn w:val="Normal"/>
    <w:rsid w:val="000E264E"/>
    <w:pPr>
      <w:tabs>
        <w:tab w:val="num" w:pos="850"/>
      </w:tabs>
    </w:pPr>
  </w:style>
  <w:style w:type="character" w:customStyle="1" w:styleId="Level1Char">
    <w:name w:val="Level1 Char"/>
    <w:basedOn w:val="DefaultParagraphFont"/>
    <w:link w:val="Level1"/>
    <w:rsid w:val="00C46699"/>
    <w:rPr>
      <w:rFonts w:asciiTheme="minorHAnsi" w:hAnsiTheme="minorHAnsi"/>
      <w:sz w:val="26"/>
      <w:lang w:eastAsia="en-US"/>
    </w:rPr>
  </w:style>
  <w:style w:type="paragraph" w:customStyle="1" w:styleId="TOCBullet">
    <w:name w:val="TOCBullet"/>
    <w:basedOn w:val="TOC1"/>
    <w:qFormat/>
    <w:rsid w:val="00C46699"/>
    <w:pPr>
      <w:numPr>
        <w:numId w:val="39"/>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header" Target="header6.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5.xml"/><Relationship Id="rId170" Type="http://schemas.openxmlformats.org/officeDocument/2006/relationships/footer" Target="footer82.xml"/><Relationship Id="rId191" Type="http://schemas.openxmlformats.org/officeDocument/2006/relationships/footer" Target="footer92.xml"/><Relationship Id="rId205" Type="http://schemas.openxmlformats.org/officeDocument/2006/relationships/header" Target="header98.xml"/><Relationship Id="rId107" Type="http://schemas.openxmlformats.org/officeDocument/2006/relationships/header" Target="header49.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6.xml"/><Relationship Id="rId74" Type="http://schemas.openxmlformats.org/officeDocument/2006/relationships/header" Target="header33.xml"/><Relationship Id="rId79" Type="http://schemas.openxmlformats.org/officeDocument/2006/relationships/header" Target="header35.xml"/><Relationship Id="rId102" Type="http://schemas.openxmlformats.org/officeDocument/2006/relationships/footer" Target="footer48.xml"/><Relationship Id="rId123" Type="http://schemas.openxmlformats.org/officeDocument/2006/relationships/footer" Target="footer58.xml"/><Relationship Id="rId128" Type="http://schemas.openxmlformats.org/officeDocument/2006/relationships/header" Target="header60.xml"/><Relationship Id="rId144" Type="http://schemas.openxmlformats.org/officeDocument/2006/relationships/footer" Target="footer69.xml"/><Relationship Id="rId149" Type="http://schemas.openxmlformats.org/officeDocument/2006/relationships/header" Target="header70.xml"/><Relationship Id="rId5" Type="http://schemas.openxmlformats.org/officeDocument/2006/relationships/settings" Target="settings.xml"/><Relationship Id="rId90" Type="http://schemas.openxmlformats.org/officeDocument/2006/relationships/footer" Target="footer42.xml"/><Relationship Id="rId95" Type="http://schemas.openxmlformats.org/officeDocument/2006/relationships/header" Target="header43.xml"/><Relationship Id="rId160" Type="http://schemas.openxmlformats.org/officeDocument/2006/relationships/header" Target="header76.xml"/><Relationship Id="rId165" Type="http://schemas.openxmlformats.org/officeDocument/2006/relationships/header" Target="header78.xml"/><Relationship Id="rId181" Type="http://schemas.openxmlformats.org/officeDocument/2006/relationships/header" Target="header86.xml"/><Relationship Id="rId186" Type="http://schemas.openxmlformats.org/officeDocument/2006/relationships/footer" Target="footer90.xml"/><Relationship Id="rId216" Type="http://schemas.openxmlformats.org/officeDocument/2006/relationships/theme" Target="theme/theme1.xml"/><Relationship Id="rId211" Type="http://schemas.openxmlformats.org/officeDocument/2006/relationships/header" Target="header101.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7.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2.xml"/><Relationship Id="rId118" Type="http://schemas.openxmlformats.org/officeDocument/2006/relationships/footer" Target="footer56.xml"/><Relationship Id="rId134" Type="http://schemas.openxmlformats.org/officeDocument/2006/relationships/header" Target="header63.xml"/><Relationship Id="rId139" Type="http://schemas.openxmlformats.org/officeDocument/2006/relationships/header" Target="header65.xml"/><Relationship Id="rId80" Type="http://schemas.openxmlformats.org/officeDocument/2006/relationships/header" Target="header36.xml"/><Relationship Id="rId85" Type="http://schemas.openxmlformats.org/officeDocument/2006/relationships/header" Target="header38.xml"/><Relationship Id="rId150" Type="http://schemas.openxmlformats.org/officeDocument/2006/relationships/footer" Target="footer72.xml"/><Relationship Id="rId155" Type="http://schemas.openxmlformats.org/officeDocument/2006/relationships/header" Target="header73.xml"/><Relationship Id="rId171" Type="http://schemas.openxmlformats.org/officeDocument/2006/relationships/header" Target="header81.xml"/><Relationship Id="rId176" Type="http://schemas.openxmlformats.org/officeDocument/2006/relationships/footer" Target="footer85.xml"/><Relationship Id="rId192" Type="http://schemas.openxmlformats.org/officeDocument/2006/relationships/footer" Target="footer93.xml"/><Relationship Id="rId197" Type="http://schemas.openxmlformats.org/officeDocument/2006/relationships/footer" Target="footer95.xml"/><Relationship Id="rId206" Type="http://schemas.openxmlformats.org/officeDocument/2006/relationships/footer" Target="footer100.xml"/><Relationship Id="rId201" Type="http://schemas.openxmlformats.org/officeDocument/2006/relationships/header" Target="header96.xml"/><Relationship Id="rId12" Type="http://schemas.openxmlformats.org/officeDocument/2006/relationships/footer" Target="footer3.xml"/><Relationship Id="rId17" Type="http://schemas.openxmlformats.org/officeDocument/2006/relationships/footer" Target="footer6.xml"/><Relationship Id="rId33" Type="http://schemas.openxmlformats.org/officeDocument/2006/relationships/footer" Target="footer13.xm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header" Target="header47.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1.xml"/><Relationship Id="rId96" Type="http://schemas.openxmlformats.org/officeDocument/2006/relationships/footer" Target="footer45.xml"/><Relationship Id="rId140" Type="http://schemas.openxmlformats.org/officeDocument/2006/relationships/header" Target="header66.xml"/><Relationship Id="rId145" Type="http://schemas.openxmlformats.org/officeDocument/2006/relationships/header" Target="header68.xml"/><Relationship Id="rId161" Type="http://schemas.openxmlformats.org/officeDocument/2006/relationships/footer" Target="footer77.xml"/><Relationship Id="rId166" Type="http://schemas.openxmlformats.org/officeDocument/2006/relationships/header" Target="header79.xml"/><Relationship Id="rId182" Type="http://schemas.openxmlformats.org/officeDocument/2006/relationships/footer" Target="footer88.xml"/><Relationship Id="rId187"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oter" Target="footer103.xml"/><Relationship Id="rId23" Type="http://schemas.openxmlformats.org/officeDocument/2006/relationships/header" Target="header7.xml"/><Relationship Id="rId28" Type="http://schemas.openxmlformats.org/officeDocument/2006/relationships/footer" Target="footer11.xml"/><Relationship Id="rId49" Type="http://schemas.openxmlformats.org/officeDocument/2006/relationships/header" Target="header20.xml"/><Relationship Id="rId114" Type="http://schemas.openxmlformats.org/officeDocument/2006/relationships/footer" Target="footer54.xml"/><Relationship Id="rId119" Type="http://schemas.openxmlformats.org/officeDocument/2006/relationships/header" Target="header55.xml"/><Relationship Id="rId44" Type="http://schemas.openxmlformats.org/officeDocument/2006/relationships/header" Target="header18.xml"/><Relationship Id="rId60" Type="http://schemas.openxmlformats.org/officeDocument/2006/relationships/footer" Target="footer27.xml"/><Relationship Id="rId65" Type="http://schemas.openxmlformats.org/officeDocument/2006/relationships/header" Target="header28.xml"/><Relationship Id="rId81" Type="http://schemas.openxmlformats.org/officeDocument/2006/relationships/footer" Target="footer37.xml"/><Relationship Id="rId86" Type="http://schemas.openxmlformats.org/officeDocument/2006/relationships/header" Target="header39.xml"/><Relationship Id="rId130" Type="http://schemas.openxmlformats.org/officeDocument/2006/relationships/footer" Target="footer62.xml"/><Relationship Id="rId135" Type="http://schemas.openxmlformats.org/officeDocument/2006/relationships/footer" Target="footer64.xml"/><Relationship Id="rId151" Type="http://schemas.openxmlformats.org/officeDocument/2006/relationships/header" Target="header71.xml"/><Relationship Id="rId156" Type="http://schemas.openxmlformats.org/officeDocument/2006/relationships/footer" Target="footer75.xml"/><Relationship Id="rId177" Type="http://schemas.openxmlformats.org/officeDocument/2006/relationships/header" Target="header84.xml"/><Relationship Id="rId198" Type="http://schemas.openxmlformats.org/officeDocument/2006/relationships/footer" Target="footer96.xml"/><Relationship Id="rId172" Type="http://schemas.openxmlformats.org/officeDocument/2006/relationships/header" Target="header82.xml"/><Relationship Id="rId193" Type="http://schemas.openxmlformats.org/officeDocument/2006/relationships/header" Target="header92.xml"/><Relationship Id="rId202" Type="http://schemas.openxmlformats.org/officeDocument/2006/relationships/header" Target="header97.xml"/><Relationship Id="rId207" Type="http://schemas.openxmlformats.org/officeDocument/2006/relationships/header" Target="header99.xml"/><Relationship Id="rId13" Type="http://schemas.openxmlformats.org/officeDocument/2006/relationships/footer" Target="footer4.xml"/><Relationship Id="rId18" Type="http://schemas.openxmlformats.org/officeDocument/2006/relationships/header" Target="header4.xml"/><Relationship Id="rId39" Type="http://schemas.openxmlformats.org/officeDocument/2006/relationships/footer" Target="footer16.xml"/><Relationship Id="rId109" Type="http://schemas.openxmlformats.org/officeDocument/2006/relationships/header" Target="header50.xml"/><Relationship Id="rId34" Type="http://schemas.openxmlformats.org/officeDocument/2006/relationships/footer" Target="footer14.xml"/><Relationship Id="rId50" Type="http://schemas.openxmlformats.org/officeDocument/2006/relationships/header" Target="header21.xml"/><Relationship Id="rId55" Type="http://schemas.openxmlformats.org/officeDocument/2006/relationships/header" Target="header23.xml"/><Relationship Id="rId76" Type="http://schemas.openxmlformats.org/officeDocument/2006/relationships/footer" Target="footer35.xml"/><Relationship Id="rId97" Type="http://schemas.openxmlformats.org/officeDocument/2006/relationships/header" Target="header44.xml"/><Relationship Id="rId104" Type="http://schemas.openxmlformats.org/officeDocument/2006/relationships/header" Target="header48.xml"/><Relationship Id="rId120" Type="http://schemas.openxmlformats.org/officeDocument/2006/relationships/footer" Target="footer57.xml"/><Relationship Id="rId125" Type="http://schemas.openxmlformats.org/officeDocument/2006/relationships/header" Target="header58.xml"/><Relationship Id="rId141" Type="http://schemas.openxmlformats.org/officeDocument/2006/relationships/footer" Target="footer67.xml"/><Relationship Id="rId146" Type="http://schemas.openxmlformats.org/officeDocument/2006/relationships/header" Target="header69.xml"/><Relationship Id="rId167" Type="http://schemas.openxmlformats.org/officeDocument/2006/relationships/footer" Target="footer80.xml"/><Relationship Id="rId188" Type="http://schemas.openxmlformats.org/officeDocument/2006/relationships/footer" Target="footer91.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header" Target="header42.xml"/><Relationship Id="rId162" Type="http://schemas.openxmlformats.org/officeDocument/2006/relationships/footer" Target="footer78.xml"/><Relationship Id="rId183" Type="http://schemas.openxmlformats.org/officeDocument/2006/relationships/header" Target="header87.xml"/><Relationship Id="rId213" Type="http://schemas.openxmlformats.org/officeDocument/2006/relationships/header" Target="header102.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1.xml"/><Relationship Id="rId115" Type="http://schemas.openxmlformats.org/officeDocument/2006/relationships/header" Target="header53.xml"/><Relationship Id="rId131" Type="http://schemas.openxmlformats.org/officeDocument/2006/relationships/header" Target="header61.xml"/><Relationship Id="rId136" Type="http://schemas.openxmlformats.org/officeDocument/2006/relationships/footer" Target="footer65.xml"/><Relationship Id="rId157" Type="http://schemas.openxmlformats.org/officeDocument/2006/relationships/header" Target="header74.xml"/><Relationship Id="rId178" Type="http://schemas.openxmlformats.org/officeDocument/2006/relationships/header" Target="header85.xml"/><Relationship Id="rId61" Type="http://schemas.openxmlformats.org/officeDocument/2006/relationships/header" Target="header26.xml"/><Relationship Id="rId82" Type="http://schemas.openxmlformats.org/officeDocument/2006/relationships/footer" Target="footer38.xml"/><Relationship Id="rId152" Type="http://schemas.openxmlformats.org/officeDocument/2006/relationships/header" Target="header72.xml"/><Relationship Id="rId173" Type="http://schemas.openxmlformats.org/officeDocument/2006/relationships/footer" Target="footer83.xml"/><Relationship Id="rId194" Type="http://schemas.openxmlformats.org/officeDocument/2006/relationships/footer" Target="footer94.xml"/><Relationship Id="rId199" Type="http://schemas.openxmlformats.org/officeDocument/2006/relationships/header" Target="header95.xml"/><Relationship Id="rId203" Type="http://schemas.openxmlformats.org/officeDocument/2006/relationships/footer" Target="footer98.xml"/><Relationship Id="rId208" Type="http://schemas.openxmlformats.org/officeDocument/2006/relationships/footer" Target="footer101.xml"/><Relationship Id="rId19" Type="http://schemas.openxmlformats.org/officeDocument/2006/relationships/footer" Target="footer7.xml"/><Relationship Id="rId14" Type="http://schemas.openxmlformats.org/officeDocument/2006/relationships/header" Target="header2.xml"/><Relationship Id="rId30" Type="http://schemas.openxmlformats.org/officeDocument/2006/relationships/footer" Target="footer12.xml"/><Relationship Id="rId35" Type="http://schemas.openxmlformats.org/officeDocument/2006/relationships/header" Target="header13.xml"/><Relationship Id="rId56" Type="http://schemas.openxmlformats.org/officeDocument/2006/relationships/header" Target="header24.xml"/><Relationship Id="rId77" Type="http://schemas.openxmlformats.org/officeDocument/2006/relationships/header" Target="header34.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endnotes" Target="endnotes.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5.xml"/><Relationship Id="rId121" Type="http://schemas.openxmlformats.org/officeDocument/2006/relationships/header" Target="header56.xml"/><Relationship Id="rId142" Type="http://schemas.openxmlformats.org/officeDocument/2006/relationships/footer" Target="footer68.xml"/><Relationship Id="rId163" Type="http://schemas.openxmlformats.org/officeDocument/2006/relationships/header" Target="header77.xml"/><Relationship Id="rId184" Type="http://schemas.openxmlformats.org/officeDocument/2006/relationships/header" Target="header88.xml"/><Relationship Id="rId189" Type="http://schemas.openxmlformats.org/officeDocument/2006/relationships/header" Target="header90.xml"/><Relationship Id="rId3" Type="http://schemas.openxmlformats.org/officeDocument/2006/relationships/styles" Target="styles.xml"/><Relationship Id="rId214" Type="http://schemas.openxmlformats.org/officeDocument/2006/relationships/footer" Target="footer104.xml"/><Relationship Id="rId25" Type="http://schemas.openxmlformats.org/officeDocument/2006/relationships/header" Target="header8.xml"/><Relationship Id="rId46" Type="http://schemas.openxmlformats.org/officeDocument/2006/relationships/footer" Target="footer20.xml"/><Relationship Id="rId67" Type="http://schemas.openxmlformats.org/officeDocument/2006/relationships/header" Target="header29.xml"/><Relationship Id="rId116" Type="http://schemas.openxmlformats.org/officeDocument/2006/relationships/header" Target="header54.xml"/><Relationship Id="rId137" Type="http://schemas.openxmlformats.org/officeDocument/2006/relationships/header" Target="header64.xml"/><Relationship Id="rId158" Type="http://schemas.openxmlformats.org/officeDocument/2006/relationships/footer" Target="footer76.xml"/><Relationship Id="rId20" Type="http://schemas.openxmlformats.org/officeDocument/2006/relationships/header" Target="header5.xml"/><Relationship Id="rId41" Type="http://schemas.openxmlformats.org/officeDocument/2006/relationships/header" Target="header16.xml"/><Relationship Id="rId62" Type="http://schemas.openxmlformats.org/officeDocument/2006/relationships/header" Target="header27.xml"/><Relationship Id="rId83" Type="http://schemas.openxmlformats.org/officeDocument/2006/relationships/header" Target="header37.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footer" Target="footer86.xml"/><Relationship Id="rId195" Type="http://schemas.openxmlformats.org/officeDocument/2006/relationships/header" Target="header93.xml"/><Relationship Id="rId209" Type="http://schemas.openxmlformats.org/officeDocument/2006/relationships/header" Target="header100.xml"/><Relationship Id="rId190" Type="http://schemas.openxmlformats.org/officeDocument/2006/relationships/header" Target="header91.xml"/><Relationship Id="rId204" Type="http://schemas.openxmlformats.org/officeDocument/2006/relationships/footer" Target="footer99.xml"/><Relationship Id="rId15" Type="http://schemas.openxmlformats.org/officeDocument/2006/relationships/footer" Target="footer5.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59.xml"/><Relationship Id="rId10" Type="http://schemas.openxmlformats.org/officeDocument/2006/relationships/header" Target="header1.xml"/><Relationship Id="rId31" Type="http://schemas.openxmlformats.org/officeDocument/2006/relationships/header" Target="header11.xml"/><Relationship Id="rId52" Type="http://schemas.openxmlformats.org/officeDocument/2006/relationships/footer" Target="footer23.xml"/><Relationship Id="rId73" Type="http://schemas.openxmlformats.org/officeDocument/2006/relationships/header" Target="header32.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6.xml"/><Relationship Id="rId122" Type="http://schemas.openxmlformats.org/officeDocument/2006/relationships/header" Target="header57.xml"/><Relationship Id="rId143" Type="http://schemas.openxmlformats.org/officeDocument/2006/relationships/header" Target="header67.xml"/><Relationship Id="rId148" Type="http://schemas.openxmlformats.org/officeDocument/2006/relationships/footer" Target="footer71.xml"/><Relationship Id="rId164" Type="http://schemas.openxmlformats.org/officeDocument/2006/relationships/footer" Target="footer79.xml"/><Relationship Id="rId169" Type="http://schemas.openxmlformats.org/officeDocument/2006/relationships/header" Target="header80.xml"/><Relationship Id="rId185" Type="http://schemas.openxmlformats.org/officeDocument/2006/relationships/footer" Target="footer89.xm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fontTable" Target="fontTable.xml"/><Relationship Id="rId26" Type="http://schemas.openxmlformats.org/officeDocument/2006/relationships/header" Target="header9.xml"/><Relationship Id="rId47" Type="http://schemas.openxmlformats.org/officeDocument/2006/relationships/header" Target="header19.xml"/><Relationship Id="rId68" Type="http://schemas.openxmlformats.org/officeDocument/2006/relationships/header" Target="header30.xml"/><Relationship Id="rId89" Type="http://schemas.openxmlformats.org/officeDocument/2006/relationships/header" Target="header40.xml"/><Relationship Id="rId112" Type="http://schemas.openxmlformats.org/officeDocument/2006/relationships/footer" Target="footer53.xml"/><Relationship Id="rId133" Type="http://schemas.openxmlformats.org/officeDocument/2006/relationships/header" Target="header62.xml"/><Relationship Id="rId154" Type="http://schemas.openxmlformats.org/officeDocument/2006/relationships/footer" Target="footer74.xml"/><Relationship Id="rId175" Type="http://schemas.openxmlformats.org/officeDocument/2006/relationships/header" Target="header83.xml"/><Relationship Id="rId196" Type="http://schemas.openxmlformats.org/officeDocument/2006/relationships/header" Target="header94.xml"/><Relationship Id="rId200" Type="http://schemas.openxmlformats.org/officeDocument/2006/relationships/footer" Target="footer97.xml"/><Relationship Id="rId16"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senate_scrutiny_digest" TargetMode="External"/><Relationship Id="rId3" Type="http://schemas.openxmlformats.org/officeDocument/2006/relationships/hyperlink" Target="http://www.aph.gov.au/senate_scrutiny_digest" TargetMode="External"/><Relationship Id="rId7" Type="http://schemas.openxmlformats.org/officeDocument/2006/relationships/hyperlink" Target="https://www.finance.gov.au/resource-management/charging-framework/" TargetMode="External"/><Relationship Id="rId2" Type="http://schemas.openxmlformats.org/officeDocument/2006/relationships/hyperlink" Target="http://www.aph.gov.au/senate_scrutiny_digest" TargetMode="External"/><Relationship Id="rId1" Type="http://schemas.openxmlformats.org/officeDocument/2006/relationships/hyperlink" Target="http://www.aph.gov.au/senate_scrutiny_digest" TargetMode="External"/><Relationship Id="rId6" Type="http://schemas.openxmlformats.org/officeDocument/2006/relationships/hyperlink" Target="http://www.aph.gov.au/senate_scrutiny_digest" TargetMode="External"/><Relationship Id="rId11" Type="http://schemas.openxmlformats.org/officeDocument/2006/relationships/hyperlink" Target="http://www.aph.gov.au/Parliamentary_Business/Committees/Senate/Scrutiny_of_Bills/Reports/2005/~/media/Committees/Senate/committee/scrutiny/bills/2005/pdf/b14.ashx" TargetMode="External"/><Relationship Id="rId5" Type="http://schemas.openxmlformats.org/officeDocument/2006/relationships/hyperlink" Target="http://www.aph.gov.au/senate_scrutiny_digest" TargetMode="External"/><Relationship Id="rId10" Type="http://schemas.openxmlformats.org/officeDocument/2006/relationships/hyperlink" Target="https://static.treasury.gov.au/uploads/sites/1/2017/09/Superannuation-Complaints-Tribunal.pdf" TargetMode="External"/><Relationship Id="rId4" Type="http://schemas.openxmlformats.org/officeDocument/2006/relationships/hyperlink" Target="http://www.aph.gov.au/senate_scrutiny_digest" TargetMode="External"/><Relationship Id="rId9" Type="http://schemas.openxmlformats.org/officeDocument/2006/relationships/hyperlink" Target="http://www.aph.gov.au/senate_scrutiny_dig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FF385-1B16-4BD0-BB29-7F089E57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SoB Report.dotm</Template>
  <TotalTime>1</TotalTime>
  <Pages>183</Pages>
  <Words>55619</Words>
  <Characters>299206</Characters>
  <Application>Microsoft Office Word</Application>
  <DocSecurity>0</DocSecurity>
  <Lines>2493</Lines>
  <Paragraphs>708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354117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Sloane, Michael (SEN)</dc:creator>
  <cp:lastModifiedBy>Ingrid Zappe</cp:lastModifiedBy>
  <cp:revision>2</cp:revision>
  <cp:lastPrinted>2017-11-08T03:23:00Z</cp:lastPrinted>
  <dcterms:created xsi:type="dcterms:W3CDTF">2017-11-15T04:51:00Z</dcterms:created>
  <dcterms:modified xsi:type="dcterms:W3CDTF">2017-11-15T04:51:00Z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