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68" w:rsidRDefault="00AE2468" w:rsidP="00AE2468">
      <w:pPr>
        <w:jc w:val="center"/>
      </w:pPr>
      <w:r>
        <w:rPr>
          <w:noProof/>
        </w:rPr>
        <w:drawing>
          <wp:inline distT="0" distB="0" distL="0" distR="0" wp14:anchorId="25AC8FE7" wp14:editId="68195C38">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AE2468" w:rsidRDefault="00AE2468" w:rsidP="00AE2468"/>
    <w:p w:rsidR="00AE2468" w:rsidRDefault="00AE2468" w:rsidP="00AE2468">
      <w:pPr>
        <w:spacing w:after="240"/>
        <w:jc w:val="center"/>
        <w:rPr>
          <w:b/>
          <w:sz w:val="36"/>
        </w:rPr>
      </w:pPr>
      <w:r>
        <w:rPr>
          <w:b/>
          <w:sz w:val="36"/>
        </w:rPr>
        <w:t>SENATE STANDING COMMITTEE</w:t>
      </w:r>
    </w:p>
    <w:p w:rsidR="00AE2468" w:rsidRDefault="00AE2468" w:rsidP="00AE2468">
      <w:pPr>
        <w:spacing w:before="240" w:after="240"/>
        <w:jc w:val="center"/>
        <w:rPr>
          <w:b/>
          <w:sz w:val="36"/>
        </w:rPr>
      </w:pPr>
      <w:r>
        <w:rPr>
          <w:b/>
          <w:sz w:val="36"/>
        </w:rPr>
        <w:t>FOR THE</w:t>
      </w:r>
    </w:p>
    <w:p w:rsidR="00AE2468" w:rsidRDefault="00AE2468" w:rsidP="00AE2468">
      <w:pPr>
        <w:spacing w:before="240" w:after="240"/>
        <w:jc w:val="center"/>
        <w:rPr>
          <w:b/>
          <w:sz w:val="36"/>
        </w:rPr>
      </w:pPr>
      <w:r>
        <w:rPr>
          <w:b/>
          <w:sz w:val="36"/>
        </w:rPr>
        <w:t>SCRUTINY OF BILLS</w:t>
      </w:r>
    </w:p>
    <w:p w:rsidR="00AE2468" w:rsidRDefault="00AE2468" w:rsidP="00AE2468">
      <w:pPr>
        <w:spacing w:after="240"/>
        <w:jc w:val="center"/>
      </w:pPr>
    </w:p>
    <w:p w:rsidR="00AE2468" w:rsidRDefault="00AE2468" w:rsidP="00AE2468">
      <w:pPr>
        <w:spacing w:after="240"/>
        <w:jc w:val="center"/>
      </w:pPr>
    </w:p>
    <w:p w:rsidR="00AE2468" w:rsidRDefault="00AE2468" w:rsidP="00AE2468">
      <w:pPr>
        <w:spacing w:after="240"/>
        <w:jc w:val="center"/>
      </w:pPr>
    </w:p>
    <w:p w:rsidR="00AE2468" w:rsidRDefault="00AE2468" w:rsidP="00AE2468">
      <w:pPr>
        <w:spacing w:after="120"/>
        <w:jc w:val="center"/>
      </w:pPr>
    </w:p>
    <w:p w:rsidR="00AE2468" w:rsidRDefault="00AE2468" w:rsidP="00AE2468">
      <w:pPr>
        <w:spacing w:after="240"/>
        <w:jc w:val="center"/>
      </w:pPr>
    </w:p>
    <w:p w:rsidR="00AE2468" w:rsidRDefault="00AE2468" w:rsidP="00AE2468">
      <w:pPr>
        <w:spacing w:after="240"/>
        <w:jc w:val="center"/>
      </w:pPr>
    </w:p>
    <w:p w:rsidR="00AE2468" w:rsidRDefault="00AE2468" w:rsidP="00AE2468">
      <w:pPr>
        <w:spacing w:after="240"/>
        <w:jc w:val="center"/>
      </w:pPr>
    </w:p>
    <w:p w:rsidR="00AE2468" w:rsidRDefault="00AE2468" w:rsidP="00AE2468">
      <w:pPr>
        <w:spacing w:after="180"/>
        <w:jc w:val="center"/>
        <w:rPr>
          <w:b/>
          <w:sz w:val="36"/>
        </w:rPr>
      </w:pPr>
      <w:r>
        <w:rPr>
          <w:b/>
          <w:caps/>
          <w:sz w:val="36"/>
        </w:rPr>
        <w:t>EIGHTH REPORT</w:t>
      </w:r>
    </w:p>
    <w:p w:rsidR="00AE2468" w:rsidRDefault="00AE2468" w:rsidP="00AE2468">
      <w:pPr>
        <w:spacing w:before="240" w:after="180"/>
        <w:jc w:val="center"/>
        <w:rPr>
          <w:b/>
          <w:sz w:val="36"/>
        </w:rPr>
      </w:pPr>
      <w:r>
        <w:rPr>
          <w:b/>
          <w:sz w:val="36"/>
        </w:rPr>
        <w:t>OF</w:t>
      </w:r>
    </w:p>
    <w:p w:rsidR="00AE2468" w:rsidRDefault="00AE2468" w:rsidP="00AE2468">
      <w:pPr>
        <w:spacing w:before="240" w:after="240"/>
        <w:jc w:val="center"/>
        <w:rPr>
          <w:b/>
          <w:sz w:val="36"/>
        </w:rPr>
      </w:pPr>
      <w:r>
        <w:rPr>
          <w:b/>
          <w:sz w:val="36"/>
        </w:rPr>
        <w:t>2015</w:t>
      </w:r>
    </w:p>
    <w:p w:rsidR="00AE2468" w:rsidRDefault="00AE2468" w:rsidP="00AE2468">
      <w:pPr>
        <w:spacing w:before="240" w:after="240"/>
        <w:jc w:val="center"/>
      </w:pPr>
    </w:p>
    <w:p w:rsidR="00AE2468" w:rsidRDefault="00AE2468" w:rsidP="00AE2468">
      <w:pPr>
        <w:spacing w:before="240" w:after="240"/>
        <w:jc w:val="center"/>
      </w:pPr>
    </w:p>
    <w:p w:rsidR="00AE2468" w:rsidRDefault="00AE2468" w:rsidP="00AE2468">
      <w:pPr>
        <w:spacing w:before="240" w:after="240"/>
        <w:jc w:val="center"/>
        <w:rPr>
          <w:sz w:val="32"/>
        </w:rPr>
      </w:pPr>
      <w:r>
        <w:rPr>
          <w:b/>
          <w:sz w:val="32"/>
        </w:rPr>
        <w:t>19 August 2015</w:t>
      </w:r>
    </w:p>
    <w:p w:rsidR="00AE2468" w:rsidRDefault="00AE2468" w:rsidP="00AE2468">
      <w:pPr>
        <w:spacing w:after="240"/>
        <w:jc w:val="center"/>
      </w:pPr>
    </w:p>
    <w:p w:rsidR="00AE2468" w:rsidRDefault="00AE2468" w:rsidP="00AE2468">
      <w:pPr>
        <w:spacing w:after="360"/>
        <w:jc w:val="center"/>
      </w:pPr>
    </w:p>
    <w:p w:rsidR="00AE2468" w:rsidRDefault="00AE2468" w:rsidP="00AE2468">
      <w:pPr>
        <w:spacing w:after="120"/>
        <w:jc w:val="center"/>
        <w:rPr>
          <w:b/>
        </w:rPr>
      </w:pPr>
      <w:r>
        <w:rPr>
          <w:b/>
        </w:rPr>
        <w:t>ISSN 0729-6258 (Print)</w:t>
      </w:r>
    </w:p>
    <w:p w:rsidR="00AE2468" w:rsidRDefault="00AE2468" w:rsidP="00AE2468">
      <w:pPr>
        <w:spacing w:after="240"/>
        <w:jc w:val="center"/>
        <w:rPr>
          <w:b/>
        </w:rPr>
        <w:sectPr w:rsidR="00AE2468"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AE2468" w:rsidRDefault="00AE2468" w:rsidP="00AE2468">
      <w:pPr>
        <w:spacing w:line="240" w:lineRule="auto"/>
        <w:jc w:val="left"/>
        <w:rPr>
          <w:b/>
        </w:rPr>
      </w:pPr>
    </w:p>
    <w:p w:rsidR="00AE2468" w:rsidRDefault="00AE2468" w:rsidP="00AE2468">
      <w:pPr>
        <w:jc w:val="center"/>
        <w:rPr>
          <w:b/>
        </w:rPr>
        <w:sectPr w:rsidR="00AE2468" w:rsidSect="00246178">
          <w:footerReference w:type="default" r:id="rId11"/>
          <w:pgSz w:w="11907" w:h="16840" w:code="9"/>
          <w:pgMar w:top="1134" w:right="1418" w:bottom="1701" w:left="1701" w:header="720" w:footer="720" w:gutter="0"/>
          <w:pgNumType w:start="599"/>
          <w:cols w:space="720"/>
          <w:docGrid w:linePitch="360"/>
        </w:sectPr>
      </w:pPr>
      <w:bookmarkStart w:id="0" w:name="_GoBack"/>
      <w:bookmarkEnd w:id="0"/>
    </w:p>
    <w:p w:rsidR="00AE2468" w:rsidRDefault="00AE2468" w:rsidP="00AE2468">
      <w:pPr>
        <w:jc w:val="center"/>
        <w:rPr>
          <w:b/>
        </w:rPr>
      </w:pPr>
    </w:p>
    <w:p w:rsidR="00AE2468" w:rsidRDefault="00AE2468" w:rsidP="00AE2468">
      <w:pPr>
        <w:jc w:val="center"/>
        <w:rPr>
          <w:b/>
        </w:rPr>
      </w:pPr>
    </w:p>
    <w:p w:rsidR="00AE2468" w:rsidRDefault="00AE2468" w:rsidP="00AE2468">
      <w:pPr>
        <w:spacing w:before="240" w:after="120" w:line="240" w:lineRule="auto"/>
        <w:jc w:val="center"/>
        <w:rPr>
          <w:b/>
          <w:sz w:val="32"/>
        </w:rPr>
      </w:pPr>
      <w:r>
        <w:rPr>
          <w:b/>
          <w:sz w:val="32"/>
        </w:rPr>
        <w:t>Members of the Committee</w:t>
      </w:r>
    </w:p>
    <w:p w:rsidR="00AE2468" w:rsidRDefault="00AE2468" w:rsidP="00AE2468">
      <w:pPr>
        <w:jc w:val="center"/>
      </w:pPr>
    </w:p>
    <w:p w:rsidR="00AE2468" w:rsidRDefault="00AE2468" w:rsidP="00AE2468">
      <w:pPr>
        <w:jc w:val="center"/>
      </w:pPr>
    </w:p>
    <w:p w:rsidR="00AE2468" w:rsidRDefault="00AE2468" w:rsidP="00AE2468">
      <w:pPr>
        <w:jc w:val="center"/>
      </w:pPr>
    </w:p>
    <w:p w:rsidR="00AE2468" w:rsidRDefault="00AE2468" w:rsidP="00AE2468">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AE2468" w:rsidTr="00F71B3F">
        <w:tc>
          <w:tcPr>
            <w:tcW w:w="4786" w:type="dxa"/>
          </w:tcPr>
          <w:p w:rsidR="00AE2468" w:rsidRDefault="00AE2468" w:rsidP="00F71B3F">
            <w:pPr>
              <w:spacing w:after="60"/>
              <w:jc w:val="left"/>
            </w:pPr>
            <w:r w:rsidRPr="00457763">
              <w:t xml:space="preserve">Senator </w:t>
            </w:r>
            <w:r>
              <w:t>Helen Polley</w:t>
            </w:r>
            <w:r w:rsidRPr="00457763">
              <w:t xml:space="preserve"> (Chair)</w:t>
            </w:r>
          </w:p>
        </w:tc>
        <w:tc>
          <w:tcPr>
            <w:tcW w:w="3827" w:type="dxa"/>
          </w:tcPr>
          <w:p w:rsidR="00AE2468" w:rsidRDefault="00AE2468" w:rsidP="00F71B3F">
            <w:pPr>
              <w:spacing w:after="60"/>
              <w:jc w:val="left"/>
            </w:pPr>
            <w:r>
              <w:t>ALP, Tasmania</w:t>
            </w:r>
          </w:p>
        </w:tc>
      </w:tr>
      <w:tr w:rsidR="00AE2468" w:rsidTr="00F71B3F">
        <w:tc>
          <w:tcPr>
            <w:tcW w:w="4786" w:type="dxa"/>
          </w:tcPr>
          <w:p w:rsidR="00AE2468" w:rsidRPr="00457763" w:rsidRDefault="00AE2468" w:rsidP="00F71B3F">
            <w:pPr>
              <w:spacing w:after="60"/>
              <w:jc w:val="left"/>
            </w:pPr>
            <w:r>
              <w:t>Senator John Williams (Deputy Chair)</w:t>
            </w:r>
          </w:p>
        </w:tc>
        <w:tc>
          <w:tcPr>
            <w:tcW w:w="3827" w:type="dxa"/>
          </w:tcPr>
          <w:p w:rsidR="00AE2468" w:rsidRDefault="00AE2468" w:rsidP="00F71B3F">
            <w:pPr>
              <w:spacing w:after="60"/>
              <w:jc w:val="left"/>
            </w:pPr>
            <w:r>
              <w:t>NATS, New South Wales</w:t>
            </w:r>
          </w:p>
        </w:tc>
      </w:tr>
      <w:tr w:rsidR="00AE2468" w:rsidTr="00F71B3F">
        <w:tc>
          <w:tcPr>
            <w:tcW w:w="4786" w:type="dxa"/>
          </w:tcPr>
          <w:p w:rsidR="00AE2468" w:rsidRPr="00457763" w:rsidRDefault="00AE2468" w:rsidP="00F71B3F">
            <w:pPr>
              <w:spacing w:after="60"/>
              <w:jc w:val="left"/>
            </w:pPr>
            <w:r w:rsidRPr="00457763">
              <w:t xml:space="preserve">Senator </w:t>
            </w:r>
            <w:r>
              <w:t>Cory Bernardi</w:t>
            </w:r>
          </w:p>
        </w:tc>
        <w:tc>
          <w:tcPr>
            <w:tcW w:w="3827" w:type="dxa"/>
          </w:tcPr>
          <w:p w:rsidR="00AE2468" w:rsidRDefault="00AE2468" w:rsidP="00F71B3F">
            <w:pPr>
              <w:spacing w:after="60"/>
              <w:jc w:val="left"/>
            </w:pPr>
            <w:r>
              <w:t>LP, South Australia</w:t>
            </w:r>
          </w:p>
        </w:tc>
      </w:tr>
      <w:tr w:rsidR="00AE2468" w:rsidTr="00F71B3F">
        <w:tc>
          <w:tcPr>
            <w:tcW w:w="4786" w:type="dxa"/>
          </w:tcPr>
          <w:p w:rsidR="00AE2468" w:rsidRPr="00457763" w:rsidRDefault="00AE2468" w:rsidP="00F71B3F">
            <w:pPr>
              <w:spacing w:after="60"/>
              <w:jc w:val="left"/>
            </w:pPr>
            <w:r>
              <w:t>Senator Katy Gallagher</w:t>
            </w:r>
          </w:p>
        </w:tc>
        <w:tc>
          <w:tcPr>
            <w:tcW w:w="3827" w:type="dxa"/>
          </w:tcPr>
          <w:p w:rsidR="00AE2468" w:rsidRDefault="00AE2468" w:rsidP="00F71B3F">
            <w:pPr>
              <w:spacing w:after="60"/>
              <w:jc w:val="left"/>
            </w:pPr>
            <w:r>
              <w:t>ALP, Australian Capital Territory</w:t>
            </w:r>
          </w:p>
        </w:tc>
      </w:tr>
      <w:tr w:rsidR="00AE2468" w:rsidTr="00F71B3F">
        <w:tc>
          <w:tcPr>
            <w:tcW w:w="4786" w:type="dxa"/>
          </w:tcPr>
          <w:p w:rsidR="00AE2468" w:rsidRPr="00457763" w:rsidRDefault="00AE2468" w:rsidP="00F71B3F">
            <w:pPr>
              <w:spacing w:after="60"/>
              <w:jc w:val="left"/>
            </w:pPr>
            <w:r>
              <w:t>Senator the Hon Bill Heffernan</w:t>
            </w:r>
          </w:p>
        </w:tc>
        <w:tc>
          <w:tcPr>
            <w:tcW w:w="3827" w:type="dxa"/>
          </w:tcPr>
          <w:p w:rsidR="00AE2468" w:rsidRDefault="00AE2468" w:rsidP="00F71B3F">
            <w:pPr>
              <w:spacing w:after="60"/>
              <w:jc w:val="left"/>
            </w:pPr>
            <w:r>
              <w:t>LP, New South Wales</w:t>
            </w:r>
          </w:p>
        </w:tc>
      </w:tr>
      <w:tr w:rsidR="00AE2468" w:rsidTr="00F71B3F">
        <w:tc>
          <w:tcPr>
            <w:tcW w:w="4786" w:type="dxa"/>
          </w:tcPr>
          <w:p w:rsidR="00AE2468" w:rsidRPr="00457763" w:rsidRDefault="00AE2468" w:rsidP="00F71B3F">
            <w:pPr>
              <w:spacing w:after="60"/>
              <w:jc w:val="left"/>
            </w:pPr>
            <w:r w:rsidRPr="00457763">
              <w:t xml:space="preserve">Senator </w:t>
            </w:r>
            <w:r>
              <w:t>Rachel Siewert</w:t>
            </w:r>
          </w:p>
        </w:tc>
        <w:tc>
          <w:tcPr>
            <w:tcW w:w="3827" w:type="dxa"/>
          </w:tcPr>
          <w:p w:rsidR="00AE2468" w:rsidRDefault="00AE2468" w:rsidP="00F71B3F">
            <w:pPr>
              <w:spacing w:after="60"/>
              <w:jc w:val="left"/>
            </w:pPr>
            <w:r>
              <w:t>AG, Western Australia</w:t>
            </w:r>
          </w:p>
        </w:tc>
      </w:tr>
    </w:tbl>
    <w:p w:rsidR="00AE2468" w:rsidRDefault="00AE2468" w:rsidP="00AE2468">
      <w:pPr>
        <w:jc w:val="left"/>
      </w:pPr>
    </w:p>
    <w:p w:rsidR="00AE2468" w:rsidRDefault="00AE2468" w:rsidP="00AE2468">
      <w:pPr>
        <w:jc w:val="left"/>
      </w:pPr>
    </w:p>
    <w:p w:rsidR="00AE2468" w:rsidRDefault="00AE2468" w:rsidP="00AE2468">
      <w:pPr>
        <w:jc w:val="left"/>
      </w:pPr>
    </w:p>
    <w:p w:rsidR="00AE2468" w:rsidRPr="00FA436C" w:rsidRDefault="00AE2468" w:rsidP="00AE2468">
      <w:pPr>
        <w:spacing w:after="120"/>
        <w:jc w:val="left"/>
        <w:rPr>
          <w:b/>
        </w:rPr>
      </w:pPr>
      <w:r>
        <w:rPr>
          <w:b/>
        </w:rPr>
        <w:t>Secretariat</w:t>
      </w:r>
    </w:p>
    <w:p w:rsidR="00AE2468" w:rsidRDefault="00AE2468" w:rsidP="00AE2468">
      <w:pPr>
        <w:spacing w:after="60"/>
        <w:jc w:val="left"/>
      </w:pPr>
      <w:r>
        <w:t>Ms Toni Dawes, Secretary</w:t>
      </w:r>
    </w:p>
    <w:p w:rsidR="00AE2468" w:rsidRDefault="00AE2468" w:rsidP="00AE2468">
      <w:pPr>
        <w:spacing w:after="60"/>
        <w:jc w:val="left"/>
      </w:pPr>
      <w:r>
        <w:t>Mr Glenn Ryall, Principal Research Officer</w:t>
      </w:r>
    </w:p>
    <w:p w:rsidR="00AE2468" w:rsidRDefault="00AE2468" w:rsidP="00AE2468">
      <w:pPr>
        <w:jc w:val="left"/>
      </w:pPr>
      <w:r>
        <w:t>Ms Ingrid Zappe, Legislative Research Officer</w:t>
      </w:r>
    </w:p>
    <w:p w:rsidR="00AE2468" w:rsidRDefault="00AE2468" w:rsidP="00AE2468">
      <w:pPr>
        <w:jc w:val="left"/>
      </w:pPr>
    </w:p>
    <w:p w:rsidR="00AE2468" w:rsidRDefault="00AE2468" w:rsidP="00AE2468">
      <w:pPr>
        <w:jc w:val="left"/>
      </w:pPr>
    </w:p>
    <w:p w:rsidR="00AE2468" w:rsidRDefault="00AE2468" w:rsidP="00AE2468">
      <w:pPr>
        <w:jc w:val="left"/>
      </w:pPr>
    </w:p>
    <w:p w:rsidR="00AE2468" w:rsidRPr="00FA436C" w:rsidRDefault="00AE2468" w:rsidP="00AE2468">
      <w:pPr>
        <w:spacing w:after="120"/>
        <w:jc w:val="left"/>
        <w:rPr>
          <w:b/>
        </w:rPr>
      </w:pPr>
      <w:r>
        <w:rPr>
          <w:b/>
        </w:rPr>
        <w:t>Committee legal adviser</w:t>
      </w:r>
    </w:p>
    <w:p w:rsidR="00AE2468" w:rsidRDefault="00AE2468" w:rsidP="00AE2468">
      <w:pPr>
        <w:jc w:val="left"/>
      </w:pPr>
      <w:r>
        <w:t>Associate Professor Leighton McDonald</w:t>
      </w:r>
    </w:p>
    <w:p w:rsidR="00AE2468" w:rsidRDefault="00AE2468" w:rsidP="00AE2468">
      <w:pPr>
        <w:jc w:val="left"/>
      </w:pPr>
    </w:p>
    <w:p w:rsidR="00AE2468" w:rsidRDefault="00AE2468" w:rsidP="00AE2468">
      <w:pPr>
        <w:jc w:val="left"/>
      </w:pPr>
    </w:p>
    <w:p w:rsidR="00AE2468" w:rsidRDefault="00AE2468" w:rsidP="00AE2468">
      <w:pPr>
        <w:jc w:val="left"/>
      </w:pPr>
    </w:p>
    <w:p w:rsidR="00AE2468" w:rsidRPr="00FA436C" w:rsidRDefault="00AE2468" w:rsidP="00AE2468">
      <w:pPr>
        <w:spacing w:after="120"/>
        <w:jc w:val="left"/>
        <w:rPr>
          <w:b/>
        </w:rPr>
      </w:pPr>
      <w:r>
        <w:rPr>
          <w:b/>
        </w:rPr>
        <w:t>Committee contacts</w:t>
      </w:r>
    </w:p>
    <w:p w:rsidR="00AE2468" w:rsidRDefault="00AE2468" w:rsidP="00AE2468">
      <w:pPr>
        <w:jc w:val="left"/>
      </w:pPr>
      <w:r>
        <w:t xml:space="preserve">PO Box 6100 </w:t>
      </w:r>
    </w:p>
    <w:p w:rsidR="00AE2468" w:rsidRDefault="00AE2468" w:rsidP="00AE2468">
      <w:pPr>
        <w:jc w:val="left"/>
      </w:pPr>
      <w:r>
        <w:t>Parliament House</w:t>
      </w:r>
    </w:p>
    <w:p w:rsidR="00AE2468" w:rsidRDefault="00AE2468" w:rsidP="00AE2468">
      <w:pPr>
        <w:jc w:val="left"/>
      </w:pPr>
      <w:proofErr w:type="gramStart"/>
      <w:r>
        <w:t>Canberra  ACT</w:t>
      </w:r>
      <w:proofErr w:type="gramEnd"/>
      <w:r>
        <w:t xml:space="preserve">  2600</w:t>
      </w:r>
    </w:p>
    <w:p w:rsidR="00AE2468" w:rsidRDefault="00AE2468" w:rsidP="00AE2468">
      <w:pPr>
        <w:jc w:val="left"/>
      </w:pPr>
      <w:r>
        <w:t>Phone: 02 6277 3050</w:t>
      </w:r>
    </w:p>
    <w:p w:rsidR="00AE2468" w:rsidRDefault="00AE2468" w:rsidP="00AE2468">
      <w:pPr>
        <w:jc w:val="left"/>
      </w:pPr>
      <w:r>
        <w:t>Email:  scrutiny.sen@aph.gov.au</w:t>
      </w:r>
    </w:p>
    <w:p w:rsidR="00AE2468" w:rsidRDefault="00AE2468" w:rsidP="00AE2468">
      <w:pPr>
        <w:jc w:val="left"/>
      </w:pPr>
      <w:r>
        <w:t xml:space="preserve">Website:  </w:t>
      </w:r>
      <w:r w:rsidRPr="00CC3818">
        <w:t>http://www.aph.gov.au/senate_scrutiny</w:t>
      </w:r>
    </w:p>
    <w:p w:rsidR="00AE2468" w:rsidRPr="00E93EDB" w:rsidRDefault="00AE2468" w:rsidP="00AE2468">
      <w:pPr>
        <w:spacing w:before="240" w:after="240" w:line="240" w:lineRule="auto"/>
        <w:jc w:val="center"/>
        <w:rPr>
          <w:b/>
          <w:sz w:val="32"/>
        </w:rPr>
      </w:pPr>
      <w:r>
        <w:rPr>
          <w:b/>
          <w:sz w:val="32"/>
        </w:rPr>
        <w:br w:type="page"/>
      </w:r>
    </w:p>
    <w:p w:rsidR="00AE2468" w:rsidRDefault="00AE2468" w:rsidP="00AE2468">
      <w:pPr>
        <w:spacing w:line="240" w:lineRule="auto"/>
        <w:jc w:val="left"/>
        <w:rPr>
          <w:b/>
        </w:rPr>
      </w:pPr>
      <w:r>
        <w:rPr>
          <w:b/>
        </w:rPr>
        <w:lastRenderedPageBreak/>
        <w:br w:type="page"/>
      </w:r>
    </w:p>
    <w:p w:rsidR="00AE2468" w:rsidRDefault="00AE2468" w:rsidP="00AE2468">
      <w:pPr>
        <w:spacing w:line="240" w:lineRule="auto"/>
        <w:jc w:val="left"/>
        <w:rPr>
          <w:b/>
        </w:rPr>
      </w:pPr>
    </w:p>
    <w:p w:rsidR="00AE2468" w:rsidRDefault="00AE2468" w:rsidP="00AE2468">
      <w:pPr>
        <w:spacing w:before="360" w:after="240"/>
        <w:jc w:val="center"/>
        <w:rPr>
          <w:b/>
          <w:sz w:val="32"/>
        </w:rPr>
      </w:pPr>
    </w:p>
    <w:p w:rsidR="00AE2468" w:rsidRDefault="00AE2468" w:rsidP="00AE2468">
      <w:pPr>
        <w:spacing w:before="360" w:after="240"/>
        <w:jc w:val="center"/>
        <w:rPr>
          <w:b/>
          <w:sz w:val="32"/>
        </w:rPr>
      </w:pPr>
    </w:p>
    <w:p w:rsidR="00AE2468" w:rsidRDefault="00AE2468" w:rsidP="00AE2468">
      <w:pPr>
        <w:spacing w:before="360" w:after="240"/>
        <w:jc w:val="center"/>
        <w:rPr>
          <w:b/>
          <w:sz w:val="32"/>
        </w:rPr>
      </w:pPr>
      <w:r>
        <w:rPr>
          <w:b/>
          <w:sz w:val="32"/>
        </w:rPr>
        <w:t>Terms of Reference</w:t>
      </w:r>
    </w:p>
    <w:p w:rsidR="00AE2468" w:rsidRDefault="00AE2468" w:rsidP="00AE2468">
      <w:pPr>
        <w:spacing w:before="360" w:after="240"/>
        <w:jc w:val="center"/>
        <w:rPr>
          <w:b/>
        </w:rPr>
      </w:pPr>
    </w:p>
    <w:p w:rsidR="00AE2468" w:rsidRDefault="00AE2468" w:rsidP="00AE2468">
      <w:pPr>
        <w:spacing w:after="360" w:line="240" w:lineRule="auto"/>
        <w:jc w:val="center"/>
      </w:pPr>
      <w:r>
        <w:t xml:space="preserve">Extract from </w:t>
      </w:r>
      <w:r>
        <w:rPr>
          <w:b/>
        </w:rPr>
        <w:t>Standing Order 24</w:t>
      </w:r>
    </w:p>
    <w:p w:rsidR="00AE2468" w:rsidRDefault="00AE2468" w:rsidP="00AE2468">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AE2468" w:rsidRDefault="00AE2468" w:rsidP="00AE2468">
      <w:pPr>
        <w:tabs>
          <w:tab w:val="left" w:pos="8576"/>
        </w:tabs>
        <w:spacing w:before="120"/>
        <w:ind w:left="1701" w:hanging="567"/>
      </w:pPr>
      <w:r>
        <w:t>(</w:t>
      </w:r>
      <w:proofErr w:type="gramStart"/>
      <w:r>
        <w:t>i</w:t>
      </w:r>
      <w:proofErr w:type="gramEnd"/>
      <w:r>
        <w:t>)</w:t>
      </w:r>
      <w:r>
        <w:tab/>
        <w:t>trespass unduly on personal rights and liberties;</w:t>
      </w:r>
    </w:p>
    <w:p w:rsidR="00AE2468" w:rsidRDefault="00AE2468" w:rsidP="00AE2468">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AE2468" w:rsidRDefault="00AE2468" w:rsidP="00AE2468">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AE2468" w:rsidRDefault="00AE2468" w:rsidP="00AE2468">
      <w:pPr>
        <w:tabs>
          <w:tab w:val="left" w:pos="8576"/>
        </w:tabs>
        <w:spacing w:before="120"/>
        <w:ind w:left="1701" w:hanging="567"/>
      </w:pPr>
      <w:r>
        <w:t>(iv)</w:t>
      </w:r>
      <w:r>
        <w:tab/>
      </w:r>
      <w:proofErr w:type="gramStart"/>
      <w:r>
        <w:t>inappropriately</w:t>
      </w:r>
      <w:proofErr w:type="gramEnd"/>
      <w:r>
        <w:t xml:space="preserve"> delegate legislative powers; or</w:t>
      </w:r>
    </w:p>
    <w:p w:rsidR="00AE2468" w:rsidRDefault="00AE2468" w:rsidP="00AE2468">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AE2468" w:rsidRDefault="00AE2468" w:rsidP="00AE2468">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AE2468" w:rsidRPr="000E6DD3" w:rsidRDefault="00AE2468" w:rsidP="00AE2468">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AE2468" w:rsidRDefault="00AE2468" w:rsidP="00AE2468">
      <w:pPr>
        <w:tabs>
          <w:tab w:val="left" w:pos="567"/>
        </w:tabs>
        <w:spacing w:before="120" w:after="120"/>
        <w:ind w:left="1134" w:hanging="1134"/>
      </w:pPr>
    </w:p>
    <w:p w:rsidR="00AE2468" w:rsidRDefault="00AE2468" w:rsidP="00AE2468">
      <w:pPr>
        <w:spacing w:line="240" w:lineRule="auto"/>
        <w:jc w:val="left"/>
      </w:pPr>
      <w:r>
        <w:br w:type="page"/>
      </w:r>
    </w:p>
    <w:p w:rsidR="00AE2468" w:rsidRDefault="00AE2468" w:rsidP="00AE2468"/>
    <w:p w:rsidR="00AE2468" w:rsidRDefault="00AE2468">
      <w:pPr>
        <w:spacing w:after="240"/>
        <w:jc w:val="center"/>
        <w:rPr>
          <w:b/>
          <w:color w:val="000000" w:themeColor="text1"/>
          <w:sz w:val="28"/>
        </w:rPr>
        <w:sectPr w:rsidR="00AE2468" w:rsidSect="00246178">
          <w:headerReference w:type="default" r:id="rId12"/>
          <w:footerReference w:type="default" r:id="rId13"/>
          <w:pgSz w:w="11907" w:h="16840" w:code="9"/>
          <w:pgMar w:top="1134" w:right="1418" w:bottom="1701" w:left="1701" w:header="720" w:footer="720" w:gutter="0"/>
          <w:pgNumType w:start="599"/>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Default="00353313">
      <w:pPr>
        <w:spacing w:after="240"/>
        <w:rPr>
          <w:color w:val="000000" w:themeColor="text1"/>
        </w:rPr>
      </w:pPr>
    </w:p>
    <w:p w:rsidR="00031C36" w:rsidRPr="002B05A3" w:rsidRDefault="00031C36">
      <w:pPr>
        <w:spacing w:after="240"/>
        <w:rPr>
          <w:color w:val="000000" w:themeColor="text1"/>
        </w:rPr>
      </w:pPr>
    </w:p>
    <w:p w:rsidR="00EA0096" w:rsidRPr="002B05A3" w:rsidRDefault="00EA0096">
      <w:pPr>
        <w:spacing w:after="240"/>
        <w:rPr>
          <w:color w:val="000000" w:themeColor="text1"/>
        </w:rPr>
      </w:pPr>
    </w:p>
    <w:p w:rsidR="00EB2C17" w:rsidRPr="002B05A3" w:rsidRDefault="00246178" w:rsidP="00EB2C17">
      <w:pPr>
        <w:spacing w:after="480"/>
        <w:jc w:val="center"/>
        <w:rPr>
          <w:b/>
          <w:color w:val="000000" w:themeColor="text1"/>
          <w:sz w:val="28"/>
        </w:rPr>
      </w:pPr>
      <w:r>
        <w:rPr>
          <w:b/>
          <w:color w:val="000000" w:themeColor="text1"/>
          <w:sz w:val="28"/>
        </w:rPr>
        <w:t>EIGH</w:t>
      </w:r>
      <w:r w:rsidR="00031C36">
        <w:rPr>
          <w:b/>
          <w:color w:val="000000" w:themeColor="text1"/>
          <w:sz w:val="28"/>
        </w:rPr>
        <w:t>T</w:t>
      </w:r>
      <w:r w:rsidR="009B69F7">
        <w:rPr>
          <w:b/>
          <w:color w:val="000000" w:themeColor="text1"/>
          <w:sz w:val="28"/>
        </w:rPr>
        <w:t>H</w:t>
      </w:r>
      <w:r w:rsidR="00CC2A30">
        <w:rPr>
          <w:b/>
          <w:color w:val="000000" w:themeColor="text1"/>
          <w:sz w:val="28"/>
        </w:rPr>
        <w:t xml:space="preserve"> </w:t>
      </w:r>
      <w:r w:rsidR="000C0D9E">
        <w:rPr>
          <w:b/>
          <w:color w:val="000000" w:themeColor="text1"/>
          <w:sz w:val="28"/>
        </w:rPr>
        <w:t>REPORT OF 2015</w:t>
      </w:r>
    </w:p>
    <w:p w:rsidR="00031C36" w:rsidRDefault="00031C36" w:rsidP="00EB2C17">
      <w:pPr>
        <w:spacing w:after="240"/>
        <w:rPr>
          <w:color w:val="000000" w:themeColor="text1"/>
        </w:rPr>
      </w:pPr>
    </w:p>
    <w:p w:rsidR="00EB2C17" w:rsidRPr="002B05A3" w:rsidRDefault="00EB2C17" w:rsidP="00EB2C17">
      <w:pPr>
        <w:spacing w:after="240"/>
        <w:rPr>
          <w:color w:val="000000" w:themeColor="text1"/>
        </w:rPr>
      </w:pPr>
      <w:r w:rsidRPr="002B05A3">
        <w:rPr>
          <w:color w:val="000000" w:themeColor="text1"/>
        </w:rPr>
        <w:t xml:space="preserve">The committee presents its </w:t>
      </w:r>
      <w:r w:rsidR="00246178">
        <w:rPr>
          <w:i/>
          <w:color w:val="000000" w:themeColor="text1"/>
        </w:rPr>
        <w:t>Eigh</w:t>
      </w:r>
      <w:r w:rsidR="009B69F7">
        <w:rPr>
          <w:i/>
          <w:color w:val="000000" w:themeColor="text1"/>
        </w:rPr>
        <w:t>th</w:t>
      </w:r>
      <w:r w:rsidR="00294712">
        <w:rPr>
          <w:i/>
          <w:color w:val="000000" w:themeColor="text1"/>
        </w:rPr>
        <w:t xml:space="preserve">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031C36" w:rsidRDefault="00031C36" w:rsidP="00031C36"/>
    <w:p w:rsidR="001F5F94" w:rsidRPr="002B05A3" w:rsidRDefault="001F5F94" w:rsidP="001F5F94">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1F5F94" w:rsidRPr="002B05A3" w:rsidRDefault="001F5F94" w:rsidP="001F5F94">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1F5F94" w:rsidRPr="002B05A3" w:rsidTr="00201A84">
        <w:tc>
          <w:tcPr>
            <w:tcW w:w="7621"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Bills</w:t>
            </w:r>
          </w:p>
        </w:tc>
        <w:tc>
          <w:tcPr>
            <w:tcW w:w="1383"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Page No.</w:t>
            </w:r>
          </w:p>
        </w:tc>
      </w:tr>
      <w:tr w:rsidR="00201A84" w:rsidRPr="002F32D4" w:rsidTr="00201A84">
        <w:tc>
          <w:tcPr>
            <w:tcW w:w="7621" w:type="dxa"/>
          </w:tcPr>
          <w:p w:rsidR="00201A84" w:rsidRPr="007E0B31" w:rsidRDefault="00C20CFE" w:rsidP="00201A84">
            <w:pPr>
              <w:spacing w:before="120" w:after="120"/>
              <w:ind w:right="318"/>
              <w:rPr>
                <w:szCs w:val="24"/>
              </w:rPr>
            </w:pPr>
            <w:r>
              <w:rPr>
                <w:lang w:val="en-US"/>
              </w:rPr>
              <w:t xml:space="preserve">Australian </w:t>
            </w:r>
            <w:proofErr w:type="spellStart"/>
            <w:r>
              <w:rPr>
                <w:lang w:val="en-US"/>
              </w:rPr>
              <w:t>Defence</w:t>
            </w:r>
            <w:proofErr w:type="spellEnd"/>
            <w:r>
              <w:rPr>
                <w:lang w:val="en-US"/>
              </w:rPr>
              <w:t xml:space="preserve"> Force Cover </w:t>
            </w:r>
            <w:r>
              <w:t>Bill 2015</w:t>
            </w:r>
          </w:p>
        </w:tc>
        <w:tc>
          <w:tcPr>
            <w:tcW w:w="1383" w:type="dxa"/>
          </w:tcPr>
          <w:p w:rsidR="00201A84" w:rsidRPr="007E0B31" w:rsidRDefault="00C20CFE" w:rsidP="00201A84">
            <w:pPr>
              <w:tabs>
                <w:tab w:val="right" w:pos="743"/>
              </w:tabs>
              <w:spacing w:before="120" w:after="120"/>
              <w:rPr>
                <w:szCs w:val="24"/>
              </w:rPr>
            </w:pPr>
            <w:r>
              <w:rPr>
                <w:szCs w:val="24"/>
              </w:rPr>
              <w:tab/>
            </w:r>
            <w:r w:rsidR="007F1303">
              <w:rPr>
                <w:szCs w:val="24"/>
              </w:rPr>
              <w:t>601</w:t>
            </w:r>
          </w:p>
        </w:tc>
      </w:tr>
      <w:tr w:rsidR="007177F2" w:rsidRPr="002F32D4" w:rsidTr="00201A84">
        <w:tc>
          <w:tcPr>
            <w:tcW w:w="7621" w:type="dxa"/>
          </w:tcPr>
          <w:p w:rsidR="007177F2" w:rsidRPr="007E0B31" w:rsidRDefault="00C20CFE" w:rsidP="00201A84">
            <w:pPr>
              <w:spacing w:before="120" w:after="120"/>
              <w:ind w:right="318"/>
              <w:rPr>
                <w:szCs w:val="24"/>
              </w:rPr>
            </w:pPr>
            <w:r>
              <w:rPr>
                <w:lang w:val="en-US"/>
              </w:rPr>
              <w:t xml:space="preserve">Australian </w:t>
            </w:r>
            <w:proofErr w:type="spellStart"/>
            <w:r>
              <w:rPr>
                <w:lang w:val="en-US"/>
              </w:rPr>
              <w:t>Defence</w:t>
            </w:r>
            <w:proofErr w:type="spellEnd"/>
            <w:r>
              <w:rPr>
                <w:lang w:val="en-US"/>
              </w:rPr>
              <w:t xml:space="preserve"> Force Superannuation </w:t>
            </w:r>
            <w:r>
              <w:t>Bill 2015</w:t>
            </w:r>
          </w:p>
        </w:tc>
        <w:tc>
          <w:tcPr>
            <w:tcW w:w="1383" w:type="dxa"/>
          </w:tcPr>
          <w:p w:rsidR="007177F2" w:rsidRPr="007E0B31" w:rsidRDefault="00C20CFE" w:rsidP="00201A84">
            <w:pPr>
              <w:tabs>
                <w:tab w:val="right" w:pos="743"/>
              </w:tabs>
              <w:spacing w:before="120" w:after="120"/>
              <w:rPr>
                <w:szCs w:val="24"/>
              </w:rPr>
            </w:pPr>
            <w:r>
              <w:rPr>
                <w:szCs w:val="24"/>
              </w:rPr>
              <w:tab/>
            </w:r>
            <w:r w:rsidR="007F1303">
              <w:rPr>
                <w:szCs w:val="24"/>
              </w:rPr>
              <w:t>604</w:t>
            </w:r>
          </w:p>
        </w:tc>
      </w:tr>
    </w:tbl>
    <w:p w:rsidR="001F5F94" w:rsidRPr="002B05A3" w:rsidRDefault="001F5F94" w:rsidP="001F5F94">
      <w:pPr>
        <w:rPr>
          <w:color w:val="000000" w:themeColor="text1"/>
        </w:rPr>
      </w:pPr>
    </w:p>
    <w:p w:rsidR="00201A84" w:rsidRDefault="00201A84">
      <w:pPr>
        <w:spacing w:line="240" w:lineRule="auto"/>
        <w:jc w:val="left"/>
        <w:rPr>
          <w:color w:val="000000" w:themeColor="text1"/>
        </w:rPr>
      </w:pPr>
      <w:r>
        <w:rPr>
          <w:color w:val="000000" w:themeColor="text1"/>
        </w:rPr>
        <w:br w:type="page"/>
      </w:r>
    </w:p>
    <w:p w:rsidR="00201A84" w:rsidRDefault="00201A84">
      <w:pPr>
        <w:spacing w:line="240" w:lineRule="auto"/>
        <w:jc w:val="left"/>
        <w:rPr>
          <w:color w:val="000000" w:themeColor="text1"/>
        </w:rPr>
      </w:pPr>
      <w:r>
        <w:rPr>
          <w:color w:val="000000" w:themeColor="text1"/>
        </w:rPr>
        <w:lastRenderedPageBreak/>
        <w:br w:type="page"/>
      </w:r>
    </w:p>
    <w:p w:rsidR="00246178" w:rsidRPr="00E110E9" w:rsidRDefault="00246178" w:rsidP="00246178">
      <w:pPr>
        <w:pStyle w:val="H1"/>
        <w:spacing w:after="240"/>
      </w:pPr>
      <w:r>
        <w:rPr>
          <w:lang w:val="en-US"/>
        </w:rPr>
        <w:lastRenderedPageBreak/>
        <w:t xml:space="preserve">Australian </w:t>
      </w:r>
      <w:proofErr w:type="spellStart"/>
      <w:r>
        <w:rPr>
          <w:lang w:val="en-US"/>
        </w:rPr>
        <w:t>Defence</w:t>
      </w:r>
      <w:proofErr w:type="spellEnd"/>
      <w:r>
        <w:rPr>
          <w:lang w:val="en-US"/>
        </w:rPr>
        <w:t xml:space="preserve"> Force Cover </w:t>
      </w:r>
      <w:r>
        <w:t>Bill 2015</w:t>
      </w:r>
    </w:p>
    <w:p w:rsidR="00246178" w:rsidRPr="00E110E9" w:rsidRDefault="00246178" w:rsidP="00246178">
      <w:r w:rsidRPr="00E110E9">
        <w:t xml:space="preserve">Introduced into the </w:t>
      </w:r>
      <w:r>
        <w:t xml:space="preserve">House of Representatives </w:t>
      </w:r>
      <w:r w:rsidRPr="00E110E9">
        <w:t xml:space="preserve">on </w:t>
      </w:r>
      <w:r>
        <w:t>25 June 2015</w:t>
      </w:r>
    </w:p>
    <w:p w:rsidR="00246178" w:rsidRPr="00E110E9" w:rsidRDefault="00246178" w:rsidP="00246178">
      <w:r>
        <w:t>Portfolio: Defence</w:t>
      </w:r>
    </w:p>
    <w:p w:rsidR="00246178" w:rsidRDefault="00246178" w:rsidP="00246178"/>
    <w:p w:rsidR="00246178" w:rsidRPr="00B671BF" w:rsidRDefault="00246178" w:rsidP="00246178">
      <w:pPr>
        <w:tabs>
          <w:tab w:val="left" w:pos="5245"/>
        </w:tabs>
        <w:spacing w:after="120"/>
        <w:rPr>
          <w:b/>
          <w:color w:val="000000" w:themeColor="text1"/>
          <w:sz w:val="28"/>
          <w:szCs w:val="28"/>
        </w:rPr>
      </w:pPr>
      <w:r w:rsidRPr="00B671BF">
        <w:rPr>
          <w:b/>
          <w:i/>
          <w:color w:val="000000" w:themeColor="text1"/>
          <w:sz w:val="28"/>
          <w:szCs w:val="28"/>
        </w:rPr>
        <w:t>Introduction</w:t>
      </w:r>
    </w:p>
    <w:p w:rsidR="00246178" w:rsidRPr="00B671BF" w:rsidRDefault="00246178" w:rsidP="00246178">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7</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 xml:space="preserve">Assistant Minister </w:t>
      </w:r>
      <w:r w:rsidRPr="00B671BF">
        <w:rPr>
          <w:color w:val="000000" w:themeColor="text1"/>
        </w:rPr>
        <w:t>responded to the committe</w:t>
      </w:r>
      <w:r>
        <w:rPr>
          <w:color w:val="000000" w:themeColor="text1"/>
        </w:rPr>
        <w:t>e’s comments in a letter dated 17 August</w:t>
      </w:r>
      <w:r w:rsidRPr="00B671BF">
        <w:rPr>
          <w:color w:val="000000" w:themeColor="text1"/>
        </w:rPr>
        <w:t xml:space="preserve"> 2015. A copy of the letter is attached to this report.</w:t>
      </w:r>
    </w:p>
    <w:p w:rsidR="00246178" w:rsidRDefault="00246178" w:rsidP="00246178"/>
    <w:p w:rsidR="00246178" w:rsidRDefault="00AE2468" w:rsidP="00246178">
      <w:r>
        <w:pict>
          <v:shapetype id="_x0000_t202" coordsize="21600,21600" o:spt="202" path="m,l,21600r21600,l21600,xe">
            <v:stroke joinstyle="miter"/>
            <v:path gradientshapeok="t" o:connecttype="rect"/>
          </v:shapetype>
          <v:shape id="_x0000_s102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8">
              <w:txbxContent>
                <w:p w:rsidR="00246178" w:rsidRDefault="00246178" w:rsidP="001616AE">
                  <w:pPr>
                    <w:spacing w:before="120" w:after="120"/>
                  </w:pPr>
                  <w:r>
                    <w:rPr>
                      <w:b/>
                      <w:i/>
                      <w:sz w:val="32"/>
                      <w:szCs w:val="32"/>
                    </w:rPr>
                    <w:t>Alert Digest No. 7 of 201</w:t>
                  </w:r>
                  <w:r w:rsidR="00C20CFE">
                    <w:rPr>
                      <w:b/>
                      <w:i/>
                      <w:sz w:val="32"/>
                      <w:szCs w:val="32"/>
                    </w:rPr>
                    <w:t>5</w:t>
                  </w:r>
                  <w:r>
                    <w:rPr>
                      <w:b/>
                      <w:i/>
                      <w:sz w:val="32"/>
                      <w:szCs w:val="32"/>
                    </w:rPr>
                    <w:t xml:space="preserve"> - extract</w:t>
                  </w:r>
                </w:p>
              </w:txbxContent>
            </v:textbox>
            <w10:wrap type="none"/>
            <w10:anchorlock/>
          </v:shape>
        </w:pict>
      </w:r>
    </w:p>
    <w:p w:rsidR="00246178" w:rsidRDefault="00246178" w:rsidP="00246178"/>
    <w:p w:rsidR="00246178" w:rsidRPr="00246178" w:rsidRDefault="00246178" w:rsidP="00246178">
      <w:pPr>
        <w:pStyle w:val="H2"/>
        <w:rPr>
          <w:sz w:val="26"/>
          <w:szCs w:val="26"/>
        </w:rPr>
      </w:pPr>
      <w:r w:rsidRPr="00246178">
        <w:rPr>
          <w:sz w:val="26"/>
          <w:szCs w:val="26"/>
        </w:rPr>
        <w:t>Background</w:t>
      </w:r>
    </w:p>
    <w:p w:rsidR="00246178" w:rsidRDefault="00246178" w:rsidP="00246178"/>
    <w:p w:rsidR="00246178" w:rsidRDefault="00246178" w:rsidP="00246178">
      <w:r>
        <w:t>This bill is part of a package of three bills to establish new superannuation arrangements for people joining the Australian Defence Force (ADF) on or after 1 July 2016.</w:t>
      </w:r>
    </w:p>
    <w:p w:rsidR="00246178" w:rsidRDefault="00246178" w:rsidP="00246178"/>
    <w:p w:rsidR="00246178" w:rsidRPr="00E07437" w:rsidRDefault="00246178" w:rsidP="00246178">
      <w:r>
        <w:t xml:space="preserve">The bill establishes the Australian Defence Force Cover Scheme (ADF Cover) to </w:t>
      </w:r>
      <w:r w:rsidRPr="00E07437">
        <w:t>provide ADF members with death and invalidity cover consistent with the benefits provided to members of the current Military Superannuation and Benefits Scheme.</w:t>
      </w:r>
    </w:p>
    <w:p w:rsidR="00246178" w:rsidRPr="00E07437" w:rsidRDefault="00246178" w:rsidP="00246178"/>
    <w:p w:rsidR="00246178" w:rsidRPr="00E07437" w:rsidRDefault="00246178" w:rsidP="00246178">
      <w:pPr>
        <w:pStyle w:val="H2"/>
      </w:pPr>
      <w:r w:rsidRPr="00E07437">
        <w:t>Delegation of legislative power—standing appropriation</w:t>
      </w:r>
    </w:p>
    <w:p w:rsidR="00246178" w:rsidRPr="00E07437" w:rsidRDefault="00246178" w:rsidP="00246178">
      <w:pPr>
        <w:pStyle w:val="H2"/>
      </w:pPr>
      <w:r w:rsidRPr="00E07437">
        <w:t>Insufficient Parliamentary scrutiny</w:t>
      </w:r>
    </w:p>
    <w:p w:rsidR="00246178" w:rsidRPr="00E07437" w:rsidRDefault="00246178" w:rsidP="00246178">
      <w:pPr>
        <w:pStyle w:val="H2"/>
      </w:pPr>
      <w:r w:rsidRPr="00E07437">
        <w:t>Clause 60</w:t>
      </w:r>
    </w:p>
    <w:p w:rsidR="00246178" w:rsidRPr="00E07437" w:rsidRDefault="00246178" w:rsidP="00246178"/>
    <w:p w:rsidR="00246178" w:rsidRPr="00E07437" w:rsidRDefault="00246178" w:rsidP="00246178">
      <w:r w:rsidRPr="00E07437">
        <w:t xml:space="preserve">Clause 60 provides generally for the payment of benefits authorised by the bill from the Consolidated Revenue Fund, without putting a limit on the maximum amount to be spent or defining the period in which payments can be made. This means that the provision is a standing appropriation. In its </w:t>
      </w:r>
      <w:r w:rsidRPr="00E07437">
        <w:rPr>
          <w:i/>
          <w:iCs/>
        </w:rPr>
        <w:t>Fourteenth Report of 2005</w:t>
      </w:r>
      <w:r w:rsidRPr="00E07437">
        <w:t>, the committee stated, at page 272, that:</w:t>
      </w:r>
    </w:p>
    <w:p w:rsidR="00246178" w:rsidRPr="00E07437" w:rsidRDefault="00246178" w:rsidP="00246178">
      <w:pPr>
        <w:spacing w:line="312" w:lineRule="atLeast"/>
        <w:rPr>
          <w:color w:val="000000"/>
          <w:szCs w:val="24"/>
        </w:rPr>
      </w:pPr>
    </w:p>
    <w:p w:rsidR="00246178" w:rsidRPr="00E07437" w:rsidRDefault="00246178" w:rsidP="00246178">
      <w:pPr>
        <w:pStyle w:val="I1"/>
        <w:rPr>
          <w:rFonts w:ascii="Verdana" w:hAnsi="Verdana"/>
          <w:sz w:val="17"/>
          <w:szCs w:val="17"/>
        </w:rPr>
      </w:pPr>
      <w:r w:rsidRPr="00E07437">
        <w:t>The appropriation of money from Commonwealth revenue is a legislative function. The committee considers that, by allowing the executive government to spend unspecified amounts of money for an indefinite time into the future, provisions which establish standing appropriations may, depending on the circumstances of the legislation, infringe upon the committee’s terms of reference relating to the delegation and exercise of legislative power.</w:t>
      </w:r>
    </w:p>
    <w:p w:rsidR="00246178" w:rsidRPr="00E07437" w:rsidRDefault="00246178" w:rsidP="00246178">
      <w:pPr>
        <w:rPr>
          <w:rFonts w:ascii="Calibri" w:hAnsi="Calibri"/>
          <w:color w:val="1F497D"/>
          <w:sz w:val="22"/>
          <w:szCs w:val="22"/>
          <w:lang w:eastAsia="en-US"/>
        </w:rPr>
      </w:pPr>
    </w:p>
    <w:p w:rsidR="00246178" w:rsidRPr="00E07437" w:rsidRDefault="00246178" w:rsidP="00246178">
      <w:pPr>
        <w:rPr>
          <w:szCs w:val="26"/>
        </w:rPr>
      </w:pPr>
      <w:r w:rsidRPr="00E07437">
        <w:t>The committee has determined that, as part of its standard procedures for reporting on bills, it should draw Senators’ attention to the presence in bills of standing appropriations. It will do so under provisions 1(a</w:t>
      </w:r>
      <w:proofErr w:type="gramStart"/>
      <w:r w:rsidRPr="00E07437">
        <w:t>)(</w:t>
      </w:r>
      <w:proofErr w:type="gramEnd"/>
      <w:r w:rsidRPr="00E07437">
        <w:t>iv) and (v) of its terms of reference, which require the committee to report on whether bills:</w:t>
      </w:r>
    </w:p>
    <w:p w:rsidR="00246178" w:rsidRPr="00E07437" w:rsidRDefault="00246178" w:rsidP="00246178">
      <w:pPr>
        <w:pStyle w:val="I1"/>
      </w:pPr>
    </w:p>
    <w:p w:rsidR="00246178" w:rsidRPr="00E07437" w:rsidRDefault="00246178" w:rsidP="00246178">
      <w:pPr>
        <w:ind w:left="720"/>
      </w:pPr>
      <w:r w:rsidRPr="00E07437">
        <w:t xml:space="preserve">(iv) </w:t>
      </w:r>
      <w:proofErr w:type="gramStart"/>
      <w:r w:rsidRPr="00E07437">
        <w:t>inappropriately</w:t>
      </w:r>
      <w:proofErr w:type="gramEnd"/>
      <w:r w:rsidRPr="00E07437">
        <w:t xml:space="preserve"> delegate legislative powers; or</w:t>
      </w:r>
    </w:p>
    <w:p w:rsidR="00246178" w:rsidRPr="00E07437" w:rsidRDefault="00246178" w:rsidP="00246178">
      <w:pPr>
        <w:pStyle w:val="I1"/>
      </w:pPr>
    </w:p>
    <w:p w:rsidR="00246178" w:rsidRPr="00E07437" w:rsidRDefault="00246178" w:rsidP="00246178">
      <w:pPr>
        <w:ind w:left="720"/>
      </w:pPr>
      <w:r w:rsidRPr="00E07437">
        <w:t xml:space="preserve">(v) </w:t>
      </w:r>
      <w:proofErr w:type="gramStart"/>
      <w:r w:rsidRPr="00E07437">
        <w:t>insufficiently</w:t>
      </w:r>
      <w:proofErr w:type="gramEnd"/>
      <w:r w:rsidRPr="00E07437">
        <w:t xml:space="preserve"> subject the exercise of legislative power to parliamentary scrutiny.</w:t>
      </w:r>
    </w:p>
    <w:p w:rsidR="00246178" w:rsidRPr="00E07437" w:rsidRDefault="00246178" w:rsidP="00246178">
      <w:pPr>
        <w:spacing w:line="312" w:lineRule="atLeast"/>
        <w:rPr>
          <w:color w:val="000000"/>
          <w:szCs w:val="24"/>
        </w:rPr>
      </w:pPr>
    </w:p>
    <w:p w:rsidR="00246178" w:rsidRPr="00800C4F" w:rsidRDefault="00246178" w:rsidP="00246178">
      <w:pPr>
        <w:spacing w:after="120"/>
        <w:rPr>
          <w:sz w:val="22"/>
          <w:szCs w:val="26"/>
        </w:rPr>
      </w:pPr>
      <w:r w:rsidRPr="00E07437">
        <w:t>The committee is not questioning generally the ability for payments to be made, only whether the use of a standing appropriation is an appropriate mechanism. In scrutinising standing appropriations, the committee looks to the explanatory memorandum for an explanation of the reason for the proposed approach. In addition, the committee considers whether the bill:</w:t>
      </w:r>
    </w:p>
    <w:p w:rsidR="00246178" w:rsidRPr="00800C4F" w:rsidRDefault="00246178" w:rsidP="00246178">
      <w:pPr>
        <w:pStyle w:val="Bull1"/>
        <w:spacing w:after="120"/>
        <w:rPr>
          <w:sz w:val="24"/>
          <w:szCs w:val="26"/>
        </w:rPr>
      </w:pPr>
      <w:r w:rsidRPr="00800C4F">
        <w:rPr>
          <w:sz w:val="24"/>
        </w:rPr>
        <w:t>places a limitation on the amount of funds that may be so appropriated; and</w:t>
      </w:r>
    </w:p>
    <w:p w:rsidR="00246178" w:rsidRPr="00800C4F" w:rsidRDefault="00246178" w:rsidP="00246178">
      <w:pPr>
        <w:pStyle w:val="Bull1"/>
        <w:rPr>
          <w:sz w:val="24"/>
        </w:rPr>
      </w:pPr>
      <w:proofErr w:type="gramStart"/>
      <w:r w:rsidRPr="00800C4F">
        <w:rPr>
          <w:sz w:val="24"/>
        </w:rPr>
        <w:t>includes</w:t>
      </w:r>
      <w:proofErr w:type="gramEnd"/>
      <w:r w:rsidRPr="00800C4F">
        <w:rPr>
          <w:sz w:val="24"/>
        </w:rPr>
        <w:t xml:space="preserve"> a sunset clause that ensures the appropriation cannot continue indefinitely without any further reference to Parliament.</w:t>
      </w:r>
    </w:p>
    <w:p w:rsidR="00246178" w:rsidRPr="00E07437" w:rsidRDefault="00246178" w:rsidP="00246178">
      <w:pPr>
        <w:spacing w:line="312" w:lineRule="atLeast"/>
        <w:ind w:left="510" w:right="397" w:hanging="510"/>
        <w:rPr>
          <w:color w:val="000000"/>
          <w:szCs w:val="24"/>
        </w:rPr>
      </w:pPr>
    </w:p>
    <w:p w:rsidR="00246178" w:rsidRPr="00E07437" w:rsidRDefault="00246178" w:rsidP="00246178">
      <w:pPr>
        <w:rPr>
          <w:szCs w:val="26"/>
        </w:rPr>
      </w:pPr>
      <w:r w:rsidRPr="00E07437">
        <w:t xml:space="preserve">In this instance the explanatory memorandum simply repeats the effect of the provision and does not address the matters outlined above. </w:t>
      </w:r>
      <w:r w:rsidRPr="00E07437">
        <w:rPr>
          <w:b/>
          <w:bCs/>
        </w:rPr>
        <w:t>The committee therefore seeks the Minister’s advice as to the justification for including a standing appropriation in the bill and the exclusion of that appropriation from subsequent parliamentary scrutiny and renewal through the ordinary appropriations processes.</w:t>
      </w:r>
    </w:p>
    <w:p w:rsidR="00246178" w:rsidRPr="00E07437" w:rsidRDefault="00246178" w:rsidP="00246178"/>
    <w:p w:rsidR="00246178" w:rsidRDefault="00246178" w:rsidP="00246178">
      <w:pPr>
        <w:ind w:left="567" w:right="567"/>
        <w:rPr>
          <w:i/>
          <w:iCs/>
        </w:rPr>
      </w:pPr>
      <w:r w:rsidRPr="00E07437">
        <w:rPr>
          <w:i/>
          <w:iCs/>
        </w:rPr>
        <w:t>Pending the Minister’s reply, the committee draws Senators’ attention to the provision as it may be considered to delegate legislative powers inappropriately, in breach of principle 1(a</w:t>
      </w:r>
      <w:proofErr w:type="gramStart"/>
      <w:r w:rsidRPr="00E07437">
        <w:rPr>
          <w:i/>
          <w:iCs/>
        </w:rPr>
        <w:t>)(</w:t>
      </w:r>
      <w:proofErr w:type="gramEnd"/>
      <w:r w:rsidRPr="00E07437">
        <w:rPr>
          <w:i/>
          <w:iCs/>
        </w:rPr>
        <w:t>iv) and insufficiently subject the exercise of legislative power to parliamentary scrutiny, in breach of principle 1(a)(v) of the committee’s terms of reference.</w:t>
      </w:r>
    </w:p>
    <w:p w:rsidR="00246178" w:rsidRDefault="00246178" w:rsidP="00246178"/>
    <w:p w:rsidR="00246178" w:rsidRPr="00C20CFE" w:rsidRDefault="00AE2468" w:rsidP="00246178">
      <w:r>
        <w:pict>
          <v:shape id="_x0000_s102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7">
              <w:txbxContent>
                <w:p w:rsidR="00C20CFE" w:rsidRDefault="00C20CFE" w:rsidP="00C54085">
                  <w:pPr>
                    <w:spacing w:before="120" w:after="120"/>
                  </w:pPr>
                  <w:r>
                    <w:rPr>
                      <w:b/>
                      <w:i/>
                      <w:sz w:val="32"/>
                      <w:szCs w:val="32"/>
                    </w:rPr>
                    <w:t>Assistant Minister's response - extract</w:t>
                  </w:r>
                </w:p>
              </w:txbxContent>
            </v:textbox>
            <w10:wrap type="none"/>
            <w10:anchorlock/>
          </v:shape>
        </w:pict>
      </w:r>
    </w:p>
    <w:p w:rsidR="00246178" w:rsidRDefault="00246178" w:rsidP="00246178">
      <w:pPr>
        <w:rPr>
          <w:highlight w:val="yellow"/>
        </w:rPr>
      </w:pPr>
    </w:p>
    <w:p w:rsidR="00C20CFE" w:rsidRPr="00C20CFE" w:rsidRDefault="00C20CFE" w:rsidP="00C20CFE">
      <w:pPr>
        <w:rPr>
          <w:highlight w:val="yellow"/>
        </w:rPr>
      </w:pPr>
      <w:r w:rsidRPr="00C20CFE">
        <w:t xml:space="preserve">In relation to the </w:t>
      </w:r>
      <w:r w:rsidRPr="00C20CFE">
        <w:rPr>
          <w:i/>
          <w:iCs/>
        </w:rPr>
        <w:t xml:space="preserve">ADF Cover Bill, </w:t>
      </w:r>
      <w:r w:rsidRPr="00C20CFE">
        <w:t xml:space="preserve">the Committee has asked for further information about the standing appropriation in clause 60. Benefits under the ADF Cover scheme provided for by the </w:t>
      </w:r>
      <w:r w:rsidRPr="00C20CFE">
        <w:rPr>
          <w:i/>
          <w:iCs/>
        </w:rPr>
        <w:t xml:space="preserve">ADF Cover Bill </w:t>
      </w:r>
      <w:r w:rsidRPr="00C20CFE">
        <w:t>are only available to serving Australian Defence Force (ADF) members who are invalided or killed during their service. Therefore, expenditure from the Consolidated Revenue Fund (CRF) under clause 60 is limited by the Average Funded Strength (AFS) of the ADF. The total AFS is provid</w:t>
      </w:r>
      <w:r w:rsidR="00800C4F">
        <w:t>ed by the Department of Defence’</w:t>
      </w:r>
      <w:r w:rsidRPr="00C20CFE">
        <w:t>s annual portfolio budget with the appropriate oversight of Parliament.</w:t>
      </w:r>
    </w:p>
    <w:p w:rsidR="00C20CFE" w:rsidRPr="00C20CFE" w:rsidRDefault="00C20CFE" w:rsidP="00246178">
      <w:pPr>
        <w:rPr>
          <w:highlight w:val="yellow"/>
        </w:rPr>
      </w:pPr>
    </w:p>
    <w:p w:rsidR="00C20CFE" w:rsidRPr="00C20CFE" w:rsidRDefault="00C20CFE" w:rsidP="00C20CFE">
      <w:pPr>
        <w:rPr>
          <w:highlight w:val="yellow"/>
        </w:rPr>
      </w:pPr>
      <w:proofErr w:type="gramStart"/>
      <w:r w:rsidRPr="00C20CFE">
        <w:t>The spend</w:t>
      </w:r>
      <w:proofErr w:type="gramEnd"/>
      <w:r w:rsidRPr="00C20CFE">
        <w:t xml:space="preserve"> from the CRF is further limited by the small proportion of ADF members who are invalided or killed during their ADF service. Expenditure is further reduced by the cessation of the ADF Cover top-up pension once invalidity pensioners are eligible to access their accumulated superannuation under ADF Super. However, the ADF Cover invalidity base pension continues for the life of the m</w:t>
      </w:r>
      <w:r w:rsidR="00800C4F">
        <w:t>ember and reverts to the member’</w:t>
      </w:r>
      <w:r w:rsidRPr="00C20CFE">
        <w:t>s dependants upon the member</w:t>
      </w:r>
      <w:r w:rsidR="00800C4F">
        <w:t>’</w:t>
      </w:r>
      <w:r w:rsidRPr="00C20CFE">
        <w:t>s death.</w:t>
      </w:r>
    </w:p>
    <w:p w:rsidR="00C20CFE" w:rsidRPr="00C20CFE" w:rsidRDefault="00C20CFE" w:rsidP="00246178">
      <w:pPr>
        <w:rPr>
          <w:highlight w:val="yellow"/>
        </w:rPr>
      </w:pPr>
    </w:p>
    <w:p w:rsidR="00C20CFE" w:rsidRPr="00C20CFE" w:rsidRDefault="00C20CFE" w:rsidP="00C20CFE">
      <w:r w:rsidRPr="00C20CFE">
        <w:t xml:space="preserve">The standing appropriation in the </w:t>
      </w:r>
      <w:r w:rsidRPr="00C20CFE">
        <w:rPr>
          <w:i/>
          <w:iCs/>
        </w:rPr>
        <w:t xml:space="preserve">ADF Cover Bill </w:t>
      </w:r>
      <w:r w:rsidRPr="00C20CFE">
        <w:t xml:space="preserve">is consistent with standing appropriations in the other Commonwealth defined benefit superannuation schemes. These include the Commonwealth Superannuation Scheme, the Public Sector Superannuation scheme, the Military Superannuation and Benefits Scheme, the Defence Force Retirement and Death Benefits scheme and the Defence Forces Retirement Benefits scheme. </w:t>
      </w:r>
      <w:proofErr w:type="gramStart"/>
      <w:r w:rsidRPr="00C20CFE">
        <w:t>As with the current military superannuation schemes, Parliament will remain appropriately informed of the cost of ADF Cover through the annual Defence Portfolio Budget Statement, the Commonwealth Superannuation Corporation Annual Report and th</w:t>
      </w:r>
      <w:r w:rsidR="00800C4F">
        <w:t>e Australian Government Actuary’</w:t>
      </w:r>
      <w:r w:rsidRPr="00C20CFE">
        <w:t>s periodic Military Superannuation Long Term Cost Report.</w:t>
      </w:r>
      <w:proofErr w:type="gramEnd"/>
    </w:p>
    <w:p w:rsidR="00C20CFE" w:rsidRDefault="00C20CFE" w:rsidP="00C20CFE"/>
    <w:p w:rsidR="00C20CFE" w:rsidRDefault="00C20CFE"/>
    <w:p w:rsidR="00C20CFE" w:rsidRPr="00800C4F" w:rsidRDefault="00C20CFE" w:rsidP="00273FCE">
      <w:pPr>
        <w:pBdr>
          <w:top w:val="single" w:sz="8" w:space="6" w:color="auto" w:shadow="1"/>
          <w:left w:val="single" w:sz="8" w:space="2" w:color="auto" w:shadow="1"/>
          <w:bottom w:val="single" w:sz="8" w:space="0" w:color="auto" w:shadow="1"/>
          <w:right w:val="single" w:sz="8" w:space="2" w:color="auto" w:shadow="1"/>
        </w:pBdr>
        <w:shd w:val="pct10" w:color="auto" w:fill="FFFFFF"/>
        <w:spacing w:after="120"/>
        <w:rPr>
          <w:b/>
          <w:i/>
          <w:sz w:val="26"/>
          <w:szCs w:val="26"/>
        </w:rPr>
      </w:pPr>
      <w:r w:rsidRPr="00800C4F">
        <w:rPr>
          <w:b/>
          <w:i/>
          <w:sz w:val="26"/>
          <w:szCs w:val="26"/>
        </w:rPr>
        <w:t>Committee Response</w:t>
      </w:r>
    </w:p>
    <w:p w:rsidR="00C20CFE" w:rsidRPr="00922D31" w:rsidRDefault="00C20CFE" w:rsidP="00273FCE">
      <w:pPr>
        <w:pBdr>
          <w:top w:val="single" w:sz="8" w:space="6" w:color="auto" w:shadow="1"/>
          <w:left w:val="single" w:sz="8" w:space="2" w:color="auto" w:shadow="1"/>
          <w:bottom w:val="single" w:sz="8" w:space="0" w:color="auto" w:shadow="1"/>
          <w:right w:val="single" w:sz="8" w:space="2" w:color="auto" w:shadow="1"/>
        </w:pBdr>
        <w:shd w:val="pct10" w:color="auto" w:fill="FFFFFF"/>
        <w:rPr>
          <w:szCs w:val="24"/>
        </w:rPr>
      </w:pPr>
      <w:r w:rsidRPr="00800C4F">
        <w:rPr>
          <w:szCs w:val="24"/>
        </w:rPr>
        <w:t xml:space="preserve">The committee thanks the Assistant Minister for this </w:t>
      </w:r>
      <w:r w:rsidR="00CD0055" w:rsidRPr="00800C4F">
        <w:rPr>
          <w:szCs w:val="24"/>
        </w:rPr>
        <w:t>response, and notes the</w:t>
      </w:r>
      <w:r w:rsidR="00115EB2" w:rsidRPr="00800C4F">
        <w:rPr>
          <w:szCs w:val="24"/>
        </w:rPr>
        <w:t xml:space="preserve"> information provided about the</w:t>
      </w:r>
      <w:r w:rsidR="00CD0055" w:rsidRPr="00800C4F">
        <w:rPr>
          <w:szCs w:val="24"/>
        </w:rPr>
        <w:t xml:space="preserve"> practical limits on the amount that could be expended under the </w:t>
      </w:r>
      <w:r w:rsidR="00800C4F" w:rsidRPr="007A1631">
        <w:rPr>
          <w:szCs w:val="24"/>
        </w:rPr>
        <w:t xml:space="preserve">standing </w:t>
      </w:r>
      <w:r w:rsidR="00CD0055" w:rsidRPr="007A1631">
        <w:rPr>
          <w:szCs w:val="24"/>
        </w:rPr>
        <w:t xml:space="preserve">appropriation. </w:t>
      </w:r>
      <w:r w:rsidR="00CD0055" w:rsidRPr="007A1631">
        <w:rPr>
          <w:b/>
          <w:szCs w:val="24"/>
        </w:rPr>
        <w:t xml:space="preserve">The committee notes that this information would be useful to Senators </w:t>
      </w:r>
      <w:r w:rsidR="00800C4F" w:rsidRPr="007A1631">
        <w:rPr>
          <w:b/>
          <w:szCs w:val="24"/>
        </w:rPr>
        <w:t xml:space="preserve">and others in understanding the operation of this provision </w:t>
      </w:r>
      <w:r w:rsidR="00CD0055" w:rsidRPr="007A1631">
        <w:rPr>
          <w:b/>
          <w:szCs w:val="24"/>
        </w:rPr>
        <w:t>and</w:t>
      </w:r>
      <w:r w:rsidR="00800C4F" w:rsidRPr="007A1631">
        <w:rPr>
          <w:b/>
          <w:szCs w:val="24"/>
        </w:rPr>
        <w:t xml:space="preserve"> therefore</w:t>
      </w:r>
      <w:r w:rsidR="00CD0055" w:rsidRPr="007A1631">
        <w:rPr>
          <w:b/>
          <w:szCs w:val="24"/>
        </w:rPr>
        <w:t xml:space="preserve"> requests that the key information be included in the explanatory memorandum.</w:t>
      </w:r>
      <w:r w:rsidR="00CD0055" w:rsidRPr="007A1631">
        <w:rPr>
          <w:szCs w:val="24"/>
        </w:rPr>
        <w:t xml:space="preserve"> </w:t>
      </w:r>
      <w:r w:rsidR="00CD0055" w:rsidRPr="007A1631">
        <w:rPr>
          <w:szCs w:val="24"/>
          <w:u w:val="single"/>
        </w:rPr>
        <w:t xml:space="preserve">The committee </w:t>
      </w:r>
      <w:r w:rsidR="00115EB2" w:rsidRPr="007A1631">
        <w:rPr>
          <w:szCs w:val="24"/>
          <w:u w:val="single"/>
        </w:rPr>
        <w:t>r</w:t>
      </w:r>
      <w:r w:rsidR="00CD0055" w:rsidRPr="007A1631">
        <w:rPr>
          <w:szCs w:val="24"/>
          <w:u w:val="single"/>
        </w:rPr>
        <w:t xml:space="preserve">etains </w:t>
      </w:r>
      <w:r w:rsidR="00800C4F" w:rsidRPr="007A1631">
        <w:rPr>
          <w:szCs w:val="24"/>
          <w:u w:val="single"/>
        </w:rPr>
        <w:t xml:space="preserve">a </w:t>
      </w:r>
      <w:r w:rsidR="00CD0055" w:rsidRPr="007A1631">
        <w:rPr>
          <w:szCs w:val="24"/>
          <w:u w:val="single"/>
        </w:rPr>
        <w:t xml:space="preserve">general concern about the use of standing appropriations </w:t>
      </w:r>
      <w:r w:rsidR="00115EB2" w:rsidRPr="007A1631">
        <w:rPr>
          <w:szCs w:val="24"/>
          <w:u w:val="single"/>
        </w:rPr>
        <w:t>because</w:t>
      </w:r>
      <w:r w:rsidR="00CD0055" w:rsidRPr="007A1631">
        <w:rPr>
          <w:szCs w:val="24"/>
          <w:u w:val="single"/>
        </w:rPr>
        <w:t xml:space="preserve"> they remove </w:t>
      </w:r>
      <w:r w:rsidR="00115EB2" w:rsidRPr="007A1631">
        <w:rPr>
          <w:szCs w:val="24"/>
          <w:u w:val="single"/>
        </w:rPr>
        <w:t xml:space="preserve">the opportunity for future </w:t>
      </w:r>
      <w:r w:rsidR="00CD0055" w:rsidRPr="007A1631">
        <w:rPr>
          <w:szCs w:val="24"/>
          <w:u w:val="single"/>
        </w:rPr>
        <w:t xml:space="preserve">Parliamentary scrutiny </w:t>
      </w:r>
      <w:r w:rsidR="00115EB2" w:rsidRPr="007A1631">
        <w:rPr>
          <w:szCs w:val="24"/>
          <w:u w:val="single"/>
        </w:rPr>
        <w:t xml:space="preserve">of spending proposals </w:t>
      </w:r>
      <w:r w:rsidR="00CD0055" w:rsidRPr="007A1631">
        <w:rPr>
          <w:szCs w:val="24"/>
          <w:u w:val="single"/>
        </w:rPr>
        <w:t xml:space="preserve">and can </w:t>
      </w:r>
      <w:r w:rsidR="00325358" w:rsidRPr="007A1631">
        <w:rPr>
          <w:szCs w:val="24"/>
          <w:u w:val="single"/>
        </w:rPr>
        <w:t>amount to an inappropriate delegation of legislative power</w:t>
      </w:r>
      <w:r w:rsidR="007A1631" w:rsidRPr="007A1631">
        <w:rPr>
          <w:szCs w:val="24"/>
          <w:u w:val="single"/>
        </w:rPr>
        <w:t>.</w:t>
      </w:r>
      <w:r w:rsidR="00CD0055" w:rsidRPr="007A1631">
        <w:rPr>
          <w:szCs w:val="24"/>
        </w:rPr>
        <w:t xml:space="preserve"> </w:t>
      </w:r>
      <w:r w:rsidR="00CD0055" w:rsidRPr="007A1631">
        <w:rPr>
          <w:b/>
          <w:szCs w:val="24"/>
        </w:rPr>
        <w:t xml:space="preserve">However, in light of the information provided by the </w:t>
      </w:r>
      <w:r w:rsidR="00B55D83">
        <w:rPr>
          <w:b/>
          <w:szCs w:val="24"/>
        </w:rPr>
        <w:t xml:space="preserve">Assistant </w:t>
      </w:r>
      <w:r w:rsidR="00CD0055" w:rsidRPr="007A1631">
        <w:rPr>
          <w:b/>
          <w:szCs w:val="24"/>
        </w:rPr>
        <w:t xml:space="preserve">Minister, on this occasion the committee leaves the question of whether the </w:t>
      </w:r>
      <w:r w:rsidR="000C27B0" w:rsidRPr="007A1631">
        <w:rPr>
          <w:b/>
          <w:szCs w:val="24"/>
        </w:rPr>
        <w:t xml:space="preserve">approach </w:t>
      </w:r>
      <w:r w:rsidR="00CD0055" w:rsidRPr="007A1631">
        <w:rPr>
          <w:b/>
          <w:szCs w:val="24"/>
        </w:rPr>
        <w:t>proposed in this bill is appropriate to the consideration of the Senate</w:t>
      </w:r>
      <w:r w:rsidR="00B026EB" w:rsidRPr="007A1631">
        <w:rPr>
          <w:b/>
          <w:szCs w:val="24"/>
        </w:rPr>
        <w:t xml:space="preserve"> as a whole</w:t>
      </w:r>
      <w:r w:rsidR="00CD0055" w:rsidRPr="007A1631">
        <w:rPr>
          <w:b/>
          <w:szCs w:val="24"/>
        </w:rPr>
        <w:t>.</w:t>
      </w:r>
    </w:p>
    <w:p w:rsidR="00C20CFE" w:rsidRDefault="00C20CFE" w:rsidP="00273FCE">
      <w:pPr>
        <w:pBdr>
          <w:top w:val="single" w:sz="8" w:space="6" w:color="auto" w:shadow="1"/>
          <w:left w:val="single" w:sz="8" w:space="2" w:color="auto" w:shadow="1"/>
          <w:bottom w:val="single" w:sz="8" w:space="0" w:color="auto" w:shadow="1"/>
          <w:right w:val="single" w:sz="8" w:space="2" w:color="auto" w:shadow="1"/>
        </w:pBdr>
        <w:shd w:val="pct10" w:color="auto" w:fill="FFFFFF"/>
      </w:pPr>
    </w:p>
    <w:p w:rsidR="00C20CFE" w:rsidRPr="00945A73" w:rsidRDefault="00C20CFE"/>
    <w:p w:rsidR="00C20CFE" w:rsidRDefault="00C20CFE" w:rsidP="00C20CFE"/>
    <w:p w:rsidR="00C20CFE" w:rsidRDefault="00C20CFE" w:rsidP="00C20CFE"/>
    <w:p w:rsidR="00C20CFE" w:rsidRDefault="00C20CFE" w:rsidP="00C20CFE"/>
    <w:p w:rsidR="00C20CFE" w:rsidRDefault="00C20CFE" w:rsidP="00C20CFE"/>
    <w:p w:rsidR="00C20CFE" w:rsidRPr="00C20CFE" w:rsidRDefault="00C20CFE" w:rsidP="00C20CFE">
      <w:pPr>
        <w:rPr>
          <w:highlight w:val="yellow"/>
        </w:rPr>
      </w:pPr>
    </w:p>
    <w:p w:rsidR="00246178" w:rsidRDefault="00246178" w:rsidP="00246178">
      <w:pPr>
        <w:spacing w:line="240" w:lineRule="auto"/>
        <w:jc w:val="left"/>
      </w:pPr>
      <w:r>
        <w:br w:type="page"/>
      </w:r>
    </w:p>
    <w:p w:rsidR="00246178" w:rsidRPr="00E110E9" w:rsidRDefault="00246178" w:rsidP="00246178">
      <w:pPr>
        <w:pStyle w:val="H1"/>
      </w:pPr>
      <w:r>
        <w:rPr>
          <w:lang w:val="en-US"/>
        </w:rPr>
        <w:lastRenderedPageBreak/>
        <w:t xml:space="preserve">Australian </w:t>
      </w:r>
      <w:proofErr w:type="spellStart"/>
      <w:r>
        <w:rPr>
          <w:lang w:val="en-US"/>
        </w:rPr>
        <w:t>Defence</w:t>
      </w:r>
      <w:proofErr w:type="spellEnd"/>
      <w:r>
        <w:rPr>
          <w:lang w:val="en-US"/>
        </w:rPr>
        <w:t xml:space="preserve"> Force Superannuation </w:t>
      </w:r>
      <w:r>
        <w:t>Bill 2015</w:t>
      </w:r>
    </w:p>
    <w:p w:rsidR="00246178" w:rsidRPr="00E110E9" w:rsidRDefault="00246178" w:rsidP="00246178">
      <w:r w:rsidRPr="00E110E9">
        <w:t xml:space="preserve">Introduced into the </w:t>
      </w:r>
      <w:r>
        <w:t xml:space="preserve">House of Representatives </w:t>
      </w:r>
      <w:r w:rsidRPr="00E110E9">
        <w:t xml:space="preserve">on </w:t>
      </w:r>
      <w:r>
        <w:t>25 June 2015</w:t>
      </w:r>
    </w:p>
    <w:p w:rsidR="00246178" w:rsidRPr="00E110E9" w:rsidRDefault="00246178" w:rsidP="00246178">
      <w:r>
        <w:t>Portfolio: Defence</w:t>
      </w:r>
    </w:p>
    <w:p w:rsidR="00246178" w:rsidRDefault="00246178" w:rsidP="00246178"/>
    <w:p w:rsidR="00246178" w:rsidRDefault="00246178" w:rsidP="00246178">
      <w:pPr>
        <w:pStyle w:val="H2"/>
      </w:pPr>
      <w:r w:rsidRPr="00C54BA1">
        <w:t>Background</w:t>
      </w:r>
    </w:p>
    <w:p w:rsidR="00246178" w:rsidRDefault="00246178" w:rsidP="00246178"/>
    <w:p w:rsidR="00246178" w:rsidRDefault="00246178" w:rsidP="00246178">
      <w:r>
        <w:t>This bill is part of a package of three bills to establish new superannuation arrangements for people joining the Australian Defence Force (ADF) on or after 1 July 2016.</w:t>
      </w:r>
    </w:p>
    <w:p w:rsidR="00246178" w:rsidRDefault="00246178" w:rsidP="00246178"/>
    <w:p w:rsidR="00246178" w:rsidRDefault="00246178" w:rsidP="00246178">
      <w:pPr>
        <w:spacing w:after="120"/>
      </w:pPr>
      <w:r>
        <w:t xml:space="preserve">The bill will: </w:t>
      </w:r>
    </w:p>
    <w:p w:rsidR="00246178" w:rsidRDefault="00246178" w:rsidP="00246178">
      <w:pPr>
        <w:pStyle w:val="B1"/>
        <w:numPr>
          <w:ilvl w:val="0"/>
          <w:numId w:val="4"/>
        </w:numPr>
        <w:spacing w:after="120"/>
      </w:pPr>
      <w:r>
        <w:t>establish the Australian Defence Force Superannuation Scheme (ADF Super) as an accumulation (or defined contribution) scheme available to either permanent ADF members or reservists on continuous full-time service; and</w:t>
      </w:r>
    </w:p>
    <w:p w:rsidR="00246178" w:rsidRDefault="00246178" w:rsidP="00246178">
      <w:pPr>
        <w:pStyle w:val="B1"/>
        <w:numPr>
          <w:ilvl w:val="0"/>
          <w:numId w:val="4"/>
        </w:numPr>
      </w:pPr>
      <w:proofErr w:type="gramStart"/>
      <w:r>
        <w:t>enable</w:t>
      </w:r>
      <w:proofErr w:type="gramEnd"/>
      <w:r>
        <w:t xml:space="preserve"> ADF members to choose which superannuation scheme they belong to and give those members the ability to transfer their accumulated ADF Super benefits to a fund of their choice when they leave the ADF.</w:t>
      </w:r>
    </w:p>
    <w:p w:rsidR="00246178" w:rsidRPr="00016845" w:rsidRDefault="00246178" w:rsidP="00246178">
      <w:pPr>
        <w:pStyle w:val="H2"/>
      </w:pPr>
      <w:r>
        <w:t>Inappropriate delegation of legislative power—</w:t>
      </w:r>
      <w:r w:rsidRPr="00016845">
        <w:t>Henry VIII clause</w:t>
      </w:r>
    </w:p>
    <w:p w:rsidR="00246178" w:rsidRPr="00016845" w:rsidRDefault="00246178" w:rsidP="00246178">
      <w:pPr>
        <w:pStyle w:val="H2"/>
      </w:pPr>
      <w:r w:rsidRPr="00016845">
        <w:t>Subclause 29(2)</w:t>
      </w:r>
    </w:p>
    <w:p w:rsidR="00246178" w:rsidRDefault="00246178" w:rsidP="00246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imes" w:hAnsi="Times" w:cs="Times"/>
          <w:color w:val="000000"/>
          <w:szCs w:val="26"/>
          <w:lang w:val="en-US"/>
        </w:rPr>
      </w:pPr>
    </w:p>
    <w:p w:rsidR="00246178" w:rsidRDefault="00246178" w:rsidP="00246178">
      <w:pPr>
        <w:spacing w:after="120"/>
        <w:rPr>
          <w:lang w:val="en-US"/>
        </w:rPr>
      </w:pPr>
      <w:proofErr w:type="spellStart"/>
      <w:r w:rsidRPr="00FC6CE4">
        <w:rPr>
          <w:rFonts w:ascii="Times" w:hAnsi="Times" w:cs="Times"/>
          <w:lang w:val="en-US"/>
        </w:rPr>
        <w:t>Subclause</w:t>
      </w:r>
      <w:proofErr w:type="spellEnd"/>
      <w:r w:rsidRPr="00FC6CE4">
        <w:rPr>
          <w:rFonts w:ascii="Times" w:hAnsi="Times" w:cs="Times"/>
          <w:lang w:val="en-US"/>
        </w:rPr>
        <w:t xml:space="preserve"> 29(1) </w:t>
      </w:r>
      <w:r w:rsidRPr="00FC6CE4">
        <w:rPr>
          <w:lang w:val="en-US"/>
        </w:rPr>
        <w:t xml:space="preserve">provides that </w:t>
      </w:r>
      <w:r w:rsidRPr="00994F47">
        <w:rPr>
          <w:lang w:val="en-US"/>
        </w:rPr>
        <w:t>rules (that is, delegated legislation)</w:t>
      </w:r>
      <w:r w:rsidRPr="00FC6CE4">
        <w:rPr>
          <w:lang w:val="en-US"/>
        </w:rPr>
        <w:t xml:space="preserve"> may make any provision that is necessary to enable ADF Super to satisfy any condition or requirements of the following laws:</w:t>
      </w:r>
    </w:p>
    <w:p w:rsidR="00246178" w:rsidRDefault="00246178" w:rsidP="00246178">
      <w:pPr>
        <w:pStyle w:val="ListParagraph"/>
        <w:widowControl w:val="0"/>
        <w:numPr>
          <w:ilvl w:val="0"/>
          <w:numId w:val="29"/>
        </w:numPr>
        <w:tabs>
          <w:tab w:val="left" w:pos="6720"/>
        </w:tabs>
        <w:autoSpaceDE w:val="0"/>
        <w:autoSpaceDN w:val="0"/>
        <w:adjustRightInd w:val="0"/>
        <w:spacing w:after="120" w:line="240" w:lineRule="auto"/>
        <w:ind w:left="851" w:hanging="567"/>
        <w:contextualSpacing w:val="0"/>
        <w:jc w:val="left"/>
        <w:rPr>
          <w:color w:val="000000"/>
          <w:szCs w:val="26"/>
          <w:lang w:val="en-US"/>
        </w:rPr>
      </w:pPr>
      <w:r w:rsidRPr="00FC6CE4">
        <w:rPr>
          <w:color w:val="000000"/>
          <w:szCs w:val="26"/>
          <w:lang w:val="en-US"/>
        </w:rPr>
        <w:t xml:space="preserve">the </w:t>
      </w:r>
      <w:r w:rsidRPr="0077141E">
        <w:rPr>
          <w:rFonts w:ascii="Times" w:hAnsi="Times" w:cs="Times"/>
          <w:i/>
          <w:color w:val="000000"/>
          <w:szCs w:val="26"/>
          <w:lang w:val="en-US"/>
        </w:rPr>
        <w:t>Corporations Act 2001</w:t>
      </w:r>
      <w:r w:rsidRPr="00FC6CE4">
        <w:rPr>
          <w:color w:val="000000"/>
          <w:szCs w:val="26"/>
          <w:lang w:val="en-US"/>
        </w:rPr>
        <w:t xml:space="preserve">; </w:t>
      </w:r>
    </w:p>
    <w:p w:rsidR="00246178" w:rsidRDefault="00246178" w:rsidP="00246178">
      <w:pPr>
        <w:pStyle w:val="ListParagraph"/>
        <w:widowControl w:val="0"/>
        <w:numPr>
          <w:ilvl w:val="0"/>
          <w:numId w:val="29"/>
        </w:numPr>
        <w:tabs>
          <w:tab w:val="left" w:pos="6720"/>
        </w:tabs>
        <w:autoSpaceDE w:val="0"/>
        <w:autoSpaceDN w:val="0"/>
        <w:adjustRightInd w:val="0"/>
        <w:spacing w:after="120" w:line="240" w:lineRule="auto"/>
        <w:ind w:left="851" w:hanging="567"/>
        <w:contextualSpacing w:val="0"/>
        <w:jc w:val="left"/>
        <w:rPr>
          <w:color w:val="000000"/>
          <w:szCs w:val="26"/>
          <w:lang w:val="en-US"/>
        </w:rPr>
      </w:pPr>
      <w:r w:rsidRPr="00FC6CE4">
        <w:rPr>
          <w:color w:val="000000"/>
          <w:szCs w:val="26"/>
          <w:lang w:val="en-US"/>
        </w:rPr>
        <w:t xml:space="preserve">the </w:t>
      </w:r>
      <w:r w:rsidRPr="0077141E">
        <w:rPr>
          <w:rFonts w:ascii="Times" w:hAnsi="Times" w:cs="Times"/>
          <w:i/>
          <w:color w:val="000000"/>
          <w:szCs w:val="26"/>
          <w:lang w:val="en-US"/>
        </w:rPr>
        <w:t>Family Law Act 1975</w:t>
      </w:r>
      <w:r w:rsidRPr="00FC6CE4">
        <w:rPr>
          <w:color w:val="000000"/>
          <w:szCs w:val="26"/>
          <w:lang w:val="en-US"/>
        </w:rPr>
        <w:t>;</w:t>
      </w:r>
    </w:p>
    <w:p w:rsidR="00246178" w:rsidRDefault="00246178" w:rsidP="00246178">
      <w:pPr>
        <w:pStyle w:val="ListParagraph"/>
        <w:widowControl w:val="0"/>
        <w:numPr>
          <w:ilvl w:val="0"/>
          <w:numId w:val="29"/>
        </w:numPr>
        <w:tabs>
          <w:tab w:val="left" w:pos="6720"/>
        </w:tabs>
        <w:autoSpaceDE w:val="0"/>
        <w:autoSpaceDN w:val="0"/>
        <w:adjustRightInd w:val="0"/>
        <w:spacing w:after="120" w:line="240" w:lineRule="auto"/>
        <w:ind w:left="851" w:hanging="567"/>
        <w:contextualSpacing w:val="0"/>
        <w:jc w:val="left"/>
        <w:rPr>
          <w:color w:val="000000"/>
          <w:szCs w:val="26"/>
          <w:lang w:val="en-US"/>
        </w:rPr>
      </w:pPr>
      <w:r w:rsidRPr="00FC6CE4">
        <w:rPr>
          <w:color w:val="000000"/>
          <w:szCs w:val="26"/>
          <w:lang w:val="en-US"/>
        </w:rPr>
        <w:t xml:space="preserve">the </w:t>
      </w:r>
      <w:r w:rsidRPr="0077141E">
        <w:rPr>
          <w:rFonts w:ascii="Times" w:hAnsi="Times" w:cs="Times"/>
          <w:i/>
          <w:color w:val="000000"/>
          <w:szCs w:val="26"/>
          <w:lang w:val="en-US"/>
        </w:rPr>
        <w:t>Financial Institutions Supervisory Levies Collection Act 1998</w:t>
      </w:r>
      <w:r>
        <w:rPr>
          <w:color w:val="000000"/>
          <w:szCs w:val="26"/>
          <w:lang w:val="en-US"/>
        </w:rPr>
        <w:t>;</w:t>
      </w:r>
    </w:p>
    <w:p w:rsidR="00246178" w:rsidRDefault="00246178" w:rsidP="00246178">
      <w:pPr>
        <w:pStyle w:val="ListParagraph"/>
        <w:widowControl w:val="0"/>
        <w:numPr>
          <w:ilvl w:val="0"/>
          <w:numId w:val="29"/>
        </w:numPr>
        <w:tabs>
          <w:tab w:val="left" w:pos="6720"/>
        </w:tabs>
        <w:autoSpaceDE w:val="0"/>
        <w:autoSpaceDN w:val="0"/>
        <w:adjustRightInd w:val="0"/>
        <w:spacing w:after="120" w:line="240" w:lineRule="auto"/>
        <w:ind w:left="851" w:hanging="567"/>
        <w:contextualSpacing w:val="0"/>
        <w:jc w:val="left"/>
        <w:rPr>
          <w:color w:val="000000"/>
          <w:szCs w:val="26"/>
          <w:lang w:val="en-US"/>
        </w:rPr>
      </w:pPr>
      <w:r>
        <w:rPr>
          <w:color w:val="000000"/>
          <w:szCs w:val="26"/>
          <w:lang w:val="en-US"/>
        </w:rPr>
        <w:t>the</w:t>
      </w:r>
      <w:r w:rsidRPr="00FC6CE4">
        <w:rPr>
          <w:color w:val="000000"/>
          <w:szCs w:val="26"/>
          <w:lang w:val="en-US"/>
        </w:rPr>
        <w:t xml:space="preserve"> </w:t>
      </w:r>
      <w:r w:rsidRPr="0077141E">
        <w:rPr>
          <w:rFonts w:ascii="Times" w:hAnsi="Times" w:cs="Times"/>
          <w:i/>
          <w:color w:val="000000"/>
          <w:szCs w:val="26"/>
          <w:lang w:val="en-US"/>
        </w:rPr>
        <w:t>Income Tax Assessment Act 1936 or the Income Tax Assessment Act 1997</w:t>
      </w:r>
      <w:r w:rsidRPr="00FC6CE4">
        <w:rPr>
          <w:color w:val="000000"/>
          <w:szCs w:val="26"/>
          <w:lang w:val="en-US"/>
        </w:rPr>
        <w:t xml:space="preserve">; </w:t>
      </w:r>
    </w:p>
    <w:p w:rsidR="00246178" w:rsidRDefault="00246178" w:rsidP="00246178">
      <w:pPr>
        <w:pStyle w:val="ListParagraph"/>
        <w:widowControl w:val="0"/>
        <w:numPr>
          <w:ilvl w:val="0"/>
          <w:numId w:val="29"/>
        </w:numPr>
        <w:tabs>
          <w:tab w:val="left" w:pos="6720"/>
        </w:tabs>
        <w:autoSpaceDE w:val="0"/>
        <w:autoSpaceDN w:val="0"/>
        <w:adjustRightInd w:val="0"/>
        <w:spacing w:after="120" w:line="240" w:lineRule="auto"/>
        <w:ind w:left="851" w:hanging="567"/>
        <w:contextualSpacing w:val="0"/>
        <w:jc w:val="left"/>
        <w:rPr>
          <w:color w:val="000000"/>
          <w:szCs w:val="26"/>
          <w:lang w:val="en-US"/>
        </w:rPr>
      </w:pPr>
      <w:r w:rsidRPr="00FC6CE4">
        <w:rPr>
          <w:color w:val="000000"/>
          <w:szCs w:val="26"/>
          <w:lang w:val="en-US"/>
        </w:rPr>
        <w:t xml:space="preserve">the </w:t>
      </w:r>
      <w:r w:rsidRPr="0077141E">
        <w:rPr>
          <w:rFonts w:ascii="Times" w:hAnsi="Times" w:cs="Times"/>
          <w:i/>
          <w:color w:val="000000"/>
          <w:szCs w:val="26"/>
          <w:lang w:val="en-US"/>
        </w:rPr>
        <w:t>Superannuation Industry (Supervision) Act 1993</w:t>
      </w:r>
      <w:r w:rsidRPr="00FC6CE4">
        <w:rPr>
          <w:color w:val="000000"/>
          <w:szCs w:val="26"/>
          <w:lang w:val="en-US"/>
        </w:rPr>
        <w:t>;</w:t>
      </w:r>
    </w:p>
    <w:p w:rsidR="00246178" w:rsidRDefault="00246178" w:rsidP="00246178">
      <w:pPr>
        <w:pStyle w:val="ListParagraph"/>
        <w:widowControl w:val="0"/>
        <w:numPr>
          <w:ilvl w:val="0"/>
          <w:numId w:val="29"/>
        </w:numPr>
        <w:tabs>
          <w:tab w:val="left" w:pos="6720"/>
        </w:tabs>
        <w:autoSpaceDE w:val="0"/>
        <w:autoSpaceDN w:val="0"/>
        <w:adjustRightInd w:val="0"/>
        <w:spacing w:after="120" w:line="240" w:lineRule="auto"/>
        <w:ind w:left="851" w:hanging="567"/>
        <w:contextualSpacing w:val="0"/>
        <w:jc w:val="left"/>
        <w:rPr>
          <w:color w:val="000000"/>
          <w:szCs w:val="26"/>
          <w:lang w:val="en-US"/>
        </w:rPr>
      </w:pPr>
      <w:r w:rsidRPr="00FC6CE4">
        <w:rPr>
          <w:color w:val="000000"/>
          <w:szCs w:val="26"/>
          <w:lang w:val="en-US"/>
        </w:rPr>
        <w:t xml:space="preserve">the </w:t>
      </w:r>
      <w:r w:rsidRPr="0077141E">
        <w:rPr>
          <w:rFonts w:ascii="Times" w:hAnsi="Times" w:cs="Times"/>
          <w:i/>
          <w:color w:val="000000"/>
          <w:szCs w:val="26"/>
          <w:lang w:val="en-US"/>
        </w:rPr>
        <w:t>Superannuation (Resolution of Complaint) Act 1993</w:t>
      </w:r>
      <w:r w:rsidRPr="00FC6CE4">
        <w:rPr>
          <w:color w:val="000000"/>
          <w:szCs w:val="26"/>
          <w:lang w:val="en-US"/>
        </w:rPr>
        <w:t xml:space="preserve">; and </w:t>
      </w:r>
    </w:p>
    <w:p w:rsidR="00246178" w:rsidRPr="00FC6CE4" w:rsidRDefault="00246178" w:rsidP="00246178">
      <w:pPr>
        <w:pStyle w:val="ListParagraph"/>
        <w:widowControl w:val="0"/>
        <w:numPr>
          <w:ilvl w:val="0"/>
          <w:numId w:val="29"/>
        </w:numPr>
        <w:tabs>
          <w:tab w:val="left" w:pos="6720"/>
        </w:tabs>
        <w:autoSpaceDE w:val="0"/>
        <w:autoSpaceDN w:val="0"/>
        <w:adjustRightInd w:val="0"/>
        <w:spacing w:line="240" w:lineRule="auto"/>
        <w:ind w:left="851" w:hanging="567"/>
        <w:jc w:val="left"/>
        <w:rPr>
          <w:color w:val="000000"/>
          <w:szCs w:val="26"/>
          <w:lang w:val="en-US"/>
        </w:rPr>
      </w:pPr>
      <w:proofErr w:type="gramStart"/>
      <w:r w:rsidRPr="00FC6CE4">
        <w:rPr>
          <w:color w:val="000000"/>
          <w:szCs w:val="26"/>
          <w:lang w:val="en-US"/>
        </w:rPr>
        <w:t>the</w:t>
      </w:r>
      <w:proofErr w:type="gramEnd"/>
      <w:r w:rsidRPr="00FC6CE4">
        <w:rPr>
          <w:color w:val="000000"/>
          <w:szCs w:val="26"/>
          <w:lang w:val="en-US"/>
        </w:rPr>
        <w:t xml:space="preserve"> </w:t>
      </w:r>
      <w:r w:rsidRPr="0077141E">
        <w:rPr>
          <w:rFonts w:ascii="Times" w:hAnsi="Times" w:cs="Times"/>
          <w:i/>
          <w:color w:val="000000"/>
          <w:szCs w:val="26"/>
          <w:lang w:val="en-US"/>
        </w:rPr>
        <w:t>Superannuation (Unclaimed Money and Lost Members) Act 1999</w:t>
      </w:r>
      <w:r w:rsidRPr="00FC6CE4">
        <w:rPr>
          <w:color w:val="000000"/>
          <w:szCs w:val="26"/>
          <w:lang w:val="en-US"/>
        </w:rPr>
        <w:t>.</w:t>
      </w:r>
    </w:p>
    <w:p w:rsidR="00246178" w:rsidRDefault="00246178" w:rsidP="00246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color w:val="000000"/>
          <w:szCs w:val="26"/>
          <w:lang w:val="en-US"/>
        </w:rPr>
      </w:pPr>
    </w:p>
    <w:p w:rsidR="00246178" w:rsidRDefault="00246178" w:rsidP="00246178">
      <w:pPr>
        <w:rPr>
          <w:lang w:val="en-US"/>
        </w:rPr>
      </w:pPr>
      <w:proofErr w:type="spellStart"/>
      <w:r w:rsidRPr="008949E3">
        <w:rPr>
          <w:rFonts w:ascii="Times" w:hAnsi="Times" w:cs="Times"/>
          <w:lang w:val="en-US"/>
        </w:rPr>
        <w:t>Subclause</w:t>
      </w:r>
      <w:proofErr w:type="spellEnd"/>
      <w:r w:rsidRPr="00FC6CE4">
        <w:rPr>
          <w:rFonts w:ascii="Times" w:hAnsi="Times" w:cs="Times"/>
          <w:lang w:val="en-US"/>
        </w:rPr>
        <w:t xml:space="preserve"> 29(2) </w:t>
      </w:r>
      <w:r w:rsidRPr="00FC6CE4">
        <w:rPr>
          <w:lang w:val="en-US"/>
        </w:rPr>
        <w:t>provides that if rules are inconsistent with a provision of the Act, the rules prevail and the provision, to the extent of the inconsistency, is of no effect.</w:t>
      </w:r>
      <w:r>
        <w:rPr>
          <w:lang w:val="en-US"/>
        </w:rPr>
        <w:t xml:space="preserve"> The effect is thus that the </w:t>
      </w:r>
      <w:r w:rsidRPr="002C6C9A">
        <w:rPr>
          <w:lang w:val="en-US"/>
        </w:rPr>
        <w:t>rules</w:t>
      </w:r>
      <w:r>
        <w:rPr>
          <w:lang w:val="en-US"/>
        </w:rPr>
        <w:t xml:space="preserve"> may override the primary legislation. </w:t>
      </w:r>
    </w:p>
    <w:p w:rsidR="00246178" w:rsidRDefault="00246178" w:rsidP="00246178">
      <w:pPr>
        <w:rPr>
          <w:lang w:val="en-US"/>
        </w:rPr>
      </w:pPr>
    </w:p>
    <w:p w:rsidR="00246178" w:rsidRDefault="00246178" w:rsidP="00246178">
      <w:pPr>
        <w:rPr>
          <w:lang w:val="en-US"/>
        </w:rPr>
      </w:pPr>
      <w:r>
        <w:rPr>
          <w:lang w:val="en-US"/>
        </w:rPr>
        <w:t>The explanatory memorandum provides the following justification (at paragraph 83):</w:t>
      </w:r>
    </w:p>
    <w:p w:rsidR="00246178" w:rsidRPr="00FC6CE4" w:rsidRDefault="00246178" w:rsidP="00246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color w:val="000000"/>
          <w:szCs w:val="26"/>
          <w:lang w:val="en-US"/>
        </w:rPr>
      </w:pPr>
    </w:p>
    <w:p w:rsidR="00246178" w:rsidRPr="00FC6CE4" w:rsidRDefault="00246178" w:rsidP="00246178">
      <w:pPr>
        <w:pStyle w:val="I1"/>
      </w:pPr>
      <w:r w:rsidRPr="00FC6CE4">
        <w:rPr>
          <w:lang w:val="en-US"/>
        </w:rPr>
        <w:t xml:space="preserve">This provision is necessary because the conditions or requirements of the above laws are usually promulgated by regulations or other instruments made under those laws. Allowing rules to be made under this Bill would allow those conditions or </w:t>
      </w:r>
      <w:r w:rsidRPr="00FC6CE4">
        <w:rPr>
          <w:lang w:val="en-US"/>
        </w:rPr>
        <w:lastRenderedPageBreak/>
        <w:t>requirements to be met more quickly than if Act amendments were required. It is intended that should it be necessary to make rules under this section, legislation would be introduced as soon as possible to give effect to the relevant provisions.</w:t>
      </w:r>
    </w:p>
    <w:p w:rsidR="00246178" w:rsidRDefault="00246178" w:rsidP="00246178"/>
    <w:p w:rsidR="00246178" w:rsidRPr="00921C28" w:rsidRDefault="00246178" w:rsidP="00246178">
      <w:pPr>
        <w:rPr>
          <w:b/>
        </w:rPr>
      </w:pPr>
      <w:r w:rsidRPr="00E30FD0">
        <w:t xml:space="preserve">This justification is </w:t>
      </w:r>
      <w:r>
        <w:t xml:space="preserve">quite </w:t>
      </w:r>
      <w:r w:rsidRPr="00E30FD0">
        <w:t xml:space="preserve">brief and </w:t>
      </w:r>
      <w:r w:rsidRPr="00994F47">
        <w:t xml:space="preserve">may not be easily comprehended by a generalist reader. </w:t>
      </w:r>
      <w:r w:rsidRPr="00994F47">
        <w:rPr>
          <w:b/>
        </w:rPr>
        <w:t>As such, the committee</w:t>
      </w:r>
      <w:r w:rsidRPr="00E30FD0">
        <w:rPr>
          <w:b/>
        </w:rPr>
        <w:t xml:space="preserve"> </w:t>
      </w:r>
      <w:r>
        <w:rPr>
          <w:b/>
        </w:rPr>
        <w:t>seeks the Minister’</w:t>
      </w:r>
      <w:r w:rsidRPr="00E30FD0">
        <w:rPr>
          <w:b/>
        </w:rPr>
        <w:t xml:space="preserve">s more detailed explanation for the proposed approach. In particular, the committee is interested in information that addresses with more specificity the nature of the circumstances that may require that rules be </w:t>
      </w:r>
      <w:r w:rsidRPr="00921C28">
        <w:rPr>
          <w:b/>
        </w:rPr>
        <w:t xml:space="preserve">enacted that operate to override the primary legislation. </w:t>
      </w:r>
    </w:p>
    <w:p w:rsidR="00246178" w:rsidRPr="00921C28" w:rsidRDefault="00246178" w:rsidP="00246178">
      <w:pPr>
        <w:rPr>
          <w:b/>
        </w:rPr>
      </w:pPr>
    </w:p>
    <w:p w:rsidR="00246178" w:rsidRPr="00921C28" w:rsidRDefault="00246178" w:rsidP="00246178">
      <w:pPr>
        <w:rPr>
          <w:b/>
        </w:rPr>
      </w:pPr>
      <w:r w:rsidRPr="00921C28">
        <w:rPr>
          <w:b/>
        </w:rPr>
        <w:t>Further, given the apparent intention for any rules to then be addressed by the introduction of amending legislation as soon as possible, the committee seeks the Minister’s advice as to whether consideration has been given to including a provision which would limit the operation of rules made under this provision to a specified period of time.</w:t>
      </w:r>
      <w:r w:rsidRPr="00921C28">
        <w:t xml:space="preserve"> </w:t>
      </w:r>
      <w:r w:rsidRPr="00921C28">
        <w:rPr>
          <w:b/>
        </w:rPr>
        <w:t>This would allow any immediate issues to be addressed without leaving this broad authority to override primary legislation in place indefinitely.</w:t>
      </w:r>
    </w:p>
    <w:p w:rsidR="00246178" w:rsidRPr="00921C28" w:rsidRDefault="00246178" w:rsidP="00246178">
      <w:r w:rsidRPr="00921C28">
        <w:t xml:space="preserve"> </w:t>
      </w:r>
    </w:p>
    <w:p w:rsidR="00246178" w:rsidRDefault="00246178" w:rsidP="00246178">
      <w:pPr>
        <w:ind w:left="567" w:right="567"/>
        <w:rPr>
          <w:i/>
        </w:rPr>
      </w:pPr>
      <w:r w:rsidRPr="00921C28">
        <w:rPr>
          <w:i/>
        </w:rPr>
        <w:t>Pending the Minister’s advice, the committee draws Senators’ attention to the provision, as it may be considered to delegate legislative powers inappropriately, in breach of principle 1(a</w:t>
      </w:r>
      <w:proofErr w:type="gramStart"/>
      <w:r w:rsidRPr="00921C28">
        <w:rPr>
          <w:i/>
        </w:rPr>
        <w:t>)(</w:t>
      </w:r>
      <w:proofErr w:type="gramEnd"/>
      <w:r w:rsidRPr="00921C28">
        <w:rPr>
          <w:i/>
        </w:rPr>
        <w:t>iv) of the committee’s</w:t>
      </w:r>
      <w:r>
        <w:rPr>
          <w:i/>
        </w:rPr>
        <w:t xml:space="preserve"> terms of reference.</w:t>
      </w:r>
    </w:p>
    <w:p w:rsidR="00246178" w:rsidRDefault="00246178" w:rsidP="00C20CFE"/>
    <w:p w:rsidR="00C20CFE" w:rsidRDefault="00AE2468" w:rsidP="00C20CFE">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C20CFE" w:rsidRDefault="00C20CFE" w:rsidP="00C54085">
                  <w:pPr>
                    <w:spacing w:before="120" w:after="120"/>
                  </w:pPr>
                  <w:r>
                    <w:rPr>
                      <w:b/>
                      <w:i/>
                      <w:sz w:val="32"/>
                      <w:szCs w:val="32"/>
                    </w:rPr>
                    <w:t>Assistant Minister's response - extract</w:t>
                  </w:r>
                </w:p>
              </w:txbxContent>
            </v:textbox>
            <w10:wrap type="none"/>
            <w10:anchorlock/>
          </v:shape>
        </w:pict>
      </w:r>
    </w:p>
    <w:p w:rsidR="00C20CFE" w:rsidRDefault="00C20CFE" w:rsidP="00C20CFE"/>
    <w:p w:rsidR="00C20CFE" w:rsidRPr="00C20CFE" w:rsidRDefault="00C20CFE" w:rsidP="00C20CFE">
      <w:pPr>
        <w:rPr>
          <w:i/>
          <w:iCs/>
        </w:rPr>
      </w:pPr>
      <w:r w:rsidRPr="00C20CFE">
        <w:rPr>
          <w:sz w:val="25"/>
          <w:szCs w:val="25"/>
        </w:rPr>
        <w:t xml:space="preserve">In </w:t>
      </w:r>
      <w:r w:rsidRPr="00C20CFE">
        <w:t xml:space="preserve">relation to the </w:t>
      </w:r>
      <w:r w:rsidRPr="00C20CFE">
        <w:rPr>
          <w:i/>
          <w:iCs/>
        </w:rPr>
        <w:t xml:space="preserve">ADF Super Bill, </w:t>
      </w:r>
      <w:r w:rsidRPr="00C20CFE">
        <w:t xml:space="preserve">the Committee has asked for further information regarding the intended purpose of clause 29. Clause 29 is necessary to ensure the ADF Super scheme is a complying regulated superannuation scheme. This clause allows the ADF Super scheme to quickly comply with relevant superannuation regulations where there is insufficient time between the promulgation and commencement of those regulations to amend the </w:t>
      </w:r>
      <w:r w:rsidRPr="00C20CFE">
        <w:rPr>
          <w:i/>
          <w:iCs/>
        </w:rPr>
        <w:t>Australian Defence Force Super Act.</w:t>
      </w:r>
    </w:p>
    <w:p w:rsidR="00C20CFE" w:rsidRDefault="00C20CFE" w:rsidP="00C20CFE">
      <w:pPr>
        <w:autoSpaceDE w:val="0"/>
        <w:autoSpaceDN w:val="0"/>
        <w:adjustRightInd w:val="0"/>
        <w:spacing w:line="240" w:lineRule="auto"/>
        <w:jc w:val="left"/>
        <w:rPr>
          <w:i/>
          <w:iCs/>
          <w:color w:val="303030"/>
          <w:kern w:val="0"/>
          <w:sz w:val="23"/>
          <w:szCs w:val="23"/>
        </w:rPr>
      </w:pPr>
    </w:p>
    <w:p w:rsidR="00C20CFE" w:rsidRPr="00C20CFE" w:rsidRDefault="00C20CFE" w:rsidP="00C20CFE">
      <w:r w:rsidRPr="00C20CFE">
        <w:t>The Committee has asked for information on the exact nature of circumstances in which clause 29 would be used. The following hypothetical example demonstrates the appropriate use of the clause:</w:t>
      </w:r>
    </w:p>
    <w:p w:rsidR="00C20CFE" w:rsidRDefault="00C20CFE" w:rsidP="00C20CFE"/>
    <w:p w:rsidR="00C20CFE" w:rsidRPr="00F36962" w:rsidRDefault="00C20CFE" w:rsidP="00C20CFE">
      <w:pPr>
        <w:pStyle w:val="indent1"/>
        <w:rPr>
          <w:i/>
          <w:szCs w:val="22"/>
        </w:rPr>
      </w:pPr>
      <w:r w:rsidRPr="00F36962">
        <w:rPr>
          <w:i/>
          <w:szCs w:val="22"/>
        </w:rPr>
        <w:t xml:space="preserve">On 1 July 2015, </w:t>
      </w:r>
      <w:r w:rsidRPr="00B026EB">
        <w:rPr>
          <w:i/>
          <w:szCs w:val="22"/>
        </w:rPr>
        <w:t>the</w:t>
      </w:r>
      <w:r w:rsidRPr="00F36962">
        <w:rPr>
          <w:szCs w:val="22"/>
        </w:rPr>
        <w:t xml:space="preserve"> Tax and Superannuation Laws Amendment (Terminal Medical Conditions) Regulation 2015 </w:t>
      </w:r>
      <w:r w:rsidRPr="00F36962">
        <w:rPr>
          <w:i/>
          <w:szCs w:val="22"/>
        </w:rPr>
        <w:t>came into effect. This regulation governs how superannuation benefits are released to persons with a terminal medical condition. If this regulation came into effect on 1 July 2017–after the enactment of the ADF Super Bill–and there was anything in the ADF Super Act that prevented the ADF Super scheme from complying with that regulation, section 29 of the ADF Super Act would allow a rule to be made to give effect to the regulation before introducing amending legislation into Parliament.</w:t>
      </w:r>
    </w:p>
    <w:p w:rsidR="00C20CFE" w:rsidRDefault="00C20CFE" w:rsidP="00C20CFE"/>
    <w:p w:rsidR="00F36962" w:rsidRPr="00F36962" w:rsidRDefault="00F36962" w:rsidP="00F36962">
      <w:r w:rsidRPr="00F36962">
        <w:lastRenderedPageBreak/>
        <w:t xml:space="preserve">Note, in the </w:t>
      </w:r>
      <w:r w:rsidRPr="00F36962">
        <w:rPr>
          <w:i/>
        </w:rPr>
        <w:t>ADF Super Bill</w:t>
      </w:r>
      <w:r w:rsidRPr="00F36962">
        <w:t xml:space="preserve">, nothing prevents the effective operation of the </w:t>
      </w:r>
      <w:r w:rsidRPr="00F36962">
        <w:rPr>
          <w:i/>
        </w:rPr>
        <w:t>Tax and Superannuation Laws Amendment (Terminal Medical Conditions) Regulation 2015</w:t>
      </w:r>
      <w:r w:rsidRPr="00F36962">
        <w:t>.</w:t>
      </w:r>
    </w:p>
    <w:p w:rsidR="00C20CFE" w:rsidRDefault="00C20CFE" w:rsidP="00C20CFE"/>
    <w:p w:rsidR="00F36962" w:rsidRPr="00F36962" w:rsidRDefault="00F36962" w:rsidP="00F36962">
      <w:r w:rsidRPr="00F36962">
        <w:t xml:space="preserve">The Committee has asked if consideration was given to limiting the operation of rules made under clause 29 to a specific time period. Clause 29 of the ADF Super Bill is consistent with previous legislation governing public sector superannuation schemes, none of which contain a time limiting provision. Similar provisions to clause 29 of the ADF Super Bill are contained in section 46 of the </w:t>
      </w:r>
      <w:r w:rsidRPr="00F36962">
        <w:rPr>
          <w:i/>
          <w:iCs/>
        </w:rPr>
        <w:t xml:space="preserve">Superannuation Act 2005 </w:t>
      </w:r>
      <w:r w:rsidRPr="00F36962">
        <w:t xml:space="preserve">(the Act that governs the Public Sector Superannuation Accumulation Plan scheme), section 49 of the </w:t>
      </w:r>
      <w:r w:rsidRPr="00F36962">
        <w:rPr>
          <w:i/>
          <w:iCs/>
        </w:rPr>
        <w:t xml:space="preserve">Superannuation Act 1990 </w:t>
      </w:r>
      <w:r w:rsidRPr="00F36962">
        <w:t xml:space="preserve">(the Act that governs the Public Sector Superannuation scheme) and section 155C of the </w:t>
      </w:r>
      <w:r w:rsidRPr="00F36962">
        <w:rPr>
          <w:i/>
          <w:iCs/>
        </w:rPr>
        <w:t xml:space="preserve">Superannuation Act 1976 </w:t>
      </w:r>
      <w:r w:rsidRPr="00F36962">
        <w:t>(the Act that governs the Commonwealth Superannuation Scheme).</w:t>
      </w:r>
    </w:p>
    <w:p w:rsidR="00F36962" w:rsidRDefault="00F36962" w:rsidP="00C20CFE"/>
    <w:p w:rsidR="00F36962" w:rsidRPr="00F36962" w:rsidRDefault="00F36962" w:rsidP="00F36962">
      <w:r w:rsidRPr="00F36962">
        <w:t>However</w:t>
      </w:r>
      <w:r w:rsidR="00B026EB">
        <w:t>, I do understand the Committee’</w:t>
      </w:r>
      <w:r w:rsidRPr="00F36962">
        <w:t xml:space="preserve">s concern regarding the operation of any rules that could be made under clause 29. As such, I can assure the Committee that rules under clause 29 will be disallowable instruments for purposes of the </w:t>
      </w:r>
      <w:r w:rsidRPr="00F36962">
        <w:rPr>
          <w:i/>
          <w:iCs/>
        </w:rPr>
        <w:t xml:space="preserve">Legislative Instruments Act 2003 </w:t>
      </w:r>
      <w:r w:rsidRPr="00F36962">
        <w:t>and therefore subject to the usual 15 Parliamentary sitting day period for disallowance. This will ensure that Parliament retains the appropriate oversight of any such rules.</w:t>
      </w:r>
    </w:p>
    <w:p w:rsidR="00F36962" w:rsidRDefault="00F36962" w:rsidP="00C20CFE"/>
    <w:p w:rsidR="00F36962" w:rsidRDefault="00F36962"/>
    <w:p w:rsidR="00F36962" w:rsidRPr="00662953" w:rsidRDefault="00F3696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36962" w:rsidRPr="00922D31" w:rsidRDefault="00F3696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w:t>
      </w:r>
      <w:r w:rsidRPr="00A33586">
        <w:rPr>
          <w:szCs w:val="24"/>
        </w:rPr>
        <w:t xml:space="preserve">Assistant </w:t>
      </w:r>
      <w:r w:rsidR="00115EB2" w:rsidRPr="00A33586">
        <w:rPr>
          <w:szCs w:val="24"/>
        </w:rPr>
        <w:t xml:space="preserve">Minister for this response and notes the information provided about the intended appropriate use of the clause and its consistency with </w:t>
      </w:r>
      <w:r w:rsidR="00115EB2" w:rsidRPr="007A1631">
        <w:rPr>
          <w:szCs w:val="24"/>
        </w:rPr>
        <w:t xml:space="preserve">provisions in similar legislation. </w:t>
      </w:r>
      <w:r w:rsidR="00A33586" w:rsidRPr="007A1631">
        <w:rPr>
          <w:b/>
          <w:szCs w:val="24"/>
        </w:rPr>
        <w:t xml:space="preserve">The committee notes that this information would be useful to Senators and others in understanding the operation of this provision and therefore </w:t>
      </w:r>
      <w:r w:rsidR="00115EB2" w:rsidRPr="007A1631">
        <w:rPr>
          <w:b/>
          <w:szCs w:val="24"/>
        </w:rPr>
        <w:t>requests that the key information be included in the explanatory memorandum.</w:t>
      </w:r>
      <w:r w:rsidR="00A33586" w:rsidRPr="007A1631">
        <w:rPr>
          <w:b/>
          <w:szCs w:val="24"/>
        </w:rPr>
        <w:t xml:space="preserve"> </w:t>
      </w:r>
      <w:r w:rsidR="00115EB2" w:rsidRPr="007A1631">
        <w:rPr>
          <w:szCs w:val="24"/>
        </w:rPr>
        <w:t>While the committee is interested in examples</w:t>
      </w:r>
      <w:r w:rsidR="00A33586" w:rsidRPr="007A1631">
        <w:rPr>
          <w:szCs w:val="24"/>
        </w:rPr>
        <w:t xml:space="preserve"> of similar provisions</w:t>
      </w:r>
      <w:r w:rsidR="00115EB2" w:rsidRPr="007A1631">
        <w:rPr>
          <w:szCs w:val="24"/>
        </w:rPr>
        <w:t xml:space="preserve">, it does not consider that they are, of themselves, persuasive. However, in light of the information provided, including that the instruments will be disallowable, </w:t>
      </w:r>
      <w:r w:rsidR="00115EB2" w:rsidRPr="007A1631">
        <w:rPr>
          <w:b/>
          <w:szCs w:val="24"/>
        </w:rPr>
        <w:t>on this occasion the committee leaves the question of whether the proposed approach in this bill is appropriate to the consideration of the Senate</w:t>
      </w:r>
      <w:r w:rsidR="00A33586" w:rsidRPr="007A1631">
        <w:rPr>
          <w:b/>
          <w:szCs w:val="24"/>
        </w:rPr>
        <w:t xml:space="preserve"> as a whole</w:t>
      </w:r>
      <w:r w:rsidR="00115EB2" w:rsidRPr="007A1631">
        <w:rPr>
          <w:b/>
          <w:szCs w:val="24"/>
        </w:rPr>
        <w:t>.</w:t>
      </w:r>
    </w:p>
    <w:p w:rsidR="00F36962" w:rsidRDefault="00F36962">
      <w:pPr>
        <w:pBdr>
          <w:top w:val="single" w:sz="8" w:space="6" w:color="auto" w:shadow="1"/>
          <w:left w:val="single" w:sz="8" w:space="2" w:color="auto" w:shadow="1"/>
          <w:bottom w:val="single" w:sz="8" w:space="6" w:color="auto" w:shadow="1"/>
          <w:right w:val="single" w:sz="8" w:space="2" w:color="auto" w:shadow="1"/>
        </w:pBdr>
        <w:shd w:val="pct10" w:color="auto" w:fill="FFFFFF"/>
      </w:pPr>
    </w:p>
    <w:p w:rsidR="00F36962" w:rsidRPr="00945A73" w:rsidRDefault="00F36962"/>
    <w:p w:rsidR="00F36962" w:rsidRDefault="00F36962" w:rsidP="00C20CFE"/>
    <w:p w:rsidR="00F36962" w:rsidRDefault="00F36962" w:rsidP="00C20CFE"/>
    <w:p w:rsidR="00F32ABE" w:rsidRDefault="00F32ABE" w:rsidP="00C20CFE"/>
    <w:p w:rsidR="00F36962" w:rsidRDefault="00F36962" w:rsidP="00C20CFE"/>
    <w:p w:rsidR="00682354" w:rsidRDefault="00682354" w:rsidP="00C20CFE"/>
    <w:p w:rsidR="003A73C2" w:rsidRDefault="003A73C2" w:rsidP="00235A86">
      <w:pPr>
        <w:rPr>
          <w:szCs w:val="26"/>
        </w:rPr>
      </w:pPr>
    </w:p>
    <w:p w:rsidR="00031C36" w:rsidRDefault="00031C36" w:rsidP="00031C36"/>
    <w:p w:rsidR="00031C36" w:rsidRDefault="00031C36" w:rsidP="00031C36">
      <w:r>
        <w:t>Senator Helen Polley</w:t>
      </w:r>
    </w:p>
    <w:p w:rsidR="00900BE0" w:rsidRPr="00FA1E14" w:rsidRDefault="00031C36" w:rsidP="00FA1E14">
      <w:r>
        <w:t>Chair</w:t>
      </w:r>
    </w:p>
    <w:sectPr w:rsidR="00900BE0" w:rsidRPr="00FA1E14" w:rsidSect="00246178">
      <w:headerReference w:type="default" r:id="rId14"/>
      <w:footerReference w:type="default" r:id="rId15"/>
      <w:pgSz w:w="11907" w:h="16840" w:code="9"/>
      <w:pgMar w:top="1134" w:right="1418" w:bottom="1701" w:left="1701" w:header="720" w:footer="720" w:gutter="0"/>
      <w:pgNumType w:start="59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5D" w:rsidRDefault="0071505D" w:rsidP="00AD055A">
      <w:pPr>
        <w:spacing w:line="240" w:lineRule="auto"/>
      </w:pPr>
      <w:r>
        <w:separator/>
      </w:r>
    </w:p>
  </w:endnote>
  <w:endnote w:type="continuationSeparator" w:id="0">
    <w:p w:rsidR="0071505D" w:rsidRDefault="0071505D"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68" w:rsidRDefault="00AE2468"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2468" w:rsidRDefault="00AE246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5D" w:rsidRDefault="0071505D"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68" w:rsidRDefault="00AE2468"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68" w:rsidRDefault="00AE2468" w:rsidP="00AD055A">
    <w:pPr>
      <w:pStyle w:val="Footer"/>
      <w:jc w:val="center"/>
    </w:pPr>
    <w:sdt>
      <w:sdtPr>
        <w:id w:val="-7307683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606</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5D" w:rsidRDefault="0071505D" w:rsidP="00AD055A">
      <w:pPr>
        <w:spacing w:line="240" w:lineRule="auto"/>
      </w:pPr>
      <w:r>
        <w:separator/>
      </w:r>
    </w:p>
  </w:footnote>
  <w:footnote w:type="continuationSeparator" w:id="0">
    <w:p w:rsidR="0071505D" w:rsidRDefault="0071505D"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68" w:rsidRDefault="00AE2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68" w:rsidRDefault="00AE24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0C64B7E"/>
    <w:multiLevelType w:val="hybridMultilevel"/>
    <w:tmpl w:val="AA807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B875E0A"/>
    <w:multiLevelType w:val="hybridMultilevel"/>
    <w:tmpl w:val="C22CA2B2"/>
    <w:lvl w:ilvl="0" w:tplc="C58059AE">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1BD26B4C"/>
    <w:multiLevelType w:val="hybridMultilevel"/>
    <w:tmpl w:val="A2F63C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7">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8">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FB124C9"/>
    <w:multiLevelType w:val="hybridMultilevel"/>
    <w:tmpl w:val="D19857FA"/>
    <w:lvl w:ilvl="0" w:tplc="01907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08414FE"/>
    <w:multiLevelType w:val="hybridMultilevel"/>
    <w:tmpl w:val="1888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4">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6"/>
  </w:num>
  <w:num w:numId="4">
    <w:abstractNumId w:val="17"/>
    <w:lvlOverride w:ilvl="0">
      <w:startOverride w:val="1"/>
    </w:lvlOverride>
  </w:num>
  <w:num w:numId="5">
    <w:abstractNumId w:val="14"/>
  </w:num>
  <w:num w:numId="6">
    <w:abstractNumId w:val="12"/>
  </w:num>
  <w:num w:numId="7">
    <w:abstractNumId w:val="21"/>
  </w:num>
  <w:num w:numId="8">
    <w:abstractNumId w:val="15"/>
  </w:num>
  <w:num w:numId="9">
    <w:abstractNumId w:val="11"/>
  </w:num>
  <w:num w:numId="10">
    <w:abstractNumId w:val="22"/>
  </w:num>
  <w:num w:numId="11">
    <w:abstractNumId w:val="20"/>
  </w:num>
  <w:num w:numId="12">
    <w:abstractNumId w:val="24"/>
  </w:num>
  <w:num w:numId="13">
    <w:abstractNumId w:val="13"/>
  </w:num>
  <w:num w:numId="14">
    <w:abstractNumId w:val="10"/>
    <w:lvlOverride w:ilvl="0">
      <w:lvl w:ilvl="0">
        <w:start w:val="1"/>
        <w:numFmt w:val="bullet"/>
        <w:pStyle w:val="B1"/>
        <w:lvlText w:val=""/>
        <w:lvlJc w:val="left"/>
        <w:pPr>
          <w:ind w:left="360" w:hanging="360"/>
        </w:pPr>
        <w:rPr>
          <w:rFonts w:ascii="Symbol" w:hAnsi="Symbol" w:hint="default"/>
          <w:sz w:val="24"/>
        </w:rPr>
      </w:lvl>
    </w:lvlOverride>
  </w:num>
  <w:num w:numId="15">
    <w:abstractNumId w:val="18"/>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9"/>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6EC0"/>
    <w:rsid w:val="0000740A"/>
    <w:rsid w:val="000076A6"/>
    <w:rsid w:val="00007977"/>
    <w:rsid w:val="00007EC3"/>
    <w:rsid w:val="00015572"/>
    <w:rsid w:val="00015E5C"/>
    <w:rsid w:val="00016E45"/>
    <w:rsid w:val="0002072A"/>
    <w:rsid w:val="00020D78"/>
    <w:rsid w:val="00021145"/>
    <w:rsid w:val="00022755"/>
    <w:rsid w:val="0002669F"/>
    <w:rsid w:val="00027639"/>
    <w:rsid w:val="00027A48"/>
    <w:rsid w:val="00031ADE"/>
    <w:rsid w:val="00031C36"/>
    <w:rsid w:val="00031E4C"/>
    <w:rsid w:val="000323F8"/>
    <w:rsid w:val="00035045"/>
    <w:rsid w:val="00035CE7"/>
    <w:rsid w:val="00036391"/>
    <w:rsid w:val="000368B5"/>
    <w:rsid w:val="00037074"/>
    <w:rsid w:val="00040559"/>
    <w:rsid w:val="00042E30"/>
    <w:rsid w:val="00042F94"/>
    <w:rsid w:val="00044716"/>
    <w:rsid w:val="00044ABC"/>
    <w:rsid w:val="000454A2"/>
    <w:rsid w:val="0004578E"/>
    <w:rsid w:val="00045B52"/>
    <w:rsid w:val="00047A1E"/>
    <w:rsid w:val="000503FB"/>
    <w:rsid w:val="00051748"/>
    <w:rsid w:val="00051914"/>
    <w:rsid w:val="00054D9D"/>
    <w:rsid w:val="00054DB8"/>
    <w:rsid w:val="00055CB6"/>
    <w:rsid w:val="000565D1"/>
    <w:rsid w:val="0005690E"/>
    <w:rsid w:val="000570AD"/>
    <w:rsid w:val="00060BA4"/>
    <w:rsid w:val="00061180"/>
    <w:rsid w:val="00061F37"/>
    <w:rsid w:val="0006200D"/>
    <w:rsid w:val="000621D0"/>
    <w:rsid w:val="00063B4D"/>
    <w:rsid w:val="00066351"/>
    <w:rsid w:val="00070548"/>
    <w:rsid w:val="00070635"/>
    <w:rsid w:val="000710D6"/>
    <w:rsid w:val="00071C78"/>
    <w:rsid w:val="000729B8"/>
    <w:rsid w:val="0007656F"/>
    <w:rsid w:val="00080AAB"/>
    <w:rsid w:val="00086EE8"/>
    <w:rsid w:val="00087176"/>
    <w:rsid w:val="000926F5"/>
    <w:rsid w:val="00092737"/>
    <w:rsid w:val="00093124"/>
    <w:rsid w:val="00093C9F"/>
    <w:rsid w:val="000950D4"/>
    <w:rsid w:val="00095C36"/>
    <w:rsid w:val="000A01ED"/>
    <w:rsid w:val="000A1C88"/>
    <w:rsid w:val="000A28A9"/>
    <w:rsid w:val="000A2B73"/>
    <w:rsid w:val="000A2DA8"/>
    <w:rsid w:val="000A47A1"/>
    <w:rsid w:val="000A5AA4"/>
    <w:rsid w:val="000A5D09"/>
    <w:rsid w:val="000A6316"/>
    <w:rsid w:val="000A683C"/>
    <w:rsid w:val="000A7232"/>
    <w:rsid w:val="000A7667"/>
    <w:rsid w:val="000B2B93"/>
    <w:rsid w:val="000B48F9"/>
    <w:rsid w:val="000B5BA1"/>
    <w:rsid w:val="000C02D9"/>
    <w:rsid w:val="000C03CF"/>
    <w:rsid w:val="000C0D9E"/>
    <w:rsid w:val="000C11F1"/>
    <w:rsid w:val="000C2205"/>
    <w:rsid w:val="000C27B0"/>
    <w:rsid w:val="000C4FEF"/>
    <w:rsid w:val="000C6654"/>
    <w:rsid w:val="000C7393"/>
    <w:rsid w:val="000C7873"/>
    <w:rsid w:val="000D3C66"/>
    <w:rsid w:val="000D4EFB"/>
    <w:rsid w:val="000D4F8F"/>
    <w:rsid w:val="000D7E55"/>
    <w:rsid w:val="000E07CD"/>
    <w:rsid w:val="000E148D"/>
    <w:rsid w:val="000E1DA9"/>
    <w:rsid w:val="000E28D4"/>
    <w:rsid w:val="000E2F9A"/>
    <w:rsid w:val="000E469B"/>
    <w:rsid w:val="000E5121"/>
    <w:rsid w:val="000F1FA4"/>
    <w:rsid w:val="000F28F0"/>
    <w:rsid w:val="000F295B"/>
    <w:rsid w:val="000F4E0E"/>
    <w:rsid w:val="000F4E87"/>
    <w:rsid w:val="000F567E"/>
    <w:rsid w:val="000F5B63"/>
    <w:rsid w:val="000F5FEF"/>
    <w:rsid w:val="000F6822"/>
    <w:rsid w:val="000F7273"/>
    <w:rsid w:val="000F7BBA"/>
    <w:rsid w:val="001025D0"/>
    <w:rsid w:val="00104366"/>
    <w:rsid w:val="0010537A"/>
    <w:rsid w:val="00106D1C"/>
    <w:rsid w:val="00110098"/>
    <w:rsid w:val="0011164A"/>
    <w:rsid w:val="001132A4"/>
    <w:rsid w:val="001132F0"/>
    <w:rsid w:val="001151E4"/>
    <w:rsid w:val="001153A0"/>
    <w:rsid w:val="00115EB2"/>
    <w:rsid w:val="00116981"/>
    <w:rsid w:val="001221CA"/>
    <w:rsid w:val="00133EA2"/>
    <w:rsid w:val="00134C56"/>
    <w:rsid w:val="00136646"/>
    <w:rsid w:val="001379EA"/>
    <w:rsid w:val="00140032"/>
    <w:rsid w:val="00140153"/>
    <w:rsid w:val="0014031D"/>
    <w:rsid w:val="00140E80"/>
    <w:rsid w:val="001410EA"/>
    <w:rsid w:val="0014201B"/>
    <w:rsid w:val="00142435"/>
    <w:rsid w:val="00142741"/>
    <w:rsid w:val="00143105"/>
    <w:rsid w:val="001444CA"/>
    <w:rsid w:val="00144747"/>
    <w:rsid w:val="00144E39"/>
    <w:rsid w:val="00145AB1"/>
    <w:rsid w:val="001468A1"/>
    <w:rsid w:val="00150098"/>
    <w:rsid w:val="0015143D"/>
    <w:rsid w:val="00155C23"/>
    <w:rsid w:val="001561C6"/>
    <w:rsid w:val="00156217"/>
    <w:rsid w:val="00161A12"/>
    <w:rsid w:val="0016240A"/>
    <w:rsid w:val="00162B75"/>
    <w:rsid w:val="0016331E"/>
    <w:rsid w:val="001639D3"/>
    <w:rsid w:val="00163D78"/>
    <w:rsid w:val="00163E16"/>
    <w:rsid w:val="001654B9"/>
    <w:rsid w:val="00165943"/>
    <w:rsid w:val="001671CB"/>
    <w:rsid w:val="00167936"/>
    <w:rsid w:val="001714F8"/>
    <w:rsid w:val="00174F56"/>
    <w:rsid w:val="0017659B"/>
    <w:rsid w:val="0017683E"/>
    <w:rsid w:val="00180BC2"/>
    <w:rsid w:val="001867A6"/>
    <w:rsid w:val="00186A42"/>
    <w:rsid w:val="00187CD3"/>
    <w:rsid w:val="001904DF"/>
    <w:rsid w:val="001922EA"/>
    <w:rsid w:val="001947EA"/>
    <w:rsid w:val="00194F98"/>
    <w:rsid w:val="00195EC1"/>
    <w:rsid w:val="00197385"/>
    <w:rsid w:val="001A0D96"/>
    <w:rsid w:val="001A1AA3"/>
    <w:rsid w:val="001A4823"/>
    <w:rsid w:val="001A6B18"/>
    <w:rsid w:val="001A7CA8"/>
    <w:rsid w:val="001B0180"/>
    <w:rsid w:val="001B05A0"/>
    <w:rsid w:val="001B06A0"/>
    <w:rsid w:val="001B1AD8"/>
    <w:rsid w:val="001B25EB"/>
    <w:rsid w:val="001B379C"/>
    <w:rsid w:val="001B4908"/>
    <w:rsid w:val="001B60DE"/>
    <w:rsid w:val="001C0309"/>
    <w:rsid w:val="001C4236"/>
    <w:rsid w:val="001C45A6"/>
    <w:rsid w:val="001C6B01"/>
    <w:rsid w:val="001C78D8"/>
    <w:rsid w:val="001D007C"/>
    <w:rsid w:val="001D2ADA"/>
    <w:rsid w:val="001D2E91"/>
    <w:rsid w:val="001D3415"/>
    <w:rsid w:val="001D3C65"/>
    <w:rsid w:val="001D3DE0"/>
    <w:rsid w:val="001D4FF7"/>
    <w:rsid w:val="001D535F"/>
    <w:rsid w:val="001E1BC0"/>
    <w:rsid w:val="001E1D21"/>
    <w:rsid w:val="001E330F"/>
    <w:rsid w:val="001E3489"/>
    <w:rsid w:val="001E3C09"/>
    <w:rsid w:val="001E3CE0"/>
    <w:rsid w:val="001F1478"/>
    <w:rsid w:val="001F2EE8"/>
    <w:rsid w:val="001F3D36"/>
    <w:rsid w:val="001F3E24"/>
    <w:rsid w:val="001F43E0"/>
    <w:rsid w:val="001F4B2C"/>
    <w:rsid w:val="001F5F94"/>
    <w:rsid w:val="001F6EAF"/>
    <w:rsid w:val="00200E4F"/>
    <w:rsid w:val="0020155E"/>
    <w:rsid w:val="00201650"/>
    <w:rsid w:val="00201A84"/>
    <w:rsid w:val="00201C7D"/>
    <w:rsid w:val="00202C07"/>
    <w:rsid w:val="002049CF"/>
    <w:rsid w:val="00205E7F"/>
    <w:rsid w:val="002062C1"/>
    <w:rsid w:val="00206AA2"/>
    <w:rsid w:val="002109EC"/>
    <w:rsid w:val="002125C2"/>
    <w:rsid w:val="002140A8"/>
    <w:rsid w:val="00214B58"/>
    <w:rsid w:val="00217800"/>
    <w:rsid w:val="00221075"/>
    <w:rsid w:val="0022163E"/>
    <w:rsid w:val="0022169A"/>
    <w:rsid w:val="002225D4"/>
    <w:rsid w:val="00223521"/>
    <w:rsid w:val="00223955"/>
    <w:rsid w:val="0022537E"/>
    <w:rsid w:val="00225A33"/>
    <w:rsid w:val="002264C9"/>
    <w:rsid w:val="00227259"/>
    <w:rsid w:val="00232208"/>
    <w:rsid w:val="002323E3"/>
    <w:rsid w:val="00232C6A"/>
    <w:rsid w:val="0023342E"/>
    <w:rsid w:val="00233CEC"/>
    <w:rsid w:val="00233E46"/>
    <w:rsid w:val="002349D5"/>
    <w:rsid w:val="00234FD6"/>
    <w:rsid w:val="00235A86"/>
    <w:rsid w:val="002362D8"/>
    <w:rsid w:val="00240FD7"/>
    <w:rsid w:val="002424ED"/>
    <w:rsid w:val="0024472B"/>
    <w:rsid w:val="00244CA5"/>
    <w:rsid w:val="00245AED"/>
    <w:rsid w:val="00245DB5"/>
    <w:rsid w:val="00246178"/>
    <w:rsid w:val="00250DDC"/>
    <w:rsid w:val="002514F9"/>
    <w:rsid w:val="002514FC"/>
    <w:rsid w:val="002518B7"/>
    <w:rsid w:val="00252A0F"/>
    <w:rsid w:val="00252F17"/>
    <w:rsid w:val="0025414D"/>
    <w:rsid w:val="00254920"/>
    <w:rsid w:val="002579D7"/>
    <w:rsid w:val="00257FB8"/>
    <w:rsid w:val="00261866"/>
    <w:rsid w:val="00261B5D"/>
    <w:rsid w:val="00262A56"/>
    <w:rsid w:val="00262E8D"/>
    <w:rsid w:val="00263EE5"/>
    <w:rsid w:val="00265337"/>
    <w:rsid w:val="00266721"/>
    <w:rsid w:val="0026716D"/>
    <w:rsid w:val="002710D3"/>
    <w:rsid w:val="00271794"/>
    <w:rsid w:val="00273557"/>
    <w:rsid w:val="00273FCE"/>
    <w:rsid w:val="0027642D"/>
    <w:rsid w:val="00276721"/>
    <w:rsid w:val="00281386"/>
    <w:rsid w:val="00281FB6"/>
    <w:rsid w:val="00285108"/>
    <w:rsid w:val="00286D27"/>
    <w:rsid w:val="00293553"/>
    <w:rsid w:val="00294712"/>
    <w:rsid w:val="00294767"/>
    <w:rsid w:val="00295000"/>
    <w:rsid w:val="00296D6A"/>
    <w:rsid w:val="00297281"/>
    <w:rsid w:val="002A2B24"/>
    <w:rsid w:val="002A3062"/>
    <w:rsid w:val="002A41D1"/>
    <w:rsid w:val="002A449E"/>
    <w:rsid w:val="002A4F23"/>
    <w:rsid w:val="002A50B6"/>
    <w:rsid w:val="002A5B9D"/>
    <w:rsid w:val="002A68AF"/>
    <w:rsid w:val="002A6F46"/>
    <w:rsid w:val="002B05A3"/>
    <w:rsid w:val="002B138C"/>
    <w:rsid w:val="002B1F59"/>
    <w:rsid w:val="002B2D8A"/>
    <w:rsid w:val="002B4A1A"/>
    <w:rsid w:val="002B5904"/>
    <w:rsid w:val="002B5CCC"/>
    <w:rsid w:val="002C06CC"/>
    <w:rsid w:val="002C09CB"/>
    <w:rsid w:val="002C10CD"/>
    <w:rsid w:val="002C1F7E"/>
    <w:rsid w:val="002C673B"/>
    <w:rsid w:val="002D0D39"/>
    <w:rsid w:val="002D2CD9"/>
    <w:rsid w:val="002D34A3"/>
    <w:rsid w:val="002D4877"/>
    <w:rsid w:val="002D565A"/>
    <w:rsid w:val="002D5C2C"/>
    <w:rsid w:val="002D7C63"/>
    <w:rsid w:val="002E08EC"/>
    <w:rsid w:val="002E161D"/>
    <w:rsid w:val="002E2684"/>
    <w:rsid w:val="002E2BD4"/>
    <w:rsid w:val="002E3712"/>
    <w:rsid w:val="002E4890"/>
    <w:rsid w:val="002E48E7"/>
    <w:rsid w:val="002E7922"/>
    <w:rsid w:val="002F00D6"/>
    <w:rsid w:val="002F201B"/>
    <w:rsid w:val="002F23C8"/>
    <w:rsid w:val="002F2BD0"/>
    <w:rsid w:val="002F2C54"/>
    <w:rsid w:val="002F32D4"/>
    <w:rsid w:val="002F4B16"/>
    <w:rsid w:val="002F752E"/>
    <w:rsid w:val="00301CB8"/>
    <w:rsid w:val="003030B8"/>
    <w:rsid w:val="0030496B"/>
    <w:rsid w:val="00305599"/>
    <w:rsid w:val="00305738"/>
    <w:rsid w:val="00305E20"/>
    <w:rsid w:val="00306442"/>
    <w:rsid w:val="00306B60"/>
    <w:rsid w:val="0031228B"/>
    <w:rsid w:val="00312810"/>
    <w:rsid w:val="00312857"/>
    <w:rsid w:val="00316004"/>
    <w:rsid w:val="0031730C"/>
    <w:rsid w:val="00317AAC"/>
    <w:rsid w:val="0032056C"/>
    <w:rsid w:val="00322D1C"/>
    <w:rsid w:val="00322E92"/>
    <w:rsid w:val="00325358"/>
    <w:rsid w:val="00325688"/>
    <w:rsid w:val="003264C2"/>
    <w:rsid w:val="003265C8"/>
    <w:rsid w:val="0032794F"/>
    <w:rsid w:val="00330BA9"/>
    <w:rsid w:val="003331CC"/>
    <w:rsid w:val="00333AB6"/>
    <w:rsid w:val="0033479B"/>
    <w:rsid w:val="00335385"/>
    <w:rsid w:val="00336A73"/>
    <w:rsid w:val="003375F3"/>
    <w:rsid w:val="00340878"/>
    <w:rsid w:val="00340890"/>
    <w:rsid w:val="0034153F"/>
    <w:rsid w:val="0034354E"/>
    <w:rsid w:val="003444BC"/>
    <w:rsid w:val="003524D7"/>
    <w:rsid w:val="00353313"/>
    <w:rsid w:val="0035366A"/>
    <w:rsid w:val="00353D31"/>
    <w:rsid w:val="00354F5B"/>
    <w:rsid w:val="00355E65"/>
    <w:rsid w:val="00356C19"/>
    <w:rsid w:val="00357C25"/>
    <w:rsid w:val="00360E75"/>
    <w:rsid w:val="003610FA"/>
    <w:rsid w:val="00361148"/>
    <w:rsid w:val="003615A6"/>
    <w:rsid w:val="0036323D"/>
    <w:rsid w:val="003644FF"/>
    <w:rsid w:val="00364A52"/>
    <w:rsid w:val="00365097"/>
    <w:rsid w:val="00366785"/>
    <w:rsid w:val="00367022"/>
    <w:rsid w:val="0037043E"/>
    <w:rsid w:val="00371607"/>
    <w:rsid w:val="00372F47"/>
    <w:rsid w:val="00373449"/>
    <w:rsid w:val="00374014"/>
    <w:rsid w:val="003751E5"/>
    <w:rsid w:val="003759DC"/>
    <w:rsid w:val="0037791A"/>
    <w:rsid w:val="003803D2"/>
    <w:rsid w:val="00380547"/>
    <w:rsid w:val="00381715"/>
    <w:rsid w:val="003873A9"/>
    <w:rsid w:val="0038746D"/>
    <w:rsid w:val="003877FC"/>
    <w:rsid w:val="0039081D"/>
    <w:rsid w:val="00391F7D"/>
    <w:rsid w:val="00392CA0"/>
    <w:rsid w:val="00393179"/>
    <w:rsid w:val="00393838"/>
    <w:rsid w:val="003940E5"/>
    <w:rsid w:val="00395E94"/>
    <w:rsid w:val="00396A5A"/>
    <w:rsid w:val="00396FE7"/>
    <w:rsid w:val="00397D84"/>
    <w:rsid w:val="003A0ACA"/>
    <w:rsid w:val="003A196C"/>
    <w:rsid w:val="003A1E86"/>
    <w:rsid w:val="003A2B27"/>
    <w:rsid w:val="003A2DE3"/>
    <w:rsid w:val="003A4521"/>
    <w:rsid w:val="003A4BC0"/>
    <w:rsid w:val="003A73C2"/>
    <w:rsid w:val="003A7718"/>
    <w:rsid w:val="003A780B"/>
    <w:rsid w:val="003B0119"/>
    <w:rsid w:val="003B2FCD"/>
    <w:rsid w:val="003B3F72"/>
    <w:rsid w:val="003B5BC6"/>
    <w:rsid w:val="003B6091"/>
    <w:rsid w:val="003B6E0A"/>
    <w:rsid w:val="003B7291"/>
    <w:rsid w:val="003B77A2"/>
    <w:rsid w:val="003B77F7"/>
    <w:rsid w:val="003C18E3"/>
    <w:rsid w:val="003C44A0"/>
    <w:rsid w:val="003C4670"/>
    <w:rsid w:val="003C4BA1"/>
    <w:rsid w:val="003C545A"/>
    <w:rsid w:val="003C5E24"/>
    <w:rsid w:val="003C69E4"/>
    <w:rsid w:val="003C6C79"/>
    <w:rsid w:val="003C75D4"/>
    <w:rsid w:val="003C79C1"/>
    <w:rsid w:val="003D0D94"/>
    <w:rsid w:val="003D0F2B"/>
    <w:rsid w:val="003D1C4F"/>
    <w:rsid w:val="003D297E"/>
    <w:rsid w:val="003D32C1"/>
    <w:rsid w:val="003D3C55"/>
    <w:rsid w:val="003D4B67"/>
    <w:rsid w:val="003D5955"/>
    <w:rsid w:val="003D5961"/>
    <w:rsid w:val="003D59BF"/>
    <w:rsid w:val="003E1667"/>
    <w:rsid w:val="003E6075"/>
    <w:rsid w:val="003E6646"/>
    <w:rsid w:val="003E6769"/>
    <w:rsid w:val="003E6C0B"/>
    <w:rsid w:val="003F11D0"/>
    <w:rsid w:val="003F35CC"/>
    <w:rsid w:val="003F4EDC"/>
    <w:rsid w:val="003F5881"/>
    <w:rsid w:val="003F5AA4"/>
    <w:rsid w:val="003F5F6E"/>
    <w:rsid w:val="003F6DB5"/>
    <w:rsid w:val="003F73AB"/>
    <w:rsid w:val="003F7C1A"/>
    <w:rsid w:val="003F7D2B"/>
    <w:rsid w:val="00400528"/>
    <w:rsid w:val="00401BB9"/>
    <w:rsid w:val="004055D8"/>
    <w:rsid w:val="00406339"/>
    <w:rsid w:val="00411222"/>
    <w:rsid w:val="00412094"/>
    <w:rsid w:val="0041347D"/>
    <w:rsid w:val="00413E2F"/>
    <w:rsid w:val="00415BB4"/>
    <w:rsid w:val="00416A85"/>
    <w:rsid w:val="00420591"/>
    <w:rsid w:val="0042081E"/>
    <w:rsid w:val="00421004"/>
    <w:rsid w:val="004215EC"/>
    <w:rsid w:val="004223A0"/>
    <w:rsid w:val="00423523"/>
    <w:rsid w:val="00423ABF"/>
    <w:rsid w:val="00423E87"/>
    <w:rsid w:val="00423F16"/>
    <w:rsid w:val="00425527"/>
    <w:rsid w:val="00426FF3"/>
    <w:rsid w:val="00430ACE"/>
    <w:rsid w:val="00433FE4"/>
    <w:rsid w:val="004359BF"/>
    <w:rsid w:val="00436318"/>
    <w:rsid w:val="0043715C"/>
    <w:rsid w:val="00437F8B"/>
    <w:rsid w:val="004417DC"/>
    <w:rsid w:val="00442FC7"/>
    <w:rsid w:val="00443203"/>
    <w:rsid w:val="004438AB"/>
    <w:rsid w:val="00445F1D"/>
    <w:rsid w:val="00447007"/>
    <w:rsid w:val="004477DE"/>
    <w:rsid w:val="004541A1"/>
    <w:rsid w:val="00455A6A"/>
    <w:rsid w:val="004561E9"/>
    <w:rsid w:val="004572A8"/>
    <w:rsid w:val="00460383"/>
    <w:rsid w:val="00460D35"/>
    <w:rsid w:val="00461E0D"/>
    <w:rsid w:val="00461E4C"/>
    <w:rsid w:val="00463CAB"/>
    <w:rsid w:val="00463EB1"/>
    <w:rsid w:val="00467960"/>
    <w:rsid w:val="00471C6E"/>
    <w:rsid w:val="00471F69"/>
    <w:rsid w:val="004726CE"/>
    <w:rsid w:val="00472848"/>
    <w:rsid w:val="004729A1"/>
    <w:rsid w:val="0047348C"/>
    <w:rsid w:val="0047399C"/>
    <w:rsid w:val="004749D3"/>
    <w:rsid w:val="00475F76"/>
    <w:rsid w:val="004763C3"/>
    <w:rsid w:val="004771FF"/>
    <w:rsid w:val="00477F44"/>
    <w:rsid w:val="00480996"/>
    <w:rsid w:val="00480E2B"/>
    <w:rsid w:val="00481596"/>
    <w:rsid w:val="00481F43"/>
    <w:rsid w:val="00484F63"/>
    <w:rsid w:val="00485251"/>
    <w:rsid w:val="00485A44"/>
    <w:rsid w:val="00486A3E"/>
    <w:rsid w:val="00487835"/>
    <w:rsid w:val="00487B33"/>
    <w:rsid w:val="00490621"/>
    <w:rsid w:val="00490C2A"/>
    <w:rsid w:val="004917F0"/>
    <w:rsid w:val="00491E34"/>
    <w:rsid w:val="00492045"/>
    <w:rsid w:val="00492776"/>
    <w:rsid w:val="004933B3"/>
    <w:rsid w:val="004936A7"/>
    <w:rsid w:val="00494124"/>
    <w:rsid w:val="00495755"/>
    <w:rsid w:val="00495DAE"/>
    <w:rsid w:val="00496063"/>
    <w:rsid w:val="0049659E"/>
    <w:rsid w:val="004A232F"/>
    <w:rsid w:val="004A37BE"/>
    <w:rsid w:val="004A4528"/>
    <w:rsid w:val="004A4B3D"/>
    <w:rsid w:val="004A5154"/>
    <w:rsid w:val="004A5426"/>
    <w:rsid w:val="004A73C8"/>
    <w:rsid w:val="004B4162"/>
    <w:rsid w:val="004B5E77"/>
    <w:rsid w:val="004B7579"/>
    <w:rsid w:val="004C0302"/>
    <w:rsid w:val="004C0434"/>
    <w:rsid w:val="004C116B"/>
    <w:rsid w:val="004C1E05"/>
    <w:rsid w:val="004C2645"/>
    <w:rsid w:val="004C7639"/>
    <w:rsid w:val="004D1603"/>
    <w:rsid w:val="004D19E0"/>
    <w:rsid w:val="004D1AB3"/>
    <w:rsid w:val="004D4A17"/>
    <w:rsid w:val="004D4C87"/>
    <w:rsid w:val="004D52D4"/>
    <w:rsid w:val="004D5DE8"/>
    <w:rsid w:val="004D64EB"/>
    <w:rsid w:val="004D71AC"/>
    <w:rsid w:val="004E04AF"/>
    <w:rsid w:val="004E1567"/>
    <w:rsid w:val="004E223D"/>
    <w:rsid w:val="004E4130"/>
    <w:rsid w:val="004E4CD6"/>
    <w:rsid w:val="004E57F2"/>
    <w:rsid w:val="004E7124"/>
    <w:rsid w:val="004E762D"/>
    <w:rsid w:val="004F0610"/>
    <w:rsid w:val="004F14C2"/>
    <w:rsid w:val="004F2AD2"/>
    <w:rsid w:val="004F3492"/>
    <w:rsid w:val="004F35D7"/>
    <w:rsid w:val="004F64A2"/>
    <w:rsid w:val="004F6C32"/>
    <w:rsid w:val="005038D9"/>
    <w:rsid w:val="00503972"/>
    <w:rsid w:val="005042CE"/>
    <w:rsid w:val="005046A0"/>
    <w:rsid w:val="005046D3"/>
    <w:rsid w:val="005056ED"/>
    <w:rsid w:val="00505F10"/>
    <w:rsid w:val="00506AC7"/>
    <w:rsid w:val="00506FCA"/>
    <w:rsid w:val="00514C1D"/>
    <w:rsid w:val="0051635A"/>
    <w:rsid w:val="00516E1F"/>
    <w:rsid w:val="005170F0"/>
    <w:rsid w:val="00517235"/>
    <w:rsid w:val="00521819"/>
    <w:rsid w:val="005227F3"/>
    <w:rsid w:val="00523657"/>
    <w:rsid w:val="0052377C"/>
    <w:rsid w:val="005237D5"/>
    <w:rsid w:val="005240CE"/>
    <w:rsid w:val="00525679"/>
    <w:rsid w:val="00526772"/>
    <w:rsid w:val="005274E2"/>
    <w:rsid w:val="0052796A"/>
    <w:rsid w:val="0053027A"/>
    <w:rsid w:val="0053143D"/>
    <w:rsid w:val="00531666"/>
    <w:rsid w:val="00533E53"/>
    <w:rsid w:val="005344B8"/>
    <w:rsid w:val="005362DD"/>
    <w:rsid w:val="00537557"/>
    <w:rsid w:val="00541CCB"/>
    <w:rsid w:val="005437A5"/>
    <w:rsid w:val="00543BF9"/>
    <w:rsid w:val="00543F0B"/>
    <w:rsid w:val="00550D32"/>
    <w:rsid w:val="00551DEF"/>
    <w:rsid w:val="00553149"/>
    <w:rsid w:val="00557DFF"/>
    <w:rsid w:val="0056067B"/>
    <w:rsid w:val="00561337"/>
    <w:rsid w:val="0056443C"/>
    <w:rsid w:val="005660A9"/>
    <w:rsid w:val="00566537"/>
    <w:rsid w:val="00567DBA"/>
    <w:rsid w:val="00570679"/>
    <w:rsid w:val="00571AEC"/>
    <w:rsid w:val="00572CFB"/>
    <w:rsid w:val="00572DA9"/>
    <w:rsid w:val="00573CF1"/>
    <w:rsid w:val="00576369"/>
    <w:rsid w:val="00576D0A"/>
    <w:rsid w:val="005773B9"/>
    <w:rsid w:val="00577D5B"/>
    <w:rsid w:val="005815A1"/>
    <w:rsid w:val="00582398"/>
    <w:rsid w:val="00585968"/>
    <w:rsid w:val="0058679B"/>
    <w:rsid w:val="00586B31"/>
    <w:rsid w:val="00587B25"/>
    <w:rsid w:val="0059040B"/>
    <w:rsid w:val="0059263D"/>
    <w:rsid w:val="005977E6"/>
    <w:rsid w:val="005A088B"/>
    <w:rsid w:val="005A1907"/>
    <w:rsid w:val="005A5662"/>
    <w:rsid w:val="005A5DF9"/>
    <w:rsid w:val="005A7A17"/>
    <w:rsid w:val="005A7BF9"/>
    <w:rsid w:val="005B050D"/>
    <w:rsid w:val="005B5272"/>
    <w:rsid w:val="005B77E0"/>
    <w:rsid w:val="005B7BD3"/>
    <w:rsid w:val="005C052C"/>
    <w:rsid w:val="005C1E58"/>
    <w:rsid w:val="005C346B"/>
    <w:rsid w:val="005C3C57"/>
    <w:rsid w:val="005C4B22"/>
    <w:rsid w:val="005C5187"/>
    <w:rsid w:val="005C5655"/>
    <w:rsid w:val="005C5A9E"/>
    <w:rsid w:val="005C65E6"/>
    <w:rsid w:val="005D152D"/>
    <w:rsid w:val="005D48AD"/>
    <w:rsid w:val="005D509D"/>
    <w:rsid w:val="005D5D38"/>
    <w:rsid w:val="005D7CC5"/>
    <w:rsid w:val="005E00B9"/>
    <w:rsid w:val="005E103E"/>
    <w:rsid w:val="005E11D3"/>
    <w:rsid w:val="005E3417"/>
    <w:rsid w:val="005E367E"/>
    <w:rsid w:val="005E652C"/>
    <w:rsid w:val="005E6565"/>
    <w:rsid w:val="005E6660"/>
    <w:rsid w:val="005E6C91"/>
    <w:rsid w:val="005E6F77"/>
    <w:rsid w:val="005E774F"/>
    <w:rsid w:val="005F2C7B"/>
    <w:rsid w:val="005F3B62"/>
    <w:rsid w:val="005F49CA"/>
    <w:rsid w:val="005F4C41"/>
    <w:rsid w:val="005F5AB8"/>
    <w:rsid w:val="005F7EC0"/>
    <w:rsid w:val="006010C9"/>
    <w:rsid w:val="00601534"/>
    <w:rsid w:val="00602283"/>
    <w:rsid w:val="0060399C"/>
    <w:rsid w:val="00603C04"/>
    <w:rsid w:val="00604675"/>
    <w:rsid w:val="006051DC"/>
    <w:rsid w:val="00606D35"/>
    <w:rsid w:val="00607EEB"/>
    <w:rsid w:val="00610A39"/>
    <w:rsid w:val="0061138B"/>
    <w:rsid w:val="00612D67"/>
    <w:rsid w:val="00613033"/>
    <w:rsid w:val="00614908"/>
    <w:rsid w:val="006158C7"/>
    <w:rsid w:val="00615A83"/>
    <w:rsid w:val="006179E1"/>
    <w:rsid w:val="006206EC"/>
    <w:rsid w:val="006225C2"/>
    <w:rsid w:val="00622B9E"/>
    <w:rsid w:val="0062407C"/>
    <w:rsid w:val="0062509B"/>
    <w:rsid w:val="006264E1"/>
    <w:rsid w:val="0063073F"/>
    <w:rsid w:val="00631133"/>
    <w:rsid w:val="0063177D"/>
    <w:rsid w:val="00632E40"/>
    <w:rsid w:val="006337F9"/>
    <w:rsid w:val="00634951"/>
    <w:rsid w:val="00634AE6"/>
    <w:rsid w:val="00635457"/>
    <w:rsid w:val="00636CD4"/>
    <w:rsid w:val="006402D8"/>
    <w:rsid w:val="00640BFA"/>
    <w:rsid w:val="006411D5"/>
    <w:rsid w:val="006453C2"/>
    <w:rsid w:val="00645F5F"/>
    <w:rsid w:val="00651DA6"/>
    <w:rsid w:val="0065319E"/>
    <w:rsid w:val="00653436"/>
    <w:rsid w:val="00653FE0"/>
    <w:rsid w:val="00654ABE"/>
    <w:rsid w:val="0065571E"/>
    <w:rsid w:val="00657382"/>
    <w:rsid w:val="0066015C"/>
    <w:rsid w:val="0066074E"/>
    <w:rsid w:val="00660F64"/>
    <w:rsid w:val="00662159"/>
    <w:rsid w:val="00664490"/>
    <w:rsid w:val="00665BA1"/>
    <w:rsid w:val="0066610D"/>
    <w:rsid w:val="006663D6"/>
    <w:rsid w:val="006714C5"/>
    <w:rsid w:val="00671FB6"/>
    <w:rsid w:val="00673526"/>
    <w:rsid w:val="006770A5"/>
    <w:rsid w:val="006807D8"/>
    <w:rsid w:val="00682354"/>
    <w:rsid w:val="006836AF"/>
    <w:rsid w:val="00683B6B"/>
    <w:rsid w:val="00683E3A"/>
    <w:rsid w:val="00683F67"/>
    <w:rsid w:val="00684FC7"/>
    <w:rsid w:val="00687C19"/>
    <w:rsid w:val="00690E8B"/>
    <w:rsid w:val="006925F3"/>
    <w:rsid w:val="006939F6"/>
    <w:rsid w:val="006970ED"/>
    <w:rsid w:val="00697DF1"/>
    <w:rsid w:val="006A59C5"/>
    <w:rsid w:val="006B01D2"/>
    <w:rsid w:val="006B02AE"/>
    <w:rsid w:val="006B0905"/>
    <w:rsid w:val="006B1F7E"/>
    <w:rsid w:val="006B3E74"/>
    <w:rsid w:val="006B5537"/>
    <w:rsid w:val="006B6D91"/>
    <w:rsid w:val="006C0227"/>
    <w:rsid w:val="006C0512"/>
    <w:rsid w:val="006C2E5C"/>
    <w:rsid w:val="006C46F8"/>
    <w:rsid w:val="006C4B50"/>
    <w:rsid w:val="006D0A5B"/>
    <w:rsid w:val="006D1216"/>
    <w:rsid w:val="006D1922"/>
    <w:rsid w:val="006D1DD2"/>
    <w:rsid w:val="006D30DE"/>
    <w:rsid w:val="006D3CB0"/>
    <w:rsid w:val="006D6905"/>
    <w:rsid w:val="006D7774"/>
    <w:rsid w:val="006D7E65"/>
    <w:rsid w:val="006E01F4"/>
    <w:rsid w:val="006E0261"/>
    <w:rsid w:val="006E0A46"/>
    <w:rsid w:val="006E0CD7"/>
    <w:rsid w:val="006E0E93"/>
    <w:rsid w:val="006E3758"/>
    <w:rsid w:val="006E6253"/>
    <w:rsid w:val="006E6722"/>
    <w:rsid w:val="006F1B91"/>
    <w:rsid w:val="006F2349"/>
    <w:rsid w:val="006F3288"/>
    <w:rsid w:val="006F442F"/>
    <w:rsid w:val="006F4446"/>
    <w:rsid w:val="006F52AF"/>
    <w:rsid w:val="006F7BD9"/>
    <w:rsid w:val="006F7E21"/>
    <w:rsid w:val="00700C9C"/>
    <w:rsid w:val="007037DF"/>
    <w:rsid w:val="007101EB"/>
    <w:rsid w:val="00710A3D"/>
    <w:rsid w:val="00712DF0"/>
    <w:rsid w:val="0071500C"/>
    <w:rsid w:val="0071505D"/>
    <w:rsid w:val="00716BE3"/>
    <w:rsid w:val="007177F2"/>
    <w:rsid w:val="0072084B"/>
    <w:rsid w:val="007215C7"/>
    <w:rsid w:val="00722B96"/>
    <w:rsid w:val="007231A6"/>
    <w:rsid w:val="0072594F"/>
    <w:rsid w:val="0072596E"/>
    <w:rsid w:val="007269B6"/>
    <w:rsid w:val="00726AF4"/>
    <w:rsid w:val="00730005"/>
    <w:rsid w:val="00730233"/>
    <w:rsid w:val="007302D0"/>
    <w:rsid w:val="00731857"/>
    <w:rsid w:val="00732B17"/>
    <w:rsid w:val="00733EFB"/>
    <w:rsid w:val="007340D7"/>
    <w:rsid w:val="007345ED"/>
    <w:rsid w:val="00734625"/>
    <w:rsid w:val="00735A0F"/>
    <w:rsid w:val="00735C88"/>
    <w:rsid w:val="007369C1"/>
    <w:rsid w:val="007408D2"/>
    <w:rsid w:val="0074251A"/>
    <w:rsid w:val="00745894"/>
    <w:rsid w:val="00746A4C"/>
    <w:rsid w:val="00746B23"/>
    <w:rsid w:val="00756768"/>
    <w:rsid w:val="00756A36"/>
    <w:rsid w:val="00756AC2"/>
    <w:rsid w:val="00757252"/>
    <w:rsid w:val="0075742F"/>
    <w:rsid w:val="0075785F"/>
    <w:rsid w:val="00760226"/>
    <w:rsid w:val="00764225"/>
    <w:rsid w:val="00764337"/>
    <w:rsid w:val="00765743"/>
    <w:rsid w:val="0076770B"/>
    <w:rsid w:val="00767890"/>
    <w:rsid w:val="00770160"/>
    <w:rsid w:val="0077041A"/>
    <w:rsid w:val="007715F5"/>
    <w:rsid w:val="00771FA7"/>
    <w:rsid w:val="007727D3"/>
    <w:rsid w:val="00773A0E"/>
    <w:rsid w:val="00773CFE"/>
    <w:rsid w:val="00773E79"/>
    <w:rsid w:val="007742C2"/>
    <w:rsid w:val="00775CCC"/>
    <w:rsid w:val="007767E1"/>
    <w:rsid w:val="00776E85"/>
    <w:rsid w:val="0077721F"/>
    <w:rsid w:val="0077762E"/>
    <w:rsid w:val="007804CA"/>
    <w:rsid w:val="00781B79"/>
    <w:rsid w:val="00782765"/>
    <w:rsid w:val="00783BBC"/>
    <w:rsid w:val="00783D4D"/>
    <w:rsid w:val="007865EC"/>
    <w:rsid w:val="0078710E"/>
    <w:rsid w:val="007872AE"/>
    <w:rsid w:val="007879F2"/>
    <w:rsid w:val="00790B9E"/>
    <w:rsid w:val="00790C98"/>
    <w:rsid w:val="00791326"/>
    <w:rsid w:val="00791FBA"/>
    <w:rsid w:val="00792554"/>
    <w:rsid w:val="00792A7D"/>
    <w:rsid w:val="00793436"/>
    <w:rsid w:val="00793A1E"/>
    <w:rsid w:val="00794DC1"/>
    <w:rsid w:val="007A02AD"/>
    <w:rsid w:val="007A0DE5"/>
    <w:rsid w:val="007A1005"/>
    <w:rsid w:val="007A1631"/>
    <w:rsid w:val="007A16E8"/>
    <w:rsid w:val="007A3CAA"/>
    <w:rsid w:val="007A3D94"/>
    <w:rsid w:val="007A678A"/>
    <w:rsid w:val="007A790A"/>
    <w:rsid w:val="007A7E9C"/>
    <w:rsid w:val="007B46FA"/>
    <w:rsid w:val="007B5698"/>
    <w:rsid w:val="007B579F"/>
    <w:rsid w:val="007B5E94"/>
    <w:rsid w:val="007B5FA7"/>
    <w:rsid w:val="007B63BB"/>
    <w:rsid w:val="007C1040"/>
    <w:rsid w:val="007C14CE"/>
    <w:rsid w:val="007C1631"/>
    <w:rsid w:val="007C1C2D"/>
    <w:rsid w:val="007C455F"/>
    <w:rsid w:val="007C4696"/>
    <w:rsid w:val="007C475E"/>
    <w:rsid w:val="007C52C4"/>
    <w:rsid w:val="007C5A47"/>
    <w:rsid w:val="007C5AE9"/>
    <w:rsid w:val="007D3E7F"/>
    <w:rsid w:val="007D3F87"/>
    <w:rsid w:val="007D4D0C"/>
    <w:rsid w:val="007D575F"/>
    <w:rsid w:val="007D5B84"/>
    <w:rsid w:val="007E0630"/>
    <w:rsid w:val="007E0B31"/>
    <w:rsid w:val="007E38C1"/>
    <w:rsid w:val="007E3A25"/>
    <w:rsid w:val="007E5715"/>
    <w:rsid w:val="007E5905"/>
    <w:rsid w:val="007E6036"/>
    <w:rsid w:val="007E6DD3"/>
    <w:rsid w:val="007E7555"/>
    <w:rsid w:val="007E7E35"/>
    <w:rsid w:val="007F1303"/>
    <w:rsid w:val="007F6152"/>
    <w:rsid w:val="007F66EE"/>
    <w:rsid w:val="007F68B6"/>
    <w:rsid w:val="007F6C85"/>
    <w:rsid w:val="00800C4F"/>
    <w:rsid w:val="008011BB"/>
    <w:rsid w:val="0080326B"/>
    <w:rsid w:val="008039DE"/>
    <w:rsid w:val="00803D6D"/>
    <w:rsid w:val="0080538D"/>
    <w:rsid w:val="00806694"/>
    <w:rsid w:val="00806AF7"/>
    <w:rsid w:val="00806F35"/>
    <w:rsid w:val="00812157"/>
    <w:rsid w:val="00812EC1"/>
    <w:rsid w:val="008130E2"/>
    <w:rsid w:val="008157E0"/>
    <w:rsid w:val="00815C09"/>
    <w:rsid w:val="00815F6A"/>
    <w:rsid w:val="00817611"/>
    <w:rsid w:val="008204EE"/>
    <w:rsid w:val="00822BD7"/>
    <w:rsid w:val="00822EE9"/>
    <w:rsid w:val="00823AC9"/>
    <w:rsid w:val="008259FD"/>
    <w:rsid w:val="00827DF1"/>
    <w:rsid w:val="00830549"/>
    <w:rsid w:val="00830A4E"/>
    <w:rsid w:val="008313D1"/>
    <w:rsid w:val="00837716"/>
    <w:rsid w:val="00840100"/>
    <w:rsid w:val="008443C6"/>
    <w:rsid w:val="00844C20"/>
    <w:rsid w:val="0084635A"/>
    <w:rsid w:val="0084686E"/>
    <w:rsid w:val="00846F83"/>
    <w:rsid w:val="00847A77"/>
    <w:rsid w:val="00850A22"/>
    <w:rsid w:val="00852A71"/>
    <w:rsid w:val="00853717"/>
    <w:rsid w:val="00853EBE"/>
    <w:rsid w:val="0085643F"/>
    <w:rsid w:val="00856FA4"/>
    <w:rsid w:val="008573D4"/>
    <w:rsid w:val="008576E9"/>
    <w:rsid w:val="00860C71"/>
    <w:rsid w:val="008612B5"/>
    <w:rsid w:val="0086232C"/>
    <w:rsid w:val="00862A5E"/>
    <w:rsid w:val="0086505E"/>
    <w:rsid w:val="00865DC8"/>
    <w:rsid w:val="00866957"/>
    <w:rsid w:val="0086758F"/>
    <w:rsid w:val="00870E31"/>
    <w:rsid w:val="008726CD"/>
    <w:rsid w:val="008764E6"/>
    <w:rsid w:val="008773D8"/>
    <w:rsid w:val="00877BCD"/>
    <w:rsid w:val="0088087D"/>
    <w:rsid w:val="0088234E"/>
    <w:rsid w:val="0088333C"/>
    <w:rsid w:val="008836F9"/>
    <w:rsid w:val="0088409F"/>
    <w:rsid w:val="00885291"/>
    <w:rsid w:val="008863FF"/>
    <w:rsid w:val="00887E4B"/>
    <w:rsid w:val="00890B73"/>
    <w:rsid w:val="00891636"/>
    <w:rsid w:val="008922D0"/>
    <w:rsid w:val="00892BF4"/>
    <w:rsid w:val="00893323"/>
    <w:rsid w:val="008934C0"/>
    <w:rsid w:val="00893D5D"/>
    <w:rsid w:val="00893E36"/>
    <w:rsid w:val="0089563C"/>
    <w:rsid w:val="00896181"/>
    <w:rsid w:val="00896EEE"/>
    <w:rsid w:val="00897810"/>
    <w:rsid w:val="008A044C"/>
    <w:rsid w:val="008A34CB"/>
    <w:rsid w:val="008A4AC2"/>
    <w:rsid w:val="008A6DAC"/>
    <w:rsid w:val="008B07BA"/>
    <w:rsid w:val="008B1BCC"/>
    <w:rsid w:val="008B3624"/>
    <w:rsid w:val="008B7AD3"/>
    <w:rsid w:val="008C643B"/>
    <w:rsid w:val="008C7085"/>
    <w:rsid w:val="008D10F5"/>
    <w:rsid w:val="008D6F0F"/>
    <w:rsid w:val="008D791D"/>
    <w:rsid w:val="008E05D5"/>
    <w:rsid w:val="008E1023"/>
    <w:rsid w:val="008E1B70"/>
    <w:rsid w:val="008E1CB7"/>
    <w:rsid w:val="008E4B46"/>
    <w:rsid w:val="008E61A1"/>
    <w:rsid w:val="008E70C4"/>
    <w:rsid w:val="008E7669"/>
    <w:rsid w:val="008F04B9"/>
    <w:rsid w:val="008F0F91"/>
    <w:rsid w:val="008F555E"/>
    <w:rsid w:val="008F5C43"/>
    <w:rsid w:val="008F615B"/>
    <w:rsid w:val="008F65BF"/>
    <w:rsid w:val="008F6D5E"/>
    <w:rsid w:val="008F6F94"/>
    <w:rsid w:val="008F7914"/>
    <w:rsid w:val="009004BE"/>
    <w:rsid w:val="0090075C"/>
    <w:rsid w:val="00900BE0"/>
    <w:rsid w:val="00900D34"/>
    <w:rsid w:val="00900D37"/>
    <w:rsid w:val="0090150C"/>
    <w:rsid w:val="009018E0"/>
    <w:rsid w:val="00902F7B"/>
    <w:rsid w:val="00903226"/>
    <w:rsid w:val="00904396"/>
    <w:rsid w:val="00904E9D"/>
    <w:rsid w:val="00906B27"/>
    <w:rsid w:val="009112D9"/>
    <w:rsid w:val="009149EC"/>
    <w:rsid w:val="009178EA"/>
    <w:rsid w:val="00917A1F"/>
    <w:rsid w:val="00917A7C"/>
    <w:rsid w:val="009209FD"/>
    <w:rsid w:val="009220BC"/>
    <w:rsid w:val="00925C66"/>
    <w:rsid w:val="00927EAC"/>
    <w:rsid w:val="00931EA9"/>
    <w:rsid w:val="00931F27"/>
    <w:rsid w:val="009322DB"/>
    <w:rsid w:val="00934D4A"/>
    <w:rsid w:val="00937ED0"/>
    <w:rsid w:val="00940DA0"/>
    <w:rsid w:val="00941139"/>
    <w:rsid w:val="0094212F"/>
    <w:rsid w:val="0094226A"/>
    <w:rsid w:val="00943006"/>
    <w:rsid w:val="0094328D"/>
    <w:rsid w:val="009442C7"/>
    <w:rsid w:val="00945349"/>
    <w:rsid w:val="00945882"/>
    <w:rsid w:val="00945E18"/>
    <w:rsid w:val="00947CC4"/>
    <w:rsid w:val="009514C6"/>
    <w:rsid w:val="00952010"/>
    <w:rsid w:val="00953BC4"/>
    <w:rsid w:val="00955C55"/>
    <w:rsid w:val="00955E05"/>
    <w:rsid w:val="00960BA5"/>
    <w:rsid w:val="00961256"/>
    <w:rsid w:val="00961E76"/>
    <w:rsid w:val="00962604"/>
    <w:rsid w:val="00962D55"/>
    <w:rsid w:val="00963BE4"/>
    <w:rsid w:val="009649E0"/>
    <w:rsid w:val="009649FA"/>
    <w:rsid w:val="009654AC"/>
    <w:rsid w:val="009654EF"/>
    <w:rsid w:val="00965740"/>
    <w:rsid w:val="00965C2D"/>
    <w:rsid w:val="0097001D"/>
    <w:rsid w:val="00970FB8"/>
    <w:rsid w:val="00973369"/>
    <w:rsid w:val="00973389"/>
    <w:rsid w:val="00973504"/>
    <w:rsid w:val="00974422"/>
    <w:rsid w:val="00975294"/>
    <w:rsid w:val="00975334"/>
    <w:rsid w:val="00975465"/>
    <w:rsid w:val="00975494"/>
    <w:rsid w:val="009773BA"/>
    <w:rsid w:val="00980285"/>
    <w:rsid w:val="00982CED"/>
    <w:rsid w:val="00983303"/>
    <w:rsid w:val="0098375A"/>
    <w:rsid w:val="00983E51"/>
    <w:rsid w:val="0098431F"/>
    <w:rsid w:val="009846AE"/>
    <w:rsid w:val="0098485E"/>
    <w:rsid w:val="009863B6"/>
    <w:rsid w:val="00987945"/>
    <w:rsid w:val="00987B34"/>
    <w:rsid w:val="009904A2"/>
    <w:rsid w:val="009908F4"/>
    <w:rsid w:val="009927A4"/>
    <w:rsid w:val="00992A6B"/>
    <w:rsid w:val="0099707E"/>
    <w:rsid w:val="009A0263"/>
    <w:rsid w:val="009A171D"/>
    <w:rsid w:val="009A18DD"/>
    <w:rsid w:val="009A25AF"/>
    <w:rsid w:val="009A2779"/>
    <w:rsid w:val="009A37B2"/>
    <w:rsid w:val="009A4FC4"/>
    <w:rsid w:val="009A746A"/>
    <w:rsid w:val="009A7994"/>
    <w:rsid w:val="009B08FC"/>
    <w:rsid w:val="009B1E89"/>
    <w:rsid w:val="009B398C"/>
    <w:rsid w:val="009B4044"/>
    <w:rsid w:val="009B4271"/>
    <w:rsid w:val="009B580F"/>
    <w:rsid w:val="009B69F7"/>
    <w:rsid w:val="009C20BB"/>
    <w:rsid w:val="009C2A0C"/>
    <w:rsid w:val="009C3264"/>
    <w:rsid w:val="009C3F06"/>
    <w:rsid w:val="009C4640"/>
    <w:rsid w:val="009C6EF3"/>
    <w:rsid w:val="009D0935"/>
    <w:rsid w:val="009D1DB0"/>
    <w:rsid w:val="009D6F17"/>
    <w:rsid w:val="009D7D8B"/>
    <w:rsid w:val="009E1387"/>
    <w:rsid w:val="009E4883"/>
    <w:rsid w:val="009F049F"/>
    <w:rsid w:val="009F1391"/>
    <w:rsid w:val="009F182E"/>
    <w:rsid w:val="009F542A"/>
    <w:rsid w:val="009F5B16"/>
    <w:rsid w:val="009F6631"/>
    <w:rsid w:val="009F6D78"/>
    <w:rsid w:val="009F72CB"/>
    <w:rsid w:val="00A019B4"/>
    <w:rsid w:val="00A01CF5"/>
    <w:rsid w:val="00A02EE4"/>
    <w:rsid w:val="00A0303A"/>
    <w:rsid w:val="00A03635"/>
    <w:rsid w:val="00A0467D"/>
    <w:rsid w:val="00A04DDA"/>
    <w:rsid w:val="00A04FDA"/>
    <w:rsid w:val="00A05C7C"/>
    <w:rsid w:val="00A05F51"/>
    <w:rsid w:val="00A065A2"/>
    <w:rsid w:val="00A0679A"/>
    <w:rsid w:val="00A077CD"/>
    <w:rsid w:val="00A107AA"/>
    <w:rsid w:val="00A12D2C"/>
    <w:rsid w:val="00A135D8"/>
    <w:rsid w:val="00A14E9A"/>
    <w:rsid w:val="00A1575C"/>
    <w:rsid w:val="00A15FE1"/>
    <w:rsid w:val="00A16596"/>
    <w:rsid w:val="00A21684"/>
    <w:rsid w:val="00A22102"/>
    <w:rsid w:val="00A23CAA"/>
    <w:rsid w:val="00A25726"/>
    <w:rsid w:val="00A261B0"/>
    <w:rsid w:val="00A304B5"/>
    <w:rsid w:val="00A31023"/>
    <w:rsid w:val="00A32B17"/>
    <w:rsid w:val="00A33586"/>
    <w:rsid w:val="00A35982"/>
    <w:rsid w:val="00A35DF4"/>
    <w:rsid w:val="00A37551"/>
    <w:rsid w:val="00A402EF"/>
    <w:rsid w:val="00A409EA"/>
    <w:rsid w:val="00A41A8E"/>
    <w:rsid w:val="00A444EF"/>
    <w:rsid w:val="00A4554C"/>
    <w:rsid w:val="00A4781B"/>
    <w:rsid w:val="00A50C21"/>
    <w:rsid w:val="00A510ED"/>
    <w:rsid w:val="00A51B4A"/>
    <w:rsid w:val="00A52A05"/>
    <w:rsid w:val="00A5798D"/>
    <w:rsid w:val="00A57BBC"/>
    <w:rsid w:val="00A57C33"/>
    <w:rsid w:val="00A61037"/>
    <w:rsid w:val="00A64266"/>
    <w:rsid w:val="00A64923"/>
    <w:rsid w:val="00A64E14"/>
    <w:rsid w:val="00A65631"/>
    <w:rsid w:val="00A65BBE"/>
    <w:rsid w:val="00A65D67"/>
    <w:rsid w:val="00A67C1A"/>
    <w:rsid w:val="00A701E1"/>
    <w:rsid w:val="00A70E13"/>
    <w:rsid w:val="00A72B27"/>
    <w:rsid w:val="00A734CF"/>
    <w:rsid w:val="00A742A2"/>
    <w:rsid w:val="00A75363"/>
    <w:rsid w:val="00A77898"/>
    <w:rsid w:val="00A827D1"/>
    <w:rsid w:val="00A82B8E"/>
    <w:rsid w:val="00A82F4B"/>
    <w:rsid w:val="00A8424D"/>
    <w:rsid w:val="00A842B1"/>
    <w:rsid w:val="00A85391"/>
    <w:rsid w:val="00A85D48"/>
    <w:rsid w:val="00A869B3"/>
    <w:rsid w:val="00A910EF"/>
    <w:rsid w:val="00A92AEA"/>
    <w:rsid w:val="00A95E5C"/>
    <w:rsid w:val="00A9647C"/>
    <w:rsid w:val="00AA2009"/>
    <w:rsid w:val="00AA25BA"/>
    <w:rsid w:val="00AA413A"/>
    <w:rsid w:val="00AA57F9"/>
    <w:rsid w:val="00AA65AD"/>
    <w:rsid w:val="00AB0BE7"/>
    <w:rsid w:val="00AB2180"/>
    <w:rsid w:val="00AB2B11"/>
    <w:rsid w:val="00AB3677"/>
    <w:rsid w:val="00AB3783"/>
    <w:rsid w:val="00AB4296"/>
    <w:rsid w:val="00AB4A82"/>
    <w:rsid w:val="00AB5E22"/>
    <w:rsid w:val="00AB6010"/>
    <w:rsid w:val="00AC009D"/>
    <w:rsid w:val="00AC12A5"/>
    <w:rsid w:val="00AC1A12"/>
    <w:rsid w:val="00AC229F"/>
    <w:rsid w:val="00AC29E0"/>
    <w:rsid w:val="00AC2EA2"/>
    <w:rsid w:val="00AC3018"/>
    <w:rsid w:val="00AC314F"/>
    <w:rsid w:val="00AC508C"/>
    <w:rsid w:val="00AC5AA8"/>
    <w:rsid w:val="00AC6A66"/>
    <w:rsid w:val="00AC7A53"/>
    <w:rsid w:val="00AD055A"/>
    <w:rsid w:val="00AD24F3"/>
    <w:rsid w:val="00AD25D9"/>
    <w:rsid w:val="00AD291A"/>
    <w:rsid w:val="00AD39A3"/>
    <w:rsid w:val="00AD515F"/>
    <w:rsid w:val="00AD5A7A"/>
    <w:rsid w:val="00AD6EE4"/>
    <w:rsid w:val="00AE1509"/>
    <w:rsid w:val="00AE16AF"/>
    <w:rsid w:val="00AE2468"/>
    <w:rsid w:val="00AE2CD7"/>
    <w:rsid w:val="00AE5002"/>
    <w:rsid w:val="00AE7CED"/>
    <w:rsid w:val="00AF3DD4"/>
    <w:rsid w:val="00AF3FAC"/>
    <w:rsid w:val="00AF43C2"/>
    <w:rsid w:val="00AF44D8"/>
    <w:rsid w:val="00AF44E9"/>
    <w:rsid w:val="00AF5AE2"/>
    <w:rsid w:val="00AF5DCA"/>
    <w:rsid w:val="00AF697B"/>
    <w:rsid w:val="00B026EB"/>
    <w:rsid w:val="00B0323E"/>
    <w:rsid w:val="00B052C2"/>
    <w:rsid w:val="00B06A81"/>
    <w:rsid w:val="00B10244"/>
    <w:rsid w:val="00B111B2"/>
    <w:rsid w:val="00B11BFB"/>
    <w:rsid w:val="00B137C5"/>
    <w:rsid w:val="00B14DDD"/>
    <w:rsid w:val="00B15DEC"/>
    <w:rsid w:val="00B163AB"/>
    <w:rsid w:val="00B16B72"/>
    <w:rsid w:val="00B20173"/>
    <w:rsid w:val="00B208CA"/>
    <w:rsid w:val="00B22E6B"/>
    <w:rsid w:val="00B23270"/>
    <w:rsid w:val="00B2346A"/>
    <w:rsid w:val="00B2381E"/>
    <w:rsid w:val="00B24DB5"/>
    <w:rsid w:val="00B27532"/>
    <w:rsid w:val="00B2795E"/>
    <w:rsid w:val="00B307D7"/>
    <w:rsid w:val="00B30C22"/>
    <w:rsid w:val="00B30DF0"/>
    <w:rsid w:val="00B30EF0"/>
    <w:rsid w:val="00B312FB"/>
    <w:rsid w:val="00B324E1"/>
    <w:rsid w:val="00B35066"/>
    <w:rsid w:val="00B356F2"/>
    <w:rsid w:val="00B36A85"/>
    <w:rsid w:val="00B40A0C"/>
    <w:rsid w:val="00B4154F"/>
    <w:rsid w:val="00B46214"/>
    <w:rsid w:val="00B47329"/>
    <w:rsid w:val="00B50BA9"/>
    <w:rsid w:val="00B51337"/>
    <w:rsid w:val="00B51486"/>
    <w:rsid w:val="00B55D83"/>
    <w:rsid w:val="00B55FA0"/>
    <w:rsid w:val="00B563B6"/>
    <w:rsid w:val="00B56C88"/>
    <w:rsid w:val="00B6055D"/>
    <w:rsid w:val="00B60B80"/>
    <w:rsid w:val="00B60DF8"/>
    <w:rsid w:val="00B611D0"/>
    <w:rsid w:val="00B6128F"/>
    <w:rsid w:val="00B614F3"/>
    <w:rsid w:val="00B64A85"/>
    <w:rsid w:val="00B64F6D"/>
    <w:rsid w:val="00B65830"/>
    <w:rsid w:val="00B658FA"/>
    <w:rsid w:val="00B659CA"/>
    <w:rsid w:val="00B6608A"/>
    <w:rsid w:val="00B72146"/>
    <w:rsid w:val="00B72C3A"/>
    <w:rsid w:val="00B7499A"/>
    <w:rsid w:val="00B749F2"/>
    <w:rsid w:val="00B74CF4"/>
    <w:rsid w:val="00B819D9"/>
    <w:rsid w:val="00B846B3"/>
    <w:rsid w:val="00B861A1"/>
    <w:rsid w:val="00B86473"/>
    <w:rsid w:val="00B91C79"/>
    <w:rsid w:val="00B94888"/>
    <w:rsid w:val="00B952F6"/>
    <w:rsid w:val="00B960DF"/>
    <w:rsid w:val="00B972B9"/>
    <w:rsid w:val="00BA039B"/>
    <w:rsid w:val="00BA1B35"/>
    <w:rsid w:val="00BA3ADF"/>
    <w:rsid w:val="00BA4982"/>
    <w:rsid w:val="00BA7E8C"/>
    <w:rsid w:val="00BB0496"/>
    <w:rsid w:val="00BB1FEA"/>
    <w:rsid w:val="00BB2205"/>
    <w:rsid w:val="00BB2214"/>
    <w:rsid w:val="00BB36CB"/>
    <w:rsid w:val="00BB37D1"/>
    <w:rsid w:val="00BB3A7C"/>
    <w:rsid w:val="00BB72FC"/>
    <w:rsid w:val="00BB7641"/>
    <w:rsid w:val="00BC0ADA"/>
    <w:rsid w:val="00BC0D91"/>
    <w:rsid w:val="00BC19AA"/>
    <w:rsid w:val="00BC2872"/>
    <w:rsid w:val="00BC4A6F"/>
    <w:rsid w:val="00BC6062"/>
    <w:rsid w:val="00BC6F89"/>
    <w:rsid w:val="00BC71F3"/>
    <w:rsid w:val="00BD05B8"/>
    <w:rsid w:val="00BD0F21"/>
    <w:rsid w:val="00BD126D"/>
    <w:rsid w:val="00BD12DD"/>
    <w:rsid w:val="00BD2281"/>
    <w:rsid w:val="00BD2A55"/>
    <w:rsid w:val="00BD793C"/>
    <w:rsid w:val="00BE1C9B"/>
    <w:rsid w:val="00BE48AE"/>
    <w:rsid w:val="00BE4ACF"/>
    <w:rsid w:val="00BE523E"/>
    <w:rsid w:val="00BE5469"/>
    <w:rsid w:val="00BE74AB"/>
    <w:rsid w:val="00BF0589"/>
    <w:rsid w:val="00BF09E4"/>
    <w:rsid w:val="00BF1545"/>
    <w:rsid w:val="00BF1C2A"/>
    <w:rsid w:val="00BF1C8B"/>
    <w:rsid w:val="00BF3365"/>
    <w:rsid w:val="00C01182"/>
    <w:rsid w:val="00C01FA5"/>
    <w:rsid w:val="00C037C3"/>
    <w:rsid w:val="00C0500D"/>
    <w:rsid w:val="00C071B9"/>
    <w:rsid w:val="00C1153A"/>
    <w:rsid w:val="00C12493"/>
    <w:rsid w:val="00C20CFE"/>
    <w:rsid w:val="00C21378"/>
    <w:rsid w:val="00C262BB"/>
    <w:rsid w:val="00C344B5"/>
    <w:rsid w:val="00C357A8"/>
    <w:rsid w:val="00C35B79"/>
    <w:rsid w:val="00C3728F"/>
    <w:rsid w:val="00C407D5"/>
    <w:rsid w:val="00C41020"/>
    <w:rsid w:val="00C454CF"/>
    <w:rsid w:val="00C454FA"/>
    <w:rsid w:val="00C45A86"/>
    <w:rsid w:val="00C464A6"/>
    <w:rsid w:val="00C46FD4"/>
    <w:rsid w:val="00C47F3B"/>
    <w:rsid w:val="00C539C8"/>
    <w:rsid w:val="00C558F5"/>
    <w:rsid w:val="00C55F32"/>
    <w:rsid w:val="00C624BF"/>
    <w:rsid w:val="00C63E2D"/>
    <w:rsid w:val="00C64199"/>
    <w:rsid w:val="00C65923"/>
    <w:rsid w:val="00C65EC7"/>
    <w:rsid w:val="00C66DA1"/>
    <w:rsid w:val="00C67138"/>
    <w:rsid w:val="00C6734F"/>
    <w:rsid w:val="00C7238C"/>
    <w:rsid w:val="00C73EF7"/>
    <w:rsid w:val="00C74D27"/>
    <w:rsid w:val="00C751DE"/>
    <w:rsid w:val="00C75F1C"/>
    <w:rsid w:val="00C764CE"/>
    <w:rsid w:val="00C76AAF"/>
    <w:rsid w:val="00C80E43"/>
    <w:rsid w:val="00C81C14"/>
    <w:rsid w:val="00C82DDC"/>
    <w:rsid w:val="00C8307B"/>
    <w:rsid w:val="00C83C10"/>
    <w:rsid w:val="00C868C9"/>
    <w:rsid w:val="00C8708D"/>
    <w:rsid w:val="00C90508"/>
    <w:rsid w:val="00C90812"/>
    <w:rsid w:val="00C91C05"/>
    <w:rsid w:val="00C95AC7"/>
    <w:rsid w:val="00CA064E"/>
    <w:rsid w:val="00CA193C"/>
    <w:rsid w:val="00CA2F81"/>
    <w:rsid w:val="00CA4009"/>
    <w:rsid w:val="00CA4269"/>
    <w:rsid w:val="00CA4313"/>
    <w:rsid w:val="00CA5CF0"/>
    <w:rsid w:val="00CA721D"/>
    <w:rsid w:val="00CA7A3C"/>
    <w:rsid w:val="00CB1163"/>
    <w:rsid w:val="00CB5F83"/>
    <w:rsid w:val="00CB683E"/>
    <w:rsid w:val="00CB7A1E"/>
    <w:rsid w:val="00CB7BA3"/>
    <w:rsid w:val="00CC1BAD"/>
    <w:rsid w:val="00CC243C"/>
    <w:rsid w:val="00CC2A30"/>
    <w:rsid w:val="00CC51F5"/>
    <w:rsid w:val="00CC745F"/>
    <w:rsid w:val="00CD0055"/>
    <w:rsid w:val="00CD27E2"/>
    <w:rsid w:val="00CD2ED3"/>
    <w:rsid w:val="00CD3DBC"/>
    <w:rsid w:val="00CD3FAE"/>
    <w:rsid w:val="00CD46A0"/>
    <w:rsid w:val="00CD5821"/>
    <w:rsid w:val="00CD68F5"/>
    <w:rsid w:val="00CD700A"/>
    <w:rsid w:val="00CD71D3"/>
    <w:rsid w:val="00CE05A9"/>
    <w:rsid w:val="00CE0A10"/>
    <w:rsid w:val="00CE149F"/>
    <w:rsid w:val="00CE1BC0"/>
    <w:rsid w:val="00CE1D21"/>
    <w:rsid w:val="00CE259F"/>
    <w:rsid w:val="00CE3C7D"/>
    <w:rsid w:val="00CE49A3"/>
    <w:rsid w:val="00CE4F59"/>
    <w:rsid w:val="00CE5DF2"/>
    <w:rsid w:val="00CE62E6"/>
    <w:rsid w:val="00CF15CD"/>
    <w:rsid w:val="00CF5EBB"/>
    <w:rsid w:val="00CF6003"/>
    <w:rsid w:val="00CF6124"/>
    <w:rsid w:val="00CF65A6"/>
    <w:rsid w:val="00CF6D86"/>
    <w:rsid w:val="00CF7163"/>
    <w:rsid w:val="00D00F38"/>
    <w:rsid w:val="00D01210"/>
    <w:rsid w:val="00D022B6"/>
    <w:rsid w:val="00D02C17"/>
    <w:rsid w:val="00D0314D"/>
    <w:rsid w:val="00D0369E"/>
    <w:rsid w:val="00D03782"/>
    <w:rsid w:val="00D03856"/>
    <w:rsid w:val="00D0390B"/>
    <w:rsid w:val="00D045DA"/>
    <w:rsid w:val="00D067EF"/>
    <w:rsid w:val="00D0799A"/>
    <w:rsid w:val="00D07D4C"/>
    <w:rsid w:val="00D10017"/>
    <w:rsid w:val="00D10493"/>
    <w:rsid w:val="00D10A52"/>
    <w:rsid w:val="00D123DB"/>
    <w:rsid w:val="00D12D1D"/>
    <w:rsid w:val="00D12FBD"/>
    <w:rsid w:val="00D13106"/>
    <w:rsid w:val="00D13E4F"/>
    <w:rsid w:val="00D1489C"/>
    <w:rsid w:val="00D17A7E"/>
    <w:rsid w:val="00D2072D"/>
    <w:rsid w:val="00D20F4F"/>
    <w:rsid w:val="00D2116C"/>
    <w:rsid w:val="00D2153B"/>
    <w:rsid w:val="00D21D82"/>
    <w:rsid w:val="00D22054"/>
    <w:rsid w:val="00D22695"/>
    <w:rsid w:val="00D23498"/>
    <w:rsid w:val="00D23EA7"/>
    <w:rsid w:val="00D249B7"/>
    <w:rsid w:val="00D2751B"/>
    <w:rsid w:val="00D2762F"/>
    <w:rsid w:val="00D302FF"/>
    <w:rsid w:val="00D30385"/>
    <w:rsid w:val="00D34E70"/>
    <w:rsid w:val="00D3548E"/>
    <w:rsid w:val="00D37049"/>
    <w:rsid w:val="00D37A43"/>
    <w:rsid w:val="00D40FC1"/>
    <w:rsid w:val="00D41535"/>
    <w:rsid w:val="00D458BD"/>
    <w:rsid w:val="00D472F7"/>
    <w:rsid w:val="00D47CE0"/>
    <w:rsid w:val="00D54506"/>
    <w:rsid w:val="00D57209"/>
    <w:rsid w:val="00D5749C"/>
    <w:rsid w:val="00D57896"/>
    <w:rsid w:val="00D6076F"/>
    <w:rsid w:val="00D60807"/>
    <w:rsid w:val="00D60837"/>
    <w:rsid w:val="00D6199A"/>
    <w:rsid w:val="00D62C2D"/>
    <w:rsid w:val="00D64F9F"/>
    <w:rsid w:val="00D65583"/>
    <w:rsid w:val="00D67A75"/>
    <w:rsid w:val="00D713F7"/>
    <w:rsid w:val="00D73CE2"/>
    <w:rsid w:val="00D740CE"/>
    <w:rsid w:val="00D776D4"/>
    <w:rsid w:val="00D80266"/>
    <w:rsid w:val="00D81659"/>
    <w:rsid w:val="00D8174D"/>
    <w:rsid w:val="00D850F7"/>
    <w:rsid w:val="00D86ACF"/>
    <w:rsid w:val="00D93A8C"/>
    <w:rsid w:val="00D93B62"/>
    <w:rsid w:val="00D94D74"/>
    <w:rsid w:val="00D95F4F"/>
    <w:rsid w:val="00D96749"/>
    <w:rsid w:val="00D96861"/>
    <w:rsid w:val="00D977D8"/>
    <w:rsid w:val="00DA27D5"/>
    <w:rsid w:val="00DA2903"/>
    <w:rsid w:val="00DA34E9"/>
    <w:rsid w:val="00DA4253"/>
    <w:rsid w:val="00DA502F"/>
    <w:rsid w:val="00DA7034"/>
    <w:rsid w:val="00DA7171"/>
    <w:rsid w:val="00DA7E71"/>
    <w:rsid w:val="00DB0822"/>
    <w:rsid w:val="00DB192B"/>
    <w:rsid w:val="00DB2047"/>
    <w:rsid w:val="00DB21E2"/>
    <w:rsid w:val="00DB248A"/>
    <w:rsid w:val="00DB623D"/>
    <w:rsid w:val="00DB6ABA"/>
    <w:rsid w:val="00DC1431"/>
    <w:rsid w:val="00DC1846"/>
    <w:rsid w:val="00DC397E"/>
    <w:rsid w:val="00DC408C"/>
    <w:rsid w:val="00DC4D0B"/>
    <w:rsid w:val="00DC5981"/>
    <w:rsid w:val="00DC7187"/>
    <w:rsid w:val="00DC76DD"/>
    <w:rsid w:val="00DD0D59"/>
    <w:rsid w:val="00DD38AC"/>
    <w:rsid w:val="00DD4186"/>
    <w:rsid w:val="00DD549A"/>
    <w:rsid w:val="00DD60DA"/>
    <w:rsid w:val="00DE0FBD"/>
    <w:rsid w:val="00DE35F5"/>
    <w:rsid w:val="00DE4539"/>
    <w:rsid w:val="00DE61BE"/>
    <w:rsid w:val="00DE6FC3"/>
    <w:rsid w:val="00DE7EDD"/>
    <w:rsid w:val="00DF0835"/>
    <w:rsid w:val="00DF22C3"/>
    <w:rsid w:val="00DF3FD0"/>
    <w:rsid w:val="00DF40A7"/>
    <w:rsid w:val="00DF4966"/>
    <w:rsid w:val="00DF648C"/>
    <w:rsid w:val="00DF6825"/>
    <w:rsid w:val="00DF697B"/>
    <w:rsid w:val="00DF712F"/>
    <w:rsid w:val="00E01D58"/>
    <w:rsid w:val="00E01F1E"/>
    <w:rsid w:val="00E05990"/>
    <w:rsid w:val="00E06566"/>
    <w:rsid w:val="00E07E0A"/>
    <w:rsid w:val="00E117E5"/>
    <w:rsid w:val="00E119D5"/>
    <w:rsid w:val="00E143F9"/>
    <w:rsid w:val="00E1481A"/>
    <w:rsid w:val="00E14A02"/>
    <w:rsid w:val="00E15B30"/>
    <w:rsid w:val="00E16CD5"/>
    <w:rsid w:val="00E1799B"/>
    <w:rsid w:val="00E21937"/>
    <w:rsid w:val="00E223FE"/>
    <w:rsid w:val="00E227CD"/>
    <w:rsid w:val="00E25D3D"/>
    <w:rsid w:val="00E27936"/>
    <w:rsid w:val="00E30C16"/>
    <w:rsid w:val="00E3131E"/>
    <w:rsid w:val="00E33AD3"/>
    <w:rsid w:val="00E33D88"/>
    <w:rsid w:val="00E33E03"/>
    <w:rsid w:val="00E3459F"/>
    <w:rsid w:val="00E35535"/>
    <w:rsid w:val="00E36050"/>
    <w:rsid w:val="00E37867"/>
    <w:rsid w:val="00E40CB8"/>
    <w:rsid w:val="00E42164"/>
    <w:rsid w:val="00E4306D"/>
    <w:rsid w:val="00E44303"/>
    <w:rsid w:val="00E443E5"/>
    <w:rsid w:val="00E45267"/>
    <w:rsid w:val="00E4599A"/>
    <w:rsid w:val="00E46D59"/>
    <w:rsid w:val="00E47B7D"/>
    <w:rsid w:val="00E50866"/>
    <w:rsid w:val="00E53516"/>
    <w:rsid w:val="00E53855"/>
    <w:rsid w:val="00E5431C"/>
    <w:rsid w:val="00E55D2A"/>
    <w:rsid w:val="00E55E7E"/>
    <w:rsid w:val="00E561E0"/>
    <w:rsid w:val="00E60DF5"/>
    <w:rsid w:val="00E61511"/>
    <w:rsid w:val="00E621AF"/>
    <w:rsid w:val="00E62471"/>
    <w:rsid w:val="00E63A89"/>
    <w:rsid w:val="00E6408C"/>
    <w:rsid w:val="00E6690C"/>
    <w:rsid w:val="00E66B2A"/>
    <w:rsid w:val="00E717A0"/>
    <w:rsid w:val="00E74A40"/>
    <w:rsid w:val="00E7553A"/>
    <w:rsid w:val="00E762C6"/>
    <w:rsid w:val="00E7760C"/>
    <w:rsid w:val="00E77CB5"/>
    <w:rsid w:val="00E808C4"/>
    <w:rsid w:val="00E80A35"/>
    <w:rsid w:val="00E82076"/>
    <w:rsid w:val="00E8257F"/>
    <w:rsid w:val="00E83947"/>
    <w:rsid w:val="00E83C43"/>
    <w:rsid w:val="00E847B4"/>
    <w:rsid w:val="00E858FE"/>
    <w:rsid w:val="00E8667F"/>
    <w:rsid w:val="00E8763B"/>
    <w:rsid w:val="00E876D0"/>
    <w:rsid w:val="00E87CED"/>
    <w:rsid w:val="00E91317"/>
    <w:rsid w:val="00E95492"/>
    <w:rsid w:val="00E958C6"/>
    <w:rsid w:val="00E96B28"/>
    <w:rsid w:val="00E97757"/>
    <w:rsid w:val="00E979E1"/>
    <w:rsid w:val="00E97B22"/>
    <w:rsid w:val="00EA0096"/>
    <w:rsid w:val="00EA1F7A"/>
    <w:rsid w:val="00EA357E"/>
    <w:rsid w:val="00EA371A"/>
    <w:rsid w:val="00EA3761"/>
    <w:rsid w:val="00EA6BBE"/>
    <w:rsid w:val="00EB0338"/>
    <w:rsid w:val="00EB2C17"/>
    <w:rsid w:val="00EB2E6B"/>
    <w:rsid w:val="00EB7B3B"/>
    <w:rsid w:val="00EB7CF8"/>
    <w:rsid w:val="00EC03ED"/>
    <w:rsid w:val="00EC0C2E"/>
    <w:rsid w:val="00EC2987"/>
    <w:rsid w:val="00EC3167"/>
    <w:rsid w:val="00ED001D"/>
    <w:rsid w:val="00ED02ED"/>
    <w:rsid w:val="00ED23BF"/>
    <w:rsid w:val="00ED254B"/>
    <w:rsid w:val="00ED2DAF"/>
    <w:rsid w:val="00ED4A99"/>
    <w:rsid w:val="00ED539A"/>
    <w:rsid w:val="00ED68A7"/>
    <w:rsid w:val="00ED73FA"/>
    <w:rsid w:val="00EE108B"/>
    <w:rsid w:val="00EE5ECC"/>
    <w:rsid w:val="00EE6DEF"/>
    <w:rsid w:val="00EF025D"/>
    <w:rsid w:val="00EF0D7C"/>
    <w:rsid w:val="00EF26E7"/>
    <w:rsid w:val="00EF2875"/>
    <w:rsid w:val="00EF2B00"/>
    <w:rsid w:val="00EF2E5B"/>
    <w:rsid w:val="00EF44FF"/>
    <w:rsid w:val="00EF483C"/>
    <w:rsid w:val="00F00E5A"/>
    <w:rsid w:val="00F04217"/>
    <w:rsid w:val="00F05730"/>
    <w:rsid w:val="00F05F17"/>
    <w:rsid w:val="00F10415"/>
    <w:rsid w:val="00F116AA"/>
    <w:rsid w:val="00F1300D"/>
    <w:rsid w:val="00F1323C"/>
    <w:rsid w:val="00F13254"/>
    <w:rsid w:val="00F1518E"/>
    <w:rsid w:val="00F154BF"/>
    <w:rsid w:val="00F15DE5"/>
    <w:rsid w:val="00F16764"/>
    <w:rsid w:val="00F179AC"/>
    <w:rsid w:val="00F17E2C"/>
    <w:rsid w:val="00F20B0A"/>
    <w:rsid w:val="00F236F3"/>
    <w:rsid w:val="00F23DC8"/>
    <w:rsid w:val="00F24C75"/>
    <w:rsid w:val="00F24E9C"/>
    <w:rsid w:val="00F2733E"/>
    <w:rsid w:val="00F32ABE"/>
    <w:rsid w:val="00F33F94"/>
    <w:rsid w:val="00F345A3"/>
    <w:rsid w:val="00F34655"/>
    <w:rsid w:val="00F34F7F"/>
    <w:rsid w:val="00F36962"/>
    <w:rsid w:val="00F36FA9"/>
    <w:rsid w:val="00F3736F"/>
    <w:rsid w:val="00F40801"/>
    <w:rsid w:val="00F40E01"/>
    <w:rsid w:val="00F42FAB"/>
    <w:rsid w:val="00F43140"/>
    <w:rsid w:val="00F43AA2"/>
    <w:rsid w:val="00F45D17"/>
    <w:rsid w:val="00F45D22"/>
    <w:rsid w:val="00F50184"/>
    <w:rsid w:val="00F50AF1"/>
    <w:rsid w:val="00F5201C"/>
    <w:rsid w:val="00F55402"/>
    <w:rsid w:val="00F5555D"/>
    <w:rsid w:val="00F56FA4"/>
    <w:rsid w:val="00F577A5"/>
    <w:rsid w:val="00F62F7B"/>
    <w:rsid w:val="00F6359D"/>
    <w:rsid w:val="00F70405"/>
    <w:rsid w:val="00F723C5"/>
    <w:rsid w:val="00F73667"/>
    <w:rsid w:val="00F73738"/>
    <w:rsid w:val="00F738F7"/>
    <w:rsid w:val="00F75036"/>
    <w:rsid w:val="00F75354"/>
    <w:rsid w:val="00F75872"/>
    <w:rsid w:val="00F80159"/>
    <w:rsid w:val="00F81791"/>
    <w:rsid w:val="00F8394C"/>
    <w:rsid w:val="00F84013"/>
    <w:rsid w:val="00F84FFE"/>
    <w:rsid w:val="00F86802"/>
    <w:rsid w:val="00F869A5"/>
    <w:rsid w:val="00F938FA"/>
    <w:rsid w:val="00F93A39"/>
    <w:rsid w:val="00F94002"/>
    <w:rsid w:val="00F9461A"/>
    <w:rsid w:val="00F9540D"/>
    <w:rsid w:val="00F95E54"/>
    <w:rsid w:val="00F96CD3"/>
    <w:rsid w:val="00F97851"/>
    <w:rsid w:val="00FA1E14"/>
    <w:rsid w:val="00FA2856"/>
    <w:rsid w:val="00FA39DE"/>
    <w:rsid w:val="00FA4649"/>
    <w:rsid w:val="00FA4F55"/>
    <w:rsid w:val="00FA56B0"/>
    <w:rsid w:val="00FB02F8"/>
    <w:rsid w:val="00FB25CC"/>
    <w:rsid w:val="00FB2FA2"/>
    <w:rsid w:val="00FB4291"/>
    <w:rsid w:val="00FB534B"/>
    <w:rsid w:val="00FB5580"/>
    <w:rsid w:val="00FB700E"/>
    <w:rsid w:val="00FC08E7"/>
    <w:rsid w:val="00FC1D92"/>
    <w:rsid w:val="00FC217E"/>
    <w:rsid w:val="00FC457B"/>
    <w:rsid w:val="00FC498F"/>
    <w:rsid w:val="00FC4A08"/>
    <w:rsid w:val="00FC52C8"/>
    <w:rsid w:val="00FC57C6"/>
    <w:rsid w:val="00FC6A1A"/>
    <w:rsid w:val="00FD13BB"/>
    <w:rsid w:val="00FD2396"/>
    <w:rsid w:val="00FD28BA"/>
    <w:rsid w:val="00FD3826"/>
    <w:rsid w:val="00FD425A"/>
    <w:rsid w:val="00FD4884"/>
    <w:rsid w:val="00FD58A6"/>
    <w:rsid w:val="00FD681C"/>
    <w:rsid w:val="00FD7B6A"/>
    <w:rsid w:val="00FE1026"/>
    <w:rsid w:val="00FE10FA"/>
    <w:rsid w:val="00FE3A00"/>
    <w:rsid w:val="00FE4485"/>
    <w:rsid w:val="00FE4B44"/>
    <w:rsid w:val="00FE4B6F"/>
    <w:rsid w:val="00FE6BC9"/>
    <w:rsid w:val="00FE6C6E"/>
    <w:rsid w:val="00FE77E0"/>
    <w:rsid w:val="00FF10A9"/>
    <w:rsid w:val="00FF2E57"/>
    <w:rsid w:val="00FF4762"/>
    <w:rsid w:val="00FF4934"/>
    <w:rsid w:val="00FF5655"/>
    <w:rsid w:val="00FF588F"/>
    <w:rsid w:val="00FF5988"/>
    <w:rsid w:val="00FF5A72"/>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68"/>
    <w:pPr>
      <w:spacing w:line="264" w:lineRule="auto"/>
      <w:jc w:val="both"/>
    </w:pPr>
    <w:rPr>
      <w:kern w:val="28"/>
      <w:sz w:val="24"/>
    </w:rPr>
  </w:style>
  <w:style w:type="paragraph" w:styleId="Heading1">
    <w:name w:val="heading 1"/>
    <w:basedOn w:val="Normal"/>
    <w:next w:val="Normal"/>
    <w:link w:val="Heading1Char"/>
    <w:autoRedefine/>
    <w:qFormat/>
    <w:rsid w:val="00AE2468"/>
    <w:pPr>
      <w:keepNext/>
      <w:spacing w:before="240" w:after="480"/>
      <w:outlineLvl w:val="0"/>
    </w:pPr>
    <w:rPr>
      <w:b/>
      <w:sz w:val="36"/>
    </w:rPr>
  </w:style>
  <w:style w:type="paragraph" w:styleId="Heading2">
    <w:name w:val="heading 2"/>
    <w:basedOn w:val="Normal"/>
    <w:next w:val="Normal"/>
    <w:link w:val="Heading2Char"/>
    <w:qFormat/>
    <w:rsid w:val="00AE2468"/>
    <w:pPr>
      <w:keepNext/>
      <w:outlineLvl w:val="1"/>
    </w:pPr>
    <w:rPr>
      <w:b/>
      <w:sz w:val="28"/>
      <w:lang w:val="en-US"/>
    </w:rPr>
  </w:style>
  <w:style w:type="paragraph" w:styleId="Heading3">
    <w:name w:val="heading 3"/>
    <w:basedOn w:val="Normal"/>
    <w:next w:val="Normal"/>
    <w:link w:val="Heading3Char"/>
    <w:qFormat/>
    <w:rsid w:val="00AE2468"/>
    <w:pPr>
      <w:keepNext/>
      <w:spacing w:before="240" w:after="240"/>
      <w:ind w:left="567"/>
      <w:outlineLvl w:val="2"/>
    </w:pPr>
    <w:rPr>
      <w:b/>
      <w:lang w:val="en-US"/>
    </w:rPr>
  </w:style>
  <w:style w:type="character" w:default="1" w:styleId="DefaultParagraphFont">
    <w:name w:val="Default Paragraph Font"/>
    <w:semiHidden/>
    <w:rsid w:val="00AE24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E2468"/>
  </w:style>
  <w:style w:type="paragraph" w:styleId="Header">
    <w:name w:val="header"/>
    <w:basedOn w:val="Normal"/>
    <w:link w:val="HeaderChar"/>
    <w:rsid w:val="00AE2468"/>
    <w:pPr>
      <w:tabs>
        <w:tab w:val="center" w:pos="4320"/>
        <w:tab w:val="right" w:pos="8640"/>
      </w:tabs>
      <w:spacing w:after="240"/>
    </w:pPr>
    <w:rPr>
      <w:lang w:val="en-US"/>
    </w:rPr>
  </w:style>
  <w:style w:type="paragraph" w:styleId="Footer">
    <w:name w:val="footer"/>
    <w:basedOn w:val="Normal"/>
    <w:link w:val="FooterChar"/>
    <w:rsid w:val="00AE2468"/>
    <w:pPr>
      <w:tabs>
        <w:tab w:val="center" w:pos="4320"/>
        <w:tab w:val="right" w:pos="8640"/>
      </w:tabs>
      <w:spacing w:after="240"/>
    </w:pPr>
    <w:rPr>
      <w:lang w:val="en-US"/>
    </w:rPr>
  </w:style>
  <w:style w:type="character" w:styleId="PageNumber">
    <w:name w:val="page number"/>
    <w:basedOn w:val="DefaultParagraphFont"/>
    <w:rsid w:val="00AE2468"/>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AE2468"/>
    <w:pPr>
      <w:ind w:left="567" w:right="709"/>
    </w:pPr>
    <w:rPr>
      <w:sz w:val="22"/>
      <w:lang w:val="en-US"/>
    </w:rPr>
  </w:style>
  <w:style w:type="paragraph" w:customStyle="1" w:styleId="Indent2">
    <w:name w:val="Indent2"/>
    <w:basedOn w:val="Normal"/>
    <w:rsid w:val="00AE2468"/>
    <w:pPr>
      <w:ind w:left="851" w:right="1134"/>
    </w:pPr>
    <w:rPr>
      <w:sz w:val="22"/>
      <w:lang w:val="en-US"/>
    </w:rPr>
  </w:style>
  <w:style w:type="paragraph" w:customStyle="1" w:styleId="H1">
    <w:name w:val="H1"/>
    <w:basedOn w:val="Normal"/>
    <w:link w:val="H1Char"/>
    <w:rsid w:val="00AE2468"/>
    <w:pPr>
      <w:spacing w:after="480"/>
    </w:pPr>
    <w:rPr>
      <w:b/>
      <w:kern w:val="0"/>
      <w:sz w:val="36"/>
    </w:rPr>
  </w:style>
  <w:style w:type="paragraph" w:customStyle="1" w:styleId="H2">
    <w:name w:val="H2"/>
    <w:basedOn w:val="Normal"/>
    <w:link w:val="H2Char"/>
    <w:rsid w:val="00AE2468"/>
    <w:rPr>
      <w:b/>
      <w:kern w:val="0"/>
      <w:sz w:val="28"/>
    </w:rPr>
  </w:style>
  <w:style w:type="paragraph" w:customStyle="1" w:styleId="Bull">
    <w:name w:val="Bull"/>
    <w:basedOn w:val="Normal"/>
    <w:rsid w:val="00AE2468"/>
    <w:pPr>
      <w:numPr>
        <w:numId w:val="1"/>
      </w:numPr>
    </w:pPr>
    <w:rPr>
      <w:kern w:val="0"/>
    </w:rPr>
  </w:style>
  <w:style w:type="character" w:customStyle="1" w:styleId="H2Char">
    <w:name w:val="H2 Char"/>
    <w:basedOn w:val="DefaultParagraphFont"/>
    <w:link w:val="H2"/>
    <w:rsid w:val="00AE2468"/>
    <w:rPr>
      <w:b/>
      <w:sz w:val="28"/>
    </w:rPr>
  </w:style>
  <w:style w:type="character" w:customStyle="1" w:styleId="H1Char">
    <w:name w:val="H1 Char"/>
    <w:basedOn w:val="DefaultParagraphFont"/>
    <w:link w:val="H1"/>
    <w:rsid w:val="00AE2468"/>
    <w:rPr>
      <w:b/>
      <w:sz w:val="36"/>
    </w:rPr>
  </w:style>
  <w:style w:type="paragraph" w:customStyle="1" w:styleId="TOCBullet">
    <w:name w:val="TOCBullet"/>
    <w:basedOn w:val="Normal"/>
    <w:rsid w:val="00AE2468"/>
  </w:style>
  <w:style w:type="paragraph" w:styleId="BodyText">
    <w:name w:val="Body Text"/>
    <w:basedOn w:val="Normal"/>
    <w:link w:val="BodyTextChar"/>
    <w:rsid w:val="00AE2468"/>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AE2468"/>
    <w:pPr>
      <w:tabs>
        <w:tab w:val="right" w:pos="8363"/>
      </w:tabs>
      <w:spacing w:line="240" w:lineRule="auto"/>
      <w:ind w:left="1984" w:hanging="425"/>
      <w:jc w:val="left"/>
    </w:pPr>
    <w:rPr>
      <w:kern w:val="0"/>
    </w:rPr>
  </w:style>
  <w:style w:type="paragraph" w:customStyle="1" w:styleId="B1">
    <w:name w:val="B1"/>
    <w:basedOn w:val="Normal"/>
    <w:link w:val="B1Char"/>
    <w:rsid w:val="00AE2468"/>
    <w:pPr>
      <w:numPr>
        <w:numId w:val="2"/>
      </w:numPr>
      <w:spacing w:after="240"/>
    </w:pPr>
  </w:style>
  <w:style w:type="paragraph" w:customStyle="1" w:styleId="B2">
    <w:name w:val="B2"/>
    <w:basedOn w:val="B1"/>
    <w:rsid w:val="00AE2468"/>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aliases w:val="a"/>
    <w:basedOn w:val="Normal"/>
    <w:link w:val="paragraphChar0"/>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 w:type="character" w:styleId="FollowedHyperlink">
    <w:name w:val="FollowedHyperlink"/>
    <w:basedOn w:val="DefaultParagraphFont"/>
    <w:uiPriority w:val="99"/>
    <w:semiHidden/>
    <w:unhideWhenUsed/>
    <w:rsid w:val="00045B52"/>
    <w:rPr>
      <w:color w:val="800080" w:themeColor="followedHyperlink"/>
      <w:u w:val="single"/>
    </w:rPr>
  </w:style>
  <w:style w:type="paragraph" w:styleId="NoSpacing">
    <w:name w:val="No Spacing"/>
    <w:uiPriority w:val="1"/>
    <w:qFormat/>
    <w:rsid w:val="008F615B"/>
    <w:pPr>
      <w:widowControl w:val="0"/>
    </w:pPr>
    <w:rPr>
      <w:rFonts w:asciiTheme="minorHAnsi" w:eastAsiaTheme="minorHAnsi" w:hAnsiTheme="minorHAnsi" w:cstheme="minorBidi"/>
      <w:sz w:val="22"/>
      <w:szCs w:val="22"/>
      <w:lang w:val="en-US" w:eastAsia="en-US"/>
    </w:rPr>
  </w:style>
  <w:style w:type="paragraph" w:customStyle="1" w:styleId="subsection">
    <w:name w:val="subsection"/>
    <w:aliases w:val="ss"/>
    <w:basedOn w:val="Normal"/>
    <w:link w:val="subsectionChar"/>
    <w:rsid w:val="00B846B3"/>
    <w:pPr>
      <w:tabs>
        <w:tab w:val="right" w:pos="1021"/>
      </w:tabs>
      <w:spacing w:before="180" w:line="240" w:lineRule="auto"/>
      <w:ind w:left="1134" w:hanging="1134"/>
      <w:jc w:val="left"/>
    </w:pPr>
    <w:rPr>
      <w:kern w:val="0"/>
      <w:sz w:val="22"/>
    </w:rPr>
  </w:style>
  <w:style w:type="paragraph" w:customStyle="1" w:styleId="paragraphsub">
    <w:name w:val="paragraph(sub)"/>
    <w:aliases w:val="aa"/>
    <w:basedOn w:val="Normal"/>
    <w:rsid w:val="00B846B3"/>
    <w:pPr>
      <w:tabs>
        <w:tab w:val="right" w:pos="1985"/>
      </w:tabs>
      <w:spacing w:before="40" w:line="240" w:lineRule="auto"/>
      <w:ind w:left="2098" w:hanging="2098"/>
      <w:jc w:val="left"/>
    </w:pPr>
    <w:rPr>
      <w:kern w:val="0"/>
      <w:sz w:val="22"/>
    </w:rPr>
  </w:style>
  <w:style w:type="paragraph" w:customStyle="1" w:styleId="BodyNum">
    <w:name w:val="BodyNum"/>
    <w:aliases w:val="b1"/>
    <w:basedOn w:val="Normal"/>
    <w:link w:val="BodyNumChar"/>
    <w:rsid w:val="00B846B3"/>
    <w:pPr>
      <w:numPr>
        <w:numId w:val="5"/>
      </w:numPr>
      <w:spacing w:before="240" w:line="240" w:lineRule="auto"/>
      <w:jc w:val="left"/>
    </w:pPr>
    <w:rPr>
      <w:kern w:val="0"/>
    </w:rPr>
  </w:style>
  <w:style w:type="paragraph" w:customStyle="1" w:styleId="BodyPara">
    <w:name w:val="BodyPara"/>
    <w:aliases w:val="ba"/>
    <w:basedOn w:val="Normal"/>
    <w:rsid w:val="00B846B3"/>
    <w:pPr>
      <w:numPr>
        <w:ilvl w:val="1"/>
        <w:numId w:val="5"/>
      </w:numPr>
      <w:spacing w:before="240" w:line="240" w:lineRule="auto"/>
      <w:jc w:val="left"/>
    </w:pPr>
    <w:rPr>
      <w:kern w:val="0"/>
    </w:rPr>
  </w:style>
  <w:style w:type="paragraph" w:customStyle="1" w:styleId="BodyParaBullet">
    <w:name w:val="BodyParaBullet"/>
    <w:aliases w:val="bpb"/>
    <w:basedOn w:val="Normal"/>
    <w:rsid w:val="00B846B3"/>
    <w:pPr>
      <w:numPr>
        <w:ilvl w:val="2"/>
        <w:numId w:val="5"/>
      </w:numPr>
      <w:tabs>
        <w:tab w:val="left" w:pos="2160"/>
      </w:tabs>
      <w:spacing w:before="240" w:line="240" w:lineRule="auto"/>
      <w:jc w:val="left"/>
    </w:pPr>
    <w:rPr>
      <w:kern w:val="0"/>
    </w:rPr>
  </w:style>
  <w:style w:type="paragraph" w:customStyle="1" w:styleId="BodySubPara">
    <w:name w:val="BodySubPara"/>
    <w:aliases w:val="bi"/>
    <w:basedOn w:val="Normal"/>
    <w:rsid w:val="00B846B3"/>
    <w:pPr>
      <w:numPr>
        <w:ilvl w:val="3"/>
        <w:numId w:val="5"/>
      </w:numPr>
      <w:spacing w:before="240" w:line="240" w:lineRule="auto"/>
      <w:jc w:val="left"/>
    </w:pPr>
    <w:rPr>
      <w:kern w:val="0"/>
    </w:rPr>
  </w:style>
  <w:style w:type="character" w:customStyle="1" w:styleId="BodyNumChar">
    <w:name w:val="BodyNum Char"/>
    <w:aliases w:val="b1 Char"/>
    <w:basedOn w:val="DefaultParagraphFont"/>
    <w:link w:val="BodyNum"/>
    <w:locked/>
    <w:rsid w:val="00B846B3"/>
    <w:rPr>
      <w:sz w:val="24"/>
    </w:rPr>
  </w:style>
  <w:style w:type="character" w:customStyle="1" w:styleId="subsectionChar">
    <w:name w:val="subsection Char"/>
    <w:aliases w:val="ss Char"/>
    <w:basedOn w:val="DefaultParagraphFont"/>
    <w:link w:val="subsection"/>
    <w:locked/>
    <w:rsid w:val="00B846B3"/>
    <w:rPr>
      <w:sz w:val="22"/>
    </w:rPr>
  </w:style>
  <w:style w:type="character" w:customStyle="1" w:styleId="paragraphChar0">
    <w:name w:val="paragraph Char"/>
    <w:aliases w:val="a Char"/>
    <w:basedOn w:val="DefaultParagraphFont"/>
    <w:link w:val="paragraph0"/>
    <w:locked/>
    <w:rsid w:val="00B846B3"/>
    <w:rPr>
      <w:sz w:val="24"/>
      <w:szCs w:val="24"/>
    </w:rPr>
  </w:style>
  <w:style w:type="numbering" w:customStyle="1" w:styleId="OPCBodyList">
    <w:name w:val="OPCBodyList"/>
    <w:rsid w:val="00B846B3"/>
    <w:pPr>
      <w:numPr>
        <w:numId w:val="5"/>
      </w:numPr>
    </w:pPr>
  </w:style>
  <w:style w:type="paragraph" w:styleId="CommentText">
    <w:name w:val="annotation text"/>
    <w:basedOn w:val="Normal"/>
    <w:link w:val="CommentTextChar"/>
    <w:uiPriority w:val="99"/>
    <w:rsid w:val="002E161D"/>
    <w:pPr>
      <w:spacing w:line="240" w:lineRule="auto"/>
      <w:jc w:val="left"/>
    </w:pPr>
    <w:rPr>
      <w:kern w:val="0"/>
      <w:sz w:val="20"/>
    </w:rPr>
  </w:style>
  <w:style w:type="character" w:customStyle="1" w:styleId="CommentTextChar">
    <w:name w:val="Comment Text Char"/>
    <w:basedOn w:val="DefaultParagraphFont"/>
    <w:link w:val="CommentText"/>
    <w:uiPriority w:val="99"/>
    <w:rsid w:val="002E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OPCBody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11328134">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544055553">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5EC3F-ADC7-41F3-B9F2-9EA4E4CD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15679</TotalTime>
  <Pages>14</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1077</cp:revision>
  <cp:lastPrinted>2015-08-10T06:27:00Z</cp:lastPrinted>
  <dcterms:created xsi:type="dcterms:W3CDTF">2010-02-01T03:54:00Z</dcterms:created>
  <dcterms:modified xsi:type="dcterms:W3CDTF">2015-08-19T02:41:00Z</dcterms:modified>
</cp:coreProperties>
</file>