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bookmarkStart w:id="0" w:name="_GoBack"/>
      <w:bookmarkEnd w:id="0"/>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2641EF">
        <w:rPr>
          <w:b/>
          <w:sz w:val="48"/>
        </w:rPr>
        <w:t>4</w:t>
      </w:r>
      <w:r w:rsidR="003C5934">
        <w:rPr>
          <w:b/>
          <w:sz w:val="48"/>
        </w:rPr>
        <w:t xml:space="preserve"> of 201</w:t>
      </w:r>
      <w:r w:rsidR="006468C1">
        <w:rPr>
          <w:b/>
          <w:sz w:val="48"/>
        </w:rPr>
        <w:t>6</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2641EF">
      <w:pPr>
        <w:spacing w:line="240" w:lineRule="auto"/>
        <w:jc w:val="center"/>
        <w:rPr>
          <w:b/>
          <w:sz w:val="32"/>
        </w:rPr>
      </w:pPr>
      <w:r>
        <w:rPr>
          <w:b/>
          <w:sz w:val="32"/>
        </w:rPr>
        <w:t>16 March</w:t>
      </w:r>
      <w:r w:rsidR="006468C1">
        <w:rPr>
          <w:b/>
          <w:sz w:val="32"/>
        </w:rPr>
        <w:t xml:space="preserve"> 2016</w:t>
      </w:r>
    </w:p>
    <w:p w:rsidR="00104D9B" w:rsidRDefault="00104D9B">
      <w:pPr>
        <w:spacing w:line="240" w:lineRule="auto"/>
        <w:jc w:val="center"/>
        <w:rPr>
          <w:b/>
          <w:sz w:val="32"/>
        </w:rPr>
      </w:pPr>
    </w:p>
    <w:p w:rsidR="00A523D1" w:rsidRDefault="00A523D1">
      <w:pPr>
        <w:spacing w:line="240" w:lineRule="auto"/>
        <w:jc w:val="center"/>
        <w:rPr>
          <w:b/>
          <w:sz w:val="32"/>
        </w:rPr>
      </w:pPr>
    </w:p>
    <w:p w:rsidR="00104D9B" w:rsidRDefault="00104D9B" w:rsidP="00A523D1">
      <w:pPr>
        <w:spacing w:after="120" w:line="240" w:lineRule="auto"/>
        <w:jc w:val="center"/>
        <w:rPr>
          <w:b/>
        </w:rPr>
      </w:pPr>
      <w:r>
        <w:rPr>
          <w:b/>
        </w:rPr>
        <w:t>ISSN 1329-668X</w:t>
      </w:r>
      <w:r w:rsidR="00A523D1">
        <w:rPr>
          <w:b/>
        </w:rPr>
        <w:t xml:space="preserve"> (Print)</w:t>
      </w:r>
    </w:p>
    <w:p w:rsidR="00A523D1" w:rsidRDefault="00A523D1">
      <w:pPr>
        <w:spacing w:line="240" w:lineRule="auto"/>
        <w:jc w:val="center"/>
        <w:rPr>
          <w:b/>
        </w:rPr>
      </w:pPr>
      <w:r>
        <w:rPr>
          <w:b/>
        </w:rPr>
        <w:t>ISSN 2204-4000 (Online)</w:t>
      </w:r>
    </w:p>
    <w:p w:rsidR="00A523D1" w:rsidRDefault="00A523D1">
      <w:pPr>
        <w:spacing w:line="240" w:lineRule="auto"/>
        <w:jc w:val="center"/>
        <w:rPr>
          <w:b/>
        </w:rPr>
      </w:pPr>
    </w:p>
    <w:p w:rsidR="007469BF" w:rsidRDefault="007469BF" w:rsidP="0076328C">
      <w:pPr>
        <w:spacing w:after="240" w:line="240" w:lineRule="auto"/>
      </w:pPr>
    </w:p>
    <w:p w:rsidR="00BA0B9F" w:rsidRDefault="00BA0B9F" w:rsidP="0076328C">
      <w:pPr>
        <w:spacing w:after="240" w:line="240" w:lineRule="auto"/>
      </w:pPr>
    </w:p>
    <w:p w:rsidR="00BA0B9F" w:rsidRDefault="00BA0B9F" w:rsidP="0076328C">
      <w:pPr>
        <w:spacing w:after="240" w:line="240" w:lineRule="auto"/>
        <w:sectPr w:rsidR="00BA0B9F" w:rsidSect="0091482F">
          <w:footerReference w:type="default" r:id="rId8"/>
          <w:pgSz w:w="11906" w:h="16838"/>
          <w:pgMar w:top="1701" w:right="1701" w:bottom="1701" w:left="1843" w:header="720" w:footer="720" w:gutter="170"/>
          <w:pgNumType w:start="5"/>
          <w:cols w:space="720"/>
          <w:docGrid w:linePitch="354"/>
        </w:sectPr>
      </w:pPr>
    </w:p>
    <w:p w:rsidR="00BA0B9F" w:rsidRDefault="00BA0B9F" w:rsidP="00BA0B9F">
      <w:pPr>
        <w:spacing w:before="240" w:after="120" w:line="240" w:lineRule="auto"/>
        <w:jc w:val="center"/>
        <w:rPr>
          <w:b/>
          <w:sz w:val="32"/>
        </w:rPr>
      </w:pPr>
    </w:p>
    <w:p w:rsidR="00BA0B9F" w:rsidRDefault="00BA0B9F" w:rsidP="00BA0B9F">
      <w:pPr>
        <w:spacing w:before="240" w:after="120" w:line="240" w:lineRule="auto"/>
        <w:jc w:val="center"/>
        <w:rPr>
          <w:b/>
          <w:sz w:val="32"/>
        </w:rPr>
      </w:pPr>
      <w:r>
        <w:rPr>
          <w:b/>
          <w:sz w:val="32"/>
        </w:rPr>
        <w:t>Members of the Committee</w:t>
      </w:r>
    </w:p>
    <w:p w:rsidR="00BA0B9F" w:rsidRDefault="00BA0B9F" w:rsidP="00BA0B9F">
      <w:pPr>
        <w:jc w:val="center"/>
      </w:pPr>
    </w:p>
    <w:p w:rsidR="00BA0B9F" w:rsidRDefault="00BA0B9F" w:rsidP="00BA0B9F">
      <w:pPr>
        <w:jc w:val="center"/>
      </w:pPr>
    </w:p>
    <w:p w:rsidR="00BA0B9F" w:rsidRDefault="00BA0B9F" w:rsidP="00BA0B9F">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BA0B9F" w:rsidTr="00A36D8E">
        <w:tc>
          <w:tcPr>
            <w:tcW w:w="4786" w:type="dxa"/>
          </w:tcPr>
          <w:p w:rsidR="00BA0B9F" w:rsidRDefault="00BA0B9F" w:rsidP="00A36D8E">
            <w:pPr>
              <w:spacing w:after="60"/>
              <w:jc w:val="left"/>
            </w:pPr>
            <w:r w:rsidRPr="00457763">
              <w:t xml:space="preserve">Senator </w:t>
            </w:r>
            <w:r>
              <w:t>Helen Polley</w:t>
            </w:r>
            <w:r w:rsidRPr="00457763">
              <w:t xml:space="preserve"> (Chair)</w:t>
            </w:r>
          </w:p>
        </w:tc>
        <w:tc>
          <w:tcPr>
            <w:tcW w:w="3827" w:type="dxa"/>
          </w:tcPr>
          <w:p w:rsidR="00BA0B9F" w:rsidRDefault="00BA0B9F" w:rsidP="00A36D8E">
            <w:pPr>
              <w:spacing w:after="60"/>
              <w:jc w:val="left"/>
            </w:pPr>
            <w:r>
              <w:t>ALP, Tasmania</w:t>
            </w:r>
          </w:p>
        </w:tc>
      </w:tr>
      <w:tr w:rsidR="00BA0B9F" w:rsidTr="00A36D8E">
        <w:tc>
          <w:tcPr>
            <w:tcW w:w="4786" w:type="dxa"/>
          </w:tcPr>
          <w:p w:rsidR="00BA0B9F" w:rsidRPr="00457763" w:rsidRDefault="00BA0B9F" w:rsidP="00A36D8E">
            <w:pPr>
              <w:spacing w:after="60"/>
              <w:jc w:val="left"/>
            </w:pPr>
            <w:r>
              <w:t>Senator John Williams (Deputy Chair)</w:t>
            </w:r>
          </w:p>
        </w:tc>
        <w:tc>
          <w:tcPr>
            <w:tcW w:w="3827" w:type="dxa"/>
          </w:tcPr>
          <w:p w:rsidR="00BA0B9F" w:rsidRDefault="00BA0B9F" w:rsidP="00A36D8E">
            <w:pPr>
              <w:spacing w:after="60"/>
              <w:jc w:val="left"/>
            </w:pPr>
            <w:r>
              <w:t>NATS, New South Wales</w:t>
            </w:r>
          </w:p>
        </w:tc>
      </w:tr>
      <w:tr w:rsidR="00BA0B9F" w:rsidTr="00A36D8E">
        <w:tc>
          <w:tcPr>
            <w:tcW w:w="4786" w:type="dxa"/>
          </w:tcPr>
          <w:p w:rsidR="00BA0B9F" w:rsidRPr="00457763" w:rsidRDefault="00BA0B9F" w:rsidP="00A36D8E">
            <w:pPr>
              <w:spacing w:after="60"/>
              <w:jc w:val="left"/>
            </w:pPr>
            <w:r w:rsidRPr="00457763">
              <w:t xml:space="preserve">Senator </w:t>
            </w:r>
            <w:r>
              <w:t>Cory Bernardi</w:t>
            </w:r>
          </w:p>
        </w:tc>
        <w:tc>
          <w:tcPr>
            <w:tcW w:w="3827" w:type="dxa"/>
          </w:tcPr>
          <w:p w:rsidR="00BA0B9F" w:rsidRDefault="00BA0B9F" w:rsidP="00A36D8E">
            <w:pPr>
              <w:spacing w:after="60"/>
              <w:jc w:val="left"/>
            </w:pPr>
            <w:r>
              <w:t>LP, South Australia</w:t>
            </w:r>
          </w:p>
        </w:tc>
      </w:tr>
      <w:tr w:rsidR="00BA0B9F" w:rsidTr="00A36D8E">
        <w:tc>
          <w:tcPr>
            <w:tcW w:w="4786" w:type="dxa"/>
          </w:tcPr>
          <w:p w:rsidR="00BA0B9F" w:rsidRPr="00457763" w:rsidRDefault="00BA0B9F" w:rsidP="00A36D8E">
            <w:pPr>
              <w:spacing w:after="60"/>
              <w:jc w:val="left"/>
            </w:pPr>
            <w:r>
              <w:t>Senator the Hon Bill Heffernan</w:t>
            </w:r>
          </w:p>
        </w:tc>
        <w:tc>
          <w:tcPr>
            <w:tcW w:w="3827" w:type="dxa"/>
          </w:tcPr>
          <w:p w:rsidR="00BA0B9F" w:rsidRDefault="00BA0B9F" w:rsidP="00A36D8E">
            <w:pPr>
              <w:spacing w:after="60"/>
              <w:jc w:val="left"/>
            </w:pPr>
            <w:r>
              <w:t>LP, New South Wales</w:t>
            </w:r>
          </w:p>
        </w:tc>
      </w:tr>
      <w:tr w:rsidR="00BA0B9F" w:rsidTr="00A36D8E">
        <w:tc>
          <w:tcPr>
            <w:tcW w:w="4786" w:type="dxa"/>
          </w:tcPr>
          <w:p w:rsidR="00BA0B9F" w:rsidRDefault="00BA0B9F" w:rsidP="00A36D8E">
            <w:pPr>
              <w:spacing w:after="60"/>
              <w:jc w:val="left"/>
            </w:pPr>
            <w:r>
              <w:t>Senator the Hon Joseph Ludwig</w:t>
            </w:r>
          </w:p>
        </w:tc>
        <w:tc>
          <w:tcPr>
            <w:tcW w:w="3827" w:type="dxa"/>
          </w:tcPr>
          <w:p w:rsidR="00BA0B9F" w:rsidRDefault="00BA0B9F" w:rsidP="00A36D8E">
            <w:pPr>
              <w:spacing w:after="60"/>
              <w:jc w:val="left"/>
            </w:pPr>
            <w:r>
              <w:t>ALP, Queensland</w:t>
            </w:r>
          </w:p>
        </w:tc>
      </w:tr>
      <w:tr w:rsidR="00BA0B9F" w:rsidTr="00A36D8E">
        <w:tc>
          <w:tcPr>
            <w:tcW w:w="4786" w:type="dxa"/>
          </w:tcPr>
          <w:p w:rsidR="00BA0B9F" w:rsidRPr="00457763" w:rsidRDefault="00BA0B9F" w:rsidP="00A36D8E">
            <w:pPr>
              <w:spacing w:after="60"/>
              <w:jc w:val="left"/>
            </w:pPr>
            <w:r w:rsidRPr="00457763">
              <w:t xml:space="preserve">Senator </w:t>
            </w:r>
            <w:r>
              <w:t>Rachel Siewert</w:t>
            </w:r>
          </w:p>
        </w:tc>
        <w:tc>
          <w:tcPr>
            <w:tcW w:w="3827" w:type="dxa"/>
          </w:tcPr>
          <w:p w:rsidR="00BA0B9F" w:rsidRDefault="00BA0B9F" w:rsidP="00A36D8E">
            <w:pPr>
              <w:spacing w:after="60"/>
              <w:jc w:val="left"/>
            </w:pPr>
            <w:r>
              <w:t>AG, Western Australia</w:t>
            </w:r>
          </w:p>
        </w:tc>
      </w:tr>
    </w:tbl>
    <w:p w:rsidR="00BA0B9F" w:rsidRDefault="00BA0B9F" w:rsidP="00BA0B9F">
      <w:pPr>
        <w:jc w:val="left"/>
      </w:pPr>
    </w:p>
    <w:p w:rsidR="00BA0B9F" w:rsidRDefault="00BA0B9F" w:rsidP="00BA0B9F">
      <w:pPr>
        <w:jc w:val="left"/>
      </w:pPr>
    </w:p>
    <w:p w:rsidR="00BA0B9F" w:rsidRDefault="00BA0B9F" w:rsidP="00BA0B9F">
      <w:pPr>
        <w:jc w:val="left"/>
      </w:pPr>
    </w:p>
    <w:p w:rsidR="00BA0B9F" w:rsidRPr="00FA436C" w:rsidRDefault="00BA0B9F" w:rsidP="00BA0B9F">
      <w:pPr>
        <w:spacing w:after="120"/>
        <w:jc w:val="left"/>
        <w:rPr>
          <w:b/>
        </w:rPr>
      </w:pPr>
      <w:r>
        <w:rPr>
          <w:b/>
        </w:rPr>
        <w:t>Secretariat</w:t>
      </w:r>
    </w:p>
    <w:p w:rsidR="00BA0B9F" w:rsidRDefault="00BA0B9F" w:rsidP="00BA0B9F">
      <w:pPr>
        <w:spacing w:after="60"/>
        <w:jc w:val="left"/>
      </w:pPr>
      <w:r>
        <w:t>Ms Toni Dawes, Secretary</w:t>
      </w:r>
    </w:p>
    <w:p w:rsidR="00BA0B9F" w:rsidRDefault="00BA0B9F" w:rsidP="00BA0B9F">
      <w:pPr>
        <w:spacing w:after="60"/>
        <w:jc w:val="left"/>
      </w:pPr>
      <w:r>
        <w:t>Mr Glenn Ryall, Principal Research Officer</w:t>
      </w:r>
    </w:p>
    <w:p w:rsidR="00BA0B9F" w:rsidRDefault="00BA0B9F" w:rsidP="00BA0B9F">
      <w:pPr>
        <w:jc w:val="left"/>
      </w:pPr>
      <w:r>
        <w:t>Ms Ingrid Zappe, Legislative Research Officer</w:t>
      </w:r>
    </w:p>
    <w:p w:rsidR="00BA0B9F" w:rsidRDefault="00BA0B9F" w:rsidP="00BA0B9F">
      <w:pPr>
        <w:jc w:val="left"/>
      </w:pPr>
    </w:p>
    <w:p w:rsidR="00BA0B9F" w:rsidRDefault="00BA0B9F" w:rsidP="00BA0B9F">
      <w:pPr>
        <w:jc w:val="left"/>
      </w:pPr>
    </w:p>
    <w:p w:rsidR="00BA0B9F" w:rsidRDefault="00BA0B9F" w:rsidP="00BA0B9F">
      <w:pPr>
        <w:jc w:val="left"/>
      </w:pPr>
    </w:p>
    <w:p w:rsidR="00BA0B9F" w:rsidRPr="00FA436C" w:rsidRDefault="00BA0B9F" w:rsidP="00BA0B9F">
      <w:pPr>
        <w:spacing w:after="120"/>
        <w:jc w:val="left"/>
        <w:rPr>
          <w:b/>
        </w:rPr>
      </w:pPr>
      <w:r>
        <w:rPr>
          <w:b/>
        </w:rPr>
        <w:t>Committee legal adviser</w:t>
      </w:r>
    </w:p>
    <w:p w:rsidR="00BA0B9F" w:rsidRDefault="00BA0B9F" w:rsidP="00BA0B9F">
      <w:pPr>
        <w:jc w:val="left"/>
      </w:pPr>
      <w:r>
        <w:t>Associate Professor Leighton McDonald</w:t>
      </w:r>
    </w:p>
    <w:p w:rsidR="00BA0B9F" w:rsidRDefault="00BA0B9F" w:rsidP="00BA0B9F">
      <w:pPr>
        <w:jc w:val="left"/>
      </w:pPr>
    </w:p>
    <w:p w:rsidR="00BA0B9F" w:rsidRDefault="00BA0B9F" w:rsidP="00BA0B9F">
      <w:pPr>
        <w:jc w:val="left"/>
      </w:pPr>
    </w:p>
    <w:p w:rsidR="00BA0B9F" w:rsidRDefault="00BA0B9F" w:rsidP="00BA0B9F">
      <w:pPr>
        <w:jc w:val="left"/>
      </w:pPr>
    </w:p>
    <w:p w:rsidR="00BA0B9F" w:rsidRPr="00FA436C" w:rsidRDefault="00BA0B9F" w:rsidP="00BA0B9F">
      <w:pPr>
        <w:spacing w:after="120"/>
        <w:jc w:val="left"/>
        <w:rPr>
          <w:b/>
        </w:rPr>
      </w:pPr>
      <w:r>
        <w:rPr>
          <w:b/>
        </w:rPr>
        <w:t>Committee contacts</w:t>
      </w:r>
    </w:p>
    <w:p w:rsidR="00BA0B9F" w:rsidRDefault="00BA0B9F" w:rsidP="00BA0B9F">
      <w:pPr>
        <w:jc w:val="left"/>
      </w:pPr>
      <w:r>
        <w:t xml:space="preserve">PO Box 6100 </w:t>
      </w:r>
    </w:p>
    <w:p w:rsidR="00BA0B9F" w:rsidRDefault="00BA0B9F" w:rsidP="00BA0B9F">
      <w:pPr>
        <w:jc w:val="left"/>
      </w:pPr>
      <w:r>
        <w:t>Parliament House</w:t>
      </w:r>
    </w:p>
    <w:p w:rsidR="00BA0B9F" w:rsidRDefault="00BA0B9F" w:rsidP="00BA0B9F">
      <w:pPr>
        <w:jc w:val="left"/>
      </w:pPr>
      <w:proofErr w:type="gramStart"/>
      <w:r>
        <w:t>Canberra  ACT</w:t>
      </w:r>
      <w:proofErr w:type="gramEnd"/>
      <w:r>
        <w:t xml:space="preserve">  2600</w:t>
      </w:r>
    </w:p>
    <w:p w:rsidR="00BA0B9F" w:rsidRDefault="00BA0B9F" w:rsidP="00BA0B9F">
      <w:pPr>
        <w:jc w:val="left"/>
      </w:pPr>
      <w:r>
        <w:t>Phone: 02 6277 3050</w:t>
      </w:r>
    </w:p>
    <w:p w:rsidR="00BA0B9F" w:rsidRDefault="00BA0B9F" w:rsidP="00BA0B9F">
      <w:pPr>
        <w:jc w:val="left"/>
      </w:pPr>
      <w:r>
        <w:t>Email:  scrutiny.sen@aph.gov.au</w:t>
      </w:r>
    </w:p>
    <w:p w:rsidR="00BA0B9F" w:rsidRDefault="00BA0B9F" w:rsidP="00BA0B9F">
      <w:pPr>
        <w:jc w:val="left"/>
      </w:pPr>
      <w:r>
        <w:t xml:space="preserve">Website:  </w:t>
      </w:r>
      <w:r w:rsidRPr="00CC3818">
        <w:t>http://www.aph.gov.au/senate_scrutiny</w:t>
      </w:r>
    </w:p>
    <w:p w:rsidR="00BA0B9F" w:rsidRDefault="00BA0B9F" w:rsidP="00BA0B9F">
      <w:pPr>
        <w:spacing w:line="240" w:lineRule="auto"/>
        <w:jc w:val="left"/>
        <w:rPr>
          <w:b/>
          <w:sz w:val="32"/>
        </w:rPr>
      </w:pPr>
      <w:r>
        <w:rPr>
          <w:b/>
          <w:sz w:val="32"/>
        </w:rPr>
        <w:br w:type="page"/>
      </w:r>
      <w:r>
        <w:rPr>
          <w:b/>
          <w:sz w:val="32"/>
        </w:rPr>
        <w:lastRenderedPageBreak/>
        <w:br w:type="page"/>
      </w:r>
    </w:p>
    <w:p w:rsidR="00BA0B9F" w:rsidRDefault="00BA0B9F" w:rsidP="00BA0B9F">
      <w:pPr>
        <w:spacing w:before="240" w:after="240" w:line="240" w:lineRule="auto"/>
        <w:jc w:val="center"/>
        <w:rPr>
          <w:b/>
          <w:sz w:val="32"/>
        </w:rPr>
      </w:pPr>
    </w:p>
    <w:p w:rsidR="00BA0B9F" w:rsidRDefault="00BA0B9F" w:rsidP="00BA0B9F">
      <w:pPr>
        <w:spacing w:before="240" w:after="240" w:line="240" w:lineRule="auto"/>
        <w:jc w:val="center"/>
        <w:rPr>
          <w:b/>
          <w:sz w:val="32"/>
        </w:rPr>
      </w:pPr>
    </w:p>
    <w:p w:rsidR="00BA0B9F" w:rsidRDefault="00BA0B9F" w:rsidP="00BA0B9F">
      <w:pPr>
        <w:spacing w:before="240" w:after="240" w:line="240" w:lineRule="auto"/>
        <w:jc w:val="center"/>
        <w:rPr>
          <w:b/>
          <w:sz w:val="32"/>
        </w:rPr>
      </w:pPr>
      <w:r>
        <w:rPr>
          <w:b/>
          <w:sz w:val="32"/>
        </w:rPr>
        <w:t>Terms of Reference</w:t>
      </w:r>
    </w:p>
    <w:p w:rsidR="00BA0B9F" w:rsidRDefault="00BA0B9F" w:rsidP="00BA0B9F">
      <w:pPr>
        <w:spacing w:after="360" w:line="240" w:lineRule="auto"/>
        <w:jc w:val="center"/>
      </w:pPr>
    </w:p>
    <w:p w:rsidR="00BA0B9F" w:rsidRDefault="00BA0B9F" w:rsidP="00BA0B9F">
      <w:pPr>
        <w:spacing w:after="360" w:line="240" w:lineRule="auto"/>
        <w:jc w:val="center"/>
      </w:pPr>
      <w:r>
        <w:t xml:space="preserve">Extract from </w:t>
      </w:r>
      <w:r>
        <w:rPr>
          <w:b/>
        </w:rPr>
        <w:t>Standing Order 24</w:t>
      </w:r>
    </w:p>
    <w:p w:rsidR="00BA0B9F" w:rsidRDefault="00BA0B9F" w:rsidP="00BA0B9F">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BA0B9F" w:rsidRDefault="00BA0B9F" w:rsidP="00BA0B9F">
      <w:pPr>
        <w:tabs>
          <w:tab w:val="left" w:pos="8576"/>
        </w:tabs>
        <w:spacing w:before="120"/>
        <w:ind w:left="1701" w:hanging="567"/>
      </w:pPr>
      <w:r>
        <w:t>(</w:t>
      </w:r>
      <w:proofErr w:type="gramStart"/>
      <w:r>
        <w:t>i</w:t>
      </w:r>
      <w:proofErr w:type="gramEnd"/>
      <w:r>
        <w:t>)</w:t>
      </w:r>
      <w:r>
        <w:tab/>
        <w:t>trespass unduly on personal rights and liberties;</w:t>
      </w:r>
    </w:p>
    <w:p w:rsidR="00BA0B9F" w:rsidRDefault="00BA0B9F" w:rsidP="00BA0B9F">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BA0B9F" w:rsidRDefault="00BA0B9F" w:rsidP="00BA0B9F">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BA0B9F" w:rsidRDefault="00BA0B9F" w:rsidP="00BA0B9F">
      <w:pPr>
        <w:tabs>
          <w:tab w:val="left" w:pos="8576"/>
        </w:tabs>
        <w:spacing w:before="120"/>
        <w:ind w:left="1701" w:hanging="567"/>
      </w:pPr>
      <w:r>
        <w:t>(iv)</w:t>
      </w:r>
      <w:r>
        <w:tab/>
      </w:r>
      <w:proofErr w:type="gramStart"/>
      <w:r>
        <w:t>inappropriately</w:t>
      </w:r>
      <w:proofErr w:type="gramEnd"/>
      <w:r>
        <w:t xml:space="preserve"> delegate legislative powers; or</w:t>
      </w:r>
    </w:p>
    <w:p w:rsidR="00BA0B9F" w:rsidRDefault="00BA0B9F" w:rsidP="00BA0B9F">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BA0B9F" w:rsidRDefault="00BA0B9F" w:rsidP="00BA0B9F">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BA0B9F" w:rsidRPr="000E6DD3" w:rsidRDefault="00BA0B9F" w:rsidP="00BA0B9F">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BA0B9F" w:rsidRPr="000E6DD3" w:rsidRDefault="00BA0B9F" w:rsidP="00BA0B9F">
      <w:pPr>
        <w:tabs>
          <w:tab w:val="left" w:pos="426"/>
          <w:tab w:val="left" w:pos="1134"/>
          <w:tab w:val="left" w:pos="1701"/>
        </w:tabs>
        <w:spacing w:after="180" w:line="240" w:lineRule="auto"/>
        <w:ind w:left="1134" w:hanging="1134"/>
        <w:rPr>
          <w:szCs w:val="26"/>
        </w:rPr>
      </w:pPr>
    </w:p>
    <w:p w:rsidR="00BA0B9F" w:rsidRDefault="00BA0B9F" w:rsidP="00BA0B9F">
      <w:pPr>
        <w:tabs>
          <w:tab w:val="left" w:pos="426"/>
          <w:tab w:val="left" w:pos="1134"/>
          <w:tab w:val="left" w:pos="1701"/>
        </w:tabs>
        <w:spacing w:after="180" w:line="240" w:lineRule="auto"/>
        <w:ind w:left="1134" w:hanging="1134"/>
      </w:pPr>
      <w:r>
        <w:br w:type="page"/>
      </w:r>
    </w:p>
    <w:p w:rsidR="00BA0B9F" w:rsidRDefault="00BA0B9F" w:rsidP="0076328C">
      <w:pPr>
        <w:spacing w:after="240" w:line="240" w:lineRule="auto"/>
      </w:pPr>
    </w:p>
    <w:p w:rsidR="00BA0B9F" w:rsidRDefault="00BA0B9F" w:rsidP="0076328C">
      <w:pPr>
        <w:spacing w:after="240" w:line="240" w:lineRule="auto"/>
      </w:pPr>
    </w:p>
    <w:p w:rsidR="00BA0B9F" w:rsidRDefault="00BA0B9F" w:rsidP="0076328C">
      <w:pPr>
        <w:spacing w:after="240" w:line="240" w:lineRule="auto"/>
        <w:sectPr w:rsidR="00BA0B9F"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p>
    <w:p w:rsidR="00BA0B9F" w:rsidRDefault="00BA0B9F" w:rsidP="00BA0B9F">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BA0B9F" w:rsidTr="00A36D8E">
        <w:tc>
          <w:tcPr>
            <w:tcW w:w="6663" w:type="dxa"/>
          </w:tcPr>
          <w:p w:rsidR="00BA0B9F" w:rsidRPr="004D4608" w:rsidRDefault="00BA0B9F" w:rsidP="00A36D8E">
            <w:pPr>
              <w:spacing w:after="240"/>
              <w:jc w:val="left"/>
              <w:rPr>
                <w:b/>
              </w:rPr>
            </w:pPr>
            <w:r>
              <w:rPr>
                <w:b/>
              </w:rPr>
              <w:t>Commentary on bills</w:t>
            </w:r>
          </w:p>
        </w:tc>
        <w:tc>
          <w:tcPr>
            <w:tcW w:w="1275" w:type="dxa"/>
            <w:vAlign w:val="bottom"/>
          </w:tcPr>
          <w:p w:rsidR="00BA0B9F" w:rsidRDefault="00BA0B9F" w:rsidP="00A36D8E">
            <w:pPr>
              <w:spacing w:after="240"/>
              <w:jc w:val="right"/>
            </w:pPr>
          </w:p>
        </w:tc>
      </w:tr>
    </w:tbl>
    <w:p w:rsidR="00BA0B9F" w:rsidRDefault="00BA0B9F" w:rsidP="00BA0B9F">
      <w:pPr>
        <w:pStyle w:val="TOC3"/>
        <w:rPr>
          <w:rFonts w:asciiTheme="minorHAnsi" w:eastAsiaTheme="minorEastAsia" w:hAnsiTheme="minorHAnsi" w:cstheme="minorBidi"/>
          <w:noProof/>
          <w:sz w:val="22"/>
          <w:szCs w:val="22"/>
        </w:rPr>
      </w:pPr>
      <w:r w:rsidRPr="00446816">
        <w:rPr>
          <w:noProof/>
          <w:lang w:val="en-US"/>
        </w:rPr>
        <w:t>Broadcasting Legislation Amendment (Media Reform) Bill 2016</w:t>
      </w:r>
      <w:r>
        <w:rPr>
          <w:noProof/>
        </w:rPr>
        <w:tab/>
        <w:t>1</w:t>
      </w:r>
    </w:p>
    <w:p w:rsidR="00BA0B9F" w:rsidRDefault="00BA0B9F" w:rsidP="00BA0B9F">
      <w:pPr>
        <w:pStyle w:val="TOC3"/>
        <w:rPr>
          <w:rFonts w:asciiTheme="minorHAnsi" w:eastAsiaTheme="minorEastAsia" w:hAnsiTheme="minorHAnsi" w:cstheme="minorBidi"/>
          <w:noProof/>
          <w:sz w:val="22"/>
          <w:szCs w:val="22"/>
        </w:rPr>
      </w:pPr>
      <w:r w:rsidRPr="00446816">
        <w:rPr>
          <w:noProof/>
          <w:lang w:val="en-US"/>
        </w:rPr>
        <w:t>Commonwealth Electoral Amendment (Political Donations and Other Measures) Bill 2016</w:t>
      </w:r>
      <w:r>
        <w:rPr>
          <w:noProof/>
        </w:rPr>
        <w:tab/>
        <w:t>2</w:t>
      </w:r>
    </w:p>
    <w:p w:rsidR="00BA0B9F" w:rsidRPr="00B372DF" w:rsidRDefault="00BA0B9F" w:rsidP="00BA0B9F">
      <w:pPr>
        <w:pStyle w:val="TOCBullet"/>
        <w:tabs>
          <w:tab w:val="clear" w:pos="7655"/>
        </w:tabs>
        <w:spacing w:before="240" w:after="240"/>
        <w:ind w:left="567" w:right="1247" w:hanging="567"/>
        <w:rPr>
          <w:rFonts w:asciiTheme="minorHAnsi" w:eastAsiaTheme="minorEastAsia" w:hAnsiTheme="minorHAnsi" w:cstheme="minorBidi"/>
          <w:szCs w:val="26"/>
        </w:rPr>
      </w:pPr>
      <w:r w:rsidRPr="00B372DF">
        <w:rPr>
          <w:szCs w:val="26"/>
          <w:lang w:val="en-US"/>
        </w:rPr>
        <w:t>Ethical Cosmetics Bill 2016</w:t>
      </w:r>
      <w:r w:rsidRPr="00B372DF">
        <w:rPr>
          <w:szCs w:val="26"/>
        </w:rPr>
        <w:tab/>
        <w:t>3</w:t>
      </w:r>
    </w:p>
    <w:p w:rsidR="00BA0B9F" w:rsidRPr="00B372DF" w:rsidRDefault="00BA0B9F" w:rsidP="00BA0B9F">
      <w:pPr>
        <w:pStyle w:val="TOCBullet"/>
        <w:tabs>
          <w:tab w:val="clear" w:pos="7655"/>
        </w:tabs>
        <w:spacing w:before="240" w:after="240"/>
        <w:ind w:left="567" w:right="1247" w:hanging="567"/>
        <w:rPr>
          <w:rFonts w:asciiTheme="minorHAnsi" w:eastAsiaTheme="minorEastAsia" w:hAnsiTheme="minorHAnsi" w:cstheme="minorBidi"/>
          <w:szCs w:val="26"/>
        </w:rPr>
      </w:pPr>
      <w:r w:rsidRPr="00B372DF">
        <w:rPr>
          <w:szCs w:val="26"/>
          <w:lang w:val="en-US"/>
        </w:rPr>
        <w:t>Flags Amendment (Protecting Australian Flags) Bill 2016</w:t>
      </w:r>
      <w:r w:rsidRPr="00B372DF">
        <w:rPr>
          <w:szCs w:val="26"/>
        </w:rPr>
        <w:tab/>
        <w:t>5</w:t>
      </w:r>
    </w:p>
    <w:p w:rsidR="00BA0B9F" w:rsidRDefault="00BA0B9F" w:rsidP="00BA0B9F">
      <w:pPr>
        <w:pStyle w:val="TOC3"/>
        <w:rPr>
          <w:rFonts w:asciiTheme="minorHAnsi" w:eastAsiaTheme="minorEastAsia" w:hAnsiTheme="minorHAnsi" w:cstheme="minorBidi"/>
          <w:noProof/>
          <w:sz w:val="22"/>
          <w:szCs w:val="22"/>
        </w:rPr>
      </w:pPr>
      <w:r w:rsidRPr="00446816">
        <w:rPr>
          <w:noProof/>
          <w:lang w:val="en-US"/>
        </w:rPr>
        <w:t>Law and Justice Legislation Amendment (Northern Territory Local Court) Bill 2016</w:t>
      </w:r>
      <w:r>
        <w:rPr>
          <w:noProof/>
        </w:rPr>
        <w:tab/>
        <w:t>6</w:t>
      </w:r>
    </w:p>
    <w:p w:rsidR="00BA0B9F" w:rsidRDefault="00BA0B9F" w:rsidP="00BA0B9F">
      <w:pPr>
        <w:pStyle w:val="TOC3"/>
        <w:rPr>
          <w:rFonts w:asciiTheme="minorHAnsi" w:eastAsiaTheme="minorEastAsia" w:hAnsiTheme="minorHAnsi" w:cstheme="minorBidi"/>
          <w:noProof/>
          <w:sz w:val="22"/>
          <w:szCs w:val="22"/>
        </w:rPr>
      </w:pPr>
      <w:r w:rsidRPr="00446816">
        <w:rPr>
          <w:noProof/>
          <w:lang w:val="en-US"/>
        </w:rPr>
        <w:t>Migration Amendment (Free the Children) Bill 2016</w:t>
      </w:r>
      <w:r>
        <w:rPr>
          <w:noProof/>
        </w:rPr>
        <w:tab/>
        <w:t>7</w:t>
      </w:r>
    </w:p>
    <w:p w:rsidR="00BA0B9F" w:rsidRDefault="00BA0B9F" w:rsidP="00BA0B9F">
      <w:pPr>
        <w:pStyle w:val="TOC3"/>
        <w:rPr>
          <w:rFonts w:asciiTheme="minorHAnsi" w:eastAsiaTheme="minorEastAsia" w:hAnsiTheme="minorHAnsi" w:cstheme="minorBidi"/>
          <w:noProof/>
          <w:sz w:val="22"/>
          <w:szCs w:val="22"/>
        </w:rPr>
      </w:pPr>
      <w:r w:rsidRPr="00446816">
        <w:rPr>
          <w:noProof/>
          <w:lang w:val="en-US"/>
        </w:rPr>
        <w:t>Primary Industries Levies and Charges Collection Amendment Bill 2016</w:t>
      </w:r>
      <w:r>
        <w:rPr>
          <w:noProof/>
        </w:rPr>
        <w:tab/>
        <w:t>8</w:t>
      </w:r>
    </w:p>
    <w:p w:rsidR="00BA0B9F" w:rsidRDefault="00BA0B9F" w:rsidP="00BA0B9F">
      <w:pPr>
        <w:pStyle w:val="TOC3"/>
        <w:rPr>
          <w:rFonts w:asciiTheme="minorHAnsi" w:eastAsiaTheme="minorEastAsia" w:hAnsiTheme="minorHAnsi" w:cstheme="minorBidi"/>
          <w:noProof/>
          <w:sz w:val="22"/>
          <w:szCs w:val="22"/>
        </w:rPr>
      </w:pPr>
      <w:r w:rsidRPr="00446816">
        <w:rPr>
          <w:noProof/>
          <w:lang w:val="en-US"/>
        </w:rPr>
        <w:t>Registration of Deaths Abroad Amendment Bill 2016</w:t>
      </w:r>
      <w:r>
        <w:rPr>
          <w:noProof/>
        </w:rPr>
        <w:tab/>
        <w:t>9</w:t>
      </w:r>
    </w:p>
    <w:p w:rsidR="00BA0B9F" w:rsidRPr="00B372DF" w:rsidRDefault="00BA0B9F" w:rsidP="00BA0B9F">
      <w:pPr>
        <w:pStyle w:val="TOCBullet"/>
        <w:tabs>
          <w:tab w:val="clear" w:pos="7655"/>
        </w:tabs>
        <w:spacing w:before="240" w:after="240"/>
        <w:ind w:left="567" w:right="1247" w:hanging="567"/>
        <w:rPr>
          <w:rFonts w:asciiTheme="minorHAnsi" w:eastAsiaTheme="minorEastAsia" w:hAnsiTheme="minorHAnsi" w:cstheme="minorBidi"/>
          <w:szCs w:val="26"/>
        </w:rPr>
      </w:pPr>
      <w:r w:rsidRPr="00B372DF">
        <w:rPr>
          <w:szCs w:val="26"/>
          <w:lang w:val="en-US"/>
        </w:rPr>
        <w:t>Regulatory Powers (Standardisation Reform) Bill 2016</w:t>
      </w:r>
      <w:r w:rsidRPr="00B372DF">
        <w:rPr>
          <w:szCs w:val="26"/>
        </w:rPr>
        <w:tab/>
        <w:t>10</w:t>
      </w:r>
    </w:p>
    <w:p w:rsidR="00BA0B9F" w:rsidRDefault="00BA0B9F" w:rsidP="00BA0B9F">
      <w:pPr>
        <w:pStyle w:val="TOC3"/>
        <w:rPr>
          <w:rFonts w:asciiTheme="minorHAnsi" w:eastAsiaTheme="minorEastAsia" w:hAnsiTheme="minorHAnsi" w:cstheme="minorBidi"/>
          <w:noProof/>
          <w:sz w:val="22"/>
          <w:szCs w:val="22"/>
        </w:rPr>
      </w:pPr>
      <w:r w:rsidRPr="00446816">
        <w:rPr>
          <w:noProof/>
          <w:lang w:val="en-US"/>
        </w:rPr>
        <w:t>Restoring Territory Rights (Dying with Dignity) Bill 2016</w:t>
      </w:r>
      <w:r>
        <w:rPr>
          <w:noProof/>
        </w:rPr>
        <w:tab/>
        <w:t>13</w:t>
      </w:r>
    </w:p>
    <w:p w:rsidR="00BA0B9F" w:rsidRDefault="00BA0B9F" w:rsidP="00BA0B9F">
      <w:pPr>
        <w:pStyle w:val="TOC3"/>
        <w:rPr>
          <w:rFonts w:asciiTheme="minorHAnsi" w:eastAsiaTheme="minorEastAsia" w:hAnsiTheme="minorHAnsi" w:cstheme="minorBidi"/>
          <w:noProof/>
          <w:sz w:val="22"/>
          <w:szCs w:val="22"/>
        </w:rPr>
      </w:pPr>
      <w:r w:rsidRPr="00446816">
        <w:rPr>
          <w:noProof/>
          <w:lang w:val="en-US"/>
        </w:rPr>
        <w:t>Social Security Amendment (Diabetes Support) Bill 2016</w:t>
      </w:r>
      <w:r>
        <w:rPr>
          <w:noProof/>
        </w:rPr>
        <w:tab/>
        <w:t>14</w:t>
      </w:r>
    </w:p>
    <w:p w:rsidR="00BA0B9F" w:rsidRPr="00B372DF" w:rsidRDefault="00BA0B9F" w:rsidP="00BA0B9F">
      <w:pPr>
        <w:pStyle w:val="TOCBullet"/>
        <w:tabs>
          <w:tab w:val="clear" w:pos="7655"/>
        </w:tabs>
        <w:ind w:left="567" w:right="1247" w:hanging="567"/>
        <w:rPr>
          <w:rFonts w:asciiTheme="minorHAnsi" w:eastAsiaTheme="minorEastAsia" w:hAnsiTheme="minorHAnsi" w:cstheme="minorBidi"/>
          <w:szCs w:val="26"/>
        </w:rPr>
      </w:pPr>
      <w:r w:rsidRPr="00B372DF">
        <w:rPr>
          <w:szCs w:val="26"/>
          <w:lang w:val="en-US"/>
        </w:rPr>
        <w:t>Social Services Legislation Amendment (Enhanced Welfare Payment Integrity) Bill 2016</w:t>
      </w:r>
      <w:r w:rsidRPr="00B372DF">
        <w:rPr>
          <w:szCs w:val="26"/>
        </w:rPr>
        <w:tab/>
        <w:t>15</w:t>
      </w:r>
    </w:p>
    <w:p w:rsidR="00BA0B9F" w:rsidRDefault="00BA0B9F" w:rsidP="00BA0B9F">
      <w:pPr>
        <w:pStyle w:val="TOC3"/>
        <w:rPr>
          <w:rFonts w:asciiTheme="minorHAnsi" w:eastAsiaTheme="minorEastAsia" w:hAnsiTheme="minorHAnsi" w:cstheme="minorBidi"/>
          <w:noProof/>
          <w:sz w:val="22"/>
          <w:szCs w:val="22"/>
        </w:rPr>
      </w:pPr>
      <w:r w:rsidRPr="00446816">
        <w:rPr>
          <w:noProof/>
          <w:lang w:val="en-US"/>
        </w:rPr>
        <w:t>Social Services Legislation Amendment (Interest Charge) Bill 2016</w:t>
      </w:r>
      <w:r>
        <w:rPr>
          <w:noProof/>
        </w:rPr>
        <w:tab/>
        <w:t>19</w:t>
      </w:r>
    </w:p>
    <w:p w:rsidR="00BA0B9F" w:rsidRDefault="00BA0B9F" w:rsidP="00BA0B9F">
      <w:pPr>
        <w:pStyle w:val="TOC3"/>
        <w:rPr>
          <w:rFonts w:asciiTheme="minorHAnsi" w:eastAsiaTheme="minorEastAsia" w:hAnsiTheme="minorHAnsi" w:cstheme="minorBidi"/>
          <w:noProof/>
          <w:sz w:val="22"/>
          <w:szCs w:val="22"/>
        </w:rPr>
      </w:pPr>
      <w:r w:rsidRPr="00446816">
        <w:rPr>
          <w:noProof/>
          <w:lang w:val="en-US"/>
        </w:rPr>
        <w:t>Tax Laws Amendment (Tougher Penalties for Country-by-Country Reporting) Bill 2016</w:t>
      </w:r>
      <w:r>
        <w:rPr>
          <w:noProof/>
        </w:rPr>
        <w:tab/>
        <w:t>20</w:t>
      </w:r>
    </w:p>
    <w:p w:rsidR="00BA0B9F" w:rsidRPr="0076667E" w:rsidRDefault="00BA0B9F" w:rsidP="00BA0B9F">
      <w:pPr>
        <w:ind w:left="567"/>
        <w:rPr>
          <w:noProof/>
        </w:rPr>
      </w:pPr>
      <w:r w:rsidRPr="00043C90">
        <w:rPr>
          <w:b/>
          <w:noProof/>
        </w:rPr>
        <w:t>Commentary on amendments to bills</w:t>
      </w:r>
    </w:p>
    <w:p w:rsidR="00BA0B9F" w:rsidRPr="00B372DF" w:rsidRDefault="00BA0B9F" w:rsidP="00BA0B9F">
      <w:pPr>
        <w:pStyle w:val="TOCBullet"/>
        <w:tabs>
          <w:tab w:val="clear" w:pos="7655"/>
        </w:tabs>
        <w:ind w:left="567" w:right="1247" w:hanging="567"/>
        <w:rPr>
          <w:szCs w:val="26"/>
        </w:rPr>
      </w:pPr>
      <w:r w:rsidRPr="00EB7BEA">
        <w:rPr>
          <w:sz w:val="24"/>
          <w:szCs w:val="24"/>
        </w:rPr>
        <w:t>Australian Citizenship Amendment (Allegiance to Australia) Bill 2015</w:t>
      </w:r>
      <w:r>
        <w:tab/>
      </w:r>
      <w:r w:rsidRPr="00B372DF">
        <w:rPr>
          <w:szCs w:val="26"/>
        </w:rPr>
        <w:t>21</w:t>
      </w:r>
    </w:p>
    <w:p w:rsidR="00BA0B9F" w:rsidRPr="00B372DF" w:rsidRDefault="00BA0B9F" w:rsidP="00BA0B9F">
      <w:pPr>
        <w:pStyle w:val="TOCBullet"/>
        <w:tabs>
          <w:tab w:val="clear" w:pos="7655"/>
        </w:tabs>
        <w:ind w:left="567" w:right="1247" w:hanging="567"/>
        <w:rPr>
          <w:szCs w:val="26"/>
        </w:rPr>
      </w:pPr>
      <w:r w:rsidRPr="00EB7BEA">
        <w:rPr>
          <w:sz w:val="24"/>
          <w:szCs w:val="24"/>
        </w:rPr>
        <w:lastRenderedPageBreak/>
        <w:t>Communications Legislation Amendment (Deregulation and Other Measures) Bill 2015</w:t>
      </w:r>
      <w:r>
        <w:tab/>
      </w:r>
      <w:r w:rsidRPr="00B372DF">
        <w:rPr>
          <w:szCs w:val="26"/>
        </w:rPr>
        <w:t>21</w:t>
      </w:r>
    </w:p>
    <w:p w:rsidR="00BA0B9F" w:rsidRDefault="00BA0B9F" w:rsidP="00BA0B9F">
      <w:pPr>
        <w:pStyle w:val="TOCBullet"/>
        <w:numPr>
          <w:ilvl w:val="0"/>
          <w:numId w:val="0"/>
        </w:numPr>
        <w:ind w:left="567" w:right="1105"/>
        <w:rPr>
          <w:sz w:val="24"/>
          <w:szCs w:val="24"/>
        </w:rPr>
      </w:pPr>
      <w:r>
        <w:rPr>
          <w:sz w:val="24"/>
          <w:szCs w:val="24"/>
        </w:rPr>
        <w:t xml:space="preserve">Telecommunications Legislation Amendment (Access Regime and NBN Companies) </w:t>
      </w:r>
      <w:r w:rsidRPr="0043081A">
        <w:rPr>
          <w:sz w:val="24"/>
          <w:szCs w:val="24"/>
        </w:rPr>
        <w:t>Bill 2015</w:t>
      </w:r>
      <w:r>
        <w:rPr>
          <w:sz w:val="24"/>
          <w:szCs w:val="24"/>
        </w:rPr>
        <w:tab/>
      </w:r>
      <w:r w:rsidRPr="002273C8">
        <w:rPr>
          <w:szCs w:val="26"/>
        </w:rPr>
        <w:t>22</w:t>
      </w:r>
    </w:p>
    <w:p w:rsidR="00BA0B9F" w:rsidRPr="00B372DF" w:rsidRDefault="00BA0B9F" w:rsidP="00BA0B9F">
      <w:pPr>
        <w:pStyle w:val="TOCBullet"/>
        <w:numPr>
          <w:ilvl w:val="0"/>
          <w:numId w:val="0"/>
        </w:numPr>
        <w:ind w:left="567"/>
        <w:rPr>
          <w:szCs w:val="26"/>
        </w:rPr>
      </w:pPr>
      <w:r w:rsidRPr="00B372DF">
        <w:rPr>
          <w:b/>
          <w:szCs w:val="26"/>
        </w:rPr>
        <w:t>Scrutiny of standing appropriations</w:t>
      </w:r>
      <w:r>
        <w:rPr>
          <w:szCs w:val="26"/>
        </w:rPr>
        <w:tab/>
        <w:t>23</w:t>
      </w:r>
    </w:p>
    <w:p w:rsidR="00BA0B9F" w:rsidRDefault="00BA0B9F" w:rsidP="00BA0B9F"/>
    <w:p w:rsidR="00BA0B9F" w:rsidRDefault="00BA0B9F" w:rsidP="00BA0B9F"/>
    <w:p w:rsidR="00BA0B9F" w:rsidRPr="00620A72" w:rsidRDefault="00BA0B9F" w:rsidP="00BA0B9F"/>
    <w:p w:rsidR="00BA0B9F" w:rsidRPr="00C4597F" w:rsidRDefault="00BA0B9F" w:rsidP="00BA0B9F">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BA0B9F" w:rsidRPr="00D92660" w:rsidRDefault="00BA0B9F" w:rsidP="00BA0B9F">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BA0B9F" w:rsidRDefault="00BA0B9F" w:rsidP="00BA0B9F">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BA0B9F" w:rsidRPr="00C4597F" w:rsidRDefault="00BA0B9F" w:rsidP="00BA0B9F">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BA0B9F" w:rsidRDefault="00BA0B9F" w:rsidP="00BA0B9F">
      <w:pPr>
        <w:tabs>
          <w:tab w:val="left" w:pos="1170"/>
        </w:tabs>
        <w:jc w:val="left"/>
      </w:pPr>
    </w:p>
    <w:p w:rsidR="00BA0B9F" w:rsidRDefault="00BA0B9F" w:rsidP="00BA0B9F">
      <w:pPr>
        <w:tabs>
          <w:tab w:val="left" w:pos="1170"/>
        </w:tabs>
        <w:jc w:val="left"/>
      </w:pPr>
    </w:p>
    <w:p w:rsidR="00BA0B9F" w:rsidRDefault="00BA0B9F" w:rsidP="00BA0B9F">
      <w:pPr>
        <w:tabs>
          <w:tab w:val="left" w:pos="1170"/>
        </w:tabs>
        <w:jc w:val="left"/>
      </w:pPr>
    </w:p>
    <w:p w:rsidR="00BA0B9F" w:rsidRDefault="00BA0B9F" w:rsidP="00BA0B9F">
      <w:pPr>
        <w:tabs>
          <w:tab w:val="left" w:pos="1170"/>
        </w:tabs>
        <w:jc w:val="left"/>
      </w:pPr>
      <w:r>
        <w:fldChar w:fldCharType="begin"/>
      </w:r>
      <w:r>
        <w:instrText xml:space="preserve"> </w:instrText>
      </w:r>
      <w:proofErr w:type="gramStart"/>
      <w:r>
        <w:instrText>RD  "</w:instrText>
      </w:r>
      <w:proofErr w:type="gramEnd"/>
      <w:r>
        <w:instrText xml:space="preserve">\\\\home2\\SEN-LegislativeScrutinyUnit\\Scrutiny of Bills\\ALERT DIGESTS\\DIGEST 2016\\Digest 4 of 2016\\4 Digest Master 4.16 with text.docm" </w:instrText>
      </w:r>
      <w:r>
        <w:fldChar w:fldCharType="end"/>
      </w:r>
    </w:p>
    <w:p w:rsidR="00BA0B9F" w:rsidRDefault="00BA0B9F" w:rsidP="00BA0B9F">
      <w:pPr>
        <w:spacing w:line="240" w:lineRule="auto"/>
        <w:jc w:val="left"/>
      </w:pPr>
    </w:p>
    <w:p w:rsidR="00BA0B9F" w:rsidRDefault="00BA0B9F" w:rsidP="00BA0B9F">
      <w:pPr>
        <w:spacing w:line="240" w:lineRule="auto"/>
        <w:jc w:val="left"/>
      </w:pPr>
    </w:p>
    <w:p w:rsidR="00BA0B9F" w:rsidRDefault="00BA0B9F" w:rsidP="0076328C">
      <w:pPr>
        <w:spacing w:after="240" w:line="240" w:lineRule="auto"/>
        <w:sectPr w:rsidR="00BA0B9F" w:rsidSect="00952B8C">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843" w:header="720" w:footer="567" w:gutter="170"/>
          <w:pgNumType w:fmt="lowerRoman" w:start="7"/>
          <w:cols w:space="720"/>
          <w:docGrid w:linePitch="354"/>
        </w:sectPr>
      </w:pPr>
    </w:p>
    <w:p w:rsidR="00BA0B9F" w:rsidRDefault="00BA0B9F" w:rsidP="00BA0B9F">
      <w:pPr>
        <w:pStyle w:val="H1"/>
      </w:pPr>
      <w:r>
        <w:rPr>
          <w:lang w:val="en-US"/>
        </w:rPr>
        <w:lastRenderedPageBreak/>
        <w:t>Broadcasting Legislation Amendment (Media Reform) Bill 2016</w:t>
      </w:r>
    </w:p>
    <w:p w:rsidR="00BA0B9F" w:rsidRDefault="00BA0B9F" w:rsidP="00BA0B9F">
      <w:r w:rsidRPr="00E110E9">
        <w:t xml:space="preserve">Introduced into the </w:t>
      </w:r>
      <w:r>
        <w:t xml:space="preserve">House of Representatives </w:t>
      </w:r>
      <w:r w:rsidRPr="00E110E9">
        <w:t xml:space="preserve">on </w:t>
      </w:r>
      <w:r>
        <w:t>2 March 2016</w:t>
      </w:r>
    </w:p>
    <w:p w:rsidR="00BA0B9F" w:rsidRDefault="00BA0B9F" w:rsidP="00BA0B9F">
      <w:r>
        <w:t>Portfolio: Communications</w:t>
      </w:r>
    </w:p>
    <w:p w:rsidR="00BA0B9F" w:rsidRDefault="00BA0B9F" w:rsidP="00BA0B9F"/>
    <w:p w:rsidR="00BA0B9F" w:rsidRDefault="00BA0B9F" w:rsidP="00BA0B9F">
      <w:pPr>
        <w:pStyle w:val="H211"/>
      </w:pPr>
      <w:r>
        <w:t>Background</w:t>
      </w:r>
    </w:p>
    <w:p w:rsidR="00BA0B9F" w:rsidRDefault="00BA0B9F" w:rsidP="00BA0B9F"/>
    <w:p w:rsidR="00BA0B9F" w:rsidRDefault="00BA0B9F" w:rsidP="00BA0B9F">
      <w:pPr>
        <w:spacing w:after="120"/>
      </w:pPr>
      <w:r>
        <w:t xml:space="preserve">This bill amends the </w:t>
      </w:r>
      <w:r>
        <w:rPr>
          <w:i/>
        </w:rPr>
        <w:t>Broadcasting Services Act 1992</w:t>
      </w:r>
      <w:r>
        <w:t xml:space="preserve"> to:</w:t>
      </w:r>
    </w:p>
    <w:p w:rsidR="00BA0B9F" w:rsidRDefault="00BA0B9F" w:rsidP="00BA0B9F">
      <w:pPr>
        <w:pStyle w:val="B1"/>
        <w:numPr>
          <w:ilvl w:val="0"/>
          <w:numId w:val="18"/>
        </w:numPr>
        <w:spacing w:after="120"/>
      </w:pPr>
      <w:r>
        <w:t xml:space="preserve">repeal two media ownership and control rules; and </w:t>
      </w:r>
    </w:p>
    <w:p w:rsidR="00BA0B9F" w:rsidRDefault="00BA0B9F" w:rsidP="00BA0B9F">
      <w:pPr>
        <w:pStyle w:val="B1"/>
        <w:numPr>
          <w:ilvl w:val="0"/>
          <w:numId w:val="18"/>
        </w:numPr>
        <w:spacing w:after="120"/>
      </w:pPr>
      <w:r w:rsidRPr="003B61DF">
        <w:rPr>
          <w:rFonts w:eastAsiaTheme="minorHAnsi"/>
          <w:lang w:eastAsia="en-US"/>
        </w:rPr>
        <w:t>introduce new local programming obligations for regional commercial television broadcasting licensees where a change in control, known as a trigger event, results in a licence forming part of a group of commercial television broadcasting licences whose combined licence area populations exceed 75 per cent of the Australian population.</w:t>
      </w:r>
    </w:p>
    <w:p w:rsidR="00BA0B9F" w:rsidRDefault="00BA0B9F" w:rsidP="00BA0B9F"/>
    <w:p w:rsidR="00BA0B9F" w:rsidRDefault="00BA0B9F" w:rsidP="00BA0B9F">
      <w:pPr>
        <w:jc w:val="center"/>
        <w:rPr>
          <w:i/>
        </w:rPr>
      </w:pPr>
      <w:r>
        <w:rPr>
          <w:i/>
        </w:rPr>
        <w:t>The committee has no comment on this bill.</w:t>
      </w:r>
    </w:p>
    <w:p w:rsidR="00BA0B9F" w:rsidRDefault="00BA0B9F" w:rsidP="00BA0B9F">
      <w:pPr>
        <w:jc w:val="center"/>
        <w:rPr>
          <w:i/>
        </w:rPr>
      </w:pPr>
    </w:p>
    <w:p w:rsidR="00BA0B9F" w:rsidRDefault="00BA0B9F" w:rsidP="00BA0B9F">
      <w:pPr>
        <w:spacing w:line="240" w:lineRule="auto"/>
        <w:jc w:val="left"/>
        <w:rPr>
          <w:i/>
        </w:rPr>
      </w:pPr>
      <w:r>
        <w:rPr>
          <w:i/>
        </w:rPr>
        <w:br w:type="page"/>
      </w:r>
    </w:p>
    <w:p w:rsidR="00BA0B9F" w:rsidRDefault="00BA0B9F" w:rsidP="00BA0B9F">
      <w:pPr>
        <w:pStyle w:val="H1"/>
      </w:pPr>
      <w:r>
        <w:rPr>
          <w:lang w:val="en-US"/>
        </w:rPr>
        <w:lastRenderedPageBreak/>
        <w:t>Commonwealth Electoral Amendment (Political Donations and Other Measures) Bill 2016</w:t>
      </w:r>
    </w:p>
    <w:p w:rsidR="00BA0B9F" w:rsidRDefault="00BA0B9F" w:rsidP="00BA0B9F">
      <w:r w:rsidRPr="00E110E9">
        <w:t xml:space="preserve">Introduced into the </w:t>
      </w:r>
      <w:r>
        <w:t xml:space="preserve">Senate </w:t>
      </w:r>
      <w:r w:rsidRPr="00E110E9">
        <w:t xml:space="preserve">on </w:t>
      </w:r>
      <w:r>
        <w:t>2 March 2016</w:t>
      </w:r>
    </w:p>
    <w:p w:rsidR="00BA0B9F" w:rsidRDefault="00BA0B9F" w:rsidP="00BA0B9F">
      <w:r>
        <w:t>By: Senator Rhiannon</w:t>
      </w:r>
    </w:p>
    <w:p w:rsidR="00BA0B9F" w:rsidRDefault="00BA0B9F" w:rsidP="00BA0B9F"/>
    <w:p w:rsidR="00BA0B9F" w:rsidRDefault="00BA0B9F" w:rsidP="00BA0B9F">
      <w:pPr>
        <w:pStyle w:val="H211"/>
      </w:pPr>
      <w:r>
        <w:t>Background</w:t>
      </w:r>
    </w:p>
    <w:p w:rsidR="00BA0B9F" w:rsidRDefault="00BA0B9F" w:rsidP="00BA0B9F"/>
    <w:p w:rsidR="00BA0B9F" w:rsidRDefault="00BA0B9F" w:rsidP="00BA0B9F">
      <w:pPr>
        <w:spacing w:after="120"/>
      </w:pPr>
      <w:r>
        <w:t xml:space="preserve">This bill amends the </w:t>
      </w:r>
      <w:r>
        <w:rPr>
          <w:i/>
        </w:rPr>
        <w:t>Commonwealth Electoral Act 1918</w:t>
      </w:r>
      <w:r>
        <w:t xml:space="preserve"> to:</w:t>
      </w:r>
    </w:p>
    <w:p w:rsidR="00BA0B9F" w:rsidRDefault="00BA0B9F" w:rsidP="00BA0B9F">
      <w:pPr>
        <w:pStyle w:val="B1"/>
        <w:numPr>
          <w:ilvl w:val="0"/>
          <w:numId w:val="18"/>
        </w:numPr>
        <w:spacing w:after="120"/>
      </w:pPr>
      <w:r w:rsidRPr="00990BE9">
        <w:t>reduce the disclosure threshold from ‘more than $10,000’ (indexed to the</w:t>
      </w:r>
      <w:r>
        <w:t xml:space="preserve"> </w:t>
      </w:r>
      <w:r w:rsidRPr="00990BE9">
        <w:t>Consumer Price Index annually) to $1,000 (non-indexed);</w:t>
      </w:r>
    </w:p>
    <w:p w:rsidR="00BA0B9F" w:rsidRDefault="00BA0B9F" w:rsidP="00BA0B9F">
      <w:pPr>
        <w:pStyle w:val="B1"/>
        <w:numPr>
          <w:ilvl w:val="0"/>
          <w:numId w:val="18"/>
        </w:numPr>
        <w:spacing w:after="120"/>
      </w:pPr>
      <w:r w:rsidRPr="004D6DA1">
        <w:t>require people who make gifts at or above the threshold to candidates and members of groups during the election disclosure period to furnish a return within</w:t>
      </w:r>
      <w:r>
        <w:t xml:space="preserve"> 8</w:t>
      </w:r>
      <w:r w:rsidRPr="004D6DA1">
        <w:t xml:space="preserve"> weeks of </w:t>
      </w:r>
      <w:r>
        <w:t>polling day</w:t>
      </w:r>
      <w:r w:rsidRPr="004D6DA1">
        <w:t>;</w:t>
      </w:r>
    </w:p>
    <w:p w:rsidR="00BA0B9F" w:rsidRDefault="00BA0B9F" w:rsidP="00BA0B9F">
      <w:pPr>
        <w:pStyle w:val="B1"/>
        <w:numPr>
          <w:ilvl w:val="0"/>
          <w:numId w:val="18"/>
        </w:numPr>
        <w:spacing w:after="120"/>
      </w:pPr>
      <w:r w:rsidRPr="004D6DA1">
        <w:t>require people who make gifts, agents of registered political parties, the financial controller of an associated entity, or people if they fall within the relevant provision, who have incurred political expenditure to furnish a return within</w:t>
      </w:r>
      <w:r>
        <w:t xml:space="preserve"> 8</w:t>
      </w:r>
      <w:r w:rsidRPr="004D6DA1">
        <w:t xml:space="preserve"> weeks after 31 December and 30 June each year;</w:t>
      </w:r>
    </w:p>
    <w:p w:rsidR="00BA0B9F" w:rsidRDefault="00BA0B9F" w:rsidP="00BA0B9F">
      <w:pPr>
        <w:pStyle w:val="B1"/>
        <w:numPr>
          <w:ilvl w:val="0"/>
          <w:numId w:val="18"/>
        </w:numPr>
        <w:spacing w:after="120"/>
      </w:pPr>
      <w:r w:rsidRPr="00990BE9">
        <w:t>prevent ‘donation splitting’ by ensuring that for the purposes of the $1,000</w:t>
      </w:r>
      <w:r>
        <w:t xml:space="preserve"> </w:t>
      </w:r>
      <w:r w:rsidRPr="003B14AF">
        <w:t>disclosure threshold, related political parties are treated as the one entity;</w:t>
      </w:r>
    </w:p>
    <w:p w:rsidR="00BA0B9F" w:rsidRDefault="00BA0B9F" w:rsidP="00BA0B9F">
      <w:pPr>
        <w:pStyle w:val="B1"/>
        <w:numPr>
          <w:ilvl w:val="0"/>
          <w:numId w:val="18"/>
        </w:numPr>
        <w:spacing w:after="120"/>
      </w:pPr>
      <w:r>
        <w:t>m</w:t>
      </w:r>
      <w:r w:rsidRPr="003B14AF">
        <w:t>ake unlawful the receipt of a gift of foreign property by political parties,</w:t>
      </w:r>
      <w:r>
        <w:t xml:space="preserve"> </w:t>
      </w:r>
      <w:r w:rsidRPr="003B14AF">
        <w:t>candidates and members of a Senate group;</w:t>
      </w:r>
    </w:p>
    <w:p w:rsidR="00BA0B9F" w:rsidRDefault="00BA0B9F" w:rsidP="00BA0B9F">
      <w:pPr>
        <w:pStyle w:val="B1"/>
        <w:numPr>
          <w:ilvl w:val="0"/>
          <w:numId w:val="18"/>
        </w:numPr>
        <w:spacing w:after="120"/>
      </w:pPr>
      <w:r w:rsidRPr="00990BE9">
        <w:t>extend the ban on anonymous gifts to encompass all anonymous gifts except</w:t>
      </w:r>
      <w:r>
        <w:t xml:space="preserve"> </w:t>
      </w:r>
      <w:r w:rsidRPr="003B14AF">
        <w:t>where the gift is $50 or less and received at a ‘general public activity’ or a ‘private</w:t>
      </w:r>
      <w:r>
        <w:t xml:space="preserve"> </w:t>
      </w:r>
      <w:r w:rsidRPr="003B14AF">
        <w:t>event’ as defined;</w:t>
      </w:r>
    </w:p>
    <w:p w:rsidR="00BA0B9F" w:rsidRDefault="00BA0B9F" w:rsidP="00BA0B9F">
      <w:pPr>
        <w:pStyle w:val="B1"/>
        <w:numPr>
          <w:ilvl w:val="0"/>
          <w:numId w:val="18"/>
        </w:numPr>
        <w:spacing w:after="120"/>
      </w:pPr>
      <w:r w:rsidRPr="00990BE9">
        <w:t xml:space="preserve">provide for the recovery </w:t>
      </w:r>
      <w:r>
        <w:t xml:space="preserve">of the financial value </w:t>
      </w:r>
      <w:r w:rsidRPr="00990BE9">
        <w:t>of gifts of foreign property that are not returned,</w:t>
      </w:r>
      <w:r>
        <w:t xml:space="preserve"> </w:t>
      </w:r>
      <w:r w:rsidRPr="003B14AF">
        <w:t>anonymous gifts that are not returned and undisclosed gifts; and</w:t>
      </w:r>
    </w:p>
    <w:p w:rsidR="00BA0B9F" w:rsidRPr="003B14AF" w:rsidRDefault="00BA0B9F" w:rsidP="00BA0B9F">
      <w:pPr>
        <w:pStyle w:val="B1"/>
        <w:numPr>
          <w:ilvl w:val="0"/>
          <w:numId w:val="18"/>
        </w:numPr>
        <w:spacing w:after="120"/>
      </w:pPr>
      <w:proofErr w:type="gramStart"/>
      <w:r w:rsidRPr="00990BE9">
        <w:t>introduce</w:t>
      </w:r>
      <w:proofErr w:type="gramEnd"/>
      <w:r w:rsidRPr="00990BE9">
        <w:t xml:space="preserve"> new offences and penalties related to </w:t>
      </w:r>
      <w:r>
        <w:t>these</w:t>
      </w:r>
      <w:r w:rsidRPr="00990BE9">
        <w:t xml:space="preserve"> new measures and increase the</w:t>
      </w:r>
      <w:r>
        <w:t xml:space="preserve"> </w:t>
      </w:r>
      <w:r w:rsidRPr="003B14AF">
        <w:t>penalties for existing offence provisions.</w:t>
      </w:r>
    </w:p>
    <w:p w:rsidR="00BA0B9F" w:rsidRDefault="00BA0B9F" w:rsidP="00BA0B9F"/>
    <w:p w:rsidR="00BA0B9F" w:rsidRDefault="00BA0B9F" w:rsidP="00BA0B9F">
      <w:pPr>
        <w:jc w:val="center"/>
        <w:rPr>
          <w:i/>
        </w:rPr>
      </w:pPr>
      <w:r>
        <w:rPr>
          <w:i/>
        </w:rPr>
        <w:t>The committee has no comment on this bill.</w:t>
      </w:r>
    </w:p>
    <w:p w:rsidR="00BA0B9F" w:rsidRDefault="00BA0B9F" w:rsidP="00BA0B9F">
      <w:r>
        <w:br w:type="page"/>
      </w:r>
    </w:p>
    <w:p w:rsidR="00BA0B9F" w:rsidRDefault="00BA0B9F" w:rsidP="00BA0B9F">
      <w:pPr>
        <w:pStyle w:val="H1"/>
      </w:pPr>
      <w:r>
        <w:rPr>
          <w:lang w:val="en-US"/>
        </w:rPr>
        <w:lastRenderedPageBreak/>
        <w:t>Ethical Cosmetics Bill 2016</w:t>
      </w:r>
    </w:p>
    <w:p w:rsidR="00BA0B9F" w:rsidRDefault="00BA0B9F" w:rsidP="00BA0B9F">
      <w:r w:rsidRPr="00E110E9">
        <w:t xml:space="preserve">Introduced into the </w:t>
      </w:r>
      <w:r>
        <w:t xml:space="preserve">House of Representatives </w:t>
      </w:r>
      <w:r w:rsidRPr="00E110E9">
        <w:t xml:space="preserve">on </w:t>
      </w:r>
      <w:r>
        <w:t>29 February 2016</w:t>
      </w:r>
    </w:p>
    <w:p w:rsidR="00BA0B9F" w:rsidRDefault="00BA0B9F" w:rsidP="00BA0B9F">
      <w:r>
        <w:t>By: Ms O’Neil</w:t>
      </w:r>
    </w:p>
    <w:p w:rsidR="00BA0B9F" w:rsidRDefault="00BA0B9F" w:rsidP="00BA0B9F"/>
    <w:p w:rsidR="00BA0B9F" w:rsidRDefault="00BA0B9F" w:rsidP="00BA0B9F">
      <w:pPr>
        <w:pStyle w:val="H211"/>
      </w:pPr>
      <w:r>
        <w:t>Background</w:t>
      </w:r>
    </w:p>
    <w:p w:rsidR="00BA0B9F" w:rsidRDefault="00BA0B9F" w:rsidP="00BA0B9F"/>
    <w:p w:rsidR="00BA0B9F" w:rsidRDefault="00BA0B9F" w:rsidP="00BA0B9F">
      <w:r>
        <w:t xml:space="preserve">This bill amends the </w:t>
      </w:r>
      <w:r>
        <w:rPr>
          <w:i/>
        </w:rPr>
        <w:t>Industrial Chemicals (Notification and Assessment) Act 1989</w:t>
      </w:r>
      <w:r>
        <w:t xml:space="preserve"> to ban live animal testing for cosmetics and live animal testing for substances if the dominant purpose of testing was for the substance's use in a cosmetic.</w:t>
      </w:r>
    </w:p>
    <w:p w:rsidR="00BA0B9F" w:rsidRDefault="00BA0B9F" w:rsidP="00BA0B9F"/>
    <w:p w:rsidR="00BA0B9F" w:rsidRDefault="00BA0B9F" w:rsidP="00BA0B9F">
      <w:pPr>
        <w:pStyle w:val="H2"/>
      </w:pPr>
      <w:r w:rsidRPr="005042AE">
        <w:t>Commencement</w:t>
      </w:r>
    </w:p>
    <w:p w:rsidR="00BA0B9F" w:rsidRPr="005042AE" w:rsidRDefault="00BA0B9F" w:rsidP="00BA0B9F">
      <w:pPr>
        <w:pStyle w:val="H2"/>
      </w:pPr>
      <w:r>
        <w:t>Item 2</w:t>
      </w:r>
    </w:p>
    <w:p w:rsidR="00BA0B9F" w:rsidRPr="002321FB" w:rsidRDefault="00BA0B9F" w:rsidP="00BA0B9F">
      <w:pPr>
        <w:rPr>
          <w:b/>
        </w:rPr>
      </w:pPr>
    </w:p>
    <w:p w:rsidR="00BA0B9F" w:rsidRPr="00CF7AB0" w:rsidRDefault="00BA0B9F" w:rsidP="00BA0B9F">
      <w:r>
        <w:t xml:space="preserve">Item 2 provides that Schedule 1 is to commence three years after the </w:t>
      </w:r>
      <w:r w:rsidRPr="00CF7AB0">
        <w:t xml:space="preserve">bill receives the Royal Assent. </w:t>
      </w:r>
    </w:p>
    <w:p w:rsidR="00BA0B9F" w:rsidRPr="00CF7AB0" w:rsidRDefault="00BA0B9F" w:rsidP="00BA0B9F"/>
    <w:p w:rsidR="00BA0B9F" w:rsidRPr="00CF7AB0" w:rsidRDefault="00BA0B9F" w:rsidP="00BA0B9F">
      <w:r w:rsidRPr="00CF7AB0">
        <w:t>Where there is a delay in commencement of legislation longer than six months the committee’s long-standing view is that it is appropriate for the explanatory memorandum to outline the reasons for the proposed approach. (This is discussed in Office of Parliamentary Counsel Drafting Direction No. 1.3</w:t>
      </w:r>
      <w:r w:rsidRPr="00CF7AB0">
        <w:rPr>
          <w:i/>
        </w:rPr>
        <w:t xml:space="preserve"> </w:t>
      </w:r>
      <w:r w:rsidRPr="00CF7AB0">
        <w:t>in the context of commencement by Proclamation (paragraphs 21 to 35) and other deferred commencements (paragraph 36)).</w:t>
      </w:r>
    </w:p>
    <w:p w:rsidR="00BA0B9F" w:rsidRPr="00CF7AB0" w:rsidRDefault="00BA0B9F" w:rsidP="00BA0B9F"/>
    <w:p w:rsidR="00BA0B9F" w:rsidRDefault="00BA0B9F" w:rsidP="00BA0B9F">
      <w:r w:rsidRPr="00CF7AB0">
        <w:t>The explanatory memorandum notes (at paragraph 18) that the purpose of the significantly delayed commencement is</w:t>
      </w:r>
      <w:r>
        <w:t xml:space="preserve"> to provide ‘a transitional period for entities affected by [the] bill.’</w:t>
      </w:r>
    </w:p>
    <w:p w:rsidR="00BA0B9F" w:rsidRDefault="00BA0B9F" w:rsidP="00BA0B9F"/>
    <w:p w:rsidR="00BA0B9F" w:rsidRPr="003C6788" w:rsidRDefault="00BA0B9F" w:rsidP="00BA0B9F">
      <w:pPr>
        <w:rPr>
          <w:b/>
        </w:rPr>
      </w:pPr>
      <w:r w:rsidRPr="003C6788">
        <w:rPr>
          <w:b/>
        </w:rPr>
        <w:t>In light of the explanation provided the committee leaves the question of whether the proposed approach is appropriate to the consideration of the Senate as whole.</w:t>
      </w:r>
    </w:p>
    <w:p w:rsidR="00BA0B9F" w:rsidRDefault="00BA0B9F" w:rsidP="00BA0B9F"/>
    <w:p w:rsidR="00BA0B9F" w:rsidRDefault="00BA0B9F" w:rsidP="00BA0B9F">
      <w:pPr>
        <w:ind w:left="567" w:right="539"/>
        <w:rPr>
          <w:i/>
        </w:rPr>
      </w:pPr>
      <w:r>
        <w:rPr>
          <w:i/>
        </w:rPr>
        <w:t>The committee draws Senators’ attention to the provision, as it may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BA0B9F" w:rsidRDefault="00BA0B9F" w:rsidP="00BA0B9F"/>
    <w:p w:rsidR="00BA0B9F" w:rsidRPr="00AD68BF" w:rsidRDefault="00BA0B9F" w:rsidP="00BA0B9F"/>
    <w:p w:rsidR="00BA0B9F" w:rsidRPr="005042AE" w:rsidRDefault="00BA0B9F" w:rsidP="00BA0B9F"/>
    <w:p w:rsidR="00BA0B9F" w:rsidRPr="00BC2331" w:rsidRDefault="00BA0B9F" w:rsidP="00BA0B9F">
      <w:pPr>
        <w:pStyle w:val="H2"/>
      </w:pPr>
      <w:r w:rsidRPr="00BC2331">
        <w:t>Delegation of legislative power</w:t>
      </w:r>
    </w:p>
    <w:p w:rsidR="00BA0B9F" w:rsidRPr="00BC2331" w:rsidRDefault="00BA0B9F" w:rsidP="00BA0B9F">
      <w:pPr>
        <w:pStyle w:val="H2"/>
      </w:pPr>
      <w:r w:rsidRPr="00BC2331">
        <w:t xml:space="preserve">Schedule 1, </w:t>
      </w:r>
      <w:r>
        <w:t xml:space="preserve">item 1, </w:t>
      </w:r>
      <w:r w:rsidRPr="00BC2331">
        <w:t>proposed section</w:t>
      </w:r>
      <w:r>
        <w:t xml:space="preserve">s 81B and </w:t>
      </w:r>
      <w:r w:rsidRPr="00BC2331">
        <w:t>81</w:t>
      </w:r>
      <w:r>
        <w:t>C</w:t>
      </w:r>
    </w:p>
    <w:p w:rsidR="00BA0B9F" w:rsidRDefault="00BA0B9F" w:rsidP="00BA0B9F">
      <w:pPr>
        <w:rPr>
          <w:szCs w:val="26"/>
        </w:rPr>
      </w:pPr>
    </w:p>
    <w:p w:rsidR="00BA0B9F" w:rsidRDefault="00BA0B9F" w:rsidP="00BA0B9F">
      <w:pPr>
        <w:rPr>
          <w:szCs w:val="26"/>
        </w:rPr>
      </w:pPr>
      <w:r>
        <w:rPr>
          <w:szCs w:val="26"/>
        </w:rPr>
        <w:t>Proposed section 81C provides that the ‘dominant purpose of testing that is conducted on a live animal at a particular time is to be worked out in accordance with rules’ that must be made by the Director. The issue of ‘dominant purpose’ is included as an element of the offence in subsection </w:t>
      </w:r>
      <w:proofErr w:type="gramStart"/>
      <w:r>
        <w:rPr>
          <w:szCs w:val="26"/>
        </w:rPr>
        <w:t>81B(</w:t>
      </w:r>
      <w:proofErr w:type="gramEnd"/>
      <w:r>
        <w:rPr>
          <w:szCs w:val="26"/>
        </w:rPr>
        <w:t>2): that ‘the dominant purpose of the testing relates to the substance’s use in a cosmetic’.  A question therefore arises as to why it is appropriate that the content of an offence be determined by reference to a legislative instrument rather than being included in the primary legislation.</w:t>
      </w:r>
    </w:p>
    <w:p w:rsidR="00BA0B9F" w:rsidRDefault="00BA0B9F" w:rsidP="00BA0B9F">
      <w:pPr>
        <w:rPr>
          <w:szCs w:val="26"/>
        </w:rPr>
      </w:pPr>
    </w:p>
    <w:p w:rsidR="00BA0B9F" w:rsidRPr="00F833A7" w:rsidRDefault="00BA0B9F" w:rsidP="00BA0B9F">
      <w:pPr>
        <w:rPr>
          <w:b/>
          <w:szCs w:val="26"/>
        </w:rPr>
      </w:pPr>
      <w:r w:rsidRPr="00F833A7">
        <w:rPr>
          <w:b/>
          <w:szCs w:val="26"/>
        </w:rPr>
        <w:t>The committee seeks the Member</w:t>
      </w:r>
      <w:r>
        <w:rPr>
          <w:b/>
          <w:szCs w:val="26"/>
        </w:rPr>
        <w:t>’</w:t>
      </w:r>
      <w:r w:rsidRPr="00F833A7">
        <w:rPr>
          <w:b/>
          <w:szCs w:val="26"/>
        </w:rPr>
        <w:t xml:space="preserve">s advice as to why it is appropriate to include </w:t>
      </w:r>
      <w:r>
        <w:rPr>
          <w:b/>
          <w:szCs w:val="26"/>
        </w:rPr>
        <w:t>this significant matter</w:t>
      </w:r>
      <w:r w:rsidRPr="00F833A7">
        <w:rPr>
          <w:b/>
          <w:szCs w:val="26"/>
        </w:rPr>
        <w:t xml:space="preserve"> in delegated legislation. </w:t>
      </w:r>
    </w:p>
    <w:p w:rsidR="00BA0B9F" w:rsidRDefault="00BA0B9F" w:rsidP="00BA0B9F">
      <w:pPr>
        <w:rPr>
          <w:szCs w:val="26"/>
        </w:rPr>
      </w:pPr>
    </w:p>
    <w:p w:rsidR="00BA0B9F" w:rsidRDefault="00BA0B9F" w:rsidP="00BA0B9F">
      <w:pPr>
        <w:ind w:left="567" w:right="539"/>
        <w:rPr>
          <w:i/>
          <w:szCs w:val="26"/>
        </w:rPr>
      </w:pPr>
      <w:r>
        <w:rPr>
          <w:i/>
          <w:szCs w:val="26"/>
        </w:rPr>
        <w:t>Pending the Member’s reply, the committee draws Senators’ attention to the provisions, as they may be considered to delegate legislative powers inappropriately, in breach of principle 1(a</w:t>
      </w:r>
      <w:proofErr w:type="gramStart"/>
      <w:r>
        <w:rPr>
          <w:i/>
          <w:szCs w:val="26"/>
        </w:rPr>
        <w:t>)(</w:t>
      </w:r>
      <w:proofErr w:type="gramEnd"/>
      <w:r>
        <w:rPr>
          <w:i/>
          <w:szCs w:val="26"/>
        </w:rPr>
        <w:t>iv) of the committee’s terms of reference.</w:t>
      </w:r>
    </w:p>
    <w:p w:rsidR="00BA0B9F" w:rsidRDefault="00BA0B9F" w:rsidP="00BA0B9F"/>
    <w:p w:rsidR="00BA0B9F" w:rsidRPr="00F833A7" w:rsidRDefault="00BA0B9F" w:rsidP="00BA0B9F"/>
    <w:p w:rsidR="00BA0B9F" w:rsidRDefault="00BA0B9F" w:rsidP="00BA0B9F">
      <w:pPr>
        <w:spacing w:line="240" w:lineRule="auto"/>
        <w:jc w:val="left"/>
      </w:pPr>
      <w:r>
        <w:br w:type="page"/>
      </w:r>
    </w:p>
    <w:p w:rsidR="00BA0B9F" w:rsidRDefault="00BA0B9F" w:rsidP="00BA0B9F">
      <w:pPr>
        <w:pStyle w:val="H1"/>
      </w:pPr>
      <w:r>
        <w:rPr>
          <w:lang w:val="en-US"/>
        </w:rPr>
        <w:lastRenderedPageBreak/>
        <w:t>Flags Amendment (Protecting Australian Flags) Bill 2016</w:t>
      </w:r>
    </w:p>
    <w:p w:rsidR="00BA0B9F" w:rsidRDefault="00BA0B9F" w:rsidP="00BA0B9F">
      <w:r w:rsidRPr="00E110E9">
        <w:t xml:space="preserve">Introduced into the </w:t>
      </w:r>
      <w:r>
        <w:t xml:space="preserve">House of Representatives </w:t>
      </w:r>
      <w:r w:rsidRPr="00E110E9">
        <w:t xml:space="preserve">on </w:t>
      </w:r>
      <w:r>
        <w:t>29 February 2016</w:t>
      </w:r>
    </w:p>
    <w:p w:rsidR="00BA0B9F" w:rsidRDefault="00BA0B9F" w:rsidP="00BA0B9F">
      <w:r>
        <w:t>By: Mr Christensen</w:t>
      </w:r>
    </w:p>
    <w:p w:rsidR="00BA0B9F" w:rsidRDefault="00BA0B9F" w:rsidP="00BA0B9F"/>
    <w:p w:rsidR="00BA0B9F" w:rsidRDefault="00BA0B9F" w:rsidP="00BA0B9F">
      <w:pPr>
        <w:pStyle w:val="H211"/>
      </w:pPr>
      <w:r>
        <w:t>Background</w:t>
      </w:r>
    </w:p>
    <w:p w:rsidR="00BA0B9F" w:rsidRDefault="00BA0B9F" w:rsidP="00BA0B9F"/>
    <w:p w:rsidR="00BA0B9F" w:rsidRPr="002D3746" w:rsidRDefault="00BA0B9F" w:rsidP="00BA0B9F">
      <w:r>
        <w:t xml:space="preserve">This bill amends the </w:t>
      </w:r>
      <w:r>
        <w:rPr>
          <w:i/>
        </w:rPr>
        <w:t>Flags Act 1953</w:t>
      </w:r>
      <w:r>
        <w:t xml:space="preserve"> to make it a criminal offence to wilfully destroy or otherwise mutilate the Australian National Flag.</w:t>
      </w:r>
    </w:p>
    <w:p w:rsidR="00BA0B9F" w:rsidRDefault="00BA0B9F" w:rsidP="00BA0B9F"/>
    <w:p w:rsidR="00BA0B9F" w:rsidRDefault="00BA0B9F" w:rsidP="00BA0B9F">
      <w:pPr>
        <w:pStyle w:val="H2"/>
      </w:pPr>
      <w:r>
        <w:t>Freedom of speech</w:t>
      </w:r>
    </w:p>
    <w:p w:rsidR="00BA0B9F" w:rsidRDefault="00BA0B9F" w:rsidP="00BA0B9F">
      <w:pPr>
        <w:pStyle w:val="H2"/>
      </w:pPr>
      <w:r>
        <w:t>General comment</w:t>
      </w:r>
    </w:p>
    <w:p w:rsidR="00BA0B9F" w:rsidRPr="00A8184E" w:rsidRDefault="00BA0B9F" w:rsidP="00BA0B9F"/>
    <w:p w:rsidR="00BA0B9F" w:rsidRDefault="00BA0B9F" w:rsidP="00BA0B9F">
      <w:pPr>
        <w:rPr>
          <w:szCs w:val="26"/>
        </w:rPr>
      </w:pPr>
      <w:r>
        <w:rPr>
          <w:szCs w:val="26"/>
        </w:rPr>
        <w:t xml:space="preserve">The statement of compatibility asserts that this bill does not engage any applicable rights and </w:t>
      </w:r>
      <w:r w:rsidRPr="00002454">
        <w:rPr>
          <w:szCs w:val="26"/>
        </w:rPr>
        <w:t xml:space="preserve">freedoms. However, criminalisation of flag burning, on the basis that it will, for example, cause offence may be considered to diminish a person’s freedom of speech. </w:t>
      </w:r>
    </w:p>
    <w:p w:rsidR="00BA0B9F" w:rsidRDefault="00BA0B9F" w:rsidP="00BA0B9F">
      <w:pPr>
        <w:rPr>
          <w:szCs w:val="26"/>
        </w:rPr>
      </w:pPr>
    </w:p>
    <w:p w:rsidR="00BA0B9F" w:rsidRDefault="00BA0B9F" w:rsidP="00BA0B9F">
      <w:r w:rsidRPr="00002454">
        <w:rPr>
          <w:b/>
          <w:szCs w:val="26"/>
        </w:rPr>
        <w:t>The committee</w:t>
      </w:r>
      <w:r>
        <w:rPr>
          <w:b/>
          <w:szCs w:val="26"/>
        </w:rPr>
        <w:t xml:space="preserve"> therefore seeks the Member’s further advice as to whether the criminalisation of flag burning may be considered to trespass unduly on personal rights and liberties.</w:t>
      </w:r>
      <w:r w:rsidRPr="00002454">
        <w:rPr>
          <w:szCs w:val="26"/>
        </w:rPr>
        <w:t xml:space="preserve"> </w:t>
      </w:r>
    </w:p>
    <w:p w:rsidR="00BA0B9F" w:rsidRDefault="00BA0B9F" w:rsidP="00BA0B9F"/>
    <w:p w:rsidR="00BA0B9F" w:rsidRDefault="00BA0B9F" w:rsidP="00BA0B9F">
      <w:pPr>
        <w:ind w:left="567" w:right="539"/>
        <w:rPr>
          <w:i/>
        </w:rPr>
      </w:pPr>
      <w:r>
        <w:rPr>
          <w:i/>
        </w:rPr>
        <w:t>Pending the Member’s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BA0B9F" w:rsidRDefault="00BA0B9F" w:rsidP="00BA0B9F"/>
    <w:p w:rsidR="00BA0B9F" w:rsidRDefault="00BA0B9F" w:rsidP="00BA0B9F">
      <w:pPr>
        <w:spacing w:line="240" w:lineRule="auto"/>
        <w:jc w:val="left"/>
      </w:pPr>
      <w:r>
        <w:br w:type="page"/>
      </w:r>
    </w:p>
    <w:p w:rsidR="00BA0B9F" w:rsidRDefault="00BA0B9F" w:rsidP="00BA0B9F">
      <w:pPr>
        <w:pStyle w:val="H1"/>
      </w:pPr>
      <w:r>
        <w:rPr>
          <w:lang w:val="en-US"/>
        </w:rPr>
        <w:lastRenderedPageBreak/>
        <w:t>Law and Justice Legislation Amendment (Northern Territory Local Court) Bill 2016</w:t>
      </w:r>
    </w:p>
    <w:p w:rsidR="00BA0B9F" w:rsidRDefault="00BA0B9F" w:rsidP="00BA0B9F">
      <w:r w:rsidRPr="00E110E9">
        <w:t xml:space="preserve">Introduced into the </w:t>
      </w:r>
      <w:r>
        <w:t xml:space="preserve">House of Representatives </w:t>
      </w:r>
      <w:r w:rsidRPr="00E110E9">
        <w:t xml:space="preserve">on </w:t>
      </w:r>
      <w:r>
        <w:t>3 March 2016</w:t>
      </w:r>
    </w:p>
    <w:p w:rsidR="00BA0B9F" w:rsidRDefault="00BA0B9F" w:rsidP="00BA0B9F">
      <w:r>
        <w:t>Portfolio: Attorney-General</w:t>
      </w:r>
    </w:p>
    <w:p w:rsidR="00BA0B9F" w:rsidRDefault="00BA0B9F" w:rsidP="00BA0B9F"/>
    <w:p w:rsidR="00BA0B9F" w:rsidRDefault="00BA0B9F" w:rsidP="00BA0B9F">
      <w:pPr>
        <w:pStyle w:val="H211"/>
      </w:pPr>
      <w:r>
        <w:t>Background</w:t>
      </w:r>
    </w:p>
    <w:p w:rsidR="00BA0B9F" w:rsidRDefault="00BA0B9F" w:rsidP="00BA0B9F"/>
    <w:p w:rsidR="00BA0B9F" w:rsidRPr="00884D7F" w:rsidRDefault="00BA0B9F" w:rsidP="00BA0B9F">
      <w:r>
        <w:t xml:space="preserve">This bill makes consequential amendments to Commonwealth legislation arising from the enactment of the </w:t>
      </w:r>
      <w:r>
        <w:rPr>
          <w:i/>
        </w:rPr>
        <w:t>Local Court Act 2015</w:t>
      </w:r>
      <w:r>
        <w:t xml:space="preserve"> of the Northern Territory.</w:t>
      </w:r>
    </w:p>
    <w:p w:rsidR="00BA0B9F" w:rsidRDefault="00BA0B9F" w:rsidP="00BA0B9F"/>
    <w:p w:rsidR="00BA0B9F" w:rsidRPr="00085D53" w:rsidRDefault="00BA0B9F" w:rsidP="00BA0B9F">
      <w:pPr>
        <w:jc w:val="center"/>
        <w:rPr>
          <w:i/>
        </w:rPr>
      </w:pPr>
      <w:r>
        <w:rPr>
          <w:i/>
        </w:rPr>
        <w:t>The committee has no comment on this bill.</w:t>
      </w:r>
    </w:p>
    <w:p w:rsidR="00BA0B9F" w:rsidRDefault="00BA0B9F" w:rsidP="00BA0B9F"/>
    <w:p w:rsidR="00BA0B9F" w:rsidRDefault="00BA0B9F" w:rsidP="00BA0B9F">
      <w:pPr>
        <w:spacing w:line="240" w:lineRule="auto"/>
        <w:jc w:val="left"/>
      </w:pPr>
      <w:r>
        <w:br w:type="page"/>
      </w:r>
    </w:p>
    <w:p w:rsidR="00BA0B9F" w:rsidRDefault="00BA0B9F" w:rsidP="00BA0B9F">
      <w:pPr>
        <w:pStyle w:val="H1"/>
      </w:pPr>
      <w:r>
        <w:rPr>
          <w:lang w:val="en-US"/>
        </w:rPr>
        <w:lastRenderedPageBreak/>
        <w:t>Migration Amendment (Free the Children) Bill 2016</w:t>
      </w:r>
    </w:p>
    <w:p w:rsidR="00BA0B9F" w:rsidRDefault="00BA0B9F" w:rsidP="00BA0B9F">
      <w:r w:rsidRPr="00E110E9">
        <w:t xml:space="preserve">Introduced into the </w:t>
      </w:r>
      <w:r>
        <w:t xml:space="preserve">Senate </w:t>
      </w:r>
      <w:r w:rsidRPr="00E110E9">
        <w:t xml:space="preserve">on </w:t>
      </w:r>
      <w:r>
        <w:t>2 March 2016</w:t>
      </w:r>
    </w:p>
    <w:p w:rsidR="00BA0B9F" w:rsidRDefault="00BA0B9F" w:rsidP="00BA0B9F">
      <w:r>
        <w:t>By: Senator Hanson-Young</w:t>
      </w:r>
    </w:p>
    <w:p w:rsidR="00BA0B9F" w:rsidRDefault="00BA0B9F" w:rsidP="00BA0B9F"/>
    <w:p w:rsidR="00BA0B9F" w:rsidRDefault="00BA0B9F" w:rsidP="00BA0B9F">
      <w:pPr>
        <w:pStyle w:val="H211"/>
      </w:pPr>
      <w:r>
        <w:t>Background</w:t>
      </w:r>
    </w:p>
    <w:p w:rsidR="00BA0B9F" w:rsidRDefault="00BA0B9F" w:rsidP="00BA0B9F"/>
    <w:p w:rsidR="00BA0B9F" w:rsidRPr="00BA4C0D" w:rsidRDefault="00BA0B9F" w:rsidP="00BA0B9F">
      <w:r>
        <w:t xml:space="preserve">This bill amends the </w:t>
      </w:r>
      <w:r>
        <w:rPr>
          <w:i/>
        </w:rPr>
        <w:t>Migration Act 1958</w:t>
      </w:r>
      <w:r>
        <w:t xml:space="preserve"> (the Act) to seek to place children detained under the Act, along with their immediate family members or guardians, in community residential housing for any requisite period of detention instead of being held in immigration detention facilities.</w:t>
      </w:r>
    </w:p>
    <w:p w:rsidR="00BA0B9F" w:rsidRDefault="00BA0B9F" w:rsidP="00BA0B9F"/>
    <w:p w:rsidR="00BA0B9F" w:rsidRDefault="00BA0B9F" w:rsidP="00BA0B9F">
      <w:pPr>
        <w:jc w:val="center"/>
        <w:rPr>
          <w:i/>
        </w:rPr>
      </w:pPr>
      <w:r>
        <w:rPr>
          <w:i/>
        </w:rPr>
        <w:t>The committee has no comment on this bill.</w:t>
      </w:r>
    </w:p>
    <w:p w:rsidR="00BA0B9F" w:rsidRDefault="00BA0B9F" w:rsidP="00BA0B9F">
      <w:pPr>
        <w:jc w:val="center"/>
        <w:rPr>
          <w:i/>
        </w:rPr>
      </w:pPr>
    </w:p>
    <w:p w:rsidR="00BA0B9F" w:rsidRDefault="00BA0B9F" w:rsidP="00BA0B9F">
      <w:pPr>
        <w:jc w:val="center"/>
        <w:rPr>
          <w:i/>
        </w:rPr>
      </w:pPr>
    </w:p>
    <w:p w:rsidR="00BA0B9F" w:rsidRDefault="00BA0B9F" w:rsidP="00BA0B9F">
      <w:pPr>
        <w:spacing w:line="240" w:lineRule="auto"/>
        <w:jc w:val="left"/>
        <w:rPr>
          <w:i/>
        </w:rPr>
      </w:pPr>
      <w:r>
        <w:rPr>
          <w:i/>
        </w:rPr>
        <w:br w:type="page"/>
      </w:r>
    </w:p>
    <w:p w:rsidR="00BA0B9F" w:rsidRDefault="00BA0B9F" w:rsidP="00BA0B9F">
      <w:pPr>
        <w:pStyle w:val="H1"/>
      </w:pPr>
      <w:r>
        <w:rPr>
          <w:lang w:val="en-US"/>
        </w:rPr>
        <w:lastRenderedPageBreak/>
        <w:t>Primary Industries Levies and Charges Collection Amendment Bill 2016</w:t>
      </w:r>
    </w:p>
    <w:p w:rsidR="00BA0B9F" w:rsidRDefault="00BA0B9F" w:rsidP="00BA0B9F">
      <w:r w:rsidRPr="00E110E9">
        <w:t xml:space="preserve">Introduced into the </w:t>
      </w:r>
      <w:r>
        <w:t xml:space="preserve">House of Representatives </w:t>
      </w:r>
      <w:r w:rsidRPr="00E110E9">
        <w:t xml:space="preserve">on </w:t>
      </w:r>
      <w:r>
        <w:t>3 March 2016</w:t>
      </w:r>
    </w:p>
    <w:p w:rsidR="00BA0B9F" w:rsidRDefault="00BA0B9F" w:rsidP="00BA0B9F">
      <w:r>
        <w:t>Portfolio: Agriculture and Water Resources</w:t>
      </w:r>
    </w:p>
    <w:p w:rsidR="00BA0B9F" w:rsidRDefault="00BA0B9F" w:rsidP="00BA0B9F"/>
    <w:p w:rsidR="00BA0B9F" w:rsidRDefault="00BA0B9F" w:rsidP="00BA0B9F">
      <w:pPr>
        <w:pStyle w:val="H211"/>
      </w:pPr>
      <w:r>
        <w:t>Background</w:t>
      </w:r>
    </w:p>
    <w:p w:rsidR="00BA0B9F" w:rsidRDefault="00BA0B9F" w:rsidP="00BA0B9F"/>
    <w:p w:rsidR="00BA0B9F" w:rsidRDefault="00BA0B9F" w:rsidP="00BA0B9F">
      <w:pPr>
        <w:spacing w:after="120"/>
      </w:pPr>
      <w:r>
        <w:t xml:space="preserve">This bill amends </w:t>
      </w:r>
      <w:r>
        <w:rPr>
          <w:i/>
        </w:rPr>
        <w:t>Primary Industries Levies and Charges Collection Act 1991</w:t>
      </w:r>
      <w:r>
        <w:t xml:space="preserve"> to:</w:t>
      </w:r>
    </w:p>
    <w:p w:rsidR="00BA0B9F" w:rsidRDefault="00BA0B9F" w:rsidP="00BA0B9F">
      <w:pPr>
        <w:pStyle w:val="B1"/>
        <w:numPr>
          <w:ilvl w:val="0"/>
          <w:numId w:val="18"/>
        </w:numPr>
        <w:spacing w:after="120"/>
      </w:pPr>
      <w:r w:rsidRPr="00060285">
        <w:t>allow the Department of Agriculture and Water Resources to provide levy and charge payer (levy payer) information to the rural research and development corporations (RDCs) for the purpose of developing levy payer regis</w:t>
      </w:r>
      <w:r>
        <w:t>ters;</w:t>
      </w:r>
    </w:p>
    <w:p w:rsidR="00BA0B9F" w:rsidRDefault="00BA0B9F" w:rsidP="00BA0B9F">
      <w:pPr>
        <w:pStyle w:val="B1"/>
        <w:numPr>
          <w:ilvl w:val="0"/>
          <w:numId w:val="18"/>
        </w:numPr>
        <w:spacing w:after="120"/>
      </w:pPr>
      <w:r>
        <w:t>remove</w:t>
      </w:r>
      <w:r w:rsidRPr="00373775">
        <w:t xml:space="preserve"> the legislative impediment to the development of levy payer registers</w:t>
      </w:r>
      <w:r>
        <w:t>;</w:t>
      </w:r>
    </w:p>
    <w:p w:rsidR="00BA0B9F" w:rsidRDefault="00BA0B9F" w:rsidP="00BA0B9F">
      <w:pPr>
        <w:pStyle w:val="B1"/>
        <w:numPr>
          <w:ilvl w:val="0"/>
          <w:numId w:val="18"/>
        </w:numPr>
        <w:spacing w:after="120"/>
      </w:pPr>
      <w:r w:rsidRPr="00B438E2">
        <w:t>allow an authorised person to provide levy payer contact information, and details of the levy paid or payable, to an eligible recipient</w:t>
      </w:r>
      <w:r>
        <w:t>;</w:t>
      </w:r>
    </w:p>
    <w:p w:rsidR="00BA0B9F" w:rsidRDefault="00BA0B9F" w:rsidP="00BA0B9F">
      <w:pPr>
        <w:pStyle w:val="B1"/>
        <w:numPr>
          <w:ilvl w:val="0"/>
          <w:numId w:val="18"/>
        </w:numPr>
        <w:spacing w:after="120"/>
      </w:pPr>
      <w:r>
        <w:t>define</w:t>
      </w:r>
      <w:r w:rsidRPr="00B438E2">
        <w:t xml:space="preserve"> an eligible recipient as an RDC</w:t>
      </w:r>
      <w:r>
        <w:t xml:space="preserve"> or</w:t>
      </w:r>
      <w:r w:rsidRPr="00DE5A91">
        <w:t xml:space="preserve"> </w:t>
      </w:r>
      <w:r w:rsidRPr="00C705A4">
        <w:t>the Australian Bureau of Statistics</w:t>
      </w:r>
      <w:r>
        <w:t>;</w:t>
      </w:r>
    </w:p>
    <w:p w:rsidR="00BA0B9F" w:rsidRDefault="00BA0B9F" w:rsidP="00BA0B9F">
      <w:pPr>
        <w:pStyle w:val="B1"/>
        <w:numPr>
          <w:ilvl w:val="0"/>
          <w:numId w:val="18"/>
        </w:numPr>
        <w:spacing w:after="120"/>
      </w:pPr>
      <w:r>
        <w:t>set</w:t>
      </w:r>
      <w:r w:rsidRPr="00C705A4">
        <w:t xml:space="preserve"> out the purposes for which the information provided </w:t>
      </w:r>
      <w:r>
        <w:t xml:space="preserve">to the eligible recipient </w:t>
      </w:r>
      <w:r w:rsidRPr="00C705A4">
        <w:t>can be used</w:t>
      </w:r>
      <w:r>
        <w:t>;</w:t>
      </w:r>
    </w:p>
    <w:p w:rsidR="00BA0B9F" w:rsidRDefault="00BA0B9F" w:rsidP="00BA0B9F">
      <w:pPr>
        <w:pStyle w:val="B1"/>
        <w:numPr>
          <w:ilvl w:val="0"/>
          <w:numId w:val="18"/>
        </w:numPr>
        <w:spacing w:after="120"/>
      </w:pPr>
      <w:r>
        <w:t>allow</w:t>
      </w:r>
      <w:r w:rsidRPr="00C705A4">
        <w:t xml:space="preserve"> the Secretary to provide, by legislative instrument, for other information relating to the production or processing of a commodity to be given to an eligible recipient</w:t>
      </w:r>
      <w:r>
        <w:t>; and</w:t>
      </w:r>
    </w:p>
    <w:p w:rsidR="00BA0B9F" w:rsidRDefault="00BA0B9F" w:rsidP="00BA0B9F">
      <w:pPr>
        <w:pStyle w:val="B1"/>
        <w:numPr>
          <w:ilvl w:val="0"/>
          <w:numId w:val="18"/>
        </w:numPr>
        <w:spacing w:after="0"/>
      </w:pPr>
      <w:proofErr w:type="gramStart"/>
      <w:r w:rsidRPr="00060285">
        <w:t>not</w:t>
      </w:r>
      <w:proofErr w:type="gramEnd"/>
      <w:r w:rsidRPr="00060285">
        <w:t xml:space="preserve"> permit secondary disclosure of information included in a levy payer register, except in limited circumstances and where expressly permitted by the Secretary in writing</w:t>
      </w:r>
      <w:r>
        <w:t>.</w:t>
      </w:r>
    </w:p>
    <w:p w:rsidR="00BA0B9F" w:rsidRDefault="00BA0B9F" w:rsidP="00BA0B9F">
      <w:pPr>
        <w:pStyle w:val="B1"/>
        <w:numPr>
          <w:ilvl w:val="0"/>
          <w:numId w:val="0"/>
        </w:numPr>
        <w:spacing w:after="0"/>
      </w:pPr>
    </w:p>
    <w:p w:rsidR="00BA0B9F" w:rsidRPr="007B66C8" w:rsidRDefault="00BA0B9F" w:rsidP="00BA0B9F">
      <w:pPr>
        <w:pStyle w:val="B1"/>
        <w:numPr>
          <w:ilvl w:val="0"/>
          <w:numId w:val="0"/>
        </w:numPr>
        <w:spacing w:after="0"/>
      </w:pPr>
      <w:r>
        <w:t xml:space="preserve">The bill also makes consequential amendments to the </w:t>
      </w:r>
      <w:r>
        <w:rPr>
          <w:i/>
        </w:rPr>
        <w:t>Australian Meat and Live-stock Industry Act 1997,</w:t>
      </w:r>
      <w:r>
        <w:t xml:space="preserve"> the </w:t>
      </w:r>
      <w:r>
        <w:rPr>
          <w:i/>
        </w:rPr>
        <w:t>Dairy Produce Act 1986</w:t>
      </w:r>
      <w:r>
        <w:t xml:space="preserve"> and the </w:t>
      </w:r>
      <w:r>
        <w:rPr>
          <w:i/>
        </w:rPr>
        <w:t>National Residue Survey Administration Act 1992.</w:t>
      </w:r>
    </w:p>
    <w:p w:rsidR="00BA0B9F" w:rsidRDefault="00BA0B9F" w:rsidP="00BA0B9F"/>
    <w:p w:rsidR="00BA0B9F" w:rsidRDefault="00BA0B9F" w:rsidP="00BA0B9F">
      <w:pPr>
        <w:jc w:val="center"/>
        <w:rPr>
          <w:i/>
        </w:rPr>
      </w:pPr>
      <w:r>
        <w:rPr>
          <w:i/>
        </w:rPr>
        <w:t>The committee has no comment on this bill</w:t>
      </w:r>
    </w:p>
    <w:p w:rsidR="00BA0B9F" w:rsidRDefault="00BA0B9F" w:rsidP="00BA0B9F">
      <w:pPr>
        <w:jc w:val="center"/>
        <w:rPr>
          <w:i/>
        </w:rPr>
      </w:pPr>
    </w:p>
    <w:p w:rsidR="00BA0B9F" w:rsidRDefault="00BA0B9F" w:rsidP="00BA0B9F">
      <w:pPr>
        <w:jc w:val="center"/>
        <w:rPr>
          <w:i/>
        </w:rPr>
      </w:pPr>
    </w:p>
    <w:p w:rsidR="00BA0B9F" w:rsidRDefault="00BA0B9F" w:rsidP="00BA0B9F">
      <w:pPr>
        <w:spacing w:line="240" w:lineRule="auto"/>
        <w:jc w:val="left"/>
        <w:rPr>
          <w:i/>
        </w:rPr>
      </w:pPr>
      <w:r>
        <w:rPr>
          <w:i/>
        </w:rPr>
        <w:br w:type="page"/>
      </w:r>
    </w:p>
    <w:p w:rsidR="00BA0B9F" w:rsidRDefault="00BA0B9F" w:rsidP="00BA0B9F">
      <w:pPr>
        <w:pStyle w:val="H1"/>
      </w:pPr>
      <w:r>
        <w:rPr>
          <w:lang w:val="en-US"/>
        </w:rPr>
        <w:lastRenderedPageBreak/>
        <w:t>Registration of Deaths Abroad Amendment Bill 2016</w:t>
      </w:r>
    </w:p>
    <w:p w:rsidR="00BA0B9F" w:rsidRDefault="00BA0B9F" w:rsidP="00BA0B9F">
      <w:r w:rsidRPr="00E110E9">
        <w:t xml:space="preserve">Introduced into the </w:t>
      </w:r>
      <w:r>
        <w:t xml:space="preserve">House of Representatives </w:t>
      </w:r>
      <w:r w:rsidRPr="00E110E9">
        <w:t xml:space="preserve">on </w:t>
      </w:r>
      <w:r>
        <w:t>2 March 2016</w:t>
      </w:r>
    </w:p>
    <w:p w:rsidR="00BA0B9F" w:rsidRDefault="00BA0B9F" w:rsidP="00BA0B9F">
      <w:r>
        <w:t>Portfolio: Foreign Affairs and Trade</w:t>
      </w:r>
    </w:p>
    <w:p w:rsidR="00BA0B9F" w:rsidRDefault="00BA0B9F" w:rsidP="00BA0B9F"/>
    <w:p w:rsidR="00BA0B9F" w:rsidRDefault="00BA0B9F" w:rsidP="00BA0B9F">
      <w:pPr>
        <w:pStyle w:val="H211"/>
      </w:pPr>
      <w:r>
        <w:t>Background</w:t>
      </w:r>
    </w:p>
    <w:p w:rsidR="00BA0B9F" w:rsidRDefault="00BA0B9F" w:rsidP="00BA0B9F"/>
    <w:p w:rsidR="00BA0B9F" w:rsidRDefault="00BA0B9F" w:rsidP="00BA0B9F">
      <w:pPr>
        <w:spacing w:after="120"/>
      </w:pPr>
      <w:r>
        <w:t xml:space="preserve">This bill amends </w:t>
      </w:r>
      <w:r>
        <w:rPr>
          <w:i/>
        </w:rPr>
        <w:t>Registration of Deaths Abroad Act 1984</w:t>
      </w:r>
      <w:r>
        <w:t xml:space="preserve"> (the Act) to:</w:t>
      </w:r>
    </w:p>
    <w:p w:rsidR="00BA0B9F" w:rsidRDefault="00BA0B9F" w:rsidP="00BA0B9F">
      <w:pPr>
        <w:pStyle w:val="B1"/>
        <w:numPr>
          <w:ilvl w:val="0"/>
          <w:numId w:val="18"/>
        </w:numPr>
        <w:spacing w:after="120"/>
      </w:pPr>
      <w:r w:rsidRPr="00B20870">
        <w:rPr>
          <w:sz w:val="24"/>
        </w:rPr>
        <w:t>c</w:t>
      </w:r>
      <w:r>
        <w:t>orrect an anomaly in the Act to allow the ‘Registrar of Deaths Abroad’ to register deaths in prescribed circumstances;</w:t>
      </w:r>
    </w:p>
    <w:p w:rsidR="00BA0B9F" w:rsidRDefault="00BA0B9F" w:rsidP="00BA0B9F">
      <w:pPr>
        <w:pStyle w:val="B1"/>
        <w:numPr>
          <w:ilvl w:val="0"/>
          <w:numId w:val="18"/>
        </w:numPr>
        <w:spacing w:after="120"/>
      </w:pPr>
      <w:r w:rsidRPr="00E40603">
        <w:t>provide the Foreign Minister with the flexibility to appoint any State or Territory Registrar as the Registrar;</w:t>
      </w:r>
    </w:p>
    <w:p w:rsidR="00BA0B9F" w:rsidRDefault="00BA0B9F" w:rsidP="00BA0B9F">
      <w:pPr>
        <w:pStyle w:val="B1"/>
        <w:numPr>
          <w:ilvl w:val="0"/>
          <w:numId w:val="18"/>
        </w:numPr>
        <w:spacing w:after="120"/>
      </w:pPr>
      <w:r w:rsidRPr="00E40603">
        <w:t xml:space="preserve">validate the prior appointment of the ACT Registrar-General as the Registrar and any previous registrations of deaths under the </w:t>
      </w:r>
      <w:r>
        <w:t>A</w:t>
      </w:r>
      <w:r w:rsidRPr="00E40603">
        <w:t>ct;</w:t>
      </w:r>
    </w:p>
    <w:p w:rsidR="00BA0B9F" w:rsidRDefault="00BA0B9F" w:rsidP="00BA0B9F">
      <w:pPr>
        <w:pStyle w:val="B1"/>
        <w:numPr>
          <w:ilvl w:val="0"/>
          <w:numId w:val="18"/>
        </w:numPr>
        <w:spacing w:after="120"/>
      </w:pPr>
      <w:r w:rsidRPr="00E40603">
        <w:t>allow the Registrar to register deaths that could have been registered under the law of a State or Territory, where the State or Territory concerned has provided notice that it will not register a death; and</w:t>
      </w:r>
    </w:p>
    <w:p w:rsidR="00BA0B9F" w:rsidRPr="00E40603" w:rsidRDefault="00BA0B9F" w:rsidP="00BA0B9F">
      <w:pPr>
        <w:pStyle w:val="B1"/>
        <w:numPr>
          <w:ilvl w:val="0"/>
          <w:numId w:val="18"/>
        </w:numPr>
        <w:spacing w:after="120"/>
      </w:pPr>
      <w:proofErr w:type="gramStart"/>
      <w:r w:rsidRPr="00E40603">
        <w:t>remove</w:t>
      </w:r>
      <w:proofErr w:type="gramEnd"/>
      <w:r w:rsidRPr="00E40603">
        <w:t xml:space="preserve"> any references to ‘registering officers’ from the Act, to ensure that only the Registrar can register deaths under the Act.</w:t>
      </w:r>
    </w:p>
    <w:p w:rsidR="00BA0B9F" w:rsidRDefault="00BA0B9F" w:rsidP="00BA0B9F"/>
    <w:p w:rsidR="00BA0B9F" w:rsidRPr="009700BB" w:rsidRDefault="00BA0B9F" w:rsidP="00BA0B9F">
      <w:pPr>
        <w:jc w:val="center"/>
        <w:rPr>
          <w:i/>
        </w:rPr>
      </w:pPr>
      <w:r>
        <w:rPr>
          <w:i/>
        </w:rPr>
        <w:t>The committee has no comment on this bill.</w:t>
      </w:r>
    </w:p>
    <w:p w:rsidR="00BA0B9F" w:rsidRDefault="00BA0B9F" w:rsidP="00BA0B9F"/>
    <w:p w:rsidR="00BA0B9F" w:rsidRDefault="00BA0B9F" w:rsidP="00BA0B9F">
      <w:pPr>
        <w:spacing w:line="240" w:lineRule="auto"/>
        <w:jc w:val="left"/>
        <w:rPr>
          <w:b/>
          <w:sz w:val="36"/>
          <w:lang w:val="en-US"/>
        </w:rPr>
      </w:pPr>
      <w:r>
        <w:rPr>
          <w:lang w:val="en-US"/>
        </w:rPr>
        <w:br w:type="page"/>
      </w:r>
    </w:p>
    <w:p w:rsidR="00BA0B9F" w:rsidRPr="00450701" w:rsidRDefault="00BA0B9F" w:rsidP="00BA0B9F">
      <w:pPr>
        <w:pStyle w:val="H1"/>
      </w:pPr>
      <w:r w:rsidRPr="00450701">
        <w:rPr>
          <w:lang w:val="en-US"/>
        </w:rPr>
        <w:lastRenderedPageBreak/>
        <w:t>Regulatory Powers (</w:t>
      </w:r>
      <w:proofErr w:type="spellStart"/>
      <w:r w:rsidRPr="00450701">
        <w:rPr>
          <w:lang w:val="en-US"/>
        </w:rPr>
        <w:t>Standardisation</w:t>
      </w:r>
      <w:proofErr w:type="spellEnd"/>
      <w:r w:rsidRPr="00450701">
        <w:rPr>
          <w:lang w:val="en-US"/>
        </w:rPr>
        <w:t xml:space="preserve"> Reform) Bill 2016</w:t>
      </w:r>
    </w:p>
    <w:p w:rsidR="00BA0B9F" w:rsidRPr="00450701" w:rsidRDefault="00BA0B9F" w:rsidP="00BA0B9F">
      <w:r w:rsidRPr="00450701">
        <w:t>Introduced into the House of Representatives on 2 March 2016</w:t>
      </w:r>
    </w:p>
    <w:p w:rsidR="00BA0B9F" w:rsidRPr="00450701" w:rsidRDefault="00BA0B9F" w:rsidP="00BA0B9F">
      <w:r w:rsidRPr="00450701">
        <w:t>Portfolio: Attorney-General</w:t>
      </w:r>
    </w:p>
    <w:p w:rsidR="00BA0B9F" w:rsidRPr="00450701" w:rsidRDefault="00BA0B9F" w:rsidP="00BA0B9F"/>
    <w:p w:rsidR="00BA0B9F" w:rsidRPr="00450701" w:rsidRDefault="00BA0B9F" w:rsidP="00BA0B9F">
      <w:pPr>
        <w:pStyle w:val="H211"/>
      </w:pPr>
      <w:r w:rsidRPr="00450701">
        <w:t>Background</w:t>
      </w:r>
    </w:p>
    <w:p w:rsidR="00BA0B9F" w:rsidRPr="00450701" w:rsidRDefault="00BA0B9F" w:rsidP="00BA0B9F"/>
    <w:p w:rsidR="00BA0B9F" w:rsidRPr="00450701" w:rsidRDefault="00BA0B9F" w:rsidP="00BA0B9F">
      <w:r w:rsidRPr="00450701">
        <w:t xml:space="preserve">This bill amends 15 Commonwealth Acts in order to implement the </w:t>
      </w:r>
      <w:r w:rsidRPr="00450701">
        <w:rPr>
          <w:i/>
        </w:rPr>
        <w:t xml:space="preserve">Regulatory Powers (Standard Provisions) Act 2014 </w:t>
      </w:r>
      <w:r w:rsidRPr="00450701">
        <w:t>(the Regulatory Powers Act) by repealing current provisions providing for regulatory regimes in those Acts.</w:t>
      </w:r>
    </w:p>
    <w:p w:rsidR="00BA0B9F" w:rsidRPr="00450701" w:rsidRDefault="00BA0B9F" w:rsidP="00BA0B9F"/>
    <w:p w:rsidR="00BA0B9F" w:rsidRPr="00450701" w:rsidRDefault="00BA0B9F" w:rsidP="00BA0B9F">
      <w:r w:rsidRPr="00450701">
        <w:t>The bill also makes minor amendments to the Regulatory Powers Act to clarify the operation of certain provisions and remove unreasonable administrative burdens on agencies exercising regulatory powers.</w:t>
      </w:r>
    </w:p>
    <w:p w:rsidR="00BA0B9F" w:rsidRPr="00450701" w:rsidRDefault="00BA0B9F" w:rsidP="00BA0B9F"/>
    <w:p w:rsidR="00BA0B9F" w:rsidRPr="00450701" w:rsidRDefault="00BA0B9F" w:rsidP="00BA0B9F">
      <w:pPr>
        <w:pStyle w:val="H2"/>
      </w:pPr>
      <w:r w:rsidRPr="00450701">
        <w:t>Privacy</w:t>
      </w:r>
    </w:p>
    <w:p w:rsidR="00BA0B9F" w:rsidRPr="00450701" w:rsidRDefault="00BA0B9F" w:rsidP="00BA0B9F">
      <w:pPr>
        <w:pStyle w:val="H2"/>
      </w:pPr>
      <w:r w:rsidRPr="00450701">
        <w:t>Schedule 1, item 2, new paragraph 22(1</w:t>
      </w:r>
      <w:proofErr w:type="gramStart"/>
      <w:r w:rsidRPr="00450701">
        <w:t>)(</w:t>
      </w:r>
      <w:proofErr w:type="gramEnd"/>
      <w:r w:rsidRPr="00450701">
        <w:t>b)</w:t>
      </w:r>
    </w:p>
    <w:p w:rsidR="00BA0B9F" w:rsidRPr="00450701" w:rsidRDefault="00BA0B9F" w:rsidP="00BA0B9F">
      <w:pPr>
        <w:rPr>
          <w:szCs w:val="26"/>
        </w:rPr>
      </w:pPr>
    </w:p>
    <w:p w:rsidR="00BA0B9F" w:rsidRPr="00450701" w:rsidRDefault="00BA0B9F" w:rsidP="00BA0B9F">
      <w:pPr>
        <w:rPr>
          <w:szCs w:val="26"/>
        </w:rPr>
      </w:pPr>
      <w:r w:rsidRPr="00450701">
        <w:rPr>
          <w:szCs w:val="26"/>
        </w:rPr>
        <w:t>This provision relates to the ability to secure evidence of a contravention in the context of exercising monitoring powers. It is described (at paragraph 15 of the statement of compatibility) as ‘correcting a drafting error’ by ‘making it clear that the [existing] power to secure things applies to both the core provisions in relation to which monitoring powers are being exercised, as well as any related provisions.’</w:t>
      </w:r>
    </w:p>
    <w:p w:rsidR="00BA0B9F" w:rsidRPr="00450701" w:rsidRDefault="00BA0B9F" w:rsidP="00BA0B9F">
      <w:pPr>
        <w:rPr>
          <w:szCs w:val="26"/>
        </w:rPr>
      </w:pPr>
    </w:p>
    <w:p w:rsidR="00BA0B9F" w:rsidRPr="00450701" w:rsidRDefault="00BA0B9F" w:rsidP="00BA0B9F">
      <w:pPr>
        <w:rPr>
          <w:szCs w:val="26"/>
        </w:rPr>
      </w:pPr>
      <w:r w:rsidRPr="00450701">
        <w:rPr>
          <w:szCs w:val="26"/>
        </w:rPr>
        <w:t>The statement of compatibility (at pp 4–6) includes a justification for the proposed approach, which will result in an increased impact on the right to privacy. The explanatory material notes constraints on the exercise of the power, which include that authorisation is only provided after a warrant is obtained and a warrant will be limited to operating for 24 hours.</w:t>
      </w:r>
    </w:p>
    <w:p w:rsidR="00BA0B9F" w:rsidRPr="00450701" w:rsidRDefault="00BA0B9F" w:rsidP="00BA0B9F">
      <w:pPr>
        <w:rPr>
          <w:szCs w:val="26"/>
        </w:rPr>
      </w:pPr>
    </w:p>
    <w:p w:rsidR="00BA0B9F" w:rsidRPr="00450701" w:rsidRDefault="00BA0B9F" w:rsidP="00BA0B9F">
      <w:pPr>
        <w:rPr>
          <w:b/>
        </w:rPr>
      </w:pPr>
      <w:r w:rsidRPr="00450701">
        <w:rPr>
          <w:b/>
          <w:szCs w:val="26"/>
        </w:rPr>
        <w:t>I</w:t>
      </w:r>
      <w:r w:rsidRPr="00450701">
        <w:rPr>
          <w:b/>
        </w:rPr>
        <w:t xml:space="preserve">n light of the explanation provided in the statement of compatibility (pp 4–6) the committee draws this matter to the attention of Senators and leaves it to the consideration of the Senate as a whole. </w:t>
      </w:r>
    </w:p>
    <w:p w:rsidR="00BA0B9F" w:rsidRPr="00450701" w:rsidRDefault="00BA0B9F" w:rsidP="00BA0B9F">
      <w:pPr>
        <w:rPr>
          <w:b/>
        </w:rPr>
      </w:pPr>
    </w:p>
    <w:p w:rsidR="00BA0B9F" w:rsidRPr="00450701" w:rsidRDefault="00BA0B9F" w:rsidP="00BA0B9F">
      <w:pPr>
        <w:ind w:left="567" w:right="539"/>
        <w:rPr>
          <w:i/>
        </w:rPr>
      </w:pPr>
      <w:r w:rsidRPr="00450701">
        <w:rPr>
          <w:i/>
        </w:rPr>
        <w:lastRenderedPageBreak/>
        <w:t>The committee draws Senators’ attention to the provision as it may be considered to trespass unduly on personal rights and liberties in breach of principle 1(a</w:t>
      </w:r>
      <w:proofErr w:type="gramStart"/>
      <w:r w:rsidRPr="00450701">
        <w:rPr>
          <w:i/>
        </w:rPr>
        <w:t>)(</w:t>
      </w:r>
      <w:proofErr w:type="gramEnd"/>
      <w:r w:rsidRPr="00450701">
        <w:rPr>
          <w:i/>
        </w:rPr>
        <w:t>i) of the committee’s terms of reference.</w:t>
      </w:r>
    </w:p>
    <w:p w:rsidR="00BA0B9F" w:rsidRPr="00885AE2" w:rsidRDefault="00BA0B9F" w:rsidP="00BA0B9F">
      <w:pPr>
        <w:pStyle w:val="H2"/>
      </w:pPr>
      <w:r w:rsidRPr="00885AE2">
        <w:t>Reversal of burden of proof</w:t>
      </w:r>
    </w:p>
    <w:p w:rsidR="00BA0B9F" w:rsidRPr="00885AE2" w:rsidRDefault="00BA0B9F" w:rsidP="00BA0B9F">
      <w:pPr>
        <w:pStyle w:val="H2"/>
      </w:pPr>
      <w:r w:rsidRPr="00885AE2">
        <w:t xml:space="preserve">Various provisions, including </w:t>
      </w:r>
      <w:r>
        <w:t>s</w:t>
      </w:r>
      <w:r w:rsidRPr="00885AE2">
        <w:t>chedule 7, new subsection 129(4)</w:t>
      </w:r>
    </w:p>
    <w:p w:rsidR="00BA0B9F" w:rsidRPr="00885AE2" w:rsidRDefault="00BA0B9F" w:rsidP="00BA0B9F"/>
    <w:p w:rsidR="00BA0B9F" w:rsidRPr="00885AE2" w:rsidRDefault="00BA0B9F" w:rsidP="00BA0B9F">
      <w:r w:rsidRPr="00885AE2">
        <w:t>The statement of compatibility describes the effect of provisions on the operation of s</w:t>
      </w:r>
      <w:r>
        <w:t>ection</w:t>
      </w:r>
      <w:r w:rsidRPr="00885AE2">
        <w:t xml:space="preserve"> 96 of the Regulatory Powers Act that will reverse the burden of proof for specified civil penalty provisions as follows:</w:t>
      </w:r>
    </w:p>
    <w:p w:rsidR="00BA0B9F" w:rsidRPr="00885AE2" w:rsidRDefault="00BA0B9F" w:rsidP="00BA0B9F">
      <w:pPr>
        <w:pStyle w:val="ListParagraph"/>
        <w:numPr>
          <w:ilvl w:val="0"/>
          <w:numId w:val="35"/>
        </w:numPr>
        <w:spacing w:before="240"/>
        <w:ind w:left="567" w:hanging="567"/>
        <w:jc w:val="both"/>
        <w:rPr>
          <w:sz w:val="24"/>
          <w:szCs w:val="24"/>
        </w:rPr>
      </w:pPr>
      <w:r w:rsidRPr="00885AE2">
        <w:rPr>
          <w:sz w:val="24"/>
          <w:szCs w:val="24"/>
        </w:rPr>
        <w:t xml:space="preserve">Schedule 7 also modifies the operation of section 96 of the Regulatory Powers Act, and reverses the burden of proof for certain civil penalty provisions. This amendment preserves current arrangements under the GEMS Act, which are repealed by Schedule 7. Section 96 of the Regulatory Powers Act provides that, in proceedings for a civil penalty order against a person for a contravention of a civil penalty provision, a person bears an evidential burden where that person wishes to rely on any exception, exemption, excuse, qualification or justification provided by the law creating the civil penalty provision. </w:t>
      </w:r>
    </w:p>
    <w:p w:rsidR="00BA0B9F" w:rsidRPr="00885AE2" w:rsidRDefault="00BA0B9F" w:rsidP="00BA0B9F">
      <w:pPr>
        <w:pStyle w:val="ListParagraph"/>
        <w:spacing w:before="240"/>
        <w:ind w:left="567" w:hanging="567"/>
        <w:jc w:val="both"/>
        <w:rPr>
          <w:sz w:val="24"/>
          <w:szCs w:val="24"/>
        </w:rPr>
      </w:pPr>
    </w:p>
    <w:p w:rsidR="00BA0B9F" w:rsidRPr="00885AE2" w:rsidRDefault="00BA0B9F" w:rsidP="00BA0B9F">
      <w:pPr>
        <w:pStyle w:val="ListParagraph"/>
        <w:numPr>
          <w:ilvl w:val="0"/>
          <w:numId w:val="35"/>
        </w:numPr>
        <w:ind w:left="567" w:hanging="567"/>
        <w:jc w:val="both"/>
      </w:pPr>
      <w:r w:rsidRPr="00885AE2">
        <w:rPr>
          <w:sz w:val="24"/>
          <w:szCs w:val="24"/>
        </w:rPr>
        <w:t>New subsection 129(4) of the GEMS Act modifies the operation of section 96 of the Regulatory Powers Act, and provides that that section does not apply in relation to proceedings for a civil penalty order for a contravention of a civil penalty provision under Part 3 of the GEMS Act. This modification is necessary, as the civil penalty provisions in Part 3 of the GEMS Act provide that the person wishing to rely on certain exceptions or exemptions has the burden of proof for those matters, while the person seeking the civil penalty order has the burden in relation to other matters. The matters for which the person seeking to rely on the exceptions or exemptions has the burden of proof are primarily matters that are solely within the knowledge of that person (for example, where the matter relates to second-hand products). Turning off section 96 of the Regulatory Powers Act preserves the effect of these burden provisions in the GEMS Act. As new subsection 129(4) of the GEMS Act only relates to proceedings for a civil penalty order, and the civil penalty provisions are not criminal in nature, the right to be presumed innocent is not engaged.</w:t>
      </w:r>
      <w:r w:rsidRPr="00885AE2">
        <w:t xml:space="preserve"> </w:t>
      </w:r>
    </w:p>
    <w:p w:rsidR="00BA0B9F" w:rsidRPr="00885AE2" w:rsidRDefault="00BA0B9F" w:rsidP="00BA0B9F"/>
    <w:p w:rsidR="00BA0B9F" w:rsidRPr="00885AE2" w:rsidRDefault="00BA0B9F" w:rsidP="00BA0B9F">
      <w:r w:rsidRPr="00885AE2">
        <w:t>At common law, it is ordinarily the duty of the prosecution to prove all the elements of an offence beyond reasonable doubt. The accused is not required to prove anything (‘innocent until proven guilty’). However, provisions in some legislation reverse this onus and require the person charged with an offence to prove, or disprove, a matter to establish their innocence. This can include placing an evidential burden on the defendant in relation to an available defence or ‘exception’.</w:t>
      </w:r>
    </w:p>
    <w:p w:rsidR="00BA0B9F" w:rsidRPr="00885AE2" w:rsidRDefault="00BA0B9F" w:rsidP="00BA0B9F"/>
    <w:p w:rsidR="00BA0B9F" w:rsidRPr="00885AE2" w:rsidRDefault="00BA0B9F" w:rsidP="00BA0B9F">
      <w:r w:rsidRPr="00885AE2">
        <w:lastRenderedPageBreak/>
        <w:t xml:space="preserve">The explanatory memorandum </w:t>
      </w:r>
      <w:r>
        <w:t>suggest</w:t>
      </w:r>
      <w:r w:rsidRPr="00885AE2">
        <w:t>s that because this provision (and others) relate to civil penalties, the ‘right to be presumed</w:t>
      </w:r>
      <w:r w:rsidRPr="00885AE2">
        <w:rPr>
          <w:sz w:val="24"/>
          <w:szCs w:val="24"/>
        </w:rPr>
        <w:t xml:space="preserve"> </w:t>
      </w:r>
      <w:r w:rsidRPr="00885AE2">
        <w:t xml:space="preserve">innocent is not engaged’ and the approach does not compromise Article 14(2) of the </w:t>
      </w:r>
      <w:r w:rsidRPr="00885AE2">
        <w:rPr>
          <w:i/>
        </w:rPr>
        <w:t>International Covenant on Civil and Political Rights</w:t>
      </w:r>
      <w:r w:rsidRPr="00885AE2">
        <w:t xml:space="preserve"> (e.g. pp 26 and 64). </w:t>
      </w:r>
    </w:p>
    <w:p w:rsidR="00BA0B9F" w:rsidRPr="00885AE2" w:rsidRDefault="00BA0B9F" w:rsidP="00BA0B9F"/>
    <w:p w:rsidR="00BA0B9F" w:rsidRPr="00885AE2" w:rsidRDefault="00BA0B9F" w:rsidP="00BA0B9F">
      <w:pPr>
        <w:spacing w:after="120"/>
      </w:pPr>
      <w:r w:rsidRPr="00885AE2">
        <w:t>However, the principles that the Scrutiny of Bills Committee assesses proposed legislation against are not limited to the scope of international human rights law, and in assessing provisions for possible trespass on personal rights and liberties the committee considers whether the reversal of the burden of proof is appropriate in both civil and criminal matters. The committee looks to the explanatory memorandum for a detailed justification for provisions that reverse the onus of proof and is particularly interested in whether:</w:t>
      </w:r>
    </w:p>
    <w:p w:rsidR="00BA0B9F" w:rsidRPr="00885AE2" w:rsidRDefault="00BA0B9F" w:rsidP="00BA0B9F">
      <w:pPr>
        <w:pStyle w:val="B1"/>
        <w:numPr>
          <w:ilvl w:val="0"/>
          <w:numId w:val="18"/>
        </w:numPr>
        <w:spacing w:after="120"/>
      </w:pPr>
      <w:r w:rsidRPr="00885AE2">
        <w:t xml:space="preserve">the matter is peculiarly within the knowledge of the defendant, or </w:t>
      </w:r>
    </w:p>
    <w:p w:rsidR="00BA0B9F" w:rsidRPr="00885AE2" w:rsidRDefault="00BA0B9F" w:rsidP="00BA0B9F">
      <w:pPr>
        <w:pStyle w:val="B1"/>
        <w:numPr>
          <w:ilvl w:val="0"/>
          <w:numId w:val="18"/>
        </w:numPr>
        <w:spacing w:after="0"/>
      </w:pPr>
      <w:proofErr w:type="gramStart"/>
      <w:r w:rsidRPr="00885AE2">
        <w:t>it</w:t>
      </w:r>
      <w:proofErr w:type="gramEnd"/>
      <w:r w:rsidRPr="00885AE2">
        <w:t xml:space="preserve"> would be significantly more difficult or costly for the prosecution to disprove the matter than for the defendant to establish it. </w:t>
      </w:r>
    </w:p>
    <w:p w:rsidR="00BA0B9F" w:rsidRPr="00885AE2" w:rsidRDefault="00BA0B9F" w:rsidP="00BA0B9F"/>
    <w:p w:rsidR="00BA0B9F" w:rsidRPr="00885AE2" w:rsidRDefault="00BA0B9F" w:rsidP="00BA0B9F">
      <w:r w:rsidRPr="00885AE2">
        <w:t xml:space="preserve">Explanatory material should directly address these matters and others outlined in the </w:t>
      </w:r>
      <w:r w:rsidRPr="00885AE2">
        <w:rPr>
          <w:i/>
        </w:rPr>
        <w:t>Guide to Framing Commonwealth Offences, Infringement Notices and Enforcement Powers</w:t>
      </w:r>
      <w:r w:rsidRPr="00885AE2">
        <w:t>.</w:t>
      </w:r>
    </w:p>
    <w:p w:rsidR="00BA0B9F" w:rsidRPr="00885AE2" w:rsidRDefault="00BA0B9F" w:rsidP="00BA0B9F"/>
    <w:p w:rsidR="00BA0B9F" w:rsidRPr="00885AE2" w:rsidRDefault="00BA0B9F" w:rsidP="00BA0B9F">
      <w:pPr>
        <w:rPr>
          <w:b/>
        </w:rPr>
      </w:pPr>
      <w:r w:rsidRPr="00885AE2">
        <w:rPr>
          <w:b/>
        </w:rPr>
        <w:t xml:space="preserve">The committee therefore seeks the </w:t>
      </w:r>
      <w:r>
        <w:rPr>
          <w:b/>
        </w:rPr>
        <w:t>Attorney-General</w:t>
      </w:r>
      <w:r w:rsidRPr="00885AE2">
        <w:rPr>
          <w:b/>
        </w:rPr>
        <w:t>’s further advice as to the justification for reversing the burden of proof in relation to this provision and the other instances in which this approach is taken in the bill.</w:t>
      </w:r>
    </w:p>
    <w:p w:rsidR="00BA0B9F" w:rsidRPr="00885AE2" w:rsidRDefault="00BA0B9F" w:rsidP="00BA0B9F">
      <w:pPr>
        <w:rPr>
          <w:szCs w:val="26"/>
        </w:rPr>
      </w:pPr>
    </w:p>
    <w:p w:rsidR="00BA0B9F" w:rsidRDefault="00BA0B9F" w:rsidP="00BA0B9F">
      <w:pPr>
        <w:ind w:left="567" w:right="539"/>
        <w:rPr>
          <w:i/>
        </w:rPr>
      </w:pPr>
      <w:r w:rsidRPr="00885AE2">
        <w:rPr>
          <w:i/>
        </w:rPr>
        <w:t>Pending the Attorney-General</w:t>
      </w:r>
      <w:r>
        <w:rPr>
          <w:i/>
        </w:rPr>
        <w:t>’</w:t>
      </w:r>
      <w:r w:rsidRPr="00885AE2">
        <w:rPr>
          <w:i/>
        </w:rPr>
        <w:t>s repl</w:t>
      </w:r>
      <w:r>
        <w:rPr>
          <w:i/>
        </w:rPr>
        <w:t>y, the committee draws Senators’</w:t>
      </w:r>
      <w:r w:rsidRPr="00885AE2">
        <w:rPr>
          <w:i/>
        </w:rPr>
        <w:t xml:space="preserve"> attention to the provisions, as they may be considered to trespass unduly on personal rights and liberties, in breach of principle 1(a)(i) of the committee</w:t>
      </w:r>
      <w:r>
        <w:rPr>
          <w:i/>
        </w:rPr>
        <w:t>’s</w:t>
      </w:r>
      <w:r w:rsidRPr="00885AE2">
        <w:rPr>
          <w:i/>
        </w:rPr>
        <w:t xml:space="preserve"> terms of reference.</w:t>
      </w:r>
    </w:p>
    <w:p w:rsidR="00BA0B9F" w:rsidRDefault="00BA0B9F" w:rsidP="00BA0B9F"/>
    <w:p w:rsidR="00BA0B9F" w:rsidRDefault="00BA0B9F" w:rsidP="00BA0B9F">
      <w:pPr>
        <w:spacing w:line="240" w:lineRule="auto"/>
        <w:jc w:val="left"/>
      </w:pPr>
      <w:r>
        <w:br w:type="page"/>
      </w:r>
    </w:p>
    <w:p w:rsidR="00BA0B9F" w:rsidRDefault="00BA0B9F" w:rsidP="00BA0B9F">
      <w:pPr>
        <w:pStyle w:val="H1"/>
      </w:pPr>
      <w:r>
        <w:rPr>
          <w:lang w:val="en-US"/>
        </w:rPr>
        <w:lastRenderedPageBreak/>
        <w:t>Restoring Territory Rights (Dying with Dignity) Bill 2016</w:t>
      </w:r>
    </w:p>
    <w:p w:rsidR="00BA0B9F" w:rsidRDefault="00BA0B9F" w:rsidP="00BA0B9F">
      <w:r w:rsidRPr="00E110E9">
        <w:t xml:space="preserve">Introduced into the </w:t>
      </w:r>
      <w:r>
        <w:t xml:space="preserve">Senate </w:t>
      </w:r>
      <w:r w:rsidRPr="00E110E9">
        <w:t xml:space="preserve">on </w:t>
      </w:r>
      <w:r>
        <w:t>1 March 2016</w:t>
      </w:r>
    </w:p>
    <w:p w:rsidR="00BA0B9F" w:rsidRDefault="00BA0B9F" w:rsidP="00BA0B9F">
      <w:r>
        <w:t>By: Senators Di Natale and Gallagher</w:t>
      </w:r>
    </w:p>
    <w:p w:rsidR="00BA0B9F" w:rsidRDefault="00BA0B9F" w:rsidP="00BA0B9F"/>
    <w:p w:rsidR="00BA0B9F" w:rsidRDefault="00BA0B9F" w:rsidP="00BA0B9F">
      <w:pPr>
        <w:pStyle w:val="H211"/>
      </w:pPr>
      <w:r>
        <w:t>Background</w:t>
      </w:r>
    </w:p>
    <w:p w:rsidR="00BA0B9F" w:rsidRDefault="00BA0B9F" w:rsidP="00BA0B9F"/>
    <w:p w:rsidR="00BA0B9F" w:rsidRPr="00BA0F57" w:rsidRDefault="00BA0B9F" w:rsidP="00BA0B9F">
      <w:r>
        <w:t xml:space="preserve">This bill repeals the </w:t>
      </w:r>
      <w:r>
        <w:rPr>
          <w:i/>
        </w:rPr>
        <w:t>Euthanasia Laws Act 1997</w:t>
      </w:r>
      <w:r>
        <w:t xml:space="preserve"> and amends certain territory legislation to restore legislative powers concerning euthanasia.</w:t>
      </w:r>
    </w:p>
    <w:p w:rsidR="00BA0B9F" w:rsidRDefault="00BA0B9F" w:rsidP="00BA0B9F"/>
    <w:p w:rsidR="00BA0B9F" w:rsidRDefault="00BA0B9F" w:rsidP="00BA0B9F">
      <w:pPr>
        <w:jc w:val="center"/>
        <w:rPr>
          <w:i/>
        </w:rPr>
      </w:pPr>
      <w:r>
        <w:rPr>
          <w:i/>
        </w:rPr>
        <w:t>The committee has no comment on this bill.</w:t>
      </w:r>
    </w:p>
    <w:p w:rsidR="00BA0B9F" w:rsidRDefault="00BA0B9F" w:rsidP="00BA0B9F">
      <w:pPr>
        <w:jc w:val="center"/>
        <w:rPr>
          <w:i/>
        </w:rPr>
      </w:pPr>
    </w:p>
    <w:p w:rsidR="00BA0B9F" w:rsidRDefault="00BA0B9F" w:rsidP="00BA0B9F">
      <w:pPr>
        <w:spacing w:line="240" w:lineRule="auto"/>
        <w:jc w:val="left"/>
        <w:rPr>
          <w:i/>
        </w:rPr>
      </w:pPr>
      <w:r>
        <w:rPr>
          <w:i/>
        </w:rPr>
        <w:br w:type="page"/>
      </w:r>
    </w:p>
    <w:p w:rsidR="00BA0B9F" w:rsidRDefault="00BA0B9F" w:rsidP="00BA0B9F">
      <w:pPr>
        <w:pStyle w:val="H1"/>
      </w:pPr>
      <w:r>
        <w:rPr>
          <w:lang w:val="en-US"/>
        </w:rPr>
        <w:lastRenderedPageBreak/>
        <w:t>Social Security Amendment (Diabetes Support) Bill 2016</w:t>
      </w:r>
    </w:p>
    <w:p w:rsidR="00BA0B9F" w:rsidRDefault="00BA0B9F" w:rsidP="00BA0B9F">
      <w:r w:rsidRPr="00E110E9">
        <w:t xml:space="preserve">Introduced into the </w:t>
      </w:r>
      <w:r>
        <w:t>Senate on 3 March 2016</w:t>
      </w:r>
    </w:p>
    <w:p w:rsidR="00BA0B9F" w:rsidRDefault="00BA0B9F" w:rsidP="00BA0B9F">
      <w:r>
        <w:t>By: Senator Muir</w:t>
      </w:r>
    </w:p>
    <w:p w:rsidR="00BA0B9F" w:rsidRDefault="00BA0B9F" w:rsidP="00BA0B9F"/>
    <w:p w:rsidR="00BA0B9F" w:rsidRDefault="00BA0B9F" w:rsidP="00BA0B9F">
      <w:pPr>
        <w:pStyle w:val="H211"/>
      </w:pPr>
      <w:r>
        <w:t>Background</w:t>
      </w:r>
    </w:p>
    <w:p w:rsidR="00BA0B9F" w:rsidRDefault="00BA0B9F" w:rsidP="00BA0B9F"/>
    <w:p w:rsidR="00BA0B9F" w:rsidRDefault="00BA0B9F" w:rsidP="00BA0B9F">
      <w:r>
        <w:t xml:space="preserve">This bill amends the </w:t>
      </w:r>
      <w:r>
        <w:rPr>
          <w:i/>
        </w:rPr>
        <w:t>Social Security Act 1991</w:t>
      </w:r>
      <w:r>
        <w:t xml:space="preserve"> to provide </w:t>
      </w:r>
      <w:r w:rsidRPr="00C42805">
        <w:t xml:space="preserve">individuals diagnosed with Type 1 Diabetes Mellitus </w:t>
      </w:r>
      <w:r>
        <w:t>access to required</w:t>
      </w:r>
      <w:r w:rsidRPr="00C42805">
        <w:t xml:space="preserve"> medication and peripheral devices regardless of their geographic location or social status.</w:t>
      </w:r>
    </w:p>
    <w:p w:rsidR="00BA0B9F" w:rsidRDefault="00BA0B9F" w:rsidP="00BA0B9F"/>
    <w:p w:rsidR="00BA0B9F" w:rsidRDefault="00BA0B9F" w:rsidP="00BA0B9F">
      <w:pPr>
        <w:jc w:val="center"/>
        <w:rPr>
          <w:i/>
        </w:rPr>
      </w:pPr>
      <w:r>
        <w:rPr>
          <w:i/>
        </w:rPr>
        <w:t>The committee has no comment on this bill.</w:t>
      </w:r>
    </w:p>
    <w:p w:rsidR="00BA0B9F" w:rsidRDefault="00BA0B9F" w:rsidP="00BA0B9F">
      <w:pPr>
        <w:jc w:val="center"/>
        <w:rPr>
          <w:i/>
        </w:rPr>
      </w:pPr>
    </w:p>
    <w:p w:rsidR="00BA0B9F" w:rsidRDefault="00BA0B9F" w:rsidP="00BA0B9F">
      <w:pPr>
        <w:jc w:val="center"/>
        <w:rPr>
          <w:i/>
        </w:rPr>
      </w:pPr>
    </w:p>
    <w:p w:rsidR="00BA0B9F" w:rsidRDefault="00BA0B9F" w:rsidP="00BA0B9F">
      <w:pPr>
        <w:spacing w:line="240" w:lineRule="auto"/>
        <w:jc w:val="left"/>
        <w:rPr>
          <w:i/>
        </w:rPr>
      </w:pPr>
      <w:r>
        <w:rPr>
          <w:i/>
        </w:rPr>
        <w:br w:type="page"/>
      </w:r>
    </w:p>
    <w:p w:rsidR="00BA0B9F" w:rsidRDefault="00BA0B9F" w:rsidP="00BA0B9F">
      <w:pPr>
        <w:pStyle w:val="H1"/>
      </w:pPr>
      <w:r>
        <w:rPr>
          <w:lang w:val="en-US"/>
        </w:rPr>
        <w:lastRenderedPageBreak/>
        <w:t>Social Services Legislation Amendment (Enhanced Welfare Payment Integrity) Bill 2016</w:t>
      </w:r>
    </w:p>
    <w:p w:rsidR="00BA0B9F" w:rsidRDefault="00BA0B9F" w:rsidP="00BA0B9F">
      <w:r w:rsidRPr="00E110E9">
        <w:t xml:space="preserve">Introduced into the </w:t>
      </w:r>
      <w:r>
        <w:t>Senate on 2 March 2016</w:t>
      </w:r>
    </w:p>
    <w:p w:rsidR="00BA0B9F" w:rsidRDefault="00BA0B9F" w:rsidP="00BA0B9F">
      <w:r>
        <w:t>Portfolio: Social Services</w:t>
      </w:r>
    </w:p>
    <w:p w:rsidR="00BA0B9F" w:rsidRDefault="00BA0B9F" w:rsidP="00BA0B9F"/>
    <w:p w:rsidR="00BA0B9F" w:rsidRDefault="00BA0B9F" w:rsidP="00BA0B9F">
      <w:pPr>
        <w:pStyle w:val="H211"/>
      </w:pPr>
      <w:r>
        <w:t>Background</w:t>
      </w:r>
    </w:p>
    <w:p w:rsidR="00BA0B9F" w:rsidRDefault="00BA0B9F" w:rsidP="00BA0B9F"/>
    <w:p w:rsidR="00BA0B9F" w:rsidRPr="001C5C51" w:rsidRDefault="00BA0B9F" w:rsidP="00BA0B9F">
      <w:pPr>
        <w:spacing w:after="120"/>
      </w:pPr>
      <w:r>
        <w:t xml:space="preserve">This bill amends the </w:t>
      </w:r>
      <w:r>
        <w:rPr>
          <w:i/>
        </w:rPr>
        <w:t xml:space="preserve">Child Support (Registration and Collection) Act 1988, </w:t>
      </w:r>
      <w:r w:rsidRPr="00A668B5">
        <w:t xml:space="preserve">the </w:t>
      </w:r>
      <w:r>
        <w:rPr>
          <w:i/>
        </w:rPr>
        <w:t>A New Tax System (Family Assistance</w:t>
      </w:r>
      <w:proofErr w:type="gramStart"/>
      <w:r>
        <w:rPr>
          <w:i/>
        </w:rPr>
        <w:t>)(</w:t>
      </w:r>
      <w:proofErr w:type="gramEnd"/>
      <w:r>
        <w:rPr>
          <w:i/>
        </w:rPr>
        <w:t xml:space="preserve">Administration) Act 1999, </w:t>
      </w:r>
      <w:r>
        <w:t xml:space="preserve">the </w:t>
      </w:r>
      <w:r w:rsidRPr="001C5C51">
        <w:rPr>
          <w:i/>
        </w:rPr>
        <w:t>Social Security Act 1991</w:t>
      </w:r>
      <w:r>
        <w:t xml:space="preserve"> and the </w:t>
      </w:r>
      <w:r>
        <w:rPr>
          <w:i/>
        </w:rPr>
        <w:t>Student Assistance Act 1973</w:t>
      </w:r>
      <w:r>
        <w:t xml:space="preserve"> to:</w:t>
      </w:r>
    </w:p>
    <w:p w:rsidR="00BA0B9F" w:rsidRDefault="00BA0B9F" w:rsidP="00BA0B9F">
      <w:pPr>
        <w:pStyle w:val="B1"/>
        <w:numPr>
          <w:ilvl w:val="0"/>
          <w:numId w:val="18"/>
        </w:numPr>
        <w:spacing w:after="120"/>
      </w:pPr>
      <w:r>
        <w:t>introduce departure prohibition orders to prevent debtors from leaving the country; and</w:t>
      </w:r>
    </w:p>
    <w:p w:rsidR="00BA0B9F" w:rsidRDefault="00BA0B9F" w:rsidP="00BA0B9F">
      <w:pPr>
        <w:pStyle w:val="B1"/>
        <w:numPr>
          <w:ilvl w:val="0"/>
          <w:numId w:val="18"/>
        </w:numPr>
        <w:spacing w:after="0"/>
      </w:pPr>
      <w:proofErr w:type="gramStart"/>
      <w:r>
        <w:t>remove</w:t>
      </w:r>
      <w:proofErr w:type="gramEnd"/>
      <w:r>
        <w:t xml:space="preserve"> the current six year limitation on the recovery of social welfare debts that would otherwise be non-recoverable.</w:t>
      </w:r>
    </w:p>
    <w:p w:rsidR="00BA0B9F" w:rsidRDefault="00BA0B9F" w:rsidP="00BA0B9F"/>
    <w:p w:rsidR="00BA0B9F" w:rsidRDefault="00BA0B9F" w:rsidP="00BA0B9F">
      <w:pPr>
        <w:pStyle w:val="H2"/>
      </w:pPr>
      <w:r w:rsidRPr="00605383">
        <w:t>Freedom of movement</w:t>
      </w:r>
    </w:p>
    <w:p w:rsidR="00BA0B9F" w:rsidRPr="00605383" w:rsidRDefault="00BA0B9F" w:rsidP="00BA0B9F">
      <w:pPr>
        <w:pStyle w:val="H2"/>
      </w:pPr>
      <w:r>
        <w:t>Merits review</w:t>
      </w:r>
    </w:p>
    <w:p w:rsidR="00BA0B9F" w:rsidRPr="00605383" w:rsidRDefault="00BA0B9F" w:rsidP="00BA0B9F">
      <w:pPr>
        <w:pStyle w:val="H2"/>
      </w:pPr>
      <w:r>
        <w:t>Schedule 1, i</w:t>
      </w:r>
      <w:r w:rsidRPr="00605383">
        <w:t>tem 2, proposed section 10</w:t>
      </w:r>
      <w:r>
        <w:t xml:space="preserve">2A </w:t>
      </w:r>
    </w:p>
    <w:p w:rsidR="00BA0B9F" w:rsidRDefault="00BA0B9F" w:rsidP="00BA0B9F">
      <w:pPr>
        <w:rPr>
          <w:szCs w:val="26"/>
        </w:rPr>
      </w:pPr>
    </w:p>
    <w:p w:rsidR="00BA0B9F" w:rsidRDefault="00BA0B9F" w:rsidP="00BA0B9F">
      <w:pPr>
        <w:rPr>
          <w:szCs w:val="26"/>
        </w:rPr>
      </w:pPr>
      <w:r>
        <w:rPr>
          <w:szCs w:val="26"/>
        </w:rPr>
        <w:t xml:space="preserve">Section 102B makes it an offence to depart from Australia if a departure order in respect of the person is in force and the person has not been granted a departure authorisation certificate. Proposed section 102A empowers the Secretary to make a departure prohibition order if a person owes a debt to the Commonwealth under Part 4, there are no satisfactory arrangements for its recovery in place and the Secretary believes on reasonable grounds that it is desirable to make the order for the purpose of ensuring that the person does not travel to a foreign country without paying the debt or there being satisfactory arrangements in place for it to be paid. </w:t>
      </w:r>
    </w:p>
    <w:p w:rsidR="00BA0B9F" w:rsidRDefault="00BA0B9F" w:rsidP="00BA0B9F">
      <w:pPr>
        <w:rPr>
          <w:szCs w:val="26"/>
        </w:rPr>
      </w:pPr>
    </w:p>
    <w:p w:rsidR="00BA0B9F" w:rsidRDefault="00BA0B9F" w:rsidP="00BA0B9F">
      <w:pPr>
        <w:rPr>
          <w:szCs w:val="26"/>
        </w:rPr>
      </w:pPr>
      <w:r>
        <w:rPr>
          <w:szCs w:val="26"/>
        </w:rPr>
        <w:t xml:space="preserve">Proposed section 102H provides for circumstances where the Secretary must issue a departure authorisation certificate. Subsection 102H(3) provides that a departure authorisation certificate must be issued if the person has given security under section 102J for the person’s return to Australia or if the Secretary is satisfied that the certificate should be issued on humanitarian grounds or that refusing to issue the certificate will be detrimental to Australia’s interests. </w:t>
      </w:r>
    </w:p>
    <w:p w:rsidR="00BA0B9F" w:rsidRDefault="00BA0B9F" w:rsidP="00BA0B9F">
      <w:pPr>
        <w:rPr>
          <w:szCs w:val="26"/>
        </w:rPr>
      </w:pPr>
    </w:p>
    <w:p w:rsidR="00BA0B9F" w:rsidRDefault="00BA0B9F" w:rsidP="00BA0B9F">
      <w:pPr>
        <w:rPr>
          <w:szCs w:val="26"/>
        </w:rPr>
      </w:pPr>
      <w:r>
        <w:rPr>
          <w:szCs w:val="26"/>
        </w:rPr>
        <w:lastRenderedPageBreak/>
        <w:t xml:space="preserve">Although the statement of compatibility (at p. 3) states that a person’s rights to freedom of movement are ‘enshrined in the capacity of the person to travel under a departure authorisation certificate on humanitarian grounds’ it should be noted that the question of whether such grounds are established may be contestable and establishing these questions depends on the Secretary’s ‘satisfaction’. On the other hand, section 102R provides that an application for review of a decision of the Secretary under section 102H may be made to the Administrative Appeals Tribunal. </w:t>
      </w:r>
    </w:p>
    <w:p w:rsidR="00BA0B9F" w:rsidRDefault="00BA0B9F" w:rsidP="00BA0B9F">
      <w:pPr>
        <w:rPr>
          <w:szCs w:val="26"/>
        </w:rPr>
      </w:pPr>
    </w:p>
    <w:p w:rsidR="00BA0B9F" w:rsidRDefault="00BA0B9F" w:rsidP="00BA0B9F">
      <w:pPr>
        <w:rPr>
          <w:szCs w:val="26"/>
        </w:rPr>
      </w:pPr>
      <w:r>
        <w:rPr>
          <w:szCs w:val="26"/>
        </w:rPr>
        <w:t>Although section 102N provides that an appeal from a decision to make a departure prohibition order may be made to the Federal Court of Australia or Federal Circuit Court of Australia, this is expressly made subject to Chapter III of the Constitution (and would, in any event, necessarily be read as subject to the Constitution). The result is that the appeal would be limited to questions about the legality of the decision rather than enabling the court to question the merits of the original decision. This means that the court</w:t>
      </w:r>
      <w:r w:rsidRPr="00727554">
        <w:rPr>
          <w:szCs w:val="26"/>
        </w:rPr>
        <w:t xml:space="preserve"> </w:t>
      </w:r>
      <w:r>
        <w:rPr>
          <w:szCs w:val="26"/>
        </w:rPr>
        <w:t xml:space="preserve">would not be in a position to substitute its judgment for the Secretary’s even if it thought the decision was not the correct or preferable decision on the established facts. </w:t>
      </w:r>
    </w:p>
    <w:p w:rsidR="00BA0B9F" w:rsidRDefault="00BA0B9F" w:rsidP="00BA0B9F">
      <w:pPr>
        <w:rPr>
          <w:szCs w:val="26"/>
        </w:rPr>
      </w:pPr>
    </w:p>
    <w:p w:rsidR="00BA0B9F" w:rsidRDefault="00BA0B9F" w:rsidP="00BA0B9F">
      <w:pPr>
        <w:rPr>
          <w:szCs w:val="26"/>
        </w:rPr>
      </w:pPr>
      <w:r>
        <w:rPr>
          <w:szCs w:val="26"/>
        </w:rPr>
        <w:t>Especially given the significant impact on the right to freedom of movement constituted by the offence in section 102B (the operation of which depends on decisions made under sections 102A and 102H</w:t>
      </w:r>
      <w:r w:rsidRPr="00A629B4">
        <w:rPr>
          <w:szCs w:val="26"/>
        </w:rPr>
        <w:t>) and the potential breadth of operation of the provision it is unclear why merits review of the decision to make a departure prohibition order should not be available</w:t>
      </w:r>
      <w:r>
        <w:rPr>
          <w:szCs w:val="26"/>
        </w:rPr>
        <w:t xml:space="preserve">. </w:t>
      </w:r>
      <w:r w:rsidRPr="002E49D3">
        <w:rPr>
          <w:b/>
          <w:szCs w:val="26"/>
        </w:rPr>
        <w:t>The committee therefore se</w:t>
      </w:r>
      <w:r>
        <w:rPr>
          <w:b/>
          <w:szCs w:val="26"/>
        </w:rPr>
        <w:t>eks the Minister’</w:t>
      </w:r>
      <w:r w:rsidRPr="002E49D3">
        <w:rPr>
          <w:b/>
          <w:szCs w:val="26"/>
        </w:rPr>
        <w:t xml:space="preserve">s advice </w:t>
      </w:r>
      <w:proofErr w:type="spellStart"/>
      <w:r w:rsidRPr="002E49D3">
        <w:rPr>
          <w:b/>
          <w:szCs w:val="26"/>
        </w:rPr>
        <w:t>at</w:t>
      </w:r>
      <w:proofErr w:type="spellEnd"/>
      <w:r w:rsidRPr="002E49D3">
        <w:rPr>
          <w:b/>
          <w:szCs w:val="26"/>
        </w:rPr>
        <w:t xml:space="preserve"> to whether consideration has been given to providing for</w:t>
      </w:r>
      <w:r>
        <w:rPr>
          <w:b/>
          <w:szCs w:val="26"/>
        </w:rPr>
        <w:t xml:space="preserve"> merits</w:t>
      </w:r>
      <w:r w:rsidRPr="002E49D3">
        <w:rPr>
          <w:b/>
          <w:szCs w:val="26"/>
        </w:rPr>
        <w:t xml:space="preserve"> review of decisions made pursuant to section 102A.</w:t>
      </w:r>
    </w:p>
    <w:p w:rsidR="00BA0B9F" w:rsidRDefault="00BA0B9F" w:rsidP="00BA0B9F">
      <w:pPr>
        <w:rPr>
          <w:szCs w:val="26"/>
        </w:rPr>
      </w:pPr>
    </w:p>
    <w:p w:rsidR="00BA0B9F" w:rsidRDefault="00BA0B9F" w:rsidP="00BA0B9F">
      <w:pPr>
        <w:ind w:left="567" w:right="539"/>
        <w:rPr>
          <w:i/>
        </w:rPr>
      </w:pPr>
      <w:r>
        <w:rPr>
          <w:i/>
        </w:rPr>
        <w:t>Pending the Minister’s reply, the committee draws Senators’ attention to the provisions as they may be considered to make rights, liberties or obligations unduly dependent upon non-reviewable decisions in breach of principle 1(a</w:t>
      </w:r>
      <w:proofErr w:type="gramStart"/>
      <w:r>
        <w:rPr>
          <w:i/>
        </w:rPr>
        <w:t>)(</w:t>
      </w:r>
      <w:proofErr w:type="gramEnd"/>
      <w:r>
        <w:rPr>
          <w:i/>
        </w:rPr>
        <w:t>iii) of the committee’s terms of reference.</w:t>
      </w:r>
    </w:p>
    <w:p w:rsidR="00BA0B9F" w:rsidRDefault="00BA0B9F" w:rsidP="00BA0B9F">
      <w:pPr>
        <w:spacing w:line="240" w:lineRule="auto"/>
        <w:jc w:val="left"/>
      </w:pPr>
      <w:r>
        <w:br w:type="page"/>
      </w:r>
    </w:p>
    <w:p w:rsidR="00BA0B9F" w:rsidRPr="00432871" w:rsidRDefault="00BA0B9F" w:rsidP="00BA0B9F">
      <w:pPr>
        <w:pStyle w:val="H2"/>
      </w:pPr>
      <w:r>
        <w:lastRenderedPageBreak/>
        <w:t>Trespass on personal rights and liberties—p</w:t>
      </w:r>
      <w:r w:rsidRPr="00432871">
        <w:t xml:space="preserve">rivilege against self-incrimination </w:t>
      </w:r>
    </w:p>
    <w:p w:rsidR="00BA0B9F" w:rsidRPr="00432871" w:rsidRDefault="00BA0B9F" w:rsidP="00BA0B9F">
      <w:pPr>
        <w:pStyle w:val="H2"/>
      </w:pPr>
      <w:r w:rsidRPr="00605383">
        <w:t xml:space="preserve">Schedule 1, </w:t>
      </w:r>
      <w:r>
        <w:t>i</w:t>
      </w:r>
      <w:r w:rsidRPr="00605383">
        <w:t>tem 2, proposed section 10</w:t>
      </w:r>
      <w:r>
        <w:t>2T</w:t>
      </w:r>
    </w:p>
    <w:p w:rsidR="00BA0B9F" w:rsidRDefault="00BA0B9F" w:rsidP="00BA0B9F">
      <w:pPr>
        <w:rPr>
          <w:szCs w:val="26"/>
        </w:rPr>
      </w:pPr>
    </w:p>
    <w:p w:rsidR="00BA0B9F" w:rsidRDefault="00BA0B9F" w:rsidP="00BA0B9F">
      <w:pPr>
        <w:rPr>
          <w:szCs w:val="26"/>
        </w:rPr>
      </w:pPr>
      <w:bookmarkStart w:id="5" w:name="OLE_LINK1"/>
      <w:r>
        <w:rPr>
          <w:szCs w:val="26"/>
        </w:rPr>
        <w:t xml:space="preserve">In the context of authorising an officer of Customs or the Australian Federal Police to enforce a departure prohibition order the officer may require a person seeking to depart Australia to answer questions or produce documents relevant to the order. A person is not excused from responding on the basis that the information might tend to incriminate them, which abrogates the usual privilege against self-incrimination. </w:t>
      </w:r>
    </w:p>
    <w:p w:rsidR="00BA0B9F" w:rsidRDefault="00BA0B9F" w:rsidP="00BA0B9F">
      <w:pPr>
        <w:rPr>
          <w:szCs w:val="26"/>
        </w:rPr>
      </w:pPr>
    </w:p>
    <w:p w:rsidR="00BA0B9F" w:rsidRDefault="00BA0B9F" w:rsidP="00BA0B9F">
      <w:pPr>
        <w:rPr>
          <w:szCs w:val="26"/>
        </w:rPr>
      </w:pPr>
      <w:r>
        <w:rPr>
          <w:szCs w:val="26"/>
        </w:rPr>
        <w:t xml:space="preserve">While the bill provides use and derivative use immunities (see subsection </w:t>
      </w:r>
      <w:proofErr w:type="gramStart"/>
      <w:r>
        <w:rPr>
          <w:szCs w:val="26"/>
        </w:rPr>
        <w:t>102T(</w:t>
      </w:r>
      <w:proofErr w:type="gramEnd"/>
      <w:r>
        <w:rPr>
          <w:szCs w:val="26"/>
        </w:rPr>
        <w:t>2)) the explanatory memorandum (see p. 10) does not provide a comprehensive justification for abrogating the privilege</w:t>
      </w:r>
      <w:bookmarkEnd w:id="5"/>
      <w:r>
        <w:rPr>
          <w:szCs w:val="26"/>
        </w:rPr>
        <w:t xml:space="preserve">.  </w:t>
      </w:r>
      <w:r w:rsidRPr="00687E26">
        <w:rPr>
          <w:b/>
          <w:szCs w:val="26"/>
        </w:rPr>
        <w:t>The committ</w:t>
      </w:r>
      <w:r>
        <w:rPr>
          <w:b/>
          <w:szCs w:val="26"/>
        </w:rPr>
        <w:t>ee therefore seeks the Minister’</w:t>
      </w:r>
      <w:r w:rsidRPr="00687E26">
        <w:rPr>
          <w:b/>
          <w:szCs w:val="26"/>
        </w:rPr>
        <w:t>s further advice as to the rationale for seeking to abrogate the privilege against self-incrimination, particular</w:t>
      </w:r>
      <w:r>
        <w:rPr>
          <w:b/>
          <w:szCs w:val="26"/>
        </w:rPr>
        <w:t>ly</w:t>
      </w:r>
      <w:r w:rsidRPr="00687E26">
        <w:rPr>
          <w:b/>
          <w:szCs w:val="26"/>
        </w:rPr>
        <w:t xml:space="preserve"> by reference to the matters outlined in the </w:t>
      </w:r>
      <w:r w:rsidRPr="009A48A7">
        <w:rPr>
          <w:b/>
          <w:i/>
          <w:szCs w:val="26"/>
        </w:rPr>
        <w:t>Guide to Framing Commonwealth Offences, Infringement Notices and Enforcement Powers</w:t>
      </w:r>
      <w:r w:rsidRPr="00687E26">
        <w:rPr>
          <w:b/>
          <w:szCs w:val="26"/>
        </w:rPr>
        <w:t>.</w:t>
      </w:r>
      <w:r>
        <w:rPr>
          <w:szCs w:val="26"/>
        </w:rPr>
        <w:t xml:space="preserve"> </w:t>
      </w:r>
    </w:p>
    <w:p w:rsidR="00BA0B9F" w:rsidRDefault="00BA0B9F" w:rsidP="00BA0B9F">
      <w:pPr>
        <w:rPr>
          <w:szCs w:val="26"/>
        </w:rPr>
      </w:pPr>
    </w:p>
    <w:p w:rsidR="00BA0B9F" w:rsidRDefault="00BA0B9F" w:rsidP="00BA0B9F">
      <w:pPr>
        <w:ind w:left="567" w:right="539"/>
        <w:rPr>
          <w:i/>
          <w:szCs w:val="26"/>
        </w:rPr>
      </w:pPr>
      <w:r>
        <w:rPr>
          <w:i/>
          <w:szCs w:val="26"/>
        </w:rPr>
        <w:t>Pending the Minister’s reply, the committee draws Senators' attention to the provisions, as they may be considered to trespass unduly on personal rights and liberties, in breach of principle 1(a</w:t>
      </w:r>
      <w:proofErr w:type="gramStart"/>
      <w:r>
        <w:rPr>
          <w:i/>
          <w:szCs w:val="26"/>
        </w:rPr>
        <w:t>)(</w:t>
      </w:r>
      <w:proofErr w:type="gramEnd"/>
      <w:r>
        <w:rPr>
          <w:i/>
          <w:szCs w:val="26"/>
        </w:rPr>
        <w:t>i) of the committee’s terms of reference.</w:t>
      </w:r>
    </w:p>
    <w:p w:rsidR="00BA0B9F" w:rsidRDefault="00BA0B9F" w:rsidP="00BA0B9F"/>
    <w:p w:rsidR="00BA0B9F" w:rsidRPr="00D9539B" w:rsidRDefault="00BA0B9F" w:rsidP="00BA0B9F">
      <w:pPr>
        <w:pStyle w:val="H2"/>
      </w:pPr>
      <w:r>
        <w:t>Trespass on personal rights and liberties—reversal of the e</w:t>
      </w:r>
      <w:r w:rsidRPr="00D9539B">
        <w:t>vidential burden of proof</w:t>
      </w:r>
    </w:p>
    <w:p w:rsidR="00BA0B9F" w:rsidRPr="00D9539B" w:rsidRDefault="00BA0B9F" w:rsidP="00BA0B9F">
      <w:pPr>
        <w:pStyle w:val="H2"/>
      </w:pPr>
      <w:r w:rsidRPr="00D9539B">
        <w:t xml:space="preserve">Schedule 1, item 7, subsection </w:t>
      </w:r>
      <w:proofErr w:type="gramStart"/>
      <w:r w:rsidRPr="00D9539B">
        <w:t>200S(</w:t>
      </w:r>
      <w:proofErr w:type="gramEnd"/>
      <w:r w:rsidRPr="00D9539B">
        <w:t>4)</w:t>
      </w:r>
    </w:p>
    <w:p w:rsidR="00BA0B9F" w:rsidRPr="00D9539B" w:rsidRDefault="00BA0B9F" w:rsidP="00BA0B9F">
      <w:pPr>
        <w:pStyle w:val="H2"/>
      </w:pPr>
      <w:r w:rsidRPr="00D9539B">
        <w:t xml:space="preserve">Schedule 1, item 14, subsection </w:t>
      </w:r>
      <w:proofErr w:type="gramStart"/>
      <w:r w:rsidRPr="00D9539B">
        <w:t>43Y(</w:t>
      </w:r>
      <w:proofErr w:type="gramEnd"/>
      <w:r w:rsidRPr="00D9539B">
        <w:t>4)</w:t>
      </w:r>
    </w:p>
    <w:p w:rsidR="00BA0B9F" w:rsidRDefault="00BA0B9F" w:rsidP="00BA0B9F">
      <w:pPr>
        <w:rPr>
          <w:szCs w:val="26"/>
        </w:rPr>
      </w:pPr>
    </w:p>
    <w:p w:rsidR="00BA0B9F" w:rsidRDefault="00BA0B9F" w:rsidP="00BA0B9F">
      <w:pPr>
        <w:rPr>
          <w:szCs w:val="26"/>
        </w:rPr>
      </w:pPr>
      <w:r>
        <w:rPr>
          <w:szCs w:val="26"/>
        </w:rPr>
        <w:t>The effect of these items is that the defendant bears an evidential burden in relation to the matters specified.</w:t>
      </w:r>
    </w:p>
    <w:p w:rsidR="00BA0B9F" w:rsidRDefault="00BA0B9F" w:rsidP="00BA0B9F">
      <w:pPr>
        <w:rPr>
          <w:szCs w:val="26"/>
        </w:rPr>
      </w:pPr>
    </w:p>
    <w:p w:rsidR="00BA0B9F" w:rsidRDefault="00BA0B9F" w:rsidP="00BA0B9F">
      <w:r w:rsidRPr="00D84006">
        <w:t xml:space="preserve">At common law, it is ordinarily the duty of the prosecution to prove all the elements of an offence beyond reasonable doubt. The accused is </w:t>
      </w:r>
      <w:r>
        <w:t>not required to prove anything (‘innocent until proven guilty’). However, p</w:t>
      </w:r>
      <w:r w:rsidRPr="00D84006">
        <w:t>rovisions in some legislation</w:t>
      </w:r>
      <w:r>
        <w:t xml:space="preserve"> (such as these)</w:t>
      </w:r>
      <w:r w:rsidRPr="00D84006">
        <w:t xml:space="preserve"> reverse this onus and require the person charged with an offence to prove, or disprove, </w:t>
      </w:r>
      <w:r>
        <w:t>a</w:t>
      </w:r>
      <w:r w:rsidRPr="00D84006">
        <w:t xml:space="preserve"> matter to establish their innocence. </w:t>
      </w:r>
      <w:r>
        <w:t>This can include placing an evidential burden on the defendant in relation to an available defence or ‘exception’.</w:t>
      </w:r>
    </w:p>
    <w:p w:rsidR="00BA0B9F" w:rsidRDefault="00BA0B9F" w:rsidP="00BA0B9F"/>
    <w:p w:rsidR="00BA0B9F" w:rsidRDefault="00BA0B9F" w:rsidP="00BA0B9F">
      <w:pPr>
        <w:spacing w:after="120"/>
      </w:pPr>
      <w:r>
        <w:lastRenderedPageBreak/>
        <w:t>The committee looks to the explanatory memorandum for a detailed justification for provisions that reverse the onus of proof. The committee is particularly interested in whether:</w:t>
      </w:r>
    </w:p>
    <w:p w:rsidR="00BA0B9F" w:rsidRDefault="00BA0B9F" w:rsidP="00BA0B9F">
      <w:pPr>
        <w:pStyle w:val="B1"/>
        <w:numPr>
          <w:ilvl w:val="0"/>
          <w:numId w:val="18"/>
        </w:numPr>
        <w:spacing w:after="120"/>
      </w:pPr>
      <w:r>
        <w:t xml:space="preserve">the matter is peculiarly within the knowledge of the defendant, or </w:t>
      </w:r>
    </w:p>
    <w:p w:rsidR="00BA0B9F" w:rsidRDefault="00BA0B9F" w:rsidP="00BA0B9F">
      <w:pPr>
        <w:pStyle w:val="B1"/>
        <w:numPr>
          <w:ilvl w:val="0"/>
          <w:numId w:val="18"/>
        </w:numPr>
        <w:spacing w:after="120"/>
      </w:pPr>
      <w:proofErr w:type="gramStart"/>
      <w:r>
        <w:t>it</w:t>
      </w:r>
      <w:proofErr w:type="gramEnd"/>
      <w:r>
        <w:t xml:space="preserve"> would be significantly more difficult or costly for the prosecution to disprove the matter than for the defendant to establish it. </w:t>
      </w:r>
    </w:p>
    <w:p w:rsidR="00BA0B9F" w:rsidRDefault="00BA0B9F" w:rsidP="00BA0B9F">
      <w:pPr>
        <w:rPr>
          <w:szCs w:val="26"/>
        </w:rPr>
      </w:pPr>
      <w:r>
        <w:t xml:space="preserve">Explanatory material should directly address these matters and others outlined in the </w:t>
      </w:r>
      <w:r w:rsidRPr="00A003A8">
        <w:rPr>
          <w:i/>
          <w:szCs w:val="26"/>
        </w:rPr>
        <w:t>Guide to Framing Commonwealth Offences, Infringement Notices and Enforcement Powers</w:t>
      </w:r>
      <w:r>
        <w:t xml:space="preserve">. </w:t>
      </w:r>
      <w:r w:rsidRPr="003951D9">
        <w:rPr>
          <w:b/>
        </w:rPr>
        <w:t xml:space="preserve">As the </w:t>
      </w:r>
      <w:r w:rsidRPr="003951D9">
        <w:rPr>
          <w:b/>
          <w:szCs w:val="26"/>
        </w:rPr>
        <w:t>explanatory memorandum does not appear to include any discussion of these provisions,</w:t>
      </w:r>
      <w:r w:rsidRPr="003951D9">
        <w:rPr>
          <w:szCs w:val="26"/>
        </w:rPr>
        <w:t xml:space="preserve"> </w:t>
      </w:r>
      <w:r w:rsidRPr="00A003A8">
        <w:rPr>
          <w:b/>
          <w:szCs w:val="26"/>
        </w:rPr>
        <w:t>t</w:t>
      </w:r>
      <w:r>
        <w:rPr>
          <w:b/>
          <w:szCs w:val="26"/>
        </w:rPr>
        <w:t>he committee seeks the Minister’</w:t>
      </w:r>
      <w:r w:rsidRPr="003951D9">
        <w:rPr>
          <w:b/>
          <w:szCs w:val="26"/>
        </w:rPr>
        <w:t>s advice as to the rationale for the</w:t>
      </w:r>
      <w:r>
        <w:rPr>
          <w:b/>
          <w:szCs w:val="26"/>
        </w:rPr>
        <w:t xml:space="preserve"> proposed approach</w:t>
      </w:r>
      <w:r w:rsidRPr="00687E26">
        <w:rPr>
          <w:b/>
          <w:szCs w:val="26"/>
        </w:rPr>
        <w:t>, particular</w:t>
      </w:r>
      <w:r>
        <w:rPr>
          <w:b/>
          <w:szCs w:val="26"/>
        </w:rPr>
        <w:t>ly</w:t>
      </w:r>
      <w:r w:rsidRPr="00687E26">
        <w:rPr>
          <w:b/>
          <w:szCs w:val="26"/>
        </w:rPr>
        <w:t xml:space="preserve"> by reference to the matters outlined in the </w:t>
      </w:r>
      <w:r w:rsidRPr="009A48A7">
        <w:rPr>
          <w:b/>
          <w:i/>
          <w:szCs w:val="26"/>
        </w:rPr>
        <w:t>Guide to Framing Commonwealth Offences, Infringement Notices and Enforcement Powers</w:t>
      </w:r>
      <w:r w:rsidRPr="00687E26">
        <w:rPr>
          <w:b/>
          <w:szCs w:val="26"/>
        </w:rPr>
        <w:t>.</w:t>
      </w:r>
      <w:r>
        <w:rPr>
          <w:szCs w:val="26"/>
        </w:rPr>
        <w:t xml:space="preserve"> </w:t>
      </w:r>
    </w:p>
    <w:p w:rsidR="00BA0B9F" w:rsidRDefault="00BA0B9F" w:rsidP="00BA0B9F">
      <w:pPr>
        <w:rPr>
          <w:szCs w:val="26"/>
        </w:rPr>
      </w:pPr>
    </w:p>
    <w:p w:rsidR="00BA0B9F" w:rsidRDefault="00BA0B9F" w:rsidP="00BA0B9F">
      <w:pPr>
        <w:ind w:left="567" w:right="539"/>
        <w:rPr>
          <w:i/>
          <w:szCs w:val="26"/>
        </w:rPr>
      </w:pPr>
      <w:r>
        <w:rPr>
          <w:i/>
          <w:szCs w:val="26"/>
        </w:rPr>
        <w:t>Pending the Minister’s reply, the committee draws Senators’ attention to the provisions, as they may be considered to trespass unduly on personal rights and liberties, in breach of principle 1(a</w:t>
      </w:r>
      <w:proofErr w:type="gramStart"/>
      <w:r>
        <w:rPr>
          <w:i/>
          <w:szCs w:val="26"/>
        </w:rPr>
        <w:t>)(</w:t>
      </w:r>
      <w:proofErr w:type="gramEnd"/>
      <w:r>
        <w:rPr>
          <w:i/>
          <w:szCs w:val="26"/>
        </w:rPr>
        <w:t>i) of the committee’s terms of reference.</w:t>
      </w:r>
    </w:p>
    <w:p w:rsidR="00BA0B9F" w:rsidRDefault="00BA0B9F" w:rsidP="00BA0B9F"/>
    <w:p w:rsidR="00BA0B9F" w:rsidRDefault="00BA0B9F" w:rsidP="00BA0B9F">
      <w:pPr>
        <w:spacing w:line="240" w:lineRule="auto"/>
        <w:jc w:val="left"/>
      </w:pPr>
      <w:r>
        <w:br w:type="page"/>
      </w:r>
    </w:p>
    <w:p w:rsidR="00BA0B9F" w:rsidRDefault="00BA0B9F" w:rsidP="00BA0B9F">
      <w:pPr>
        <w:pStyle w:val="H1"/>
      </w:pPr>
      <w:r>
        <w:rPr>
          <w:lang w:val="en-US"/>
        </w:rPr>
        <w:lastRenderedPageBreak/>
        <w:t>Social Services Legislation Amendment (Interest Charge) Bill 2016</w:t>
      </w:r>
    </w:p>
    <w:p w:rsidR="00BA0B9F" w:rsidRDefault="00BA0B9F" w:rsidP="00BA0B9F">
      <w:r w:rsidRPr="00E110E9">
        <w:t xml:space="preserve">Introduced into the </w:t>
      </w:r>
      <w:r>
        <w:t>Senate on 2 March 2016</w:t>
      </w:r>
    </w:p>
    <w:p w:rsidR="00BA0B9F" w:rsidRDefault="00BA0B9F" w:rsidP="00BA0B9F">
      <w:r>
        <w:t>Portfolio: Social Services</w:t>
      </w:r>
    </w:p>
    <w:p w:rsidR="00BA0B9F" w:rsidRDefault="00BA0B9F" w:rsidP="00BA0B9F"/>
    <w:p w:rsidR="00BA0B9F" w:rsidRDefault="00BA0B9F" w:rsidP="00BA0B9F">
      <w:pPr>
        <w:pStyle w:val="H211"/>
      </w:pPr>
      <w:r>
        <w:t>Background</w:t>
      </w:r>
    </w:p>
    <w:p w:rsidR="00BA0B9F" w:rsidRDefault="00BA0B9F" w:rsidP="00BA0B9F"/>
    <w:p w:rsidR="00BA0B9F" w:rsidRDefault="00BA0B9F" w:rsidP="00BA0B9F">
      <w:r>
        <w:t xml:space="preserve">This bill provides for the application of a new </w:t>
      </w:r>
      <w:r w:rsidRPr="00E21784">
        <w:t xml:space="preserve">annual </w:t>
      </w:r>
      <w:r>
        <w:t>i</w:t>
      </w:r>
      <w:r w:rsidRPr="00E21784">
        <w:t xml:space="preserve">nterest </w:t>
      </w:r>
      <w:r>
        <w:t>c</w:t>
      </w:r>
      <w:r w:rsidRPr="00E21784">
        <w:t xml:space="preserve">harge to </w:t>
      </w:r>
      <w:r>
        <w:t xml:space="preserve">outstanding debts owed by </w:t>
      </w:r>
      <w:r w:rsidRPr="00E21784">
        <w:t>former recipients of social welfare payments who have failed to enter into</w:t>
      </w:r>
      <w:r>
        <w:t>, or have not complied with,</w:t>
      </w:r>
      <w:r w:rsidRPr="00E21784">
        <w:t xml:space="preserve"> an acceptable</w:t>
      </w:r>
      <w:r>
        <w:t xml:space="preserve"> repayment arrangement</w:t>
      </w:r>
      <w:r w:rsidRPr="00010B52">
        <w:t>.</w:t>
      </w:r>
    </w:p>
    <w:p w:rsidR="00BA0B9F" w:rsidRDefault="00BA0B9F" w:rsidP="00BA0B9F"/>
    <w:p w:rsidR="00BA0B9F" w:rsidRPr="00730436" w:rsidRDefault="00BA0B9F" w:rsidP="00BA0B9F">
      <w:pPr>
        <w:jc w:val="center"/>
        <w:rPr>
          <w:i/>
        </w:rPr>
      </w:pPr>
      <w:r>
        <w:rPr>
          <w:i/>
        </w:rPr>
        <w:t>The committee has no comment on this bill.</w:t>
      </w:r>
    </w:p>
    <w:p w:rsidR="00BA0B9F" w:rsidRDefault="00BA0B9F" w:rsidP="00BA0B9F"/>
    <w:p w:rsidR="00BA0B9F" w:rsidRDefault="00BA0B9F" w:rsidP="00BA0B9F"/>
    <w:p w:rsidR="00BA0B9F" w:rsidRDefault="00BA0B9F" w:rsidP="00BA0B9F">
      <w:pPr>
        <w:spacing w:line="240" w:lineRule="auto"/>
        <w:jc w:val="left"/>
      </w:pPr>
      <w:r>
        <w:br w:type="page"/>
      </w:r>
    </w:p>
    <w:p w:rsidR="00BA0B9F" w:rsidRDefault="00BA0B9F" w:rsidP="00BA0B9F">
      <w:pPr>
        <w:pStyle w:val="H1"/>
      </w:pPr>
      <w:r>
        <w:rPr>
          <w:lang w:val="en-US"/>
        </w:rPr>
        <w:lastRenderedPageBreak/>
        <w:t>Tax Laws Amendment (Tougher Penalties for Country-by-Country Reporting) Bill 2016</w:t>
      </w:r>
    </w:p>
    <w:p w:rsidR="00BA0B9F" w:rsidRDefault="00BA0B9F" w:rsidP="00BA0B9F">
      <w:r w:rsidRPr="00E110E9">
        <w:t xml:space="preserve">Introduced into the </w:t>
      </w:r>
      <w:r>
        <w:t xml:space="preserve">House of Representatives </w:t>
      </w:r>
      <w:r w:rsidRPr="00E110E9">
        <w:t xml:space="preserve">on </w:t>
      </w:r>
      <w:r>
        <w:t>29 February 2016</w:t>
      </w:r>
    </w:p>
    <w:p w:rsidR="00BA0B9F" w:rsidRDefault="00BA0B9F" w:rsidP="00BA0B9F">
      <w:r>
        <w:t>By: Dr Leigh</w:t>
      </w:r>
    </w:p>
    <w:p w:rsidR="00BA0B9F" w:rsidRDefault="00BA0B9F" w:rsidP="00BA0B9F"/>
    <w:p w:rsidR="00BA0B9F" w:rsidRDefault="00BA0B9F" w:rsidP="00BA0B9F">
      <w:pPr>
        <w:pStyle w:val="H211"/>
      </w:pPr>
      <w:r>
        <w:t>Background</w:t>
      </w:r>
    </w:p>
    <w:p w:rsidR="00BA0B9F" w:rsidRDefault="00BA0B9F" w:rsidP="00BA0B9F"/>
    <w:p w:rsidR="00BA0B9F" w:rsidRDefault="00BA0B9F" w:rsidP="00BA0B9F">
      <w:pPr>
        <w:spacing w:after="120"/>
      </w:pPr>
      <w:r>
        <w:t xml:space="preserve">This bill </w:t>
      </w:r>
      <w:r w:rsidRPr="00BE0494">
        <w:t xml:space="preserve">amends the </w:t>
      </w:r>
      <w:r>
        <w:rPr>
          <w:i/>
        </w:rPr>
        <w:t>Income Tax Assessment Act 1997</w:t>
      </w:r>
      <w:r>
        <w:t xml:space="preserve"> </w:t>
      </w:r>
      <w:r w:rsidRPr="00BE0494">
        <w:t>to</w:t>
      </w:r>
      <w:r>
        <w:t>:</w:t>
      </w:r>
    </w:p>
    <w:p w:rsidR="00BA0B9F" w:rsidRDefault="00BA0B9F" w:rsidP="00BA0B9F">
      <w:pPr>
        <w:pStyle w:val="B1"/>
        <w:numPr>
          <w:ilvl w:val="0"/>
          <w:numId w:val="18"/>
        </w:numPr>
        <w:spacing w:after="120"/>
      </w:pPr>
      <w:r w:rsidRPr="00BE0494">
        <w:t>introduce a specific penalty regime for significant global entities with country-b</w:t>
      </w:r>
      <w:r>
        <w:t>y-country reporting obligations; and</w:t>
      </w:r>
    </w:p>
    <w:p w:rsidR="00BA0B9F" w:rsidRPr="00683B61" w:rsidRDefault="00BA0B9F" w:rsidP="00BA0B9F">
      <w:pPr>
        <w:pStyle w:val="B1"/>
        <w:numPr>
          <w:ilvl w:val="0"/>
          <w:numId w:val="18"/>
        </w:numPr>
        <w:spacing w:after="120"/>
      </w:pPr>
      <w:proofErr w:type="gramStart"/>
      <w:r>
        <w:t>authorise</w:t>
      </w:r>
      <w:proofErr w:type="gramEnd"/>
      <w:r>
        <w:t xml:space="preserve"> </w:t>
      </w:r>
      <w:r w:rsidRPr="00683B61">
        <w:rPr>
          <w:szCs w:val="24"/>
        </w:rPr>
        <w:t>the Commissioner of Taxation to audit firms which fail to lodge their reports after the maximum financial penalty has been reached</w:t>
      </w:r>
      <w:r>
        <w:rPr>
          <w:szCs w:val="24"/>
        </w:rPr>
        <w:t>.</w:t>
      </w:r>
    </w:p>
    <w:p w:rsidR="00BA0B9F" w:rsidRDefault="00BA0B9F" w:rsidP="00BA0B9F"/>
    <w:p w:rsidR="00BA0B9F" w:rsidRPr="00807795" w:rsidRDefault="00BA0B9F" w:rsidP="00BA0B9F">
      <w:pPr>
        <w:jc w:val="center"/>
        <w:rPr>
          <w:i/>
        </w:rPr>
      </w:pPr>
      <w:r>
        <w:rPr>
          <w:i/>
        </w:rPr>
        <w:t>The committee has no comment on this bill.</w:t>
      </w:r>
    </w:p>
    <w:p w:rsidR="00BA0B9F" w:rsidRDefault="00BA0B9F" w:rsidP="0076328C">
      <w:pPr>
        <w:spacing w:after="240" w:line="240" w:lineRule="auto"/>
        <w:sectPr w:rsidR="00BA0B9F" w:rsidSect="00BA0B9F">
          <w:headerReference w:type="even" r:id="rId17"/>
          <w:headerReference w:type="default" r:id="rId18"/>
          <w:footerReference w:type="even" r:id="rId19"/>
          <w:footerReference w:type="default" r:id="rId20"/>
          <w:headerReference w:type="first" r:id="rId21"/>
          <w:footerReference w:type="first" r:id="rId22"/>
          <w:pgSz w:w="11906" w:h="16838"/>
          <w:pgMar w:top="1701" w:right="1701" w:bottom="1701" w:left="1843" w:header="720" w:footer="567" w:gutter="170"/>
          <w:pgNumType w:start="1"/>
          <w:cols w:space="720"/>
          <w:docGrid w:linePitch="354"/>
        </w:sectPr>
      </w:pPr>
    </w:p>
    <w:p w:rsidR="00BA0B9F" w:rsidRPr="00772883" w:rsidRDefault="00BA0B9F" w:rsidP="00BA0B9F">
      <w:pPr>
        <w:pStyle w:val="H1"/>
        <w:jc w:val="center"/>
      </w:pPr>
      <w:r w:rsidRPr="00772883">
        <w:lastRenderedPageBreak/>
        <w:t>Commentary on amendments to bills</w:t>
      </w:r>
    </w:p>
    <w:p w:rsidR="00BA0B9F" w:rsidRDefault="00BA0B9F" w:rsidP="00BA0B9F"/>
    <w:p w:rsidR="00BA0B9F" w:rsidRPr="00CD230D" w:rsidRDefault="00BA0B9F" w:rsidP="00BA0B9F">
      <w:pPr>
        <w:rPr>
          <w:b/>
          <w:sz w:val="28"/>
        </w:rPr>
      </w:pPr>
      <w:r w:rsidRPr="00CD230D">
        <w:rPr>
          <w:b/>
          <w:sz w:val="28"/>
        </w:rPr>
        <w:t>Australian Citizenship Amendment (Allegiance to Australia) Bill 2015</w:t>
      </w:r>
    </w:p>
    <w:p w:rsidR="00BA0B9F" w:rsidRPr="00CD230D" w:rsidRDefault="00BA0B9F" w:rsidP="00BA0B9F">
      <w:pPr>
        <w:rPr>
          <w:b/>
          <w:szCs w:val="26"/>
        </w:rPr>
      </w:pPr>
      <w:r>
        <w:rPr>
          <w:b/>
          <w:i/>
          <w:sz w:val="24"/>
          <w:szCs w:val="24"/>
        </w:rPr>
        <w:t>[Digest 7/15 – Report 4</w:t>
      </w:r>
      <w:r w:rsidRPr="00CD230D">
        <w:rPr>
          <w:b/>
          <w:i/>
          <w:sz w:val="24"/>
          <w:szCs w:val="24"/>
        </w:rPr>
        <w:t>/16]</w:t>
      </w:r>
    </w:p>
    <w:p w:rsidR="00BA0B9F" w:rsidRPr="00CD230D" w:rsidRDefault="00BA0B9F" w:rsidP="00BA0B9F"/>
    <w:p w:rsidR="00BA0B9F" w:rsidRPr="00CD230D" w:rsidRDefault="00BA0B9F" w:rsidP="00BA0B9F">
      <w:r w:rsidRPr="00CD230D">
        <w:t>On 30 November 2015 the House of Representatives agreed to two Government amendments, the Minister for Immigration and Border Protection (Mr Dutton) presented a supplementary explanatory memorandum and the bill was read a third time.</w:t>
      </w:r>
    </w:p>
    <w:p w:rsidR="00BA0B9F" w:rsidRDefault="00BA0B9F" w:rsidP="00BA0B9F"/>
    <w:p w:rsidR="00BA0B9F" w:rsidRPr="006F2D78" w:rsidRDefault="00BA0B9F" w:rsidP="00BA0B9F">
      <w:pPr>
        <w:rPr>
          <w:b/>
        </w:rPr>
      </w:pPr>
      <w:r w:rsidRPr="00787638">
        <w:rPr>
          <w:b/>
        </w:rPr>
        <w:t xml:space="preserve">The committee draws Senators’ attention to the comments on this bill in the committee’s </w:t>
      </w:r>
      <w:r w:rsidRPr="00787638">
        <w:rPr>
          <w:b/>
          <w:i/>
        </w:rPr>
        <w:t xml:space="preserve">Fourth Report of 2016 </w:t>
      </w:r>
      <w:r w:rsidRPr="00787638">
        <w:rPr>
          <w:b/>
        </w:rPr>
        <w:t>at pages</w:t>
      </w:r>
      <w:r>
        <w:rPr>
          <w:b/>
        </w:rPr>
        <w:t xml:space="preserve"> 256-287</w:t>
      </w:r>
      <w:r w:rsidRPr="00787638">
        <w:rPr>
          <w:b/>
        </w:rPr>
        <w:t>.  These comments take into account the significant changes that were made to the bill as a result of these government amendments.</w:t>
      </w:r>
    </w:p>
    <w:p w:rsidR="00BA0B9F" w:rsidRPr="00CD230D" w:rsidRDefault="00BA0B9F" w:rsidP="00BA0B9F"/>
    <w:p w:rsidR="00BA0B9F" w:rsidRPr="00CD230D" w:rsidRDefault="00BA0B9F" w:rsidP="00BA0B9F">
      <w:pPr>
        <w:pStyle w:val="H2"/>
      </w:pPr>
      <w:r w:rsidRPr="00CD230D">
        <w:t>Communications Legislation Amendment (Deregulation and Other Measures) Bill 2015</w:t>
      </w:r>
    </w:p>
    <w:p w:rsidR="00BA0B9F" w:rsidRPr="00CD230D" w:rsidRDefault="00BA0B9F" w:rsidP="00BA0B9F">
      <w:pPr>
        <w:rPr>
          <w:b/>
          <w:szCs w:val="26"/>
        </w:rPr>
      </w:pPr>
      <w:r w:rsidRPr="00CD230D">
        <w:rPr>
          <w:b/>
          <w:i/>
          <w:sz w:val="24"/>
          <w:szCs w:val="24"/>
        </w:rPr>
        <w:t>[Digest 1/16 – Report 2/16]</w:t>
      </w:r>
    </w:p>
    <w:p w:rsidR="00BA0B9F" w:rsidRPr="00CD230D" w:rsidRDefault="00BA0B9F" w:rsidP="00BA0B9F"/>
    <w:p w:rsidR="00BA0B9F" w:rsidRPr="00CD230D" w:rsidRDefault="00BA0B9F" w:rsidP="00BA0B9F">
      <w:r w:rsidRPr="00CD230D">
        <w:t>On 22 February 2016 the Senate agreed to one Opposition amendment and the bill was read a third time.</w:t>
      </w:r>
    </w:p>
    <w:p w:rsidR="00BA0B9F" w:rsidRPr="00CD230D" w:rsidRDefault="00BA0B9F" w:rsidP="00BA0B9F"/>
    <w:p w:rsidR="00BA0B9F" w:rsidRDefault="00BA0B9F" w:rsidP="00BA0B9F">
      <w:r w:rsidRPr="00CD230D">
        <w:t>On 25 February 2016 the House of Representatives disagreed to the Senate amendment.</w:t>
      </w:r>
    </w:p>
    <w:p w:rsidR="00BA0B9F" w:rsidRDefault="00BA0B9F" w:rsidP="00BA0B9F"/>
    <w:p w:rsidR="00BA0B9F" w:rsidRPr="00787638" w:rsidRDefault="00BA0B9F" w:rsidP="00BA0B9F">
      <w:r>
        <w:t xml:space="preserve">On 29 February 2016 the Minister for Finance (Senator </w:t>
      </w:r>
      <w:proofErr w:type="spellStart"/>
      <w:r>
        <w:t>Cormann</w:t>
      </w:r>
      <w:proofErr w:type="spellEnd"/>
      <w:r>
        <w:t xml:space="preserve">) tabled an </w:t>
      </w:r>
      <w:r w:rsidRPr="00787638">
        <w:t>addendum to the explanatory memorandum.</w:t>
      </w:r>
    </w:p>
    <w:p w:rsidR="00BA0B9F" w:rsidRPr="00787638" w:rsidRDefault="00BA0B9F" w:rsidP="00BA0B9F"/>
    <w:p w:rsidR="00BA0B9F" w:rsidRPr="00787638" w:rsidRDefault="00BA0B9F" w:rsidP="00BA0B9F">
      <w:pPr>
        <w:rPr>
          <w:b/>
          <w:szCs w:val="26"/>
        </w:rPr>
      </w:pPr>
      <w:r w:rsidRPr="00787638">
        <w:rPr>
          <w:b/>
          <w:szCs w:val="26"/>
        </w:rPr>
        <w:t>The committee has no comment in relation to the amendment made by the Senate.</w:t>
      </w:r>
    </w:p>
    <w:p w:rsidR="00BA0B9F" w:rsidRPr="00787638" w:rsidRDefault="00BA0B9F" w:rsidP="00BA0B9F">
      <w:pPr>
        <w:rPr>
          <w:b/>
          <w:szCs w:val="26"/>
        </w:rPr>
      </w:pPr>
    </w:p>
    <w:p w:rsidR="00BA0B9F" w:rsidRPr="00787638" w:rsidRDefault="00BA0B9F" w:rsidP="00BA0B9F">
      <w:pPr>
        <w:rPr>
          <w:b/>
          <w:szCs w:val="26"/>
        </w:rPr>
      </w:pPr>
      <w:r w:rsidRPr="00787638">
        <w:rPr>
          <w:b/>
          <w:szCs w:val="26"/>
        </w:rPr>
        <w:t xml:space="preserve">The committee thanks the Minister for Communications for providing the addendum to the explanatory memorandum which includes additional explanatory material as requested by the committee in its </w:t>
      </w:r>
      <w:r w:rsidRPr="00787638">
        <w:rPr>
          <w:b/>
          <w:i/>
          <w:szCs w:val="26"/>
        </w:rPr>
        <w:t>Second Report of 2016</w:t>
      </w:r>
      <w:r w:rsidRPr="00787638">
        <w:rPr>
          <w:b/>
          <w:szCs w:val="26"/>
        </w:rPr>
        <w:t xml:space="preserve"> (see pages 59–63). The committee welcomes the inclusion of additional information in explanatory material accompanying bills as these documents are an important point of access </w:t>
      </w:r>
      <w:r w:rsidRPr="00787638">
        <w:rPr>
          <w:b/>
          <w:szCs w:val="26"/>
        </w:rPr>
        <w:lastRenderedPageBreak/>
        <w:t>to understanding the law and, if needed, may be used as extrinsic material to assist with interpretation.</w:t>
      </w:r>
    </w:p>
    <w:p w:rsidR="00BA0B9F" w:rsidRPr="00787638" w:rsidRDefault="00BA0B9F" w:rsidP="00BA0B9F"/>
    <w:p w:rsidR="00BA0B9F" w:rsidRPr="00787638" w:rsidRDefault="00BA0B9F" w:rsidP="00BA0B9F">
      <w:pPr>
        <w:pStyle w:val="H2"/>
      </w:pPr>
      <w:r w:rsidRPr="00787638">
        <w:t>Telecommunications Legislation Amendment (Access Regime and NBN Companies) Bill 2015</w:t>
      </w:r>
    </w:p>
    <w:p w:rsidR="00BA0B9F" w:rsidRPr="00787638" w:rsidRDefault="00BA0B9F" w:rsidP="00BA0B9F">
      <w:pPr>
        <w:rPr>
          <w:b/>
          <w:szCs w:val="26"/>
        </w:rPr>
      </w:pPr>
      <w:r w:rsidRPr="00787638">
        <w:rPr>
          <w:b/>
          <w:i/>
          <w:sz w:val="24"/>
          <w:szCs w:val="24"/>
        </w:rPr>
        <w:t>[Digest 1/16 – no comment]</w:t>
      </w:r>
    </w:p>
    <w:p w:rsidR="00BA0B9F" w:rsidRPr="00787638" w:rsidRDefault="00BA0B9F" w:rsidP="00BA0B9F"/>
    <w:p w:rsidR="00BA0B9F" w:rsidRPr="00787638" w:rsidRDefault="00BA0B9F" w:rsidP="00BA0B9F">
      <w:r w:rsidRPr="00787638">
        <w:t>On 3 March 2016 the House of Representatives agreed to five Government amendments, the Minister for Territories, Local Government and Major Projects (Mr Fletcher) presented a supplementary explanatory memorandum and the bill was read a third time.</w:t>
      </w:r>
    </w:p>
    <w:p w:rsidR="00BA0B9F" w:rsidRPr="00787638" w:rsidRDefault="00BA0B9F" w:rsidP="00BA0B9F"/>
    <w:p w:rsidR="00BA0B9F" w:rsidRPr="00F42B72" w:rsidRDefault="00BA0B9F" w:rsidP="00BA0B9F">
      <w:pPr>
        <w:rPr>
          <w:b/>
        </w:rPr>
      </w:pPr>
      <w:r w:rsidRPr="00787638">
        <w:rPr>
          <w:b/>
        </w:rPr>
        <w:t>The committee has no comment on these amendments or the additional explanatory material.</w:t>
      </w:r>
    </w:p>
    <w:p w:rsidR="00BA0B9F" w:rsidRDefault="00BA0B9F" w:rsidP="00BA0B9F"/>
    <w:p w:rsidR="00BA0B9F" w:rsidRDefault="00BA0B9F" w:rsidP="00BA0B9F"/>
    <w:p w:rsidR="00BA0B9F" w:rsidRDefault="00BA0B9F" w:rsidP="0076328C">
      <w:pPr>
        <w:spacing w:after="240" w:line="240" w:lineRule="auto"/>
        <w:sectPr w:rsidR="00BA0B9F" w:rsidSect="00EC69C2">
          <w:headerReference w:type="even" r:id="rId23"/>
          <w:headerReference w:type="default" r:id="rId24"/>
          <w:footerReference w:type="even" r:id="rId25"/>
          <w:footerReference w:type="default" r:id="rId26"/>
          <w:headerReference w:type="first" r:id="rId27"/>
          <w:footerReference w:type="first" r:id="rId28"/>
          <w:pgSz w:w="11906" w:h="16838"/>
          <w:pgMar w:top="1701" w:right="1701" w:bottom="1701" w:left="1843" w:header="720" w:footer="567" w:gutter="170"/>
          <w:pgNumType w:start="21"/>
          <w:cols w:space="720"/>
          <w:docGrid w:linePitch="354"/>
        </w:sectPr>
      </w:pPr>
    </w:p>
    <w:p w:rsidR="00BA0B9F" w:rsidRDefault="00BA0B9F" w:rsidP="00BA0B9F">
      <w:pPr>
        <w:pStyle w:val="H1"/>
        <w:jc w:val="center"/>
      </w:pPr>
      <w:r>
        <w:lastRenderedPageBreak/>
        <w:t>Scrutiny of Standing Appropriations</w:t>
      </w:r>
    </w:p>
    <w:p w:rsidR="00BA0B9F" w:rsidRPr="003A5036" w:rsidRDefault="00BA0B9F" w:rsidP="00BA0B9F">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BA0B9F" w:rsidRPr="003A5036" w:rsidRDefault="00BA0B9F" w:rsidP="00BA0B9F"/>
    <w:p w:rsidR="00BA0B9F" w:rsidRPr="003A5036" w:rsidRDefault="00BA0B9F" w:rsidP="00BA0B9F">
      <w:pPr>
        <w:numPr>
          <w:ilvl w:val="0"/>
          <w:numId w:val="36"/>
        </w:numPr>
        <w:spacing w:after="120"/>
      </w:pPr>
      <w:r w:rsidRPr="003A5036">
        <w:t>inappropriately delegate legislative powers; or</w:t>
      </w:r>
    </w:p>
    <w:p w:rsidR="00BA0B9F" w:rsidRPr="003A5036" w:rsidRDefault="00BA0B9F" w:rsidP="00BA0B9F">
      <w:pPr>
        <w:numPr>
          <w:ilvl w:val="0"/>
          <w:numId w:val="36"/>
        </w:numPr>
      </w:pPr>
      <w:proofErr w:type="gramStart"/>
      <w:r w:rsidRPr="003A5036">
        <w:t>insufficiently</w:t>
      </w:r>
      <w:proofErr w:type="gramEnd"/>
      <w:r w:rsidRPr="003A5036">
        <w:t xml:space="preserve"> subject the exercise of legislative power to parliamentary scrutiny.</w:t>
      </w:r>
    </w:p>
    <w:p w:rsidR="00BA0B9F" w:rsidRPr="003A5036" w:rsidRDefault="00BA0B9F" w:rsidP="00BA0B9F"/>
    <w:p w:rsidR="00BA0B9F" w:rsidRPr="003A5036" w:rsidRDefault="00BA0B9F" w:rsidP="00BA0B9F">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BA0B9F" w:rsidRPr="003A5036" w:rsidRDefault="00BA0B9F" w:rsidP="00BA0B9F">
      <w:pPr>
        <w:rPr>
          <w:sz w:val="16"/>
          <w:szCs w:val="16"/>
        </w:rPr>
      </w:pPr>
    </w:p>
    <w:p w:rsidR="00BA0B9F" w:rsidRPr="003A5036" w:rsidRDefault="00BA0B9F" w:rsidP="00BA0B9F">
      <w:pPr>
        <w:rPr>
          <w:sz w:val="16"/>
          <w:szCs w:val="16"/>
        </w:rPr>
      </w:pPr>
    </w:p>
    <w:p w:rsidR="00BA0B9F" w:rsidRPr="006E3A4A" w:rsidRDefault="00BA0B9F" w:rsidP="00BA0B9F">
      <w:pPr>
        <w:ind w:right="-313"/>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BA0B9F" w:rsidRPr="003A5036" w:rsidRDefault="00BA0B9F" w:rsidP="00BA0B9F">
      <w:pPr>
        <w:rPr>
          <w:sz w:val="24"/>
          <w:szCs w:val="24"/>
        </w:rPr>
      </w:pPr>
    </w:p>
    <w:p w:rsidR="00BA0B9F" w:rsidRPr="00AD01A9" w:rsidRDefault="00BA0B9F" w:rsidP="00BA0B9F">
      <w:pPr>
        <w:spacing w:after="240"/>
        <w:ind w:left="720" w:hanging="720"/>
        <w:rPr>
          <w:b/>
          <w:szCs w:val="26"/>
        </w:rPr>
      </w:pPr>
      <w:r>
        <w:tab/>
        <w:t>Nil</w:t>
      </w:r>
    </w:p>
    <w:p w:rsidR="00BA0B9F" w:rsidRPr="003A5036" w:rsidRDefault="00BA0B9F" w:rsidP="00BA0B9F">
      <w:pPr>
        <w:ind w:left="720" w:hanging="720"/>
      </w:pPr>
    </w:p>
    <w:p w:rsidR="00BA0B9F" w:rsidRPr="003A5036" w:rsidRDefault="00BA0B9F" w:rsidP="00BA0B9F">
      <w:pPr>
        <w:rPr>
          <w:b/>
        </w:rPr>
      </w:pPr>
      <w:r w:rsidRPr="003A5036">
        <w:rPr>
          <w:b/>
        </w:rPr>
        <w:t>Other relevant appropriation clauses in bills</w:t>
      </w:r>
    </w:p>
    <w:p w:rsidR="00BA0B9F" w:rsidRDefault="00BA0B9F" w:rsidP="00BA0B9F"/>
    <w:p w:rsidR="00BA0B9F" w:rsidRDefault="00BA0B9F" w:rsidP="00BA0B9F">
      <w:r>
        <w:tab/>
        <w:t>Nil</w:t>
      </w:r>
    </w:p>
    <w:p w:rsidR="00BA0B9F" w:rsidRPr="00CD6314" w:rsidRDefault="00BA0B9F" w:rsidP="00BA0B9F"/>
    <w:p w:rsidR="00BA0B9F" w:rsidRDefault="00BA0B9F" w:rsidP="00BA0B9F">
      <w:pPr>
        <w:spacing w:line="240" w:lineRule="auto"/>
        <w:jc w:val="left"/>
      </w:pPr>
    </w:p>
    <w:p w:rsidR="00BA0B9F" w:rsidRDefault="00BA0B9F" w:rsidP="00BA0B9F">
      <w:pPr>
        <w:spacing w:line="240" w:lineRule="auto"/>
        <w:jc w:val="left"/>
      </w:pPr>
    </w:p>
    <w:p w:rsidR="00BA0B9F" w:rsidRDefault="00BA0B9F" w:rsidP="0076328C">
      <w:pPr>
        <w:spacing w:after="240" w:line="240" w:lineRule="auto"/>
      </w:pPr>
    </w:p>
    <w:sectPr w:rsidR="00BA0B9F" w:rsidSect="002A0B04">
      <w:headerReference w:type="even" r:id="rId29"/>
      <w:headerReference w:type="default" r:id="rId30"/>
      <w:footerReference w:type="even" r:id="rId31"/>
      <w:footerReference w:type="default" r:id="rId32"/>
      <w:pgSz w:w="11906" w:h="16838"/>
      <w:pgMar w:top="1701" w:right="1701" w:bottom="1701" w:left="1843" w:header="720" w:footer="567" w:gutter="170"/>
      <w:pgNumType w:start="23"/>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21685"/>
      <w:docPartObj>
        <w:docPartGallery w:val="Page Numbers (Bottom of Page)"/>
        <w:docPartUnique/>
      </w:docPartObj>
    </w:sdtPr>
    <w:sdtEndPr>
      <w:rPr>
        <w:noProof/>
      </w:rPr>
    </w:sdtEndPr>
    <w:sdtContent>
      <w:p w:rsidR="00F74F86" w:rsidRDefault="00BA0B9F">
        <w:pPr>
          <w:pStyle w:val="Footer"/>
        </w:pPr>
        <w:r>
          <w:fldChar w:fldCharType="begin"/>
        </w:r>
        <w:r>
          <w:instrText xml:space="preserve"> PAGE   \* MERGEFORMAT </w:instrText>
        </w:r>
        <w:r>
          <w:fldChar w:fldCharType="separate"/>
        </w:r>
        <w:r>
          <w:rPr>
            <w:noProof/>
          </w:rPr>
          <w:t>22</w:t>
        </w:r>
        <w:r>
          <w:rPr>
            <w:noProof/>
          </w:rPr>
          <w:fldChar w:fldCharType="end"/>
        </w:r>
      </w:p>
    </w:sdtContent>
  </w:sdt>
  <w:p w:rsidR="00F74F86" w:rsidRPr="002C33EA" w:rsidRDefault="00BA0B9F" w:rsidP="00F74F86">
    <w:pPr>
      <w:pStyle w:val="Footer"/>
      <w:jc w:val="center"/>
    </w:pPr>
    <w:r>
      <w:rPr>
        <w:sz w:val="22"/>
      </w:rPr>
      <w:t>Any Senator who wishes to draw matters to the attention of the</w:t>
    </w:r>
  </w:p>
  <w:p w:rsidR="00F74F86" w:rsidRPr="002C33EA" w:rsidRDefault="00BA0B9F" w:rsidP="00F74F86">
    <w:pPr>
      <w:pStyle w:val="Footer"/>
      <w:tabs>
        <w:tab w:val="clear" w:pos="8306"/>
      </w:tabs>
      <w:jc w:val="center"/>
    </w:pPr>
    <w:r>
      <w:rPr>
        <w:sz w:val="22"/>
      </w:rPr>
      <w:t>Committee under its terms of reference is invited to do so.</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580340"/>
      <w:docPartObj>
        <w:docPartGallery w:val="Page Numbers (Bottom of Page)"/>
        <w:docPartUnique/>
      </w:docPartObj>
    </w:sdtPr>
    <w:sdtEndPr>
      <w:rPr>
        <w:noProof/>
      </w:rPr>
    </w:sdtEndPr>
    <w:sdtContent>
      <w:p w:rsidR="0097310E" w:rsidRDefault="00BA0B9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rsidR="0097310E" w:rsidRPr="002C33EA" w:rsidRDefault="00BA0B9F" w:rsidP="0097310E">
    <w:pPr>
      <w:pStyle w:val="Footer"/>
      <w:jc w:val="center"/>
    </w:pPr>
    <w:r>
      <w:rPr>
        <w:sz w:val="22"/>
      </w:rPr>
      <w:t>Any Senator who wishes to draw matters to the attention of the</w:t>
    </w:r>
  </w:p>
  <w:p w:rsidR="0087584F" w:rsidRPr="002C33EA" w:rsidRDefault="00BA0B9F" w:rsidP="0097310E">
    <w:pPr>
      <w:pStyle w:val="Footer"/>
      <w:tabs>
        <w:tab w:val="clear" w:pos="8306"/>
      </w:tabs>
      <w:jc w:val="center"/>
    </w:pPr>
    <w:r>
      <w:rPr>
        <w:sz w:val="22"/>
      </w:rPr>
      <w:t xml:space="preserve">Committee under its terms of reference </w:t>
    </w:r>
    <w:r>
      <w:rPr>
        <w:sz w:val="22"/>
      </w:rPr>
      <w:t>is invited to do so.</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99" w:rsidRDefault="00BA0B9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373443"/>
      <w:docPartObj>
        <w:docPartGallery w:val="Page Numbers (Bottom of Page)"/>
        <w:docPartUnique/>
      </w:docPartObj>
    </w:sdtPr>
    <w:sdtEndPr>
      <w:rPr>
        <w:noProof/>
      </w:rPr>
    </w:sdtEndPr>
    <w:sdtContent>
      <w:p w:rsidR="00F74F86" w:rsidRDefault="00BA0B9F">
        <w:pPr>
          <w:pStyle w:val="Footer"/>
        </w:pPr>
        <w:r>
          <w:fldChar w:fldCharType="begin"/>
        </w:r>
        <w:r>
          <w:instrText xml:space="preserve"> PAGE   \* MERGEFORMAT </w:instrText>
        </w:r>
        <w:r>
          <w:fldChar w:fldCharType="separate"/>
        </w:r>
        <w:r>
          <w:rPr>
            <w:noProof/>
          </w:rPr>
          <w:t>2</w:t>
        </w:r>
        <w:r>
          <w:rPr>
            <w:noProof/>
          </w:rPr>
          <w:fldChar w:fldCharType="end"/>
        </w:r>
      </w:p>
    </w:sdtContent>
  </w:sdt>
  <w:p w:rsidR="00F74F86" w:rsidRPr="002C33EA" w:rsidRDefault="00BA0B9F" w:rsidP="00F74F86">
    <w:pPr>
      <w:pStyle w:val="Footer"/>
      <w:jc w:val="center"/>
    </w:pPr>
    <w:r>
      <w:rPr>
        <w:sz w:val="22"/>
      </w:rPr>
      <w:t>Any Senator who wishes to draw matters to the attention of the</w:t>
    </w:r>
  </w:p>
  <w:p w:rsidR="00F74F86" w:rsidRPr="002C33EA" w:rsidRDefault="00BA0B9F" w:rsidP="00F74F86">
    <w:pPr>
      <w:pStyle w:val="Footer"/>
      <w:tabs>
        <w:tab w:val="clear" w:pos="8306"/>
      </w:tabs>
      <w:jc w:val="center"/>
    </w:pPr>
    <w:r>
      <w:rPr>
        <w:sz w:val="22"/>
      </w:rPr>
      <w:t xml:space="preserve">Committee </w:t>
    </w:r>
    <w:r>
      <w:rPr>
        <w:sz w:val="22"/>
      </w:rPr>
      <w:t>under its terms of reference is invited to do so.</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705123"/>
      <w:docPartObj>
        <w:docPartGallery w:val="Page Numbers (Bottom of Page)"/>
        <w:docPartUnique/>
      </w:docPartObj>
    </w:sdtPr>
    <w:sdtEndPr>
      <w:rPr>
        <w:noProof/>
      </w:rPr>
    </w:sdtEndPr>
    <w:sdtContent>
      <w:p w:rsidR="0097310E" w:rsidRDefault="00BA0B9F">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rsidR="0097310E" w:rsidRPr="002C33EA" w:rsidRDefault="00BA0B9F" w:rsidP="0097310E">
    <w:pPr>
      <w:pStyle w:val="Footer"/>
      <w:jc w:val="center"/>
    </w:pPr>
    <w:r>
      <w:rPr>
        <w:sz w:val="22"/>
      </w:rPr>
      <w:t>Any Senator who wishes to draw matters to the attention of the</w:t>
    </w:r>
  </w:p>
  <w:p w:rsidR="0087584F" w:rsidRPr="002C33EA" w:rsidRDefault="00BA0B9F" w:rsidP="0097310E">
    <w:pPr>
      <w:pStyle w:val="Footer"/>
      <w:tabs>
        <w:tab w:val="clear" w:pos="8306"/>
      </w:tabs>
      <w:jc w:val="center"/>
    </w:pPr>
    <w:r>
      <w:rPr>
        <w:sz w:val="22"/>
      </w:rPr>
      <w:t>Committee under its terms of reference is invited to do so.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BA0B9F" w:rsidP="00683454">
    <w:pPr>
      <w:pStyle w:val="Footer"/>
      <w:jc w:val="center"/>
    </w:pPr>
  </w:p>
  <w:p w:rsidR="00683454" w:rsidRDefault="00BA0B9F" w:rsidP="00683454">
    <w:pPr>
      <w:pStyle w:val="Footer"/>
      <w:jc w:val="center"/>
    </w:pPr>
  </w:p>
  <w:p w:rsidR="00683454" w:rsidRDefault="00BA0B9F" w:rsidP="00683454">
    <w:pPr>
      <w:pStyle w:val="Footer"/>
      <w:jc w:val="center"/>
    </w:pPr>
  </w:p>
  <w:p w:rsidR="00683454" w:rsidRDefault="00BA0B9F" w:rsidP="00683454">
    <w:pPr>
      <w:pStyle w:val="Footer"/>
      <w:jc w:val="center"/>
    </w:pPr>
  </w:p>
  <w:p w:rsidR="00683454" w:rsidRDefault="00BA0B9F" w:rsidP="00683454">
    <w:pPr>
      <w:pStyle w:val="Footer"/>
      <w:jc w:val="center"/>
    </w:pPr>
  </w:p>
  <w:p w:rsidR="00683454" w:rsidRPr="00A4061E" w:rsidRDefault="00BA0B9F" w:rsidP="00683454">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Pr>
        <w:noProof/>
        <w:color w:val="FFFFFF" w:themeColor="background1"/>
      </w:rPr>
      <w:t>vi</w:t>
    </w:r>
    <w:r w:rsidRPr="00A4061E">
      <w:rPr>
        <w:noProof/>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BA0B9F">
    <w:pPr>
      <w:pStyle w:val="Footer"/>
      <w:jc w:val="center"/>
    </w:pPr>
    <w:r>
      <w:fldChar w:fldCharType="begin"/>
    </w:r>
    <w:r>
      <w:instrText xml:space="preserve"> PAGE   \* MERGEFORMAT </w:instrText>
    </w:r>
    <w:r>
      <w:fldChar w:fldCharType="separate"/>
    </w:r>
    <w:r>
      <w:rPr>
        <w:noProof/>
      </w:rPr>
      <w:t>v</w:t>
    </w:r>
    <w:r>
      <w:rPr>
        <w:noProof/>
      </w:rPr>
      <w:fldChar w:fldCharType="end"/>
    </w:r>
  </w:p>
  <w:p w:rsidR="00683454" w:rsidRDefault="00BA0B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385920"/>
      <w:docPartObj>
        <w:docPartGallery w:val="Page Numbers (Bottom of Page)"/>
        <w:docPartUnique/>
      </w:docPartObj>
    </w:sdtPr>
    <w:sdtEndPr>
      <w:rPr>
        <w:noProof/>
      </w:rPr>
    </w:sdtEndPr>
    <w:sdtContent>
      <w:p w:rsidR="00F74F86" w:rsidRDefault="00BA0B9F">
        <w:pPr>
          <w:pStyle w:val="Footer"/>
        </w:pPr>
        <w:r>
          <w:fldChar w:fldCharType="begin"/>
        </w:r>
        <w:r>
          <w:instrText xml:space="preserve"> PAGE   \* MERGEFORMAT </w:instrText>
        </w:r>
        <w:r>
          <w:fldChar w:fldCharType="separate"/>
        </w:r>
        <w:r>
          <w:rPr>
            <w:noProof/>
          </w:rPr>
          <w:t>viii</w:t>
        </w:r>
        <w:r>
          <w:rPr>
            <w:noProof/>
          </w:rPr>
          <w:fldChar w:fldCharType="end"/>
        </w:r>
      </w:p>
    </w:sdtContent>
  </w:sdt>
  <w:p w:rsidR="00F74F86" w:rsidRPr="002C33EA" w:rsidRDefault="00BA0B9F" w:rsidP="00F74F86">
    <w:pPr>
      <w:pStyle w:val="Footer"/>
      <w:jc w:val="center"/>
    </w:pPr>
    <w:r>
      <w:rPr>
        <w:sz w:val="22"/>
      </w:rPr>
      <w:t>Any Senator who wishes to draw matters to the attention of the</w:t>
    </w:r>
  </w:p>
  <w:p w:rsidR="00F74F86" w:rsidRPr="002C33EA" w:rsidRDefault="00BA0B9F" w:rsidP="00F74F86">
    <w:pPr>
      <w:pStyle w:val="Footer"/>
      <w:tabs>
        <w:tab w:val="clear" w:pos="8306"/>
      </w:tabs>
      <w:jc w:val="center"/>
    </w:pPr>
    <w:r>
      <w:rPr>
        <w:sz w:val="22"/>
      </w:rPr>
      <w:t>Committee u</w:t>
    </w:r>
    <w:r>
      <w:rPr>
        <w:sz w:val="22"/>
      </w:rPr>
      <w:t>nder its terms of reference is invited to do so.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963222"/>
      <w:docPartObj>
        <w:docPartGallery w:val="Page Numbers (Bottom of Page)"/>
        <w:docPartUnique/>
      </w:docPartObj>
    </w:sdtPr>
    <w:sdtEndPr>
      <w:rPr>
        <w:noProof/>
      </w:rPr>
    </w:sdtEndPr>
    <w:sdtContent>
      <w:p w:rsidR="0097310E" w:rsidRDefault="00BA0B9F">
        <w:pPr>
          <w:pStyle w:val="Footer"/>
          <w:jc w:val="right"/>
        </w:pPr>
        <w:r>
          <w:fldChar w:fldCharType="begin"/>
        </w:r>
        <w:r>
          <w:instrText xml:space="preserve"> PAGE   \* MERGEFORMAT </w:instrText>
        </w:r>
        <w:r>
          <w:fldChar w:fldCharType="separate"/>
        </w:r>
        <w:r>
          <w:rPr>
            <w:noProof/>
          </w:rPr>
          <w:t>vii</w:t>
        </w:r>
        <w:r>
          <w:rPr>
            <w:noProof/>
          </w:rPr>
          <w:fldChar w:fldCharType="end"/>
        </w:r>
      </w:p>
    </w:sdtContent>
  </w:sdt>
  <w:p w:rsidR="0097310E" w:rsidRPr="002C33EA" w:rsidRDefault="00BA0B9F" w:rsidP="0097310E">
    <w:pPr>
      <w:pStyle w:val="Footer"/>
      <w:jc w:val="center"/>
    </w:pPr>
    <w:r>
      <w:rPr>
        <w:sz w:val="22"/>
      </w:rPr>
      <w:t>Any Senator who wishes to draw matters to the attention of the</w:t>
    </w:r>
  </w:p>
  <w:p w:rsidR="0087584F" w:rsidRPr="002C33EA" w:rsidRDefault="00BA0B9F" w:rsidP="0097310E">
    <w:pPr>
      <w:pStyle w:val="Footer"/>
      <w:tabs>
        <w:tab w:val="clear" w:pos="8306"/>
      </w:tabs>
      <w:jc w:val="center"/>
    </w:pPr>
    <w:r>
      <w:rPr>
        <w:sz w:val="22"/>
      </w:rPr>
      <w:t>Committee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8D" w:rsidRDefault="00BA0B9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817363"/>
      <w:docPartObj>
        <w:docPartGallery w:val="Page Numbers (Bottom of Page)"/>
        <w:docPartUnique/>
      </w:docPartObj>
    </w:sdtPr>
    <w:sdtEndPr>
      <w:rPr>
        <w:noProof/>
      </w:rPr>
    </w:sdtEndPr>
    <w:sdtContent>
      <w:p w:rsidR="003B691F" w:rsidRDefault="00BA0B9F">
        <w:pPr>
          <w:pStyle w:val="Footer"/>
        </w:pPr>
        <w:r>
          <w:fldChar w:fldCharType="begin"/>
        </w:r>
        <w:r>
          <w:instrText xml:space="preserve"> PAGE   \* MERGEFORMAT </w:instrText>
        </w:r>
        <w:r>
          <w:fldChar w:fldCharType="separate"/>
        </w:r>
        <w:r>
          <w:rPr>
            <w:noProof/>
          </w:rPr>
          <w:t>16</w:t>
        </w:r>
        <w:r>
          <w:rPr>
            <w:noProof/>
          </w:rPr>
          <w:fldChar w:fldCharType="end"/>
        </w:r>
      </w:p>
    </w:sdtContent>
  </w:sdt>
  <w:p w:rsidR="003B691F" w:rsidRPr="002C33EA" w:rsidRDefault="00BA0B9F" w:rsidP="00F74F86">
    <w:pPr>
      <w:pStyle w:val="Footer"/>
      <w:jc w:val="center"/>
    </w:pPr>
    <w:r>
      <w:rPr>
        <w:sz w:val="22"/>
      </w:rPr>
      <w:t>Any Senator who wishes to draw matters to the attention of the</w:t>
    </w:r>
  </w:p>
  <w:p w:rsidR="003B691F" w:rsidRPr="002C33EA" w:rsidRDefault="00BA0B9F" w:rsidP="00F74F86">
    <w:pPr>
      <w:pStyle w:val="Footer"/>
      <w:tabs>
        <w:tab w:val="clear" w:pos="8306"/>
      </w:tabs>
      <w:jc w:val="center"/>
    </w:pPr>
    <w:r>
      <w:rPr>
        <w:sz w:val="22"/>
      </w:rPr>
      <w:t>Committee under its terms of reference is invited t</w:t>
    </w:r>
    <w:r>
      <w:rPr>
        <w:sz w:val="22"/>
      </w:rPr>
      <w: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185065"/>
      <w:docPartObj>
        <w:docPartGallery w:val="Page Numbers (Bottom of Page)"/>
        <w:docPartUnique/>
      </w:docPartObj>
    </w:sdtPr>
    <w:sdtEndPr>
      <w:rPr>
        <w:noProof/>
      </w:rPr>
    </w:sdtEndPr>
    <w:sdtContent>
      <w:p w:rsidR="003B691F" w:rsidRDefault="00BA0B9F">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3B691F" w:rsidRPr="002C33EA" w:rsidRDefault="00BA0B9F" w:rsidP="0097310E">
    <w:pPr>
      <w:pStyle w:val="Footer"/>
      <w:jc w:val="center"/>
    </w:pPr>
    <w:r>
      <w:rPr>
        <w:sz w:val="22"/>
      </w:rPr>
      <w:t>Any Senator who wishes to draw matters to the attention of the</w:t>
    </w:r>
  </w:p>
  <w:p w:rsidR="003B691F" w:rsidRPr="002C33EA" w:rsidRDefault="00BA0B9F" w:rsidP="0097310E">
    <w:pPr>
      <w:pStyle w:val="Footer"/>
      <w:tabs>
        <w:tab w:val="clear" w:pos="8306"/>
      </w:tabs>
      <w:jc w:val="center"/>
    </w:pPr>
    <w:r>
      <w:rPr>
        <w:sz w:val="22"/>
      </w:rPr>
      <w:t>Committee under its terms of reference is invited to do so.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1F" w:rsidRDefault="00BA0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8D" w:rsidRDefault="00BA0B9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Default="00BA0B9F">
    <w:pPr>
      <w:pStyle w:val="Header"/>
      <w:pBdr>
        <w:bottom w:val="single" w:sz="4" w:space="1" w:color="auto"/>
      </w:pBdr>
      <w:rPr>
        <w:b/>
      </w:rPr>
    </w:pPr>
    <w:r>
      <w:rPr>
        <w:b/>
      </w:rPr>
      <w:t>Alert Digest x/16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Pr="002C33EA" w:rsidRDefault="00BA0B9F" w:rsidP="002C33EA">
    <w:pPr>
      <w:pStyle w:val="Header"/>
      <w:pBdr>
        <w:bottom w:val="single" w:sz="4" w:space="1" w:color="auto"/>
      </w:pBdr>
      <w:rPr>
        <w:b/>
      </w:rPr>
    </w:pPr>
    <w:r>
      <w:rPr>
        <w:b/>
      </w:rPr>
      <w:t>A</w:t>
    </w:r>
    <w:r>
      <w:rPr>
        <w:b/>
      </w:rPr>
      <w:t xml:space="preserve">lert Digest </w:t>
    </w:r>
    <w:r>
      <w:rPr>
        <w:b/>
      </w:rPr>
      <w:t>4</w:t>
    </w:r>
    <w:r>
      <w:rPr>
        <w:b/>
      </w:rPr>
      <w:t>/16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8D" w:rsidRDefault="00BA0B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53E" w:rsidRDefault="00BA0B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1F" w:rsidRDefault="00BA0B9F" w:rsidP="00C44E68">
    <w:pPr>
      <w:pStyle w:val="Header"/>
      <w:pBdr>
        <w:bottom w:val="single" w:sz="4" w:space="1" w:color="auto"/>
      </w:pBdr>
      <w:tabs>
        <w:tab w:val="clear" w:pos="8306"/>
        <w:tab w:val="right" w:pos="8222"/>
      </w:tabs>
      <w:rPr>
        <w:b/>
      </w:rPr>
    </w:pPr>
    <w:r>
      <w:rPr>
        <w:b/>
      </w:rPr>
      <w:tab/>
    </w:r>
    <w:r>
      <w:rPr>
        <w:b/>
      </w:rPr>
      <w:tab/>
      <w:t>Alert Digest 4/16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1F" w:rsidRPr="00BA0B9F" w:rsidRDefault="00BA0B9F" w:rsidP="00BA0B9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1F" w:rsidRDefault="00BA0B9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Default="00BA0B9F" w:rsidP="00480A22">
    <w:pPr>
      <w:pStyle w:val="Header"/>
      <w:pBdr>
        <w:bottom w:val="single" w:sz="4" w:space="1" w:color="auto"/>
      </w:pBdr>
      <w:tabs>
        <w:tab w:val="clear" w:pos="8306"/>
        <w:tab w:val="right" w:pos="8222"/>
      </w:tabs>
      <w:rPr>
        <w:b/>
      </w:rPr>
    </w:pPr>
    <w:r>
      <w:rPr>
        <w:b/>
      </w:rPr>
      <w:tab/>
    </w:r>
    <w:r>
      <w:rPr>
        <w:b/>
      </w:rPr>
      <w:tab/>
      <w:t xml:space="preserve">Alert Digest </w:t>
    </w:r>
    <w:r>
      <w:rPr>
        <w:b/>
      </w:rPr>
      <w:t>4</w:t>
    </w:r>
    <w:r>
      <w:rPr>
        <w:b/>
      </w:rPr>
      <w:t>/16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Pr="002C33EA" w:rsidRDefault="00BA0B9F" w:rsidP="002C33EA">
    <w:pPr>
      <w:pStyle w:val="Header"/>
      <w:pBdr>
        <w:bottom w:val="single" w:sz="4" w:space="1" w:color="auto"/>
      </w:pBdr>
      <w:rPr>
        <w:b/>
      </w:rPr>
    </w:pPr>
    <w:r>
      <w:rPr>
        <w:b/>
      </w:rPr>
      <w:t xml:space="preserve">Alert Digest </w:t>
    </w:r>
    <w:r>
      <w:rPr>
        <w:b/>
      </w:rPr>
      <w:t>4</w:t>
    </w:r>
    <w:r>
      <w:rPr>
        <w:b/>
      </w:rPr>
      <w:t>/16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99" w:rsidRDefault="00BA0B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8D971D0"/>
    <w:multiLevelType w:val="hybridMultilevel"/>
    <w:tmpl w:val="71E49418"/>
    <w:lvl w:ilvl="0" w:tplc="FDC04276">
      <w:start w:val="145"/>
      <w:numFmt w:val="decimal"/>
      <w:lvlText w:val="%1."/>
      <w:lvlJc w:val="left"/>
      <w:pPr>
        <w:ind w:left="420" w:hanging="420"/>
      </w:pPr>
      <w:rPr>
        <w:rFonts w:hint="default"/>
        <w:sz w:val="24"/>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8">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9">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1">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2">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3">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4">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5">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6">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7">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8">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9">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0">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1">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2">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3">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4">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5">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7">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8">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9">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0">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1">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2">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3">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7"/>
  </w:num>
  <w:num w:numId="2">
    <w:abstractNumId w:val="15"/>
  </w:num>
  <w:num w:numId="3">
    <w:abstractNumId w:val="20"/>
  </w:num>
  <w:num w:numId="4">
    <w:abstractNumId w:val="22"/>
  </w:num>
  <w:num w:numId="5">
    <w:abstractNumId w:val="27"/>
  </w:num>
  <w:num w:numId="6">
    <w:abstractNumId w:val="1"/>
  </w:num>
  <w:num w:numId="7">
    <w:abstractNumId w:val="30"/>
  </w:num>
  <w:num w:numId="8">
    <w:abstractNumId w:val="16"/>
  </w:num>
  <w:num w:numId="9">
    <w:abstractNumId w:val="5"/>
  </w:num>
  <w:num w:numId="10">
    <w:abstractNumId w:val="7"/>
  </w:num>
  <w:num w:numId="11">
    <w:abstractNumId w:val="28"/>
  </w:num>
  <w:num w:numId="12">
    <w:abstractNumId w:val="3"/>
  </w:num>
  <w:num w:numId="13">
    <w:abstractNumId w:val="32"/>
  </w:num>
  <w:num w:numId="14">
    <w:abstractNumId w:val="29"/>
  </w:num>
  <w:num w:numId="15">
    <w:abstractNumId w:val="31"/>
  </w:num>
  <w:num w:numId="16">
    <w:abstractNumId w:val="4"/>
  </w:num>
  <w:num w:numId="17">
    <w:abstractNumId w:val="26"/>
  </w:num>
  <w:num w:numId="18">
    <w:abstractNumId w:val="13"/>
  </w:num>
  <w:num w:numId="19">
    <w:abstractNumId w:val="21"/>
  </w:num>
  <w:num w:numId="20">
    <w:abstractNumId w:val="18"/>
  </w:num>
  <w:num w:numId="21">
    <w:abstractNumId w:val="23"/>
  </w:num>
  <w:num w:numId="22">
    <w:abstractNumId w:val="12"/>
  </w:num>
  <w:num w:numId="23">
    <w:abstractNumId w:val="11"/>
  </w:num>
  <w:num w:numId="24">
    <w:abstractNumId w:val="14"/>
  </w:num>
  <w:num w:numId="25">
    <w:abstractNumId w:val="0"/>
  </w:num>
  <w:num w:numId="26">
    <w:abstractNumId w:val="33"/>
  </w:num>
  <w:num w:numId="27">
    <w:abstractNumId w:val="24"/>
  </w:num>
  <w:num w:numId="28">
    <w:abstractNumId w:val="2"/>
  </w:num>
  <w:num w:numId="29">
    <w:abstractNumId w:val="8"/>
  </w:num>
  <w:num w:numId="30">
    <w:abstractNumId w:val="13"/>
  </w:num>
  <w:num w:numId="31">
    <w:abstractNumId w:val="25"/>
  </w:num>
  <w:num w:numId="32">
    <w:abstractNumId w:val="13"/>
    <w:lvlOverride w:ilvl="0">
      <w:startOverride w:val="1"/>
    </w:lvlOverride>
  </w:num>
  <w:num w:numId="33">
    <w:abstractNumId w:val="19"/>
  </w:num>
  <w:num w:numId="34">
    <w:abstractNumId w:val="10"/>
  </w:num>
  <w:num w:numId="35">
    <w:abstractNumId w:val="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C6E46"/>
    <w:rsid w:val="000E31D6"/>
    <w:rsid w:val="000F6E86"/>
    <w:rsid w:val="00100CA7"/>
    <w:rsid w:val="00100E04"/>
    <w:rsid w:val="00104D9B"/>
    <w:rsid w:val="001069EA"/>
    <w:rsid w:val="0011503D"/>
    <w:rsid w:val="001238FD"/>
    <w:rsid w:val="0014426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41EF"/>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1F3A"/>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13663"/>
    <w:rsid w:val="00522B6B"/>
    <w:rsid w:val="0052379E"/>
    <w:rsid w:val="005255C1"/>
    <w:rsid w:val="00527454"/>
    <w:rsid w:val="00537313"/>
    <w:rsid w:val="0054002E"/>
    <w:rsid w:val="005478C2"/>
    <w:rsid w:val="005659E4"/>
    <w:rsid w:val="005702BA"/>
    <w:rsid w:val="0059013E"/>
    <w:rsid w:val="005A2B38"/>
    <w:rsid w:val="005A2D74"/>
    <w:rsid w:val="005A57FB"/>
    <w:rsid w:val="005B55D8"/>
    <w:rsid w:val="005E39EA"/>
    <w:rsid w:val="005F1099"/>
    <w:rsid w:val="005F385C"/>
    <w:rsid w:val="005F5EE3"/>
    <w:rsid w:val="00610700"/>
    <w:rsid w:val="00623449"/>
    <w:rsid w:val="00626349"/>
    <w:rsid w:val="00636556"/>
    <w:rsid w:val="006468C1"/>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A4421"/>
    <w:rsid w:val="007B0408"/>
    <w:rsid w:val="007B2A4C"/>
    <w:rsid w:val="007B4EE6"/>
    <w:rsid w:val="007F7575"/>
    <w:rsid w:val="00824495"/>
    <w:rsid w:val="00830E0C"/>
    <w:rsid w:val="00831D2F"/>
    <w:rsid w:val="008366E9"/>
    <w:rsid w:val="0085163F"/>
    <w:rsid w:val="00854427"/>
    <w:rsid w:val="00864A58"/>
    <w:rsid w:val="008666D8"/>
    <w:rsid w:val="00867921"/>
    <w:rsid w:val="00880168"/>
    <w:rsid w:val="008826A9"/>
    <w:rsid w:val="00897DF8"/>
    <w:rsid w:val="00897DFC"/>
    <w:rsid w:val="008C02A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3D44"/>
    <w:rsid w:val="009A4D45"/>
    <w:rsid w:val="009B0139"/>
    <w:rsid w:val="009C6213"/>
    <w:rsid w:val="009E3DF8"/>
    <w:rsid w:val="00A05CAD"/>
    <w:rsid w:val="00A14DCE"/>
    <w:rsid w:val="00A3549F"/>
    <w:rsid w:val="00A45F14"/>
    <w:rsid w:val="00A523D1"/>
    <w:rsid w:val="00A57EDB"/>
    <w:rsid w:val="00A71811"/>
    <w:rsid w:val="00A96665"/>
    <w:rsid w:val="00AA252D"/>
    <w:rsid w:val="00AC23B2"/>
    <w:rsid w:val="00AC2906"/>
    <w:rsid w:val="00AC3027"/>
    <w:rsid w:val="00AD332A"/>
    <w:rsid w:val="00AD784F"/>
    <w:rsid w:val="00B01A8A"/>
    <w:rsid w:val="00B11410"/>
    <w:rsid w:val="00B27DD3"/>
    <w:rsid w:val="00B63DBB"/>
    <w:rsid w:val="00B640AE"/>
    <w:rsid w:val="00B71A9B"/>
    <w:rsid w:val="00B771B1"/>
    <w:rsid w:val="00B940FF"/>
    <w:rsid w:val="00BA0B9F"/>
    <w:rsid w:val="00BA1CDD"/>
    <w:rsid w:val="00BA34F0"/>
    <w:rsid w:val="00BC4FC8"/>
    <w:rsid w:val="00BC63C0"/>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34652"/>
    <w:rsid w:val="00D868C4"/>
    <w:rsid w:val="00D95526"/>
    <w:rsid w:val="00DA2ED3"/>
    <w:rsid w:val="00DB189F"/>
    <w:rsid w:val="00DE073E"/>
    <w:rsid w:val="00E1150D"/>
    <w:rsid w:val="00E236D7"/>
    <w:rsid w:val="00E40BD9"/>
    <w:rsid w:val="00E52F35"/>
    <w:rsid w:val="00E62BBA"/>
    <w:rsid w:val="00E7092E"/>
    <w:rsid w:val="00E75649"/>
    <w:rsid w:val="00E77E58"/>
    <w:rsid w:val="00EA72DC"/>
    <w:rsid w:val="00EB57E6"/>
    <w:rsid w:val="00EC5DC3"/>
    <w:rsid w:val="00ED31FB"/>
    <w:rsid w:val="00EE2E99"/>
    <w:rsid w:val="00F15A0E"/>
    <w:rsid w:val="00F2009D"/>
    <w:rsid w:val="00F422B9"/>
    <w:rsid w:val="00F4579A"/>
    <w:rsid w:val="00F50B71"/>
    <w:rsid w:val="00F523E6"/>
    <w:rsid w:val="00F54F24"/>
    <w:rsid w:val="00F66982"/>
    <w:rsid w:val="00F7194C"/>
    <w:rsid w:val="00F74852"/>
    <w:rsid w:val="00F91DB2"/>
    <w:rsid w:val="00F92914"/>
    <w:rsid w:val="00F93542"/>
    <w:rsid w:val="00FA4579"/>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9F"/>
    <w:pPr>
      <w:spacing w:line="264" w:lineRule="auto"/>
      <w:jc w:val="both"/>
    </w:pPr>
    <w:rPr>
      <w:sz w:val="26"/>
    </w:rPr>
  </w:style>
  <w:style w:type="character" w:default="1" w:styleId="DefaultParagraphFont">
    <w:name w:val="Default Paragraph Font"/>
    <w:uiPriority w:val="1"/>
    <w:semiHidden/>
    <w:unhideWhenUsed/>
    <w:rsid w:val="00BA0B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0B9F"/>
  </w:style>
  <w:style w:type="paragraph" w:styleId="EnvelopeAddress">
    <w:name w:val="envelope address"/>
    <w:basedOn w:val="Normal"/>
    <w:rsid w:val="00BA0B9F"/>
    <w:pPr>
      <w:framePr w:w="7920" w:h="1980" w:hRule="exact" w:hSpace="180" w:wrap="auto" w:hAnchor="page" w:xAlign="center" w:yAlign="bottom"/>
      <w:ind w:left="2880"/>
    </w:pPr>
    <w:rPr>
      <w:rFonts w:ascii="Arial" w:hAnsi="Arial"/>
    </w:rPr>
  </w:style>
  <w:style w:type="paragraph" w:styleId="EnvelopeReturn">
    <w:name w:val="envelope return"/>
    <w:basedOn w:val="Normal"/>
    <w:rsid w:val="00BA0B9F"/>
    <w:rPr>
      <w:rFonts w:ascii="Arial" w:hAnsi="Arial"/>
      <w:sz w:val="20"/>
    </w:rPr>
  </w:style>
  <w:style w:type="paragraph" w:styleId="Header">
    <w:name w:val="header"/>
    <w:basedOn w:val="Normal"/>
    <w:link w:val="HeaderChar"/>
    <w:rsid w:val="00BA0B9F"/>
    <w:pPr>
      <w:tabs>
        <w:tab w:val="center" w:pos="4153"/>
        <w:tab w:val="right" w:pos="8306"/>
      </w:tabs>
    </w:pPr>
  </w:style>
  <w:style w:type="paragraph" w:customStyle="1" w:styleId="I1">
    <w:name w:val="I1"/>
    <w:basedOn w:val="Normal"/>
    <w:rsid w:val="00BA0B9F"/>
    <w:pPr>
      <w:ind w:left="567" w:right="709"/>
    </w:pPr>
    <w:rPr>
      <w:sz w:val="22"/>
    </w:rPr>
  </w:style>
  <w:style w:type="paragraph" w:customStyle="1" w:styleId="I2">
    <w:name w:val="I2"/>
    <w:basedOn w:val="Normal"/>
    <w:rsid w:val="00BA0B9F"/>
    <w:pPr>
      <w:ind w:left="851" w:right="1134"/>
    </w:pPr>
    <w:rPr>
      <w:sz w:val="22"/>
    </w:rPr>
  </w:style>
  <w:style w:type="paragraph" w:customStyle="1" w:styleId="H1">
    <w:name w:val="H1"/>
    <w:basedOn w:val="Normal"/>
    <w:link w:val="H1Char1"/>
    <w:qFormat/>
    <w:rsid w:val="00BA0B9F"/>
    <w:pPr>
      <w:spacing w:after="480"/>
    </w:pPr>
    <w:rPr>
      <w:b/>
      <w:sz w:val="36"/>
    </w:rPr>
  </w:style>
  <w:style w:type="paragraph" w:customStyle="1" w:styleId="H2">
    <w:name w:val="H2"/>
    <w:basedOn w:val="Normal"/>
    <w:link w:val="H2Char"/>
    <w:qFormat/>
    <w:rsid w:val="00BA0B9F"/>
    <w:rPr>
      <w:b/>
      <w:sz w:val="28"/>
    </w:rPr>
  </w:style>
  <w:style w:type="paragraph" w:customStyle="1" w:styleId="B1">
    <w:name w:val="B1"/>
    <w:basedOn w:val="Normal"/>
    <w:link w:val="B1Char"/>
    <w:qFormat/>
    <w:rsid w:val="00BA0B9F"/>
    <w:pPr>
      <w:numPr>
        <w:numId w:val="32"/>
      </w:numPr>
      <w:spacing w:after="240"/>
    </w:pPr>
  </w:style>
  <w:style w:type="paragraph" w:customStyle="1" w:styleId="B2">
    <w:name w:val="B2"/>
    <w:basedOn w:val="Normal"/>
    <w:rsid w:val="00BA0B9F"/>
    <w:pPr>
      <w:numPr>
        <w:numId w:val="25"/>
      </w:numPr>
      <w:tabs>
        <w:tab w:val="left" w:pos="992"/>
      </w:tabs>
      <w:spacing w:after="240"/>
      <w:ind w:left="1020"/>
    </w:pPr>
  </w:style>
  <w:style w:type="paragraph" w:styleId="Footer">
    <w:name w:val="footer"/>
    <w:basedOn w:val="Normal"/>
    <w:link w:val="FooterChar"/>
    <w:uiPriority w:val="99"/>
    <w:rsid w:val="00BA0B9F"/>
    <w:pPr>
      <w:tabs>
        <w:tab w:val="center" w:pos="4153"/>
        <w:tab w:val="right" w:pos="8306"/>
      </w:tabs>
    </w:pPr>
  </w:style>
  <w:style w:type="character" w:styleId="PageNumber">
    <w:name w:val="page number"/>
    <w:basedOn w:val="DefaultParagraphFont"/>
    <w:rsid w:val="00BA0B9F"/>
  </w:style>
  <w:style w:type="character" w:customStyle="1" w:styleId="B1Char">
    <w:name w:val="B1 Char"/>
    <w:basedOn w:val="DefaultParagraphFont"/>
    <w:link w:val="B1"/>
    <w:rsid w:val="00BA0B9F"/>
    <w:rPr>
      <w:sz w:val="26"/>
    </w:rPr>
  </w:style>
  <w:style w:type="paragraph" w:customStyle="1" w:styleId="TOCNormal">
    <w:name w:val="TOCNormal"/>
    <w:basedOn w:val="Normal"/>
    <w:rsid w:val="00BA0B9F"/>
    <w:pPr>
      <w:spacing w:before="120" w:after="120"/>
      <w:ind w:left="510"/>
      <w:jc w:val="left"/>
    </w:pPr>
  </w:style>
  <w:style w:type="paragraph" w:customStyle="1" w:styleId="TOCBullet">
    <w:name w:val="TOCBullet"/>
    <w:basedOn w:val="TOC1"/>
    <w:qFormat/>
    <w:rsid w:val="00BA0B9F"/>
    <w:pPr>
      <w:numPr>
        <w:numId w:val="34"/>
      </w:numPr>
      <w:ind w:left="504" w:hanging="504"/>
    </w:pPr>
  </w:style>
  <w:style w:type="paragraph" w:customStyle="1" w:styleId="Bull">
    <w:name w:val="Bull"/>
    <w:basedOn w:val="Normal"/>
    <w:rsid w:val="00BA0B9F"/>
    <w:pPr>
      <w:numPr>
        <w:numId w:val="27"/>
      </w:numPr>
    </w:pPr>
  </w:style>
  <w:style w:type="paragraph" w:customStyle="1" w:styleId="Bull1">
    <w:name w:val="Bull1"/>
    <w:basedOn w:val="Normal"/>
    <w:rsid w:val="00BA0B9F"/>
    <w:pPr>
      <w:numPr>
        <w:numId w:val="29"/>
      </w:numPr>
      <w:ind w:right="397"/>
    </w:pPr>
  </w:style>
  <w:style w:type="paragraph" w:customStyle="1" w:styleId="TableTextBill">
    <w:name w:val="Table Text Bill"/>
    <w:link w:val="TableTextBillChar"/>
    <w:qFormat/>
    <w:rsid w:val="00BA0B9F"/>
    <w:rPr>
      <w:b/>
      <w:sz w:val="22"/>
      <w:szCs w:val="22"/>
    </w:rPr>
  </w:style>
  <w:style w:type="paragraph" w:customStyle="1" w:styleId="TableText">
    <w:name w:val="Table Text"/>
    <w:next w:val="TableTextBill"/>
    <w:link w:val="TableTextChar"/>
    <w:qFormat/>
    <w:rsid w:val="00BA0B9F"/>
    <w:rPr>
      <w:sz w:val="22"/>
      <w:szCs w:val="22"/>
    </w:rPr>
  </w:style>
  <w:style w:type="character" w:customStyle="1" w:styleId="TableTextBillChar">
    <w:name w:val="Table Text Bill Char"/>
    <w:basedOn w:val="B1Char"/>
    <w:link w:val="TableTextBill"/>
    <w:rsid w:val="00BA0B9F"/>
    <w:rPr>
      <w:b/>
      <w:sz w:val="22"/>
      <w:szCs w:val="22"/>
    </w:rPr>
  </w:style>
  <w:style w:type="paragraph" w:styleId="TOC1">
    <w:name w:val="toc 1"/>
    <w:basedOn w:val="TOCNormal"/>
    <w:next w:val="Normal"/>
    <w:autoRedefine/>
    <w:uiPriority w:val="39"/>
    <w:unhideWhenUsed/>
    <w:rsid w:val="00BA0B9F"/>
    <w:pPr>
      <w:tabs>
        <w:tab w:val="left" w:pos="7655"/>
        <w:tab w:val="right" w:pos="8182"/>
      </w:tabs>
      <w:ind w:right="1813"/>
    </w:pPr>
    <w:rPr>
      <w:noProof/>
    </w:rPr>
  </w:style>
  <w:style w:type="character" w:customStyle="1" w:styleId="TableTextChar">
    <w:name w:val="Table Text Char"/>
    <w:basedOn w:val="TableTextBillChar"/>
    <w:link w:val="TableText"/>
    <w:rsid w:val="00BA0B9F"/>
    <w:rPr>
      <w:b w:val="0"/>
      <w:sz w:val="22"/>
      <w:szCs w:val="22"/>
    </w:rPr>
  </w:style>
  <w:style w:type="character" w:customStyle="1" w:styleId="FooterChar">
    <w:name w:val="Footer Char"/>
    <w:basedOn w:val="DefaultParagraphFont"/>
    <w:link w:val="Footer"/>
    <w:uiPriority w:val="99"/>
    <w:rsid w:val="00BA0B9F"/>
    <w:rPr>
      <w:sz w:val="26"/>
    </w:rPr>
  </w:style>
  <w:style w:type="table" w:styleId="TableGrid">
    <w:name w:val="Table Grid"/>
    <w:basedOn w:val="TableNormal"/>
    <w:uiPriority w:val="59"/>
    <w:rsid w:val="00BA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A0B9F"/>
    <w:rPr>
      <w:sz w:val="26"/>
    </w:rPr>
  </w:style>
  <w:style w:type="paragraph" w:styleId="TOC3">
    <w:name w:val="toc 3"/>
    <w:basedOn w:val="Normal"/>
    <w:next w:val="Normal"/>
    <w:autoRedefine/>
    <w:uiPriority w:val="39"/>
    <w:unhideWhenUsed/>
    <w:rsid w:val="00BA0B9F"/>
    <w:pPr>
      <w:tabs>
        <w:tab w:val="right" w:pos="8182"/>
        <w:tab w:val="right" w:pos="8222"/>
      </w:tabs>
      <w:spacing w:before="240" w:after="240"/>
      <w:ind w:left="567" w:right="964"/>
    </w:pPr>
  </w:style>
  <w:style w:type="character" w:customStyle="1" w:styleId="H2Char">
    <w:name w:val="H2 Char"/>
    <w:basedOn w:val="DefaultParagraphFont"/>
    <w:link w:val="H2"/>
    <w:rsid w:val="00BA0B9F"/>
    <w:rPr>
      <w:b/>
      <w:sz w:val="28"/>
    </w:rPr>
  </w:style>
  <w:style w:type="paragraph" w:customStyle="1" w:styleId="H211">
    <w:name w:val="H211"/>
    <w:basedOn w:val="Normal"/>
    <w:rsid w:val="00BA0B9F"/>
    <w:rPr>
      <w:b/>
      <w:sz w:val="28"/>
    </w:rPr>
  </w:style>
  <w:style w:type="character" w:customStyle="1" w:styleId="H1Char1">
    <w:name w:val="H1 Char1"/>
    <w:basedOn w:val="DefaultParagraphFont"/>
    <w:link w:val="H1"/>
    <w:rsid w:val="00BA0B9F"/>
    <w:rPr>
      <w:b/>
      <w:sz w:val="36"/>
    </w:rPr>
  </w:style>
  <w:style w:type="paragraph" w:styleId="ListParagraph">
    <w:name w:val="List Paragraph"/>
    <w:basedOn w:val="Normal"/>
    <w:uiPriority w:val="34"/>
    <w:rsid w:val="00BA0B9F"/>
    <w:pPr>
      <w:autoSpaceDE w:val="0"/>
      <w:autoSpaceDN w:val="0"/>
      <w:spacing w:line="240" w:lineRule="auto"/>
      <w:ind w:left="720"/>
      <w:contextualSpacing/>
      <w:jc w:val="left"/>
    </w:pPr>
    <w:rPr>
      <w:rFonts w:eastAsiaTheme="minorEastAsia"/>
      <w:sz w:val="20"/>
    </w:rPr>
  </w:style>
  <w:style w:type="character" w:customStyle="1" w:styleId="H1Char">
    <w:name w:val="H1 Char"/>
    <w:basedOn w:val="DefaultParagraphFont"/>
    <w:rsid w:val="00BA0B9F"/>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9F"/>
    <w:pPr>
      <w:spacing w:line="264" w:lineRule="auto"/>
      <w:jc w:val="both"/>
    </w:pPr>
    <w:rPr>
      <w:sz w:val="26"/>
    </w:rPr>
  </w:style>
  <w:style w:type="character" w:default="1" w:styleId="DefaultParagraphFont">
    <w:name w:val="Default Paragraph Font"/>
    <w:uiPriority w:val="1"/>
    <w:semiHidden/>
    <w:unhideWhenUsed/>
    <w:rsid w:val="00BA0B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0B9F"/>
  </w:style>
  <w:style w:type="paragraph" w:styleId="EnvelopeAddress">
    <w:name w:val="envelope address"/>
    <w:basedOn w:val="Normal"/>
    <w:rsid w:val="00BA0B9F"/>
    <w:pPr>
      <w:framePr w:w="7920" w:h="1980" w:hRule="exact" w:hSpace="180" w:wrap="auto" w:hAnchor="page" w:xAlign="center" w:yAlign="bottom"/>
      <w:ind w:left="2880"/>
    </w:pPr>
    <w:rPr>
      <w:rFonts w:ascii="Arial" w:hAnsi="Arial"/>
    </w:rPr>
  </w:style>
  <w:style w:type="paragraph" w:styleId="EnvelopeReturn">
    <w:name w:val="envelope return"/>
    <w:basedOn w:val="Normal"/>
    <w:rsid w:val="00BA0B9F"/>
    <w:rPr>
      <w:rFonts w:ascii="Arial" w:hAnsi="Arial"/>
      <w:sz w:val="20"/>
    </w:rPr>
  </w:style>
  <w:style w:type="paragraph" w:styleId="Header">
    <w:name w:val="header"/>
    <w:basedOn w:val="Normal"/>
    <w:link w:val="HeaderChar"/>
    <w:rsid w:val="00BA0B9F"/>
    <w:pPr>
      <w:tabs>
        <w:tab w:val="center" w:pos="4153"/>
        <w:tab w:val="right" w:pos="8306"/>
      </w:tabs>
    </w:pPr>
  </w:style>
  <w:style w:type="paragraph" w:customStyle="1" w:styleId="I1">
    <w:name w:val="I1"/>
    <w:basedOn w:val="Normal"/>
    <w:rsid w:val="00BA0B9F"/>
    <w:pPr>
      <w:ind w:left="567" w:right="709"/>
    </w:pPr>
    <w:rPr>
      <w:sz w:val="22"/>
    </w:rPr>
  </w:style>
  <w:style w:type="paragraph" w:customStyle="1" w:styleId="I2">
    <w:name w:val="I2"/>
    <w:basedOn w:val="Normal"/>
    <w:rsid w:val="00BA0B9F"/>
    <w:pPr>
      <w:ind w:left="851" w:right="1134"/>
    </w:pPr>
    <w:rPr>
      <w:sz w:val="22"/>
    </w:rPr>
  </w:style>
  <w:style w:type="paragraph" w:customStyle="1" w:styleId="H1">
    <w:name w:val="H1"/>
    <w:basedOn w:val="Normal"/>
    <w:link w:val="H1Char1"/>
    <w:qFormat/>
    <w:rsid w:val="00BA0B9F"/>
    <w:pPr>
      <w:spacing w:after="480"/>
    </w:pPr>
    <w:rPr>
      <w:b/>
      <w:sz w:val="36"/>
    </w:rPr>
  </w:style>
  <w:style w:type="paragraph" w:customStyle="1" w:styleId="H2">
    <w:name w:val="H2"/>
    <w:basedOn w:val="Normal"/>
    <w:link w:val="H2Char"/>
    <w:qFormat/>
    <w:rsid w:val="00BA0B9F"/>
    <w:rPr>
      <w:b/>
      <w:sz w:val="28"/>
    </w:rPr>
  </w:style>
  <w:style w:type="paragraph" w:customStyle="1" w:styleId="B1">
    <w:name w:val="B1"/>
    <w:basedOn w:val="Normal"/>
    <w:link w:val="B1Char"/>
    <w:qFormat/>
    <w:rsid w:val="00BA0B9F"/>
    <w:pPr>
      <w:numPr>
        <w:numId w:val="32"/>
      </w:numPr>
      <w:spacing w:after="240"/>
    </w:pPr>
  </w:style>
  <w:style w:type="paragraph" w:customStyle="1" w:styleId="B2">
    <w:name w:val="B2"/>
    <w:basedOn w:val="Normal"/>
    <w:rsid w:val="00BA0B9F"/>
    <w:pPr>
      <w:numPr>
        <w:numId w:val="25"/>
      </w:numPr>
      <w:tabs>
        <w:tab w:val="left" w:pos="992"/>
      </w:tabs>
      <w:spacing w:after="240"/>
      <w:ind w:left="1020"/>
    </w:pPr>
  </w:style>
  <w:style w:type="paragraph" w:styleId="Footer">
    <w:name w:val="footer"/>
    <w:basedOn w:val="Normal"/>
    <w:link w:val="FooterChar"/>
    <w:uiPriority w:val="99"/>
    <w:rsid w:val="00BA0B9F"/>
    <w:pPr>
      <w:tabs>
        <w:tab w:val="center" w:pos="4153"/>
        <w:tab w:val="right" w:pos="8306"/>
      </w:tabs>
    </w:pPr>
  </w:style>
  <w:style w:type="character" w:styleId="PageNumber">
    <w:name w:val="page number"/>
    <w:basedOn w:val="DefaultParagraphFont"/>
    <w:rsid w:val="00BA0B9F"/>
  </w:style>
  <w:style w:type="character" w:customStyle="1" w:styleId="B1Char">
    <w:name w:val="B1 Char"/>
    <w:basedOn w:val="DefaultParagraphFont"/>
    <w:link w:val="B1"/>
    <w:rsid w:val="00BA0B9F"/>
    <w:rPr>
      <w:sz w:val="26"/>
    </w:rPr>
  </w:style>
  <w:style w:type="paragraph" w:customStyle="1" w:styleId="TOCNormal">
    <w:name w:val="TOCNormal"/>
    <w:basedOn w:val="Normal"/>
    <w:rsid w:val="00BA0B9F"/>
    <w:pPr>
      <w:spacing w:before="120" w:after="120"/>
      <w:ind w:left="510"/>
      <w:jc w:val="left"/>
    </w:pPr>
  </w:style>
  <w:style w:type="paragraph" w:customStyle="1" w:styleId="TOCBullet">
    <w:name w:val="TOCBullet"/>
    <w:basedOn w:val="TOC1"/>
    <w:qFormat/>
    <w:rsid w:val="00BA0B9F"/>
    <w:pPr>
      <w:numPr>
        <w:numId w:val="34"/>
      </w:numPr>
      <w:ind w:left="504" w:hanging="504"/>
    </w:pPr>
  </w:style>
  <w:style w:type="paragraph" w:customStyle="1" w:styleId="Bull">
    <w:name w:val="Bull"/>
    <w:basedOn w:val="Normal"/>
    <w:rsid w:val="00BA0B9F"/>
    <w:pPr>
      <w:numPr>
        <w:numId w:val="27"/>
      </w:numPr>
    </w:pPr>
  </w:style>
  <w:style w:type="paragraph" w:customStyle="1" w:styleId="Bull1">
    <w:name w:val="Bull1"/>
    <w:basedOn w:val="Normal"/>
    <w:rsid w:val="00BA0B9F"/>
    <w:pPr>
      <w:numPr>
        <w:numId w:val="29"/>
      </w:numPr>
      <w:ind w:right="397"/>
    </w:pPr>
  </w:style>
  <w:style w:type="paragraph" w:customStyle="1" w:styleId="TableTextBill">
    <w:name w:val="Table Text Bill"/>
    <w:link w:val="TableTextBillChar"/>
    <w:qFormat/>
    <w:rsid w:val="00BA0B9F"/>
    <w:rPr>
      <w:b/>
      <w:sz w:val="22"/>
      <w:szCs w:val="22"/>
    </w:rPr>
  </w:style>
  <w:style w:type="paragraph" w:customStyle="1" w:styleId="TableText">
    <w:name w:val="Table Text"/>
    <w:next w:val="TableTextBill"/>
    <w:link w:val="TableTextChar"/>
    <w:qFormat/>
    <w:rsid w:val="00BA0B9F"/>
    <w:rPr>
      <w:sz w:val="22"/>
      <w:szCs w:val="22"/>
    </w:rPr>
  </w:style>
  <w:style w:type="character" w:customStyle="1" w:styleId="TableTextBillChar">
    <w:name w:val="Table Text Bill Char"/>
    <w:basedOn w:val="B1Char"/>
    <w:link w:val="TableTextBill"/>
    <w:rsid w:val="00BA0B9F"/>
    <w:rPr>
      <w:b/>
      <w:sz w:val="22"/>
      <w:szCs w:val="22"/>
    </w:rPr>
  </w:style>
  <w:style w:type="paragraph" w:styleId="TOC1">
    <w:name w:val="toc 1"/>
    <w:basedOn w:val="TOCNormal"/>
    <w:next w:val="Normal"/>
    <w:autoRedefine/>
    <w:uiPriority w:val="39"/>
    <w:unhideWhenUsed/>
    <w:rsid w:val="00BA0B9F"/>
    <w:pPr>
      <w:tabs>
        <w:tab w:val="left" w:pos="7655"/>
        <w:tab w:val="right" w:pos="8182"/>
      </w:tabs>
      <w:ind w:right="1813"/>
    </w:pPr>
    <w:rPr>
      <w:noProof/>
    </w:rPr>
  </w:style>
  <w:style w:type="character" w:customStyle="1" w:styleId="TableTextChar">
    <w:name w:val="Table Text Char"/>
    <w:basedOn w:val="TableTextBillChar"/>
    <w:link w:val="TableText"/>
    <w:rsid w:val="00BA0B9F"/>
    <w:rPr>
      <w:b w:val="0"/>
      <w:sz w:val="22"/>
      <w:szCs w:val="22"/>
    </w:rPr>
  </w:style>
  <w:style w:type="character" w:customStyle="1" w:styleId="FooterChar">
    <w:name w:val="Footer Char"/>
    <w:basedOn w:val="DefaultParagraphFont"/>
    <w:link w:val="Footer"/>
    <w:uiPriority w:val="99"/>
    <w:rsid w:val="00BA0B9F"/>
    <w:rPr>
      <w:sz w:val="26"/>
    </w:rPr>
  </w:style>
  <w:style w:type="table" w:styleId="TableGrid">
    <w:name w:val="Table Grid"/>
    <w:basedOn w:val="TableNormal"/>
    <w:uiPriority w:val="59"/>
    <w:rsid w:val="00BA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A0B9F"/>
    <w:rPr>
      <w:sz w:val="26"/>
    </w:rPr>
  </w:style>
  <w:style w:type="paragraph" w:styleId="TOC3">
    <w:name w:val="toc 3"/>
    <w:basedOn w:val="Normal"/>
    <w:next w:val="Normal"/>
    <w:autoRedefine/>
    <w:uiPriority w:val="39"/>
    <w:unhideWhenUsed/>
    <w:rsid w:val="00BA0B9F"/>
    <w:pPr>
      <w:tabs>
        <w:tab w:val="right" w:pos="8182"/>
        <w:tab w:val="right" w:pos="8222"/>
      </w:tabs>
      <w:spacing w:before="240" w:after="240"/>
      <w:ind w:left="567" w:right="964"/>
    </w:pPr>
  </w:style>
  <w:style w:type="character" w:customStyle="1" w:styleId="H2Char">
    <w:name w:val="H2 Char"/>
    <w:basedOn w:val="DefaultParagraphFont"/>
    <w:link w:val="H2"/>
    <w:rsid w:val="00BA0B9F"/>
    <w:rPr>
      <w:b/>
      <w:sz w:val="28"/>
    </w:rPr>
  </w:style>
  <w:style w:type="paragraph" w:customStyle="1" w:styleId="H211">
    <w:name w:val="H211"/>
    <w:basedOn w:val="Normal"/>
    <w:rsid w:val="00BA0B9F"/>
    <w:rPr>
      <w:b/>
      <w:sz w:val="28"/>
    </w:rPr>
  </w:style>
  <w:style w:type="character" w:customStyle="1" w:styleId="H1Char1">
    <w:name w:val="H1 Char1"/>
    <w:basedOn w:val="DefaultParagraphFont"/>
    <w:link w:val="H1"/>
    <w:rsid w:val="00BA0B9F"/>
    <w:rPr>
      <w:b/>
      <w:sz w:val="36"/>
    </w:rPr>
  </w:style>
  <w:style w:type="paragraph" w:styleId="ListParagraph">
    <w:name w:val="List Paragraph"/>
    <w:basedOn w:val="Normal"/>
    <w:uiPriority w:val="34"/>
    <w:rsid w:val="00BA0B9F"/>
    <w:pPr>
      <w:autoSpaceDE w:val="0"/>
      <w:autoSpaceDN w:val="0"/>
      <w:spacing w:line="240" w:lineRule="auto"/>
      <w:ind w:left="720"/>
      <w:contextualSpacing/>
      <w:jc w:val="left"/>
    </w:pPr>
    <w:rPr>
      <w:rFonts w:eastAsiaTheme="minorEastAsia"/>
      <w:sz w:val="20"/>
    </w:rPr>
  </w:style>
  <w:style w:type="character" w:customStyle="1" w:styleId="H1Char">
    <w:name w:val="H1 Char"/>
    <w:basedOn w:val="DefaultParagraphFont"/>
    <w:rsid w:val="00BA0B9F"/>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2.xml"/><Relationship Id="rId10" Type="http://schemas.openxmlformats.org/officeDocument/2006/relationships/footer" Target="footer3.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1</TotalTime>
  <Pages>31</Pages>
  <Words>4637</Words>
  <Characters>26040</Characters>
  <Application>Microsoft Office Word</Application>
  <DocSecurity>0</DocSecurity>
  <Lines>964</Lines>
  <Paragraphs>557</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30120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2016-03-16T05:36:00Z</dcterms:created>
  <dcterms:modified xsi:type="dcterms:W3CDTF">2016-03-16T05:36:00Z</dcterms:modified>
</cp:coreProperties>
</file>