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A66336">
        <w:rPr>
          <w:b/>
          <w:sz w:val="48"/>
        </w:rPr>
        <w:t>3</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54002E">
      <w:pPr>
        <w:spacing w:line="240" w:lineRule="auto"/>
        <w:jc w:val="center"/>
        <w:rPr>
          <w:b/>
          <w:sz w:val="32"/>
        </w:rPr>
      </w:pPr>
      <w:r>
        <w:rPr>
          <w:b/>
          <w:sz w:val="32"/>
        </w:rPr>
        <w:t>2</w:t>
      </w:r>
      <w:r w:rsidR="00A66336">
        <w:rPr>
          <w:b/>
          <w:sz w:val="32"/>
        </w:rPr>
        <w:t xml:space="preserve"> March</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3B2F28" w:rsidRDefault="003B2F28" w:rsidP="0076328C">
      <w:pPr>
        <w:spacing w:after="240" w:line="240" w:lineRule="auto"/>
        <w:sectPr w:rsidR="003B2F28" w:rsidSect="0091482F">
          <w:footerReference w:type="default" r:id="rId8"/>
          <w:pgSz w:w="11906" w:h="16838"/>
          <w:pgMar w:top="1701" w:right="1701" w:bottom="1701" w:left="1843" w:header="720" w:footer="720" w:gutter="170"/>
          <w:pgNumType w:start="5"/>
          <w:cols w:space="720"/>
          <w:docGrid w:linePitch="354"/>
        </w:sectPr>
      </w:pPr>
    </w:p>
    <w:p w:rsidR="003B2F28" w:rsidRDefault="003B2F28" w:rsidP="0076328C">
      <w:pPr>
        <w:spacing w:after="240" w:line="240" w:lineRule="auto"/>
        <w:sectPr w:rsidR="003B2F28" w:rsidSect="0091482F">
          <w:pgSz w:w="11906" w:h="16838"/>
          <w:pgMar w:top="1701" w:right="1701" w:bottom="1701" w:left="1843" w:header="720" w:footer="720" w:gutter="170"/>
          <w:pgNumType w:start="5"/>
          <w:cols w:space="720"/>
          <w:docGrid w:linePitch="354"/>
        </w:sectPr>
      </w:pPr>
    </w:p>
    <w:p w:rsidR="003B2F28" w:rsidRDefault="003B2F28" w:rsidP="003B2F28">
      <w:pPr>
        <w:spacing w:before="240" w:after="120" w:line="240" w:lineRule="auto"/>
        <w:jc w:val="center"/>
        <w:rPr>
          <w:b/>
          <w:sz w:val="32"/>
        </w:rPr>
      </w:pPr>
    </w:p>
    <w:p w:rsidR="003B2F28" w:rsidRDefault="003B2F28" w:rsidP="003B2F28">
      <w:pPr>
        <w:spacing w:before="240" w:after="120" w:line="240" w:lineRule="auto"/>
        <w:jc w:val="center"/>
        <w:rPr>
          <w:b/>
          <w:sz w:val="32"/>
        </w:rPr>
      </w:pPr>
      <w:r>
        <w:rPr>
          <w:b/>
          <w:sz w:val="32"/>
        </w:rPr>
        <w:t>Members of the Committee</w:t>
      </w:r>
    </w:p>
    <w:p w:rsidR="003B2F28" w:rsidRDefault="003B2F28" w:rsidP="003B2F28">
      <w:pPr>
        <w:jc w:val="center"/>
      </w:pPr>
    </w:p>
    <w:p w:rsidR="003B2F28" w:rsidRDefault="003B2F28" w:rsidP="003B2F28">
      <w:pPr>
        <w:jc w:val="center"/>
      </w:pPr>
    </w:p>
    <w:p w:rsidR="003B2F28" w:rsidRDefault="003B2F28" w:rsidP="003B2F2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3B2F28" w:rsidTr="00F5347B">
        <w:tc>
          <w:tcPr>
            <w:tcW w:w="4786" w:type="dxa"/>
          </w:tcPr>
          <w:p w:rsidR="003B2F28" w:rsidRDefault="003B2F28" w:rsidP="00F5347B">
            <w:pPr>
              <w:spacing w:after="60"/>
              <w:jc w:val="left"/>
            </w:pPr>
            <w:r w:rsidRPr="00457763">
              <w:t xml:space="preserve">Senator </w:t>
            </w:r>
            <w:r>
              <w:t>Helen Polley</w:t>
            </w:r>
            <w:r w:rsidRPr="00457763">
              <w:t xml:space="preserve"> (Chair)</w:t>
            </w:r>
          </w:p>
        </w:tc>
        <w:tc>
          <w:tcPr>
            <w:tcW w:w="3827" w:type="dxa"/>
          </w:tcPr>
          <w:p w:rsidR="003B2F28" w:rsidRDefault="003B2F28" w:rsidP="00F5347B">
            <w:pPr>
              <w:spacing w:after="60"/>
              <w:jc w:val="left"/>
            </w:pPr>
            <w:r>
              <w:t>ALP, Tasmania</w:t>
            </w:r>
          </w:p>
        </w:tc>
      </w:tr>
      <w:tr w:rsidR="003B2F28" w:rsidTr="00F5347B">
        <w:tc>
          <w:tcPr>
            <w:tcW w:w="4786" w:type="dxa"/>
          </w:tcPr>
          <w:p w:rsidR="003B2F28" w:rsidRPr="00457763" w:rsidRDefault="003B2F28" w:rsidP="00F5347B">
            <w:pPr>
              <w:spacing w:after="60"/>
              <w:jc w:val="left"/>
            </w:pPr>
            <w:r>
              <w:t>Senator John Williams (Deputy Chair)</w:t>
            </w:r>
          </w:p>
        </w:tc>
        <w:tc>
          <w:tcPr>
            <w:tcW w:w="3827" w:type="dxa"/>
          </w:tcPr>
          <w:p w:rsidR="003B2F28" w:rsidRDefault="003B2F28" w:rsidP="00F5347B">
            <w:pPr>
              <w:spacing w:after="60"/>
              <w:jc w:val="left"/>
            </w:pPr>
            <w:r>
              <w:t>NATS, New South Wales</w:t>
            </w:r>
          </w:p>
        </w:tc>
      </w:tr>
      <w:tr w:rsidR="003B2F28" w:rsidTr="00F5347B">
        <w:tc>
          <w:tcPr>
            <w:tcW w:w="4786" w:type="dxa"/>
          </w:tcPr>
          <w:p w:rsidR="003B2F28" w:rsidRPr="00457763" w:rsidRDefault="003B2F28" w:rsidP="00F5347B">
            <w:pPr>
              <w:spacing w:after="60"/>
              <w:jc w:val="left"/>
            </w:pPr>
            <w:r w:rsidRPr="00457763">
              <w:t xml:space="preserve">Senator </w:t>
            </w:r>
            <w:r>
              <w:t>Cory Bernardi</w:t>
            </w:r>
          </w:p>
        </w:tc>
        <w:tc>
          <w:tcPr>
            <w:tcW w:w="3827" w:type="dxa"/>
          </w:tcPr>
          <w:p w:rsidR="003B2F28" w:rsidRDefault="003B2F28" w:rsidP="00F5347B">
            <w:pPr>
              <w:spacing w:after="60"/>
              <w:jc w:val="left"/>
            </w:pPr>
            <w:r>
              <w:t>LP, South Australia</w:t>
            </w:r>
          </w:p>
        </w:tc>
      </w:tr>
      <w:tr w:rsidR="003B2F28" w:rsidTr="00F5347B">
        <w:tc>
          <w:tcPr>
            <w:tcW w:w="4786" w:type="dxa"/>
          </w:tcPr>
          <w:p w:rsidR="003B2F28" w:rsidRPr="00457763" w:rsidRDefault="003B2F28" w:rsidP="00F5347B">
            <w:pPr>
              <w:spacing w:after="60"/>
              <w:jc w:val="left"/>
            </w:pPr>
            <w:r>
              <w:t>Senator the Hon Bill Heffernan</w:t>
            </w:r>
          </w:p>
        </w:tc>
        <w:tc>
          <w:tcPr>
            <w:tcW w:w="3827" w:type="dxa"/>
          </w:tcPr>
          <w:p w:rsidR="003B2F28" w:rsidRDefault="003B2F28" w:rsidP="00F5347B">
            <w:pPr>
              <w:spacing w:after="60"/>
              <w:jc w:val="left"/>
            </w:pPr>
            <w:r>
              <w:t>LP, New South Wales</w:t>
            </w:r>
          </w:p>
        </w:tc>
      </w:tr>
      <w:tr w:rsidR="003B2F28" w:rsidTr="00F5347B">
        <w:tc>
          <w:tcPr>
            <w:tcW w:w="4786" w:type="dxa"/>
          </w:tcPr>
          <w:p w:rsidR="003B2F28" w:rsidRDefault="003B2F28" w:rsidP="00F5347B">
            <w:pPr>
              <w:spacing w:after="60"/>
              <w:jc w:val="left"/>
            </w:pPr>
            <w:r>
              <w:t>Senator the Hon Joseph Ludwig</w:t>
            </w:r>
          </w:p>
        </w:tc>
        <w:tc>
          <w:tcPr>
            <w:tcW w:w="3827" w:type="dxa"/>
          </w:tcPr>
          <w:p w:rsidR="003B2F28" w:rsidRDefault="003B2F28" w:rsidP="00F5347B">
            <w:pPr>
              <w:spacing w:after="60"/>
              <w:jc w:val="left"/>
            </w:pPr>
            <w:r>
              <w:t>ALP, Queensland</w:t>
            </w:r>
          </w:p>
        </w:tc>
      </w:tr>
      <w:tr w:rsidR="003B2F28" w:rsidTr="00F5347B">
        <w:tc>
          <w:tcPr>
            <w:tcW w:w="4786" w:type="dxa"/>
          </w:tcPr>
          <w:p w:rsidR="003B2F28" w:rsidRPr="00457763" w:rsidRDefault="003B2F28" w:rsidP="00F5347B">
            <w:pPr>
              <w:spacing w:after="60"/>
              <w:jc w:val="left"/>
            </w:pPr>
            <w:r w:rsidRPr="00457763">
              <w:t xml:space="preserve">Senator </w:t>
            </w:r>
            <w:r>
              <w:t>Rachel Siewert</w:t>
            </w:r>
          </w:p>
        </w:tc>
        <w:tc>
          <w:tcPr>
            <w:tcW w:w="3827" w:type="dxa"/>
          </w:tcPr>
          <w:p w:rsidR="003B2F28" w:rsidRDefault="003B2F28" w:rsidP="00F5347B">
            <w:pPr>
              <w:spacing w:after="60"/>
              <w:jc w:val="left"/>
            </w:pPr>
            <w:r>
              <w:t>AG, Western Australia</w:t>
            </w:r>
          </w:p>
        </w:tc>
      </w:tr>
    </w:tbl>
    <w:p w:rsidR="003B2F28" w:rsidRDefault="003B2F28" w:rsidP="003B2F28">
      <w:pPr>
        <w:jc w:val="left"/>
      </w:pPr>
    </w:p>
    <w:p w:rsidR="003B2F28" w:rsidRDefault="003B2F28" w:rsidP="003B2F28">
      <w:pPr>
        <w:jc w:val="left"/>
      </w:pPr>
    </w:p>
    <w:p w:rsidR="003B2F28" w:rsidRDefault="003B2F28" w:rsidP="003B2F28">
      <w:pPr>
        <w:jc w:val="left"/>
      </w:pPr>
    </w:p>
    <w:p w:rsidR="003B2F28" w:rsidRPr="00FA436C" w:rsidRDefault="003B2F28" w:rsidP="003B2F28">
      <w:pPr>
        <w:spacing w:after="120"/>
        <w:jc w:val="left"/>
        <w:rPr>
          <w:b/>
        </w:rPr>
      </w:pPr>
      <w:r>
        <w:rPr>
          <w:b/>
        </w:rPr>
        <w:t>Secretariat</w:t>
      </w:r>
    </w:p>
    <w:p w:rsidR="003B2F28" w:rsidRDefault="003B2F28" w:rsidP="003B2F28">
      <w:pPr>
        <w:spacing w:after="60"/>
        <w:jc w:val="left"/>
      </w:pPr>
      <w:r>
        <w:t>Ms Toni Dawes, Secretary</w:t>
      </w:r>
    </w:p>
    <w:p w:rsidR="003B2F28" w:rsidRDefault="003B2F28" w:rsidP="003B2F28">
      <w:pPr>
        <w:spacing w:after="60"/>
        <w:jc w:val="left"/>
      </w:pPr>
      <w:r>
        <w:t>Mr Glenn Ryall, Principal Research Officer</w:t>
      </w:r>
    </w:p>
    <w:p w:rsidR="003B2F28" w:rsidRDefault="003B2F28" w:rsidP="003B2F28">
      <w:pPr>
        <w:jc w:val="left"/>
      </w:pPr>
      <w:r>
        <w:t>Ms Ingrid Zappe, Legislative Research Officer</w:t>
      </w:r>
    </w:p>
    <w:p w:rsidR="003B2F28" w:rsidRDefault="003B2F28" w:rsidP="003B2F28">
      <w:pPr>
        <w:jc w:val="left"/>
      </w:pPr>
    </w:p>
    <w:p w:rsidR="003B2F28" w:rsidRDefault="003B2F28" w:rsidP="003B2F28">
      <w:pPr>
        <w:jc w:val="left"/>
      </w:pPr>
    </w:p>
    <w:p w:rsidR="003B2F28" w:rsidRDefault="003B2F28" w:rsidP="003B2F28">
      <w:pPr>
        <w:jc w:val="left"/>
      </w:pPr>
    </w:p>
    <w:p w:rsidR="003B2F28" w:rsidRPr="00FA436C" w:rsidRDefault="003B2F28" w:rsidP="003B2F28">
      <w:pPr>
        <w:spacing w:after="120"/>
        <w:jc w:val="left"/>
        <w:rPr>
          <w:b/>
        </w:rPr>
      </w:pPr>
      <w:r>
        <w:rPr>
          <w:b/>
        </w:rPr>
        <w:t>Committee legal adviser</w:t>
      </w:r>
    </w:p>
    <w:p w:rsidR="003B2F28" w:rsidRDefault="003B2F28" w:rsidP="003B2F28">
      <w:pPr>
        <w:jc w:val="left"/>
      </w:pPr>
      <w:r>
        <w:t>Associate Professor Leighton McDonald</w:t>
      </w:r>
    </w:p>
    <w:p w:rsidR="003B2F28" w:rsidRDefault="003B2F28" w:rsidP="003B2F28">
      <w:pPr>
        <w:jc w:val="left"/>
      </w:pPr>
    </w:p>
    <w:p w:rsidR="003B2F28" w:rsidRDefault="003B2F28" w:rsidP="003B2F28">
      <w:pPr>
        <w:jc w:val="left"/>
      </w:pPr>
    </w:p>
    <w:p w:rsidR="003B2F28" w:rsidRDefault="003B2F28" w:rsidP="003B2F28">
      <w:pPr>
        <w:jc w:val="left"/>
      </w:pPr>
    </w:p>
    <w:p w:rsidR="003B2F28" w:rsidRPr="00FA436C" w:rsidRDefault="003B2F28" w:rsidP="003B2F28">
      <w:pPr>
        <w:spacing w:after="120"/>
        <w:jc w:val="left"/>
        <w:rPr>
          <w:b/>
        </w:rPr>
      </w:pPr>
      <w:r>
        <w:rPr>
          <w:b/>
        </w:rPr>
        <w:t>Committee contacts</w:t>
      </w:r>
    </w:p>
    <w:p w:rsidR="003B2F28" w:rsidRDefault="003B2F28" w:rsidP="003B2F28">
      <w:pPr>
        <w:jc w:val="left"/>
      </w:pPr>
      <w:r>
        <w:t xml:space="preserve">PO Box 6100 </w:t>
      </w:r>
    </w:p>
    <w:p w:rsidR="003B2F28" w:rsidRDefault="003B2F28" w:rsidP="003B2F28">
      <w:pPr>
        <w:jc w:val="left"/>
      </w:pPr>
      <w:r>
        <w:t>Parliament House</w:t>
      </w:r>
    </w:p>
    <w:p w:rsidR="003B2F28" w:rsidRDefault="003B2F28" w:rsidP="003B2F28">
      <w:pPr>
        <w:jc w:val="left"/>
      </w:pPr>
      <w:proofErr w:type="gramStart"/>
      <w:r>
        <w:t>Canberra  ACT</w:t>
      </w:r>
      <w:proofErr w:type="gramEnd"/>
      <w:r>
        <w:t xml:space="preserve">  2600</w:t>
      </w:r>
    </w:p>
    <w:p w:rsidR="003B2F28" w:rsidRDefault="003B2F28" w:rsidP="003B2F28">
      <w:pPr>
        <w:jc w:val="left"/>
      </w:pPr>
      <w:r>
        <w:t>Phone: 02 6277 3050</w:t>
      </w:r>
    </w:p>
    <w:p w:rsidR="003B2F28" w:rsidRDefault="003B2F28" w:rsidP="003B2F28">
      <w:pPr>
        <w:jc w:val="left"/>
      </w:pPr>
      <w:r>
        <w:t>Email:  scrutiny.sen@aph.gov.au</w:t>
      </w:r>
    </w:p>
    <w:p w:rsidR="003B2F28" w:rsidRDefault="003B2F28" w:rsidP="003B2F28">
      <w:pPr>
        <w:jc w:val="left"/>
      </w:pPr>
      <w:r>
        <w:t xml:space="preserve">Website:  </w:t>
      </w:r>
      <w:r w:rsidRPr="00CC3818">
        <w:t>http://www.aph.gov.au/senate_scrutiny</w:t>
      </w:r>
    </w:p>
    <w:p w:rsidR="003B2F28" w:rsidRDefault="003B2F28" w:rsidP="003B2F28">
      <w:pPr>
        <w:spacing w:line="240" w:lineRule="auto"/>
        <w:jc w:val="left"/>
        <w:rPr>
          <w:b/>
          <w:sz w:val="32"/>
        </w:rPr>
      </w:pPr>
      <w:r>
        <w:rPr>
          <w:b/>
          <w:sz w:val="32"/>
        </w:rPr>
        <w:br w:type="page"/>
      </w:r>
      <w:r>
        <w:rPr>
          <w:b/>
          <w:sz w:val="32"/>
        </w:rPr>
        <w:lastRenderedPageBreak/>
        <w:br w:type="page"/>
      </w:r>
    </w:p>
    <w:p w:rsidR="003B2F28" w:rsidRDefault="003B2F28" w:rsidP="003B2F28">
      <w:pPr>
        <w:spacing w:before="240" w:after="240" w:line="240" w:lineRule="auto"/>
        <w:jc w:val="center"/>
        <w:rPr>
          <w:b/>
          <w:sz w:val="32"/>
        </w:rPr>
      </w:pPr>
    </w:p>
    <w:p w:rsidR="003B2F28" w:rsidRDefault="003B2F28" w:rsidP="003B2F28">
      <w:pPr>
        <w:spacing w:before="240" w:after="240" w:line="240" w:lineRule="auto"/>
        <w:jc w:val="center"/>
        <w:rPr>
          <w:b/>
          <w:sz w:val="32"/>
        </w:rPr>
      </w:pPr>
    </w:p>
    <w:p w:rsidR="003B2F28" w:rsidRDefault="003B2F28" w:rsidP="003B2F28">
      <w:pPr>
        <w:spacing w:before="240" w:after="240" w:line="240" w:lineRule="auto"/>
        <w:jc w:val="center"/>
        <w:rPr>
          <w:b/>
          <w:sz w:val="32"/>
        </w:rPr>
      </w:pPr>
      <w:r>
        <w:rPr>
          <w:b/>
          <w:sz w:val="32"/>
        </w:rPr>
        <w:t>Terms of Reference</w:t>
      </w:r>
    </w:p>
    <w:p w:rsidR="003B2F28" w:rsidRDefault="003B2F28" w:rsidP="003B2F28">
      <w:pPr>
        <w:spacing w:after="360" w:line="240" w:lineRule="auto"/>
        <w:jc w:val="center"/>
      </w:pPr>
    </w:p>
    <w:p w:rsidR="003B2F28" w:rsidRDefault="003B2F28" w:rsidP="003B2F28">
      <w:pPr>
        <w:spacing w:after="360" w:line="240" w:lineRule="auto"/>
        <w:jc w:val="center"/>
      </w:pPr>
      <w:r>
        <w:t xml:space="preserve">Extract from </w:t>
      </w:r>
      <w:r>
        <w:rPr>
          <w:b/>
        </w:rPr>
        <w:t>Standing Order 24</w:t>
      </w:r>
    </w:p>
    <w:p w:rsidR="003B2F28" w:rsidRDefault="003B2F28" w:rsidP="003B2F28">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3B2F28" w:rsidRDefault="003B2F28" w:rsidP="003B2F28">
      <w:pPr>
        <w:tabs>
          <w:tab w:val="left" w:pos="8576"/>
        </w:tabs>
        <w:spacing w:before="120"/>
        <w:ind w:left="1701" w:hanging="567"/>
      </w:pPr>
      <w:r>
        <w:t>(</w:t>
      </w:r>
      <w:proofErr w:type="gramStart"/>
      <w:r>
        <w:t>i</w:t>
      </w:r>
      <w:proofErr w:type="gramEnd"/>
      <w:r>
        <w:t>)</w:t>
      </w:r>
      <w:r>
        <w:tab/>
        <w:t>trespass unduly on personal rights and liberties;</w:t>
      </w:r>
    </w:p>
    <w:p w:rsidR="003B2F28" w:rsidRDefault="003B2F28" w:rsidP="003B2F28">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3B2F28" w:rsidRDefault="003B2F28" w:rsidP="003B2F28">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3B2F28" w:rsidRDefault="003B2F28" w:rsidP="003B2F28">
      <w:pPr>
        <w:tabs>
          <w:tab w:val="left" w:pos="8576"/>
        </w:tabs>
        <w:spacing w:before="120"/>
        <w:ind w:left="1701" w:hanging="567"/>
      </w:pPr>
      <w:r>
        <w:t>(iv)</w:t>
      </w:r>
      <w:r>
        <w:tab/>
      </w:r>
      <w:proofErr w:type="gramStart"/>
      <w:r>
        <w:t>inappropriately</w:t>
      </w:r>
      <w:proofErr w:type="gramEnd"/>
      <w:r>
        <w:t xml:space="preserve"> delegate legislative powers; or</w:t>
      </w:r>
    </w:p>
    <w:p w:rsidR="003B2F28" w:rsidRDefault="003B2F28" w:rsidP="003B2F28">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3B2F28" w:rsidRDefault="003B2F28" w:rsidP="003B2F28">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3B2F28" w:rsidRPr="000E6DD3" w:rsidRDefault="003B2F28" w:rsidP="003B2F28">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3B2F28" w:rsidRPr="000E6DD3" w:rsidRDefault="003B2F28" w:rsidP="003B2F28">
      <w:pPr>
        <w:tabs>
          <w:tab w:val="left" w:pos="426"/>
          <w:tab w:val="left" w:pos="1134"/>
          <w:tab w:val="left" w:pos="1701"/>
        </w:tabs>
        <w:spacing w:after="180" w:line="240" w:lineRule="auto"/>
        <w:ind w:left="1134" w:hanging="1134"/>
        <w:rPr>
          <w:szCs w:val="26"/>
        </w:rPr>
      </w:pPr>
    </w:p>
    <w:p w:rsidR="003B2F28" w:rsidRDefault="003B2F28" w:rsidP="003B2F28">
      <w:pPr>
        <w:tabs>
          <w:tab w:val="left" w:pos="426"/>
          <w:tab w:val="left" w:pos="1134"/>
          <w:tab w:val="left" w:pos="1701"/>
        </w:tabs>
        <w:spacing w:after="180" w:line="240" w:lineRule="auto"/>
        <w:ind w:left="1134" w:hanging="1134"/>
      </w:pPr>
      <w:r>
        <w:br w:type="page"/>
      </w:r>
    </w:p>
    <w:p w:rsidR="003B2F28" w:rsidRDefault="003B2F28" w:rsidP="0076328C">
      <w:pPr>
        <w:spacing w:after="240" w:line="240" w:lineRule="auto"/>
        <w:sectPr w:rsidR="003B2F28"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3B2F28" w:rsidRDefault="003B2F28" w:rsidP="0076328C">
      <w:pPr>
        <w:spacing w:after="240" w:line="240" w:lineRule="auto"/>
        <w:sectPr w:rsidR="003B2F28" w:rsidSect="00683454">
          <w:footerReference w:type="default" r:id="rId11"/>
          <w:pgSz w:w="11906" w:h="16838"/>
          <w:pgMar w:top="1701" w:right="1701" w:bottom="1701" w:left="1843" w:header="720" w:footer="720" w:gutter="170"/>
          <w:pgNumType w:fmt="lowerRoman" w:start="3"/>
          <w:cols w:space="720"/>
          <w:docGrid w:linePitch="354"/>
        </w:sectPr>
      </w:pPr>
    </w:p>
    <w:p w:rsidR="003B2F28" w:rsidRDefault="003B2F28" w:rsidP="003B2F28">
      <w:pPr>
        <w:pStyle w:val="H1"/>
        <w:jc w:val="center"/>
      </w:pPr>
      <w: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3B2F28" w:rsidTr="00F5347B">
        <w:tc>
          <w:tcPr>
            <w:tcW w:w="6663" w:type="dxa"/>
          </w:tcPr>
          <w:p w:rsidR="003B2F28" w:rsidRPr="004D4608" w:rsidRDefault="003B2F28" w:rsidP="00F5347B">
            <w:pPr>
              <w:spacing w:after="240"/>
              <w:jc w:val="left"/>
              <w:rPr>
                <w:b/>
              </w:rPr>
            </w:pPr>
            <w:r>
              <w:rPr>
                <w:b/>
              </w:rPr>
              <w:t>Commentary on bills</w:t>
            </w:r>
          </w:p>
        </w:tc>
        <w:tc>
          <w:tcPr>
            <w:tcW w:w="1275" w:type="dxa"/>
            <w:vAlign w:val="bottom"/>
          </w:tcPr>
          <w:p w:rsidR="003B2F28" w:rsidRDefault="003B2F28" w:rsidP="00F5347B">
            <w:pPr>
              <w:spacing w:after="240"/>
              <w:jc w:val="right"/>
            </w:pPr>
          </w:p>
        </w:tc>
      </w:tr>
    </w:tbl>
    <w:p w:rsidR="003B2F28" w:rsidRDefault="003B2F28" w:rsidP="003B2F28">
      <w:pPr>
        <w:pStyle w:val="TOC3"/>
        <w:rPr>
          <w:rFonts w:asciiTheme="minorHAnsi" w:eastAsiaTheme="minorEastAsia" w:hAnsiTheme="minorHAnsi" w:cstheme="minorBidi"/>
          <w:noProof/>
          <w:sz w:val="22"/>
          <w:szCs w:val="22"/>
        </w:rPr>
      </w:pPr>
      <w:r>
        <w:rPr>
          <w:noProof/>
        </w:rPr>
        <w:t>Biological Control Amendment Bill 2016</w:t>
      </w:r>
      <w:r>
        <w:rPr>
          <w:noProof/>
        </w:rPr>
        <w:tab/>
        <w:t>1</w:t>
      </w:r>
    </w:p>
    <w:p w:rsidR="003B2F28" w:rsidRDefault="003B2F28" w:rsidP="003B2F28">
      <w:pPr>
        <w:pStyle w:val="TOC3"/>
        <w:rPr>
          <w:rFonts w:asciiTheme="minorHAnsi" w:eastAsiaTheme="minorEastAsia" w:hAnsiTheme="minorHAnsi" w:cstheme="minorBidi"/>
          <w:noProof/>
          <w:sz w:val="22"/>
          <w:szCs w:val="22"/>
        </w:rPr>
      </w:pPr>
      <w:r>
        <w:rPr>
          <w:noProof/>
        </w:rPr>
        <w:t>Commonwealth Electoral Amendment Bill 2016</w:t>
      </w:r>
      <w:r>
        <w:rPr>
          <w:noProof/>
        </w:rPr>
        <w:tab/>
        <w:t>2</w:t>
      </w:r>
    </w:p>
    <w:p w:rsidR="003B2F28" w:rsidRDefault="003B2F28" w:rsidP="003B2F28">
      <w:pPr>
        <w:pStyle w:val="TOC3"/>
        <w:rPr>
          <w:rFonts w:asciiTheme="minorHAnsi" w:eastAsiaTheme="minorEastAsia" w:hAnsiTheme="minorHAnsi" w:cstheme="minorBidi"/>
          <w:noProof/>
          <w:sz w:val="22"/>
          <w:szCs w:val="22"/>
        </w:rPr>
      </w:pPr>
      <w:r w:rsidRPr="00AC108D">
        <w:rPr>
          <w:noProof/>
          <w:lang w:val="en-US"/>
        </w:rPr>
        <w:t>Passenger Movement Charge Amendment (Norfolk Island) Bill 2016</w:t>
      </w:r>
      <w:r>
        <w:rPr>
          <w:noProof/>
        </w:rPr>
        <w:tab/>
        <w:t>3</w:t>
      </w:r>
    </w:p>
    <w:p w:rsidR="003B2F28" w:rsidRPr="003546D0" w:rsidRDefault="003B2F28" w:rsidP="003B2F28">
      <w:pPr>
        <w:pStyle w:val="TOCBullet"/>
        <w:tabs>
          <w:tab w:val="clear" w:pos="7655"/>
        </w:tabs>
        <w:ind w:left="567" w:right="1247" w:hanging="567"/>
        <w:rPr>
          <w:rFonts w:asciiTheme="minorHAnsi" w:eastAsiaTheme="minorEastAsia" w:hAnsiTheme="minorHAnsi" w:cstheme="minorBidi"/>
          <w:szCs w:val="26"/>
        </w:rPr>
      </w:pPr>
      <w:r w:rsidRPr="003546D0">
        <w:rPr>
          <w:szCs w:val="26"/>
          <w:lang w:val="en-US"/>
        </w:rPr>
        <w:t xml:space="preserve">Public Governance, Performance and Accountability Amendment (Procuring Australian Goods and Services) </w:t>
      </w:r>
      <w:r w:rsidRPr="003546D0">
        <w:rPr>
          <w:szCs w:val="26"/>
        </w:rPr>
        <w:t>Bill 2016</w:t>
      </w:r>
      <w:r w:rsidRPr="003546D0">
        <w:rPr>
          <w:szCs w:val="26"/>
        </w:rPr>
        <w:tab/>
        <w:t>4</w:t>
      </w:r>
    </w:p>
    <w:p w:rsidR="003B2F28" w:rsidRPr="003546D0" w:rsidRDefault="003B2F28" w:rsidP="003B2F28">
      <w:pPr>
        <w:pStyle w:val="TOCBullet"/>
        <w:tabs>
          <w:tab w:val="clear" w:pos="7655"/>
        </w:tabs>
        <w:spacing w:after="240"/>
        <w:ind w:left="567" w:right="1247" w:hanging="567"/>
        <w:rPr>
          <w:rFonts w:asciiTheme="minorHAnsi" w:eastAsiaTheme="minorEastAsia" w:hAnsiTheme="minorHAnsi" w:cstheme="minorBidi"/>
          <w:szCs w:val="26"/>
        </w:rPr>
      </w:pPr>
      <w:r w:rsidRPr="003546D0">
        <w:rPr>
          <w:szCs w:val="26"/>
          <w:lang w:val="en-US"/>
        </w:rPr>
        <w:t>Territories Legislation Amendment Bill 2016</w:t>
      </w:r>
      <w:r w:rsidRPr="003546D0">
        <w:rPr>
          <w:szCs w:val="26"/>
        </w:rPr>
        <w:tab/>
        <w:t>5</w:t>
      </w:r>
    </w:p>
    <w:p w:rsidR="003B2F28" w:rsidRPr="0076667E" w:rsidRDefault="003B2F28" w:rsidP="003B2F28">
      <w:pPr>
        <w:pStyle w:val="TOC3"/>
        <w:spacing w:before="120" w:after="120"/>
        <w:rPr>
          <w:noProof/>
        </w:rPr>
      </w:pPr>
      <w:r w:rsidRPr="00043C90">
        <w:rPr>
          <w:b/>
          <w:noProof/>
        </w:rPr>
        <w:t>Commentary on amendments to bills</w:t>
      </w:r>
    </w:p>
    <w:p w:rsidR="003B2F28" w:rsidRPr="003546D0" w:rsidRDefault="003B2F28" w:rsidP="003B2F28">
      <w:pPr>
        <w:pStyle w:val="TOCBullet"/>
        <w:numPr>
          <w:ilvl w:val="0"/>
          <w:numId w:val="0"/>
        </w:numPr>
        <w:ind w:left="567" w:right="1105"/>
        <w:rPr>
          <w:szCs w:val="26"/>
        </w:rPr>
      </w:pPr>
      <w:r w:rsidRPr="003546D0">
        <w:rPr>
          <w:sz w:val="24"/>
          <w:szCs w:val="24"/>
        </w:rPr>
        <w:t>Commonwealth Electoral Amendment Bill 2016</w:t>
      </w:r>
      <w:r>
        <w:tab/>
      </w:r>
      <w:r w:rsidRPr="003546D0">
        <w:rPr>
          <w:szCs w:val="26"/>
        </w:rPr>
        <w:t>8</w:t>
      </w:r>
    </w:p>
    <w:p w:rsidR="003B2F28" w:rsidRPr="003546D0" w:rsidRDefault="003B2F28" w:rsidP="003B2F28">
      <w:pPr>
        <w:pStyle w:val="TOCBullet"/>
        <w:tabs>
          <w:tab w:val="clear" w:pos="7655"/>
        </w:tabs>
        <w:ind w:left="567" w:right="1247" w:hanging="567"/>
        <w:rPr>
          <w:szCs w:val="26"/>
        </w:rPr>
      </w:pPr>
      <w:r w:rsidRPr="003546D0">
        <w:rPr>
          <w:sz w:val="24"/>
          <w:szCs w:val="24"/>
        </w:rPr>
        <w:t>Crimes Legislation Amendment (Proceeds of Crime and Other Measures) Bill 2015</w:t>
      </w:r>
      <w:r>
        <w:tab/>
      </w:r>
      <w:r w:rsidRPr="003546D0">
        <w:rPr>
          <w:szCs w:val="26"/>
        </w:rPr>
        <w:t>8</w:t>
      </w:r>
    </w:p>
    <w:p w:rsidR="003B2F28" w:rsidRPr="003546D0" w:rsidRDefault="003B2F28" w:rsidP="003B2F28">
      <w:pPr>
        <w:pStyle w:val="TOCBullet"/>
        <w:tabs>
          <w:tab w:val="clear" w:pos="7655"/>
        </w:tabs>
        <w:ind w:left="567" w:right="1247" w:hanging="567"/>
        <w:rPr>
          <w:szCs w:val="26"/>
        </w:rPr>
      </w:pPr>
      <w:r w:rsidRPr="003546D0">
        <w:rPr>
          <w:sz w:val="24"/>
          <w:szCs w:val="24"/>
        </w:rPr>
        <w:t>Family Law Amendment (Financial Agreements and Other Measures) Bill 2015</w:t>
      </w:r>
      <w:r>
        <w:tab/>
      </w:r>
      <w:r w:rsidRPr="003546D0">
        <w:rPr>
          <w:szCs w:val="26"/>
        </w:rPr>
        <w:t>8</w:t>
      </w:r>
    </w:p>
    <w:p w:rsidR="003B2F28" w:rsidRDefault="003B2F28" w:rsidP="003B2F28">
      <w:pPr>
        <w:pStyle w:val="TOCBullet"/>
        <w:numPr>
          <w:ilvl w:val="0"/>
          <w:numId w:val="0"/>
        </w:numPr>
        <w:ind w:left="567" w:right="1105"/>
        <w:rPr>
          <w:szCs w:val="26"/>
        </w:rPr>
      </w:pPr>
      <w:r w:rsidRPr="0043081A">
        <w:rPr>
          <w:sz w:val="24"/>
          <w:szCs w:val="24"/>
        </w:rPr>
        <w:t>Omnibus Repeal Day (</w:t>
      </w:r>
      <w:r>
        <w:rPr>
          <w:sz w:val="24"/>
          <w:szCs w:val="24"/>
        </w:rPr>
        <w:t>Autumn</w:t>
      </w:r>
      <w:r w:rsidRPr="0043081A">
        <w:rPr>
          <w:sz w:val="24"/>
          <w:szCs w:val="24"/>
        </w:rPr>
        <w:t xml:space="preserve"> 2015) Bill 2015</w:t>
      </w:r>
      <w:r>
        <w:rPr>
          <w:sz w:val="24"/>
          <w:szCs w:val="24"/>
        </w:rPr>
        <w:tab/>
      </w:r>
      <w:r w:rsidRPr="003546D0">
        <w:rPr>
          <w:szCs w:val="26"/>
        </w:rPr>
        <w:t>9</w:t>
      </w:r>
    </w:p>
    <w:p w:rsidR="003B2F28" w:rsidRDefault="003B2F28" w:rsidP="003B2F28">
      <w:pPr>
        <w:pStyle w:val="TOCBullet"/>
        <w:tabs>
          <w:tab w:val="clear" w:pos="7655"/>
        </w:tabs>
        <w:ind w:left="567" w:right="1247" w:hanging="567"/>
        <w:rPr>
          <w:szCs w:val="26"/>
        </w:rPr>
      </w:pPr>
      <w:r w:rsidRPr="003546D0">
        <w:rPr>
          <w:sz w:val="24"/>
          <w:szCs w:val="24"/>
        </w:rPr>
        <w:t>Social Services Legislation Amendment (Family Measures) Bill 2015</w:t>
      </w:r>
      <w:r>
        <w:tab/>
      </w:r>
      <w:r w:rsidRPr="003546D0">
        <w:rPr>
          <w:szCs w:val="26"/>
        </w:rPr>
        <w:t>9</w:t>
      </w:r>
    </w:p>
    <w:p w:rsidR="003B2F28" w:rsidRPr="003546D0" w:rsidRDefault="003B2F28" w:rsidP="003B2F28">
      <w:pPr>
        <w:pStyle w:val="TOCBullet"/>
        <w:numPr>
          <w:ilvl w:val="0"/>
          <w:numId w:val="0"/>
        </w:numPr>
        <w:spacing w:after="240"/>
        <w:ind w:left="567"/>
        <w:rPr>
          <w:sz w:val="24"/>
          <w:szCs w:val="24"/>
        </w:rPr>
      </w:pPr>
      <w:r w:rsidRPr="003546D0">
        <w:rPr>
          <w:sz w:val="24"/>
          <w:szCs w:val="24"/>
        </w:rPr>
        <w:t>Tax Laws Amendment (Implementation of the Common Reporting Standard) Bill 2015</w:t>
      </w:r>
      <w:r>
        <w:rPr>
          <w:sz w:val="24"/>
          <w:szCs w:val="24"/>
        </w:rPr>
        <w:tab/>
      </w:r>
      <w:r w:rsidRPr="003546D0">
        <w:rPr>
          <w:szCs w:val="26"/>
        </w:rPr>
        <w:t>9</w:t>
      </w:r>
    </w:p>
    <w:p w:rsidR="003B2F28" w:rsidRPr="003546D0" w:rsidRDefault="003B2F28" w:rsidP="003B2F28">
      <w:pPr>
        <w:pStyle w:val="TOCBullet"/>
        <w:numPr>
          <w:ilvl w:val="0"/>
          <w:numId w:val="0"/>
        </w:numPr>
        <w:ind w:left="567"/>
        <w:rPr>
          <w:szCs w:val="26"/>
        </w:rPr>
      </w:pPr>
      <w:r w:rsidRPr="003546D0">
        <w:rPr>
          <w:b/>
          <w:szCs w:val="26"/>
        </w:rPr>
        <w:t>Scrutiny of standing appropriations</w:t>
      </w:r>
      <w:r>
        <w:rPr>
          <w:szCs w:val="26"/>
        </w:rPr>
        <w:tab/>
        <w:t>10</w:t>
      </w:r>
    </w:p>
    <w:p w:rsidR="003B2F28" w:rsidRDefault="003B2F28" w:rsidP="003B2F28"/>
    <w:p w:rsidR="003B2F28" w:rsidRPr="00620A72" w:rsidRDefault="003B2F28" w:rsidP="003B2F28"/>
    <w:p w:rsidR="003B2F28" w:rsidRPr="00C4597F" w:rsidRDefault="003B2F28" w:rsidP="003B2F28">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3B2F28" w:rsidRPr="00D92660" w:rsidRDefault="003B2F28" w:rsidP="003B2F28">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3B2F28" w:rsidRDefault="003B2F28" w:rsidP="003B2F28">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3B2F28" w:rsidRPr="00C4597F" w:rsidRDefault="003B2F28" w:rsidP="003B2F28">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3B2F28" w:rsidRDefault="003B2F28" w:rsidP="003B2F28">
      <w:pPr>
        <w:tabs>
          <w:tab w:val="left" w:pos="1170"/>
        </w:tabs>
        <w:jc w:val="left"/>
      </w:pPr>
    </w:p>
    <w:p w:rsidR="003B2F28" w:rsidRDefault="003B2F28" w:rsidP="003B2F28">
      <w:pPr>
        <w:tabs>
          <w:tab w:val="left" w:pos="1170"/>
        </w:tabs>
        <w:jc w:val="left"/>
      </w:pPr>
    </w:p>
    <w:p w:rsidR="003B2F28" w:rsidRDefault="003B2F28" w:rsidP="0076328C">
      <w:pPr>
        <w:spacing w:after="240" w:line="240" w:lineRule="auto"/>
        <w:sectPr w:rsidR="003B2F28" w:rsidSect="00091244">
          <w:footerReference w:type="even" r:id="rId12"/>
          <w:footerReference w:type="default" r:id="rId13"/>
          <w:pgSz w:w="11906" w:h="16838"/>
          <w:pgMar w:top="1701" w:right="1701" w:bottom="1701" w:left="1843" w:header="720" w:footer="567" w:gutter="170"/>
          <w:pgNumType w:fmt="lowerRoman" w:start="7"/>
          <w:cols w:space="720"/>
          <w:docGrid w:linePitch="354"/>
        </w:sectPr>
      </w:pPr>
    </w:p>
    <w:p w:rsidR="003B2F28" w:rsidRDefault="003B2F28" w:rsidP="0076328C">
      <w:pPr>
        <w:spacing w:after="240" w:line="240" w:lineRule="auto"/>
        <w:sectPr w:rsidR="003B2F28" w:rsidSect="00091244">
          <w:pgSz w:w="11906" w:h="16838"/>
          <w:pgMar w:top="1701" w:right="1701" w:bottom="1701" w:left="1843" w:header="720" w:footer="567" w:gutter="170"/>
          <w:pgNumType w:fmt="lowerRoman" w:start="7"/>
          <w:cols w:space="720"/>
          <w:docGrid w:linePitch="354"/>
        </w:sectPr>
      </w:pPr>
    </w:p>
    <w:p w:rsidR="003B2F28" w:rsidRDefault="003B2F28" w:rsidP="003B2F28">
      <w:pPr>
        <w:pStyle w:val="H11"/>
      </w:pPr>
      <w:r>
        <w:lastRenderedPageBreak/>
        <w:t xml:space="preserve">Biological Control Amendment </w:t>
      </w:r>
      <w:r w:rsidRPr="001A2586">
        <w:t>Bill 2016</w:t>
      </w:r>
    </w:p>
    <w:p w:rsidR="003B2F28" w:rsidRDefault="003B2F28" w:rsidP="003B2F28">
      <w:r w:rsidRPr="00E110E9">
        <w:t xml:space="preserve">Introduced into the </w:t>
      </w:r>
      <w:r>
        <w:t xml:space="preserve">House of Representatives </w:t>
      </w:r>
      <w:r w:rsidRPr="00E110E9">
        <w:t xml:space="preserve">on </w:t>
      </w:r>
      <w:r>
        <w:t>25 February 2016</w:t>
      </w:r>
    </w:p>
    <w:p w:rsidR="003B2F28" w:rsidRDefault="003B2F28" w:rsidP="003B2F28">
      <w:r>
        <w:t>Portfolio: Agriculture and Water Resources</w:t>
      </w:r>
    </w:p>
    <w:p w:rsidR="003B2F28" w:rsidRDefault="003B2F28" w:rsidP="003B2F28"/>
    <w:p w:rsidR="003B2F28" w:rsidRDefault="003B2F28" w:rsidP="003B2F28">
      <w:pPr>
        <w:pStyle w:val="H21"/>
      </w:pPr>
      <w:r>
        <w:t>Background</w:t>
      </w:r>
    </w:p>
    <w:p w:rsidR="003B2F28" w:rsidRDefault="003B2F28" w:rsidP="003B2F28"/>
    <w:p w:rsidR="003B2F28" w:rsidRDefault="003B2F28" w:rsidP="003B2F28">
      <w:r>
        <w:t xml:space="preserve">This bill amends </w:t>
      </w:r>
      <w:r>
        <w:rPr>
          <w:lang w:val="en-US"/>
        </w:rPr>
        <w:t xml:space="preserve">the </w:t>
      </w:r>
      <w:r>
        <w:rPr>
          <w:i/>
          <w:iCs/>
          <w:lang w:val="en-US"/>
        </w:rPr>
        <w:t>Biological Control Act 1984</w:t>
      </w:r>
      <w:r>
        <w:rPr>
          <w:lang w:val="en-US"/>
        </w:rPr>
        <w:t xml:space="preserve"> to clarify the definition of an organism to reflect the use of viruses and sub-viral agents as agent and target organisms for biological control activities in the Australian Capital Territory (including the Jervis Bay Territory).</w:t>
      </w:r>
    </w:p>
    <w:p w:rsidR="003B2F28" w:rsidRDefault="003B2F28" w:rsidP="003B2F28"/>
    <w:p w:rsidR="003B2F28" w:rsidRDefault="003B2F28" w:rsidP="003B2F28">
      <w:pPr>
        <w:jc w:val="center"/>
        <w:rPr>
          <w:i/>
        </w:rPr>
      </w:pPr>
      <w:r>
        <w:rPr>
          <w:i/>
        </w:rPr>
        <w:t>The committee has no comment on this bill.</w:t>
      </w:r>
    </w:p>
    <w:p w:rsidR="003B2F28" w:rsidRDefault="003B2F28" w:rsidP="003B2F28"/>
    <w:p w:rsidR="003B2F28" w:rsidRDefault="003B2F28" w:rsidP="003B2F28">
      <w:pPr>
        <w:spacing w:line="240" w:lineRule="auto"/>
        <w:jc w:val="left"/>
      </w:pPr>
      <w:r>
        <w:br w:type="page"/>
      </w:r>
    </w:p>
    <w:p w:rsidR="003B2F28" w:rsidRPr="007E66D3" w:rsidRDefault="003B2F28" w:rsidP="003B2F28">
      <w:pPr>
        <w:pStyle w:val="H12"/>
      </w:pPr>
      <w:r>
        <w:lastRenderedPageBreak/>
        <w:t>Commonwealth Electoral Amendment Bill 2016</w:t>
      </w:r>
    </w:p>
    <w:p w:rsidR="003B2F28" w:rsidRPr="00E110E9" w:rsidRDefault="003B2F28" w:rsidP="003B2F28">
      <w:r w:rsidRPr="00E110E9">
        <w:t xml:space="preserve">Introduced into the </w:t>
      </w:r>
      <w:r>
        <w:t xml:space="preserve">House of Representatives </w:t>
      </w:r>
      <w:r w:rsidRPr="00E110E9">
        <w:t xml:space="preserve">on </w:t>
      </w:r>
      <w:r>
        <w:t>22 February 2015</w:t>
      </w:r>
    </w:p>
    <w:p w:rsidR="003B2F28" w:rsidRPr="00E110E9" w:rsidRDefault="003B2F28" w:rsidP="003B2F28">
      <w:r>
        <w:t>Portfolio: Finance</w:t>
      </w:r>
    </w:p>
    <w:p w:rsidR="003B2F28" w:rsidRDefault="003B2F28" w:rsidP="003B2F28"/>
    <w:p w:rsidR="003B2F28" w:rsidRDefault="003B2F28" w:rsidP="003B2F28">
      <w:pPr>
        <w:pStyle w:val="H22"/>
      </w:pPr>
      <w:r w:rsidRPr="00C54BA1">
        <w:t>Background</w:t>
      </w:r>
    </w:p>
    <w:p w:rsidR="003B2F28" w:rsidRDefault="003B2F28" w:rsidP="003B2F28"/>
    <w:p w:rsidR="003B2F28" w:rsidRDefault="003B2F28" w:rsidP="003B2F28">
      <w:pPr>
        <w:spacing w:after="120"/>
      </w:pPr>
      <w:r w:rsidRPr="007E66D3">
        <w:t>This bill</w:t>
      </w:r>
      <w:r>
        <w:t xml:space="preserve"> amends the </w:t>
      </w:r>
      <w:r>
        <w:rPr>
          <w:i/>
        </w:rPr>
        <w:t>Commonwealth Electoral Act 1918</w:t>
      </w:r>
      <w:r>
        <w:t xml:space="preserve"> by:</w:t>
      </w:r>
    </w:p>
    <w:p w:rsidR="003B2F28" w:rsidRDefault="003B2F28" w:rsidP="003B2F28">
      <w:pPr>
        <w:pStyle w:val="B1"/>
        <w:numPr>
          <w:ilvl w:val="0"/>
          <w:numId w:val="18"/>
        </w:numPr>
        <w:spacing w:after="120"/>
      </w:pPr>
      <w:r>
        <w:t xml:space="preserve">introducing </w:t>
      </w:r>
      <w:r w:rsidRPr="001A767B">
        <w:t>option</w:t>
      </w:r>
      <w:r>
        <w:t>al</w:t>
      </w:r>
      <w:r w:rsidRPr="001A767B">
        <w:t xml:space="preserve"> preferential voting above</w:t>
      </w:r>
      <w:r>
        <w:t xml:space="preserve"> </w:t>
      </w:r>
      <w:r w:rsidRPr="001A767B">
        <w:t>the</w:t>
      </w:r>
      <w:r>
        <w:t xml:space="preserve"> line for Senate elections;</w:t>
      </w:r>
      <w:r w:rsidRPr="001A767B">
        <w:t xml:space="preserve"> </w:t>
      </w:r>
    </w:p>
    <w:p w:rsidR="003B2F28" w:rsidRPr="008D54D9" w:rsidRDefault="003B2F28" w:rsidP="003B2F28">
      <w:pPr>
        <w:pStyle w:val="B1"/>
        <w:numPr>
          <w:ilvl w:val="0"/>
          <w:numId w:val="18"/>
        </w:numPr>
        <w:spacing w:after="120"/>
      </w:pPr>
      <w:r>
        <w:t>providing vote savings provisions to capture voter</w:t>
      </w:r>
      <w:r w:rsidRPr="00057061">
        <w:t xml:space="preserve"> </w:t>
      </w:r>
      <w:r>
        <w:t>intent and reduce the risk of increased vote informality</w:t>
      </w:r>
      <w:r w:rsidRPr="008D54D9">
        <w:t>;</w:t>
      </w:r>
    </w:p>
    <w:p w:rsidR="003B2F28" w:rsidRPr="001A767B" w:rsidRDefault="003B2F28" w:rsidP="003B2F28">
      <w:pPr>
        <w:pStyle w:val="B1"/>
        <w:numPr>
          <w:ilvl w:val="0"/>
          <w:numId w:val="18"/>
        </w:numPr>
        <w:spacing w:after="120"/>
      </w:pPr>
      <w:r>
        <w:t xml:space="preserve">abolishing </w:t>
      </w:r>
      <w:r w:rsidRPr="001A767B">
        <w:t>group and individual voting ticket</w:t>
      </w:r>
      <w:r>
        <w:t>s</w:t>
      </w:r>
      <w:r w:rsidRPr="001A767B">
        <w:t>;</w:t>
      </w:r>
    </w:p>
    <w:p w:rsidR="003B2F28" w:rsidRDefault="003B2F28" w:rsidP="003B2F28">
      <w:pPr>
        <w:pStyle w:val="B1"/>
        <w:numPr>
          <w:ilvl w:val="0"/>
          <w:numId w:val="18"/>
        </w:numPr>
        <w:spacing w:after="120"/>
      </w:pPr>
      <w:r>
        <w:t>introducing a restriction that there be a unique registered officer and deputy registered officer for a federally registered party;</w:t>
      </w:r>
    </w:p>
    <w:p w:rsidR="003B2F28" w:rsidRDefault="003B2F28" w:rsidP="003B2F28">
      <w:pPr>
        <w:pStyle w:val="B1"/>
        <w:numPr>
          <w:ilvl w:val="0"/>
          <w:numId w:val="18"/>
        </w:numPr>
        <w:spacing w:after="120"/>
      </w:pPr>
      <w:r>
        <w:t>allowing</w:t>
      </w:r>
      <w:r w:rsidRPr="001A767B">
        <w:t xml:space="preserve"> party logos to be printed on ballot papers</w:t>
      </w:r>
      <w:r>
        <w:t xml:space="preserve"> for both the </w:t>
      </w:r>
      <w:r w:rsidRPr="00057061">
        <w:t>House of Representatives and the Senate</w:t>
      </w:r>
      <w:r>
        <w:t>; and</w:t>
      </w:r>
    </w:p>
    <w:p w:rsidR="003B2F28" w:rsidRPr="00EC4F62" w:rsidRDefault="003B2F28" w:rsidP="003B2F28">
      <w:pPr>
        <w:pStyle w:val="B1"/>
        <w:numPr>
          <w:ilvl w:val="0"/>
          <w:numId w:val="18"/>
        </w:numPr>
        <w:spacing w:after="120"/>
      </w:pPr>
      <w:proofErr w:type="gramStart"/>
      <w:r>
        <w:t>making</w:t>
      </w:r>
      <w:proofErr w:type="gramEnd"/>
      <w:r>
        <w:t xml:space="preserve"> technical amendments.</w:t>
      </w:r>
    </w:p>
    <w:p w:rsidR="003B2F28" w:rsidRDefault="003B2F28" w:rsidP="003B2F28"/>
    <w:p w:rsidR="003B2F28" w:rsidRPr="00A50A24" w:rsidRDefault="003B2F28" w:rsidP="003B2F28">
      <w:pPr>
        <w:jc w:val="center"/>
        <w:rPr>
          <w:i/>
        </w:rPr>
      </w:pPr>
      <w:r>
        <w:rPr>
          <w:i/>
        </w:rPr>
        <w:t>The committee has no comment on this bill.</w:t>
      </w:r>
    </w:p>
    <w:p w:rsidR="003B2F28" w:rsidRDefault="003B2F28" w:rsidP="003B2F28">
      <w:pPr>
        <w:spacing w:line="240" w:lineRule="auto"/>
        <w:jc w:val="left"/>
      </w:pPr>
    </w:p>
    <w:p w:rsidR="003B2F28" w:rsidRDefault="003B2F28" w:rsidP="003B2F28">
      <w:pPr>
        <w:spacing w:line="240" w:lineRule="auto"/>
        <w:jc w:val="left"/>
      </w:pPr>
    </w:p>
    <w:p w:rsidR="003B2F28" w:rsidRDefault="003B2F28" w:rsidP="003B2F28">
      <w:pPr>
        <w:spacing w:line="240" w:lineRule="auto"/>
        <w:jc w:val="left"/>
      </w:pPr>
      <w:r>
        <w:br w:type="page"/>
      </w:r>
    </w:p>
    <w:p w:rsidR="003B2F28" w:rsidRDefault="003B2F28" w:rsidP="003B2F28">
      <w:pPr>
        <w:pStyle w:val="H13"/>
      </w:pPr>
      <w:r>
        <w:rPr>
          <w:lang w:val="en-US"/>
        </w:rPr>
        <w:lastRenderedPageBreak/>
        <w:t>Passenger Movement Charge Amendment (Norfolk Island) Bill 2016</w:t>
      </w:r>
    </w:p>
    <w:p w:rsidR="003B2F28" w:rsidRDefault="003B2F28" w:rsidP="003B2F28">
      <w:r w:rsidRPr="00E110E9">
        <w:t xml:space="preserve">Introduced into the </w:t>
      </w:r>
      <w:r>
        <w:t xml:space="preserve">House of Representatives </w:t>
      </w:r>
      <w:r w:rsidRPr="00E110E9">
        <w:t xml:space="preserve">on </w:t>
      </w:r>
      <w:r>
        <w:t>24 February 2016</w:t>
      </w:r>
    </w:p>
    <w:p w:rsidR="003B2F28" w:rsidRDefault="003B2F28" w:rsidP="003B2F28">
      <w:r>
        <w:t>Portfolio: Immigration and Border Protection</w:t>
      </w:r>
    </w:p>
    <w:p w:rsidR="003B2F28" w:rsidRDefault="003B2F28" w:rsidP="003B2F28"/>
    <w:p w:rsidR="003B2F28" w:rsidRDefault="003B2F28" w:rsidP="003B2F28">
      <w:pPr>
        <w:pStyle w:val="H211"/>
      </w:pPr>
      <w:r>
        <w:t>Background</w:t>
      </w:r>
    </w:p>
    <w:p w:rsidR="003B2F28" w:rsidRDefault="003B2F28" w:rsidP="003B2F28"/>
    <w:p w:rsidR="003B2F28" w:rsidRPr="00073D78" w:rsidRDefault="003B2F28" w:rsidP="003B2F28">
      <w:pPr>
        <w:rPr>
          <w:szCs w:val="24"/>
        </w:rPr>
      </w:pPr>
      <w:r>
        <w:t xml:space="preserve">This bill amends </w:t>
      </w:r>
      <w:r>
        <w:rPr>
          <w:szCs w:val="24"/>
        </w:rPr>
        <w:t xml:space="preserve">the </w:t>
      </w:r>
      <w:r>
        <w:rPr>
          <w:i/>
          <w:szCs w:val="24"/>
        </w:rPr>
        <w:t>Passenger Movement Charge Act 1978</w:t>
      </w:r>
      <w:r>
        <w:rPr>
          <w:szCs w:val="24"/>
        </w:rPr>
        <w:t xml:space="preserve"> </w:t>
      </w:r>
      <w:r w:rsidRPr="00073D78">
        <w:t>to extend the passenger movement charge to people departing Norfolk Island.</w:t>
      </w:r>
    </w:p>
    <w:p w:rsidR="003B2F28" w:rsidRDefault="003B2F28" w:rsidP="003B2F28">
      <w:pPr>
        <w:rPr>
          <w:szCs w:val="24"/>
        </w:rPr>
      </w:pPr>
    </w:p>
    <w:p w:rsidR="003B2F28" w:rsidRPr="000A439B" w:rsidRDefault="003B2F28" w:rsidP="003B2F28">
      <w:pPr>
        <w:jc w:val="center"/>
        <w:rPr>
          <w:i/>
        </w:rPr>
      </w:pPr>
      <w:r>
        <w:rPr>
          <w:i/>
        </w:rPr>
        <w:t>The committee has no comment on this bill.</w:t>
      </w:r>
    </w:p>
    <w:p w:rsidR="003B2F28" w:rsidRDefault="003B2F28" w:rsidP="003B2F28">
      <w:pPr>
        <w:spacing w:line="240" w:lineRule="auto"/>
        <w:jc w:val="left"/>
      </w:pPr>
    </w:p>
    <w:p w:rsidR="003B2F28" w:rsidRDefault="003B2F28" w:rsidP="003B2F28">
      <w:pPr>
        <w:spacing w:line="240" w:lineRule="auto"/>
        <w:jc w:val="left"/>
      </w:pPr>
    </w:p>
    <w:p w:rsidR="003B2F28" w:rsidRDefault="003B2F28" w:rsidP="003B2F28">
      <w:pPr>
        <w:spacing w:line="240" w:lineRule="auto"/>
        <w:jc w:val="left"/>
      </w:pPr>
      <w:r>
        <w:br w:type="page"/>
      </w:r>
    </w:p>
    <w:p w:rsidR="003B2F28" w:rsidRPr="007E66D3" w:rsidRDefault="003B2F28" w:rsidP="003B2F28">
      <w:pPr>
        <w:pStyle w:val="H131"/>
      </w:pPr>
      <w:r>
        <w:rPr>
          <w:lang w:val="en-US"/>
        </w:rPr>
        <w:lastRenderedPageBreak/>
        <w:t xml:space="preserve">Public Governance, Performance and Accountability Amendment (Procuring Australian Goods and Services) </w:t>
      </w:r>
      <w:r>
        <w:t>Bill 2016</w:t>
      </w:r>
    </w:p>
    <w:p w:rsidR="003B2F28" w:rsidRPr="00E110E9" w:rsidRDefault="003B2F28" w:rsidP="003B2F28">
      <w:r w:rsidRPr="00E110E9">
        <w:t xml:space="preserve">Introduced into the </w:t>
      </w:r>
      <w:r>
        <w:t xml:space="preserve">House of Representatives </w:t>
      </w:r>
      <w:r w:rsidRPr="00E110E9">
        <w:t xml:space="preserve">on </w:t>
      </w:r>
      <w:r>
        <w:t>22 February 2015</w:t>
      </w:r>
    </w:p>
    <w:p w:rsidR="003B2F28" w:rsidRPr="00E110E9" w:rsidRDefault="003B2F28" w:rsidP="003B2F28">
      <w:r>
        <w:t>By: Mr Katter</w:t>
      </w:r>
    </w:p>
    <w:p w:rsidR="003B2F28" w:rsidRDefault="003B2F28" w:rsidP="003B2F28"/>
    <w:p w:rsidR="003B2F28" w:rsidRDefault="003B2F28" w:rsidP="003B2F28">
      <w:pPr>
        <w:pStyle w:val="H23"/>
      </w:pPr>
      <w:r w:rsidRPr="00C54BA1">
        <w:t>Background</w:t>
      </w:r>
    </w:p>
    <w:p w:rsidR="003B2F28" w:rsidRDefault="003B2F28" w:rsidP="003B2F28"/>
    <w:p w:rsidR="003B2F28" w:rsidRDefault="003B2F28" w:rsidP="003B2F28">
      <w:r w:rsidRPr="007E66D3">
        <w:t>This bill</w:t>
      </w:r>
      <w:r>
        <w:t xml:space="preserve"> amends the </w:t>
      </w:r>
      <w:r>
        <w:rPr>
          <w:i/>
        </w:rPr>
        <w:t>Public Governance, Performance and Accountability Act 2013</w:t>
      </w:r>
      <w:r>
        <w:t xml:space="preserve"> to ensure that contracts on behalf of the Commonwealth, corporate Commonwealth entities and wholly owned Commonwealth companies are fulfilled with Australian goods and services.</w:t>
      </w:r>
    </w:p>
    <w:p w:rsidR="003B2F28" w:rsidRDefault="003B2F28" w:rsidP="003B2F28"/>
    <w:p w:rsidR="003B2F28" w:rsidRDefault="003B2F28" w:rsidP="003B2F28">
      <w:pPr>
        <w:pStyle w:val="H23"/>
      </w:pPr>
      <w:r w:rsidRPr="006A4484">
        <w:t>Broad discretionary power</w:t>
      </w:r>
    </w:p>
    <w:p w:rsidR="003B2F28" w:rsidRPr="006A4484" w:rsidRDefault="003B2F28" w:rsidP="003B2F28">
      <w:pPr>
        <w:pStyle w:val="H23"/>
      </w:pPr>
      <w:r>
        <w:t>Schedule 1, item 2, proposed section 99AB</w:t>
      </w:r>
    </w:p>
    <w:p w:rsidR="003B2F28" w:rsidRDefault="003B2F28" w:rsidP="003B2F28"/>
    <w:p w:rsidR="003B2F28" w:rsidRDefault="003B2F28" w:rsidP="003B2F28">
      <w:pPr>
        <w:rPr>
          <w:szCs w:val="26"/>
        </w:rPr>
      </w:pPr>
      <w:r>
        <w:rPr>
          <w:szCs w:val="26"/>
        </w:rPr>
        <w:t xml:space="preserve">Proposed section 99AB provides for a very broad and unstructured discretionary power pursuant to which the Finance Minister may exempt an arrangement, goods, or services from the operation of section 99AA. The power is conditioned on the Minister’s belief that the exemption is ‘in the public interest’. </w:t>
      </w:r>
    </w:p>
    <w:p w:rsidR="003B2F28" w:rsidRDefault="003B2F28" w:rsidP="003B2F28">
      <w:pPr>
        <w:rPr>
          <w:szCs w:val="26"/>
        </w:rPr>
      </w:pPr>
    </w:p>
    <w:p w:rsidR="003B2F28" w:rsidRDefault="003B2F28" w:rsidP="003B2F28">
      <w:pPr>
        <w:rPr>
          <w:b/>
          <w:szCs w:val="26"/>
        </w:rPr>
      </w:pPr>
      <w:r w:rsidRPr="00FC5506">
        <w:rPr>
          <w:b/>
          <w:szCs w:val="26"/>
        </w:rPr>
        <w:t>The committee seeks the Member</w:t>
      </w:r>
      <w:r>
        <w:rPr>
          <w:b/>
          <w:szCs w:val="26"/>
        </w:rPr>
        <w:t>’</w:t>
      </w:r>
      <w:r w:rsidRPr="00FC5506">
        <w:rPr>
          <w:b/>
          <w:szCs w:val="26"/>
        </w:rPr>
        <w:t xml:space="preserve">s advice as to whether consideration has been given to including relevant considerations </w:t>
      </w:r>
      <w:r>
        <w:rPr>
          <w:b/>
          <w:szCs w:val="26"/>
        </w:rPr>
        <w:t>to guide</w:t>
      </w:r>
      <w:r w:rsidRPr="00FC5506">
        <w:rPr>
          <w:b/>
          <w:szCs w:val="26"/>
        </w:rPr>
        <w:t xml:space="preserve"> </w:t>
      </w:r>
      <w:r>
        <w:rPr>
          <w:b/>
          <w:szCs w:val="26"/>
        </w:rPr>
        <w:t>the exercise of</w:t>
      </w:r>
      <w:r w:rsidRPr="00FC5506">
        <w:rPr>
          <w:b/>
          <w:szCs w:val="26"/>
        </w:rPr>
        <w:t xml:space="preserve"> this power</w:t>
      </w:r>
      <w:r>
        <w:rPr>
          <w:b/>
          <w:szCs w:val="26"/>
        </w:rPr>
        <w:t xml:space="preserve"> </w:t>
      </w:r>
      <w:r w:rsidRPr="00FC5506">
        <w:rPr>
          <w:b/>
          <w:szCs w:val="26"/>
        </w:rPr>
        <w:t>in the bill.</w:t>
      </w:r>
    </w:p>
    <w:p w:rsidR="003B2F28" w:rsidRDefault="003B2F28" w:rsidP="003B2F28">
      <w:pPr>
        <w:rPr>
          <w:b/>
          <w:szCs w:val="26"/>
        </w:rPr>
      </w:pPr>
    </w:p>
    <w:p w:rsidR="003B2F28" w:rsidRPr="004E7B66" w:rsidRDefault="003B2F28" w:rsidP="003B2F28">
      <w:pPr>
        <w:ind w:left="567" w:right="539"/>
        <w:rPr>
          <w:i/>
          <w:szCs w:val="26"/>
        </w:rPr>
      </w:pPr>
      <w:r w:rsidRPr="004E7B66">
        <w:rPr>
          <w:i/>
          <w:szCs w:val="26"/>
        </w:rPr>
        <w:t>Pending the Member’s reply, the committee draws Senators’ attention to the provisions, as they may be considered to make rights, liberties or obligations unduly dependent upon insufficiently defined administrative powers, in breach of prin</w:t>
      </w:r>
      <w:r>
        <w:rPr>
          <w:i/>
          <w:szCs w:val="26"/>
        </w:rPr>
        <w:t>ciple 1(a</w:t>
      </w:r>
      <w:proofErr w:type="gramStart"/>
      <w:r>
        <w:rPr>
          <w:i/>
          <w:szCs w:val="26"/>
        </w:rPr>
        <w:t>)(</w:t>
      </w:r>
      <w:proofErr w:type="gramEnd"/>
      <w:r>
        <w:rPr>
          <w:i/>
          <w:szCs w:val="26"/>
        </w:rPr>
        <w:t>ii) of the committee’</w:t>
      </w:r>
      <w:r w:rsidRPr="004E7B66">
        <w:rPr>
          <w:i/>
          <w:szCs w:val="26"/>
        </w:rPr>
        <w:t>s terms of reference.</w:t>
      </w:r>
    </w:p>
    <w:p w:rsidR="003B2F28" w:rsidRDefault="003B2F28" w:rsidP="003B2F28"/>
    <w:p w:rsidR="003B2F28" w:rsidRDefault="003B2F28" w:rsidP="003B2F28"/>
    <w:p w:rsidR="003B2F28" w:rsidRDefault="003B2F28" w:rsidP="003B2F28">
      <w:pPr>
        <w:spacing w:line="240" w:lineRule="auto"/>
        <w:jc w:val="left"/>
      </w:pPr>
      <w:r>
        <w:br w:type="page"/>
      </w:r>
    </w:p>
    <w:p w:rsidR="003B2F28" w:rsidRDefault="003B2F28" w:rsidP="003B2F28">
      <w:pPr>
        <w:pStyle w:val="H14"/>
      </w:pPr>
      <w:r>
        <w:rPr>
          <w:lang w:val="en-US"/>
        </w:rPr>
        <w:lastRenderedPageBreak/>
        <w:t>Territories Legislation Amendment Bill 2016</w:t>
      </w:r>
    </w:p>
    <w:p w:rsidR="003B2F28" w:rsidRDefault="003B2F28" w:rsidP="003B2F28">
      <w:r w:rsidRPr="00E110E9">
        <w:t xml:space="preserve">Introduced into the </w:t>
      </w:r>
      <w:r>
        <w:t xml:space="preserve">House of Representatives </w:t>
      </w:r>
      <w:r w:rsidRPr="00E110E9">
        <w:t xml:space="preserve">on </w:t>
      </w:r>
      <w:r>
        <w:t>24 February 2016</w:t>
      </w:r>
    </w:p>
    <w:p w:rsidR="003B2F28" w:rsidRDefault="003B2F28" w:rsidP="003B2F28">
      <w:r>
        <w:t>Portfolio: Infrastructure and Regional Development</w:t>
      </w:r>
    </w:p>
    <w:p w:rsidR="003B2F28" w:rsidRDefault="003B2F28" w:rsidP="003B2F28"/>
    <w:p w:rsidR="003B2F28" w:rsidRDefault="003B2F28" w:rsidP="003B2F28">
      <w:pPr>
        <w:pStyle w:val="H212"/>
      </w:pPr>
      <w:r>
        <w:t>Background</w:t>
      </w:r>
    </w:p>
    <w:p w:rsidR="003B2F28" w:rsidRDefault="003B2F28" w:rsidP="003B2F28"/>
    <w:p w:rsidR="003B2F28" w:rsidRDefault="003B2F28" w:rsidP="003B2F28">
      <w:r>
        <w:t>This bill amends various Acts relating to Territories.</w:t>
      </w:r>
    </w:p>
    <w:p w:rsidR="003B2F28" w:rsidRDefault="003B2F28" w:rsidP="003B2F28"/>
    <w:p w:rsidR="003B2F28" w:rsidRPr="00017850" w:rsidRDefault="003B2F28" w:rsidP="003B2F28">
      <w:pPr>
        <w:rPr>
          <w:i/>
          <w:szCs w:val="26"/>
        </w:rPr>
      </w:pPr>
      <w:r w:rsidRPr="00017850">
        <w:rPr>
          <w:szCs w:val="26"/>
        </w:rPr>
        <w:t>Schedule 1 amend</w:t>
      </w:r>
      <w:r>
        <w:rPr>
          <w:szCs w:val="26"/>
        </w:rPr>
        <w:t>s</w:t>
      </w:r>
      <w:r w:rsidRPr="00017850">
        <w:rPr>
          <w:szCs w:val="26"/>
        </w:rPr>
        <w:t xml:space="preserve"> the </w:t>
      </w:r>
      <w:r w:rsidRPr="00017850">
        <w:rPr>
          <w:i/>
          <w:iCs/>
          <w:szCs w:val="26"/>
        </w:rPr>
        <w:t xml:space="preserve">Norfolk Island Legislation Amendment Act 2015 </w:t>
      </w:r>
      <w:r w:rsidRPr="00017850">
        <w:rPr>
          <w:szCs w:val="26"/>
        </w:rPr>
        <w:t>to allow New Zealand citizens who hold a permanent visa and reside on Norfolk Island access to social security payments from 1 July 2016.</w:t>
      </w:r>
    </w:p>
    <w:p w:rsidR="003B2F28" w:rsidRPr="00D3640A" w:rsidRDefault="003B2F28" w:rsidP="003B2F28"/>
    <w:p w:rsidR="003B2F28" w:rsidRDefault="003B2F28" w:rsidP="003B2F28">
      <w:r>
        <w:t xml:space="preserve">Schedule 2 </w:t>
      </w:r>
      <w:r w:rsidRPr="00017850">
        <w:rPr>
          <w:szCs w:val="26"/>
        </w:rPr>
        <w:t>amend</w:t>
      </w:r>
      <w:r>
        <w:rPr>
          <w:szCs w:val="26"/>
        </w:rPr>
        <w:t>s</w:t>
      </w:r>
      <w:r w:rsidRPr="00017850">
        <w:rPr>
          <w:szCs w:val="26"/>
        </w:rPr>
        <w:t xml:space="preserve"> the </w:t>
      </w:r>
      <w:r w:rsidRPr="00017850">
        <w:rPr>
          <w:i/>
          <w:iCs/>
          <w:szCs w:val="26"/>
        </w:rPr>
        <w:t xml:space="preserve">Norfolk Island Legislation Amendment Act 2015 </w:t>
      </w:r>
      <w:r w:rsidRPr="00017850">
        <w:rPr>
          <w:szCs w:val="26"/>
        </w:rPr>
        <w:t xml:space="preserve">to </w:t>
      </w:r>
      <w:r w:rsidRPr="008C7598">
        <w:t>align the early claims period for family assistance payments with the early claims periods for social security and child</w:t>
      </w:r>
      <w:r>
        <w:t xml:space="preserve"> support payments before 1 July </w:t>
      </w:r>
      <w:r w:rsidRPr="008C7598">
        <w:t>2016.</w:t>
      </w:r>
    </w:p>
    <w:p w:rsidR="003B2F28" w:rsidRDefault="003B2F28" w:rsidP="003B2F28"/>
    <w:p w:rsidR="003B2F28" w:rsidRPr="00017850" w:rsidRDefault="003B2F28" w:rsidP="003B2F28">
      <w:pPr>
        <w:rPr>
          <w:szCs w:val="26"/>
        </w:rPr>
      </w:pPr>
      <w:r w:rsidRPr="00017850">
        <w:rPr>
          <w:szCs w:val="26"/>
        </w:rPr>
        <w:t xml:space="preserve">Schedule 3 amends the </w:t>
      </w:r>
      <w:r w:rsidRPr="00017850">
        <w:rPr>
          <w:i/>
          <w:iCs/>
          <w:szCs w:val="26"/>
        </w:rPr>
        <w:t>Child Support (Assessment) Act 1989</w:t>
      </w:r>
      <w:r w:rsidRPr="00017850">
        <w:rPr>
          <w:szCs w:val="26"/>
        </w:rPr>
        <w:t xml:space="preserve"> and </w:t>
      </w:r>
      <w:r w:rsidRPr="00017850">
        <w:rPr>
          <w:i/>
          <w:iCs/>
          <w:szCs w:val="26"/>
        </w:rPr>
        <w:t xml:space="preserve">Child Support (Registration and Collection) Act 1988 </w:t>
      </w:r>
      <w:r w:rsidRPr="00017850">
        <w:rPr>
          <w:szCs w:val="26"/>
        </w:rPr>
        <w:t>to extend the child support scheme to residents of the Indian Ocean Territories of Christmas Island and Cocos (Keeling) Island.</w:t>
      </w:r>
    </w:p>
    <w:p w:rsidR="003B2F28" w:rsidRDefault="003B2F28" w:rsidP="003B2F28"/>
    <w:p w:rsidR="003B2F28" w:rsidRPr="00017850" w:rsidRDefault="003B2F28" w:rsidP="003B2F28">
      <w:pPr>
        <w:rPr>
          <w:szCs w:val="26"/>
        </w:rPr>
      </w:pPr>
      <w:r w:rsidRPr="00017850">
        <w:rPr>
          <w:szCs w:val="26"/>
        </w:rPr>
        <w:t xml:space="preserve">Schedule 4 amends the </w:t>
      </w:r>
      <w:r w:rsidRPr="00017850">
        <w:rPr>
          <w:i/>
          <w:iCs/>
          <w:szCs w:val="26"/>
        </w:rPr>
        <w:t>Commonwealth Electoral Act 1918</w:t>
      </w:r>
      <w:r w:rsidRPr="00017850">
        <w:rPr>
          <w:szCs w:val="26"/>
        </w:rPr>
        <w:t xml:space="preserve"> and the </w:t>
      </w:r>
      <w:r w:rsidRPr="00017850">
        <w:rPr>
          <w:i/>
          <w:iCs/>
          <w:szCs w:val="26"/>
        </w:rPr>
        <w:t>Referendum (Machinery Provisions) Act 1984</w:t>
      </w:r>
      <w:r w:rsidRPr="00017850">
        <w:rPr>
          <w:szCs w:val="26"/>
        </w:rPr>
        <w:t xml:space="preserve"> to require eligible Australian citizens and eligible other persons living on Norfolk Island to enrol and vote in federal elections and referendums from 1 July 2016.</w:t>
      </w:r>
    </w:p>
    <w:p w:rsidR="003B2F28" w:rsidRDefault="003B2F28" w:rsidP="003B2F28"/>
    <w:p w:rsidR="003B2F28" w:rsidRDefault="003B2F28" w:rsidP="003B2F28">
      <w:pPr>
        <w:spacing w:after="120"/>
        <w:rPr>
          <w:szCs w:val="26"/>
        </w:rPr>
      </w:pPr>
      <w:r>
        <w:t xml:space="preserve">Schedule 5 </w:t>
      </w:r>
      <w:r w:rsidRPr="00017850">
        <w:rPr>
          <w:szCs w:val="26"/>
        </w:rPr>
        <w:t>amend</w:t>
      </w:r>
      <w:r>
        <w:rPr>
          <w:szCs w:val="26"/>
        </w:rPr>
        <w:t>s</w:t>
      </w:r>
      <w:r w:rsidRPr="00017850">
        <w:rPr>
          <w:szCs w:val="26"/>
        </w:rPr>
        <w:t xml:space="preserve"> the </w:t>
      </w:r>
      <w:r w:rsidRPr="00017850">
        <w:rPr>
          <w:i/>
          <w:iCs/>
          <w:szCs w:val="26"/>
        </w:rPr>
        <w:t xml:space="preserve">Norfolk Island Act 1979 </w:t>
      </w:r>
      <w:r w:rsidRPr="00017850">
        <w:rPr>
          <w:szCs w:val="26"/>
        </w:rPr>
        <w:t xml:space="preserve">and the </w:t>
      </w:r>
      <w:r w:rsidRPr="00017850">
        <w:rPr>
          <w:i/>
          <w:iCs/>
          <w:szCs w:val="26"/>
        </w:rPr>
        <w:t xml:space="preserve">Acts Interpretation Act 1901 </w:t>
      </w:r>
      <w:r w:rsidRPr="00017850">
        <w:rPr>
          <w:szCs w:val="26"/>
        </w:rPr>
        <w:t>to</w:t>
      </w:r>
      <w:r>
        <w:rPr>
          <w:szCs w:val="26"/>
        </w:rPr>
        <w:t>:</w:t>
      </w:r>
    </w:p>
    <w:p w:rsidR="003B2F28" w:rsidRDefault="003B2F28" w:rsidP="003B2F28">
      <w:pPr>
        <w:pStyle w:val="B1"/>
        <w:numPr>
          <w:ilvl w:val="0"/>
          <w:numId w:val="18"/>
        </w:numPr>
        <w:spacing w:after="120"/>
      </w:pPr>
      <w:r w:rsidRPr="00017850">
        <w:t>extend all Commonwealth laws to Norfolk Island, unle</w:t>
      </w:r>
      <w:r>
        <w:t>ss expressly provided otherwise;</w:t>
      </w:r>
    </w:p>
    <w:p w:rsidR="003B2F28" w:rsidRDefault="003B2F28" w:rsidP="003B2F28">
      <w:pPr>
        <w:pStyle w:val="B1"/>
        <w:numPr>
          <w:ilvl w:val="0"/>
          <w:numId w:val="18"/>
        </w:numPr>
        <w:spacing w:after="120"/>
      </w:pPr>
      <w:r w:rsidRPr="008C7598">
        <w:t>broaden the definition of the Norfolk Island Regional Council to enable flexibility in the application of local g</w:t>
      </w:r>
      <w:r>
        <w:t>overnment law to Norfolk Island; and</w:t>
      </w:r>
    </w:p>
    <w:p w:rsidR="003B2F28" w:rsidRPr="00017850" w:rsidRDefault="003B2F28" w:rsidP="003B2F28">
      <w:pPr>
        <w:pStyle w:val="B1"/>
        <w:numPr>
          <w:ilvl w:val="0"/>
          <w:numId w:val="18"/>
        </w:numPr>
        <w:spacing w:after="120"/>
      </w:pPr>
      <w:proofErr w:type="gramStart"/>
      <w:r>
        <w:t>make</w:t>
      </w:r>
      <w:proofErr w:type="gramEnd"/>
      <w:r w:rsidRPr="00017850">
        <w:t xml:space="preserve"> consequential and transitional amendments to </w:t>
      </w:r>
      <w:r>
        <w:t xml:space="preserve">various </w:t>
      </w:r>
      <w:r w:rsidRPr="00017850">
        <w:t>Commonwealth Acts</w:t>
      </w:r>
      <w:r>
        <w:t>.</w:t>
      </w:r>
    </w:p>
    <w:p w:rsidR="003B2F28" w:rsidRDefault="003B2F28" w:rsidP="003B2F28"/>
    <w:p w:rsidR="003B2F28" w:rsidRDefault="003B2F28" w:rsidP="003B2F28"/>
    <w:p w:rsidR="003B2F28" w:rsidRPr="005B6F55" w:rsidRDefault="003B2F28" w:rsidP="003B2F28">
      <w:pPr>
        <w:pStyle w:val="H24"/>
      </w:pPr>
      <w:r w:rsidRPr="005B6F55">
        <w:lastRenderedPageBreak/>
        <w:t>Delegation of legislative power—</w:t>
      </w:r>
      <w:r w:rsidRPr="00116E17">
        <w:t>Henry VIII and</w:t>
      </w:r>
      <w:r w:rsidRPr="005B6F55">
        <w:t xml:space="preserve"> rules with retrospective application</w:t>
      </w:r>
    </w:p>
    <w:p w:rsidR="003B2F28" w:rsidRPr="005B6F55" w:rsidRDefault="003B2F28" w:rsidP="003B2F28">
      <w:pPr>
        <w:pStyle w:val="H24"/>
      </w:pPr>
      <w:r w:rsidRPr="005B6F55">
        <w:t>Schedule 5</w:t>
      </w:r>
      <w:r>
        <w:t>, i</w:t>
      </w:r>
      <w:r w:rsidRPr="005B6F55">
        <w:t>tem 5</w:t>
      </w:r>
    </w:p>
    <w:p w:rsidR="003B2F28" w:rsidRDefault="003B2F28" w:rsidP="003B2F28">
      <w:pPr>
        <w:rPr>
          <w:szCs w:val="26"/>
        </w:rPr>
      </w:pPr>
    </w:p>
    <w:p w:rsidR="003B2F28" w:rsidRDefault="003B2F28" w:rsidP="003B2F28">
      <w:pPr>
        <w:rPr>
          <w:szCs w:val="26"/>
        </w:rPr>
      </w:pPr>
      <w:r>
        <w:rPr>
          <w:szCs w:val="26"/>
        </w:rPr>
        <w:t xml:space="preserve">Schedule 5, along with the </w:t>
      </w:r>
      <w:r w:rsidRPr="00E4649E">
        <w:rPr>
          <w:i/>
          <w:szCs w:val="26"/>
        </w:rPr>
        <w:t>Norfolk Island Legislation Amendment Act 2015</w:t>
      </w:r>
      <w:r>
        <w:rPr>
          <w:szCs w:val="26"/>
        </w:rPr>
        <w:t>, has the purpose of normalising federal legislative arrangements for Norfolk Island. In particular, the Schedule extends all Commonwealth Acts to Norfolk Island, unless expressly provided otherwise. (Reversing the existing presumption that Acts did not extend to Norfolk Island unless expressed to do so.)</w:t>
      </w:r>
    </w:p>
    <w:p w:rsidR="003B2F28" w:rsidRDefault="003B2F28" w:rsidP="003B2F28">
      <w:pPr>
        <w:rPr>
          <w:szCs w:val="26"/>
        </w:rPr>
      </w:pPr>
    </w:p>
    <w:p w:rsidR="003B2F28" w:rsidRDefault="003B2F28" w:rsidP="003B2F28">
      <w:pPr>
        <w:rPr>
          <w:szCs w:val="26"/>
        </w:rPr>
      </w:pPr>
      <w:r>
        <w:rPr>
          <w:szCs w:val="26"/>
        </w:rPr>
        <w:t xml:space="preserve">As noted in the explanatory memorandum (at p. 4), the changes made are thus ‘very broad in nature’. Item 5 of the Schedule provides for a rule-making power to prescribe matters of a transitional nature. Two matters of scrutiny concern arise in relation to this rule-making power. First, </w:t>
      </w:r>
      <w:proofErr w:type="spellStart"/>
      <w:r>
        <w:rPr>
          <w:szCs w:val="26"/>
        </w:rPr>
        <w:t>subitem</w:t>
      </w:r>
      <w:proofErr w:type="spellEnd"/>
      <w:r>
        <w:rPr>
          <w:szCs w:val="26"/>
        </w:rPr>
        <w:t xml:space="preserve"> 5(3) provides that the rules may provide for the amendment of primary legislation (in the case of rules made before 1 July 2017). Second, </w:t>
      </w:r>
      <w:proofErr w:type="spellStart"/>
      <w:r>
        <w:rPr>
          <w:szCs w:val="26"/>
        </w:rPr>
        <w:t>subitem</w:t>
      </w:r>
      <w:proofErr w:type="spellEnd"/>
      <w:r>
        <w:rPr>
          <w:szCs w:val="26"/>
        </w:rPr>
        <w:t xml:space="preserve"> 5(4) provides that transitional rules may have retrospective effect (despite subsection 12(2) of the </w:t>
      </w:r>
      <w:r w:rsidRPr="00116E17">
        <w:rPr>
          <w:i/>
          <w:szCs w:val="26"/>
        </w:rPr>
        <w:t>Legislation Act 2003</w:t>
      </w:r>
      <w:r>
        <w:rPr>
          <w:szCs w:val="26"/>
        </w:rPr>
        <w:t>).</w:t>
      </w:r>
    </w:p>
    <w:p w:rsidR="003B2F28" w:rsidRDefault="003B2F28" w:rsidP="003B2F28">
      <w:pPr>
        <w:rPr>
          <w:szCs w:val="26"/>
        </w:rPr>
      </w:pPr>
    </w:p>
    <w:p w:rsidR="003B2F28" w:rsidRDefault="003B2F28" w:rsidP="003B2F28">
      <w:pPr>
        <w:spacing w:line="240" w:lineRule="auto"/>
        <w:rPr>
          <w:szCs w:val="26"/>
        </w:rPr>
      </w:pPr>
      <w:r>
        <w:rPr>
          <w:szCs w:val="26"/>
        </w:rPr>
        <w:t>The explanatory memorandum contains a detailed explanation of the transitional rule-making power:</w:t>
      </w:r>
    </w:p>
    <w:p w:rsidR="003B2F28" w:rsidRDefault="003B2F28" w:rsidP="003B2F28">
      <w:pPr>
        <w:spacing w:line="240" w:lineRule="auto"/>
        <w:rPr>
          <w:szCs w:val="26"/>
        </w:rPr>
      </w:pPr>
    </w:p>
    <w:p w:rsidR="003B2F28" w:rsidRDefault="003B2F28" w:rsidP="003B2F28">
      <w:pPr>
        <w:pStyle w:val="I1"/>
      </w:pPr>
      <w:proofErr w:type="spellStart"/>
      <w:r w:rsidRPr="008C7598">
        <w:t>Subitem</w:t>
      </w:r>
      <w:proofErr w:type="spellEnd"/>
      <w:r w:rsidRPr="008C7598">
        <w:t xml:space="preserve"> 5(1) provides that the Minister may, by legislative instrument, make</w:t>
      </w:r>
      <w:bookmarkStart w:id="5" w:name="BK_S1P3L4C5"/>
      <w:bookmarkEnd w:id="5"/>
      <w:r w:rsidRPr="008C7598">
        <w:t xml:space="preserve"> rules prescribing matters of a transitional nature (including prescribing any saving or application provisions) relating to the amendments or repeals made by Schedule 5. </w:t>
      </w:r>
      <w:proofErr w:type="spellStart"/>
      <w:r w:rsidRPr="008C7598">
        <w:t>Subitem</w:t>
      </w:r>
      <w:proofErr w:type="spellEnd"/>
      <w:r w:rsidRPr="008C7598">
        <w:t xml:space="preserve"> 5(2) provides limits and safeguards on the Minister’s transitional rule-making power. That is, the transitional rules may not create an offence or civil penalty; provide powers of: arrest or detention; or entry, search or seizure; impose a tax; set an amount to be appropriated from the Consolidated Revenue Fund under an appropriation in this Act; or directly amend the text of the </w:t>
      </w:r>
      <w:r w:rsidRPr="008C7598">
        <w:rPr>
          <w:i/>
        </w:rPr>
        <w:t>Norfolk Island Act 1979</w:t>
      </w:r>
      <w:r w:rsidRPr="008C7598">
        <w:t xml:space="preserve">. </w:t>
      </w:r>
      <w:proofErr w:type="spellStart"/>
      <w:r w:rsidRPr="008C7598">
        <w:t>Subitem</w:t>
      </w:r>
      <w:proofErr w:type="spellEnd"/>
      <w:r w:rsidRPr="008C7598">
        <w:t> 5(3) provides that transitional rules made before 1 July 2017 may provide that this Act or any other Act or instrument has effect with any modifications</w:t>
      </w:r>
      <w:bookmarkStart w:id="6" w:name="BK_S1P3L18C62"/>
      <w:bookmarkEnd w:id="6"/>
      <w:r w:rsidRPr="008C7598">
        <w:t xml:space="preserve"> prescribed by the transitional rules. </w:t>
      </w:r>
      <w:proofErr w:type="spellStart"/>
      <w:r w:rsidRPr="008C7598">
        <w:t>Subitem</w:t>
      </w:r>
      <w:proofErr w:type="spellEnd"/>
      <w:r w:rsidRPr="008C7598">
        <w:t xml:space="preserve"> 5(4) provides that subsection 12(2) of the </w:t>
      </w:r>
      <w:r w:rsidRPr="008C7598">
        <w:rPr>
          <w:i/>
        </w:rPr>
        <w:t>Legislation Act 2003</w:t>
      </w:r>
      <w:r w:rsidRPr="008C7598">
        <w:t xml:space="preserve"> concerning the retrospective application of legislative instruments does not apply to transitional rules made before 1 July 2017. Subsection 12(2) of the </w:t>
      </w:r>
      <w:r w:rsidRPr="008C7598">
        <w:rPr>
          <w:i/>
        </w:rPr>
        <w:t>Legislation Act 2003</w:t>
      </w:r>
      <w:r w:rsidRPr="008C7598">
        <w:t xml:space="preserve"> prevents a legislative instrument from taking effect before registration if this would affect the rights of a person to their disadvantage or impose a liability upon them for things done or omitted before that registration.</w:t>
      </w:r>
    </w:p>
    <w:p w:rsidR="003B2F28" w:rsidRPr="008C7598" w:rsidRDefault="003B2F28" w:rsidP="003B2F28">
      <w:pPr>
        <w:spacing w:line="240" w:lineRule="auto"/>
        <w:ind w:left="567"/>
        <w:rPr>
          <w:szCs w:val="24"/>
          <w:highlight w:val="cyan"/>
        </w:rPr>
      </w:pPr>
    </w:p>
    <w:p w:rsidR="003B2F28" w:rsidRDefault="003B2F28" w:rsidP="003B2F28">
      <w:pPr>
        <w:pStyle w:val="I1"/>
      </w:pPr>
      <w:r w:rsidRPr="008C7598">
        <w:t xml:space="preserve">The scope of the changes in Schedule 5 to normalise federal legislative arrangements on Norfolk Island is broad. It is possible that amendments made </w:t>
      </w:r>
      <w:r w:rsidRPr="008C7598">
        <w:lastRenderedPageBreak/>
        <w:t xml:space="preserve">to the </w:t>
      </w:r>
      <w:r w:rsidRPr="008C7598">
        <w:rPr>
          <w:i/>
          <w:iCs/>
        </w:rPr>
        <w:t>Acts Interpretation Act 1901</w:t>
      </w:r>
      <w:r w:rsidRPr="008C7598">
        <w:t xml:space="preserve"> and section 18 of the </w:t>
      </w:r>
      <w:r w:rsidRPr="008C7598">
        <w:rPr>
          <w:i/>
          <w:iCs/>
        </w:rPr>
        <w:t>Norfolk Island Act</w:t>
      </w:r>
      <w:r w:rsidRPr="008C7598">
        <w:t xml:space="preserve"> </w:t>
      </w:r>
      <w:r w:rsidRPr="008C7598">
        <w:rPr>
          <w:i/>
          <w:iCs/>
        </w:rPr>
        <w:t>1979</w:t>
      </w:r>
      <w:r w:rsidRPr="008C7598">
        <w:t xml:space="preserve"> may affect the application of Commonwealth legislation to Norfolk Island in a way that was unintended. The transitional rule-making power provides the Minister (in consultation with the relevant portfolio Minister) with an expedient way of resolving unforeseen issues or unintended consequences associated with the Schedule 5 amendments.</w:t>
      </w:r>
    </w:p>
    <w:p w:rsidR="003B2F28" w:rsidRPr="008C7598" w:rsidRDefault="003B2F28" w:rsidP="003B2F28">
      <w:pPr>
        <w:pStyle w:val="I1"/>
      </w:pPr>
    </w:p>
    <w:p w:rsidR="003B2F28" w:rsidRPr="008C7598" w:rsidRDefault="003B2F28" w:rsidP="003B2F28">
      <w:pPr>
        <w:pStyle w:val="I1"/>
      </w:pPr>
      <w:r w:rsidRPr="008C7598">
        <w:t xml:space="preserve">To provide for the unusual circumstances created by the extension of Commonwealth laws to Norfolk Island, transitional rules made in the first year may amend the application of Commonwealth legislation to Norfolk Island and be retrospective. Retrospectivity may pre-date the commencement of this Schedule and impose a retrospective disadvantage, contrary to subsection 12(2) of the </w:t>
      </w:r>
      <w:r w:rsidRPr="008C7598">
        <w:rPr>
          <w:i/>
          <w:iCs/>
        </w:rPr>
        <w:t>Legislation Act 2003</w:t>
      </w:r>
      <w:r w:rsidRPr="008C7598">
        <w:t xml:space="preserve">. However, </w:t>
      </w:r>
      <w:proofErr w:type="spellStart"/>
      <w:r w:rsidRPr="008C7598">
        <w:t>subitem</w:t>
      </w:r>
      <w:proofErr w:type="spellEnd"/>
      <w:r w:rsidRPr="008C7598">
        <w:t xml:space="preserve"> 5(2) places limits on what transitional rules can do, and the capacity for the transitional rules to retrospectively impose a disadvantage is time limited, starting with the commencement of the Schedule and not applying to transitional rules made on or after 1 July 2017. The transitional rules may also operate to retrospective advantage. </w:t>
      </w:r>
    </w:p>
    <w:p w:rsidR="003B2F28" w:rsidRDefault="003B2F28" w:rsidP="003B2F28">
      <w:pPr>
        <w:spacing w:line="240" w:lineRule="auto"/>
        <w:rPr>
          <w:szCs w:val="26"/>
        </w:rPr>
      </w:pPr>
    </w:p>
    <w:p w:rsidR="003B2F28" w:rsidRPr="00701569" w:rsidRDefault="003B2F28" w:rsidP="003B2F28">
      <w:pPr>
        <w:rPr>
          <w:b/>
        </w:rPr>
      </w:pPr>
      <w:r w:rsidRPr="00701569">
        <w:rPr>
          <w:b/>
        </w:rPr>
        <w:t xml:space="preserve">While the committee remains concerned about the scope of this power, </w:t>
      </w:r>
      <w:proofErr w:type="gramStart"/>
      <w:r w:rsidRPr="00701569">
        <w:rPr>
          <w:b/>
        </w:rPr>
        <w:t>its</w:t>
      </w:r>
      <w:proofErr w:type="gramEnd"/>
      <w:r w:rsidRPr="00701569">
        <w:rPr>
          <w:b/>
        </w:rPr>
        <w:t xml:space="preserve"> potential to apply retrospectively and that it could give rise to detriment, in light of the detailed justification provided the committee draws its concerns to the attention of Senators and leaves the question of whether the proposed rule</w:t>
      </w:r>
      <w:r w:rsidRPr="00701569">
        <w:rPr>
          <w:b/>
        </w:rPr>
        <w:noBreakHyphen/>
        <w:t>making power is appropriate to the Senate as a whole.</w:t>
      </w:r>
    </w:p>
    <w:p w:rsidR="003B2F28" w:rsidRPr="00116E17" w:rsidRDefault="003B2F28" w:rsidP="003B2F28"/>
    <w:p w:rsidR="003B2F28" w:rsidRDefault="003B2F28" w:rsidP="003B2F28">
      <w:pPr>
        <w:ind w:left="567" w:right="539"/>
        <w:rPr>
          <w:i/>
        </w:rPr>
      </w:pPr>
      <w:r w:rsidRPr="00116E17">
        <w:rPr>
          <w:i/>
        </w:rPr>
        <w:t>The committee draws Senators’ attention to the provision</w:t>
      </w:r>
      <w:r>
        <w:rPr>
          <w:i/>
        </w:rPr>
        <w:t xml:space="preserve"> as it may be considered to delegate legislative powers inappropriately in breach of principle 1(a</w:t>
      </w:r>
      <w:proofErr w:type="gramStart"/>
      <w:r>
        <w:rPr>
          <w:i/>
        </w:rPr>
        <w:t>)(</w:t>
      </w:r>
      <w:proofErr w:type="gramEnd"/>
      <w:r>
        <w:rPr>
          <w:i/>
        </w:rPr>
        <w:t>iv) of the committee’s terms of reference.</w:t>
      </w:r>
    </w:p>
    <w:p w:rsidR="003B2F28" w:rsidRDefault="003B2F28" w:rsidP="003B2F28"/>
    <w:p w:rsidR="003B2F28" w:rsidRDefault="003B2F28" w:rsidP="003B2F28"/>
    <w:p w:rsidR="003B2F28" w:rsidRDefault="003B2F28">
      <w:pPr>
        <w:spacing w:line="240" w:lineRule="auto"/>
        <w:jc w:val="left"/>
      </w:pPr>
      <w:r>
        <w:br w:type="page"/>
      </w:r>
    </w:p>
    <w:p w:rsidR="003B2F28" w:rsidRPr="00772883" w:rsidRDefault="003B2F28" w:rsidP="003B2F28">
      <w:pPr>
        <w:pStyle w:val="H1"/>
        <w:jc w:val="center"/>
      </w:pPr>
      <w:r w:rsidRPr="00772883">
        <w:lastRenderedPageBreak/>
        <w:t>Commentary on amendments to bills</w:t>
      </w:r>
    </w:p>
    <w:p w:rsidR="003B2F28" w:rsidRPr="00530967" w:rsidRDefault="003B2F28" w:rsidP="003B2F28">
      <w:pPr>
        <w:rPr>
          <w:b/>
        </w:rPr>
      </w:pPr>
      <w:r w:rsidRPr="00530967">
        <w:rPr>
          <w:b/>
        </w:rPr>
        <w:t>Commonwealth Electoral Amendment Bill 2016</w:t>
      </w:r>
    </w:p>
    <w:p w:rsidR="003B2F28" w:rsidRPr="00772883" w:rsidRDefault="003B2F28" w:rsidP="003B2F28">
      <w:pPr>
        <w:rPr>
          <w:b/>
          <w:szCs w:val="26"/>
        </w:rPr>
      </w:pPr>
      <w:r w:rsidRPr="00772883">
        <w:rPr>
          <w:b/>
          <w:i/>
          <w:sz w:val="24"/>
          <w:szCs w:val="24"/>
        </w:rPr>
        <w:t xml:space="preserve">[Digest </w:t>
      </w:r>
      <w:r>
        <w:rPr>
          <w:b/>
          <w:i/>
          <w:sz w:val="24"/>
          <w:szCs w:val="24"/>
        </w:rPr>
        <w:t>3</w:t>
      </w:r>
      <w:r w:rsidRPr="00772883">
        <w:rPr>
          <w:b/>
          <w:i/>
          <w:sz w:val="24"/>
          <w:szCs w:val="24"/>
        </w:rPr>
        <w:t>/1</w:t>
      </w:r>
      <w:r>
        <w:rPr>
          <w:b/>
          <w:i/>
          <w:sz w:val="24"/>
          <w:szCs w:val="24"/>
        </w:rPr>
        <w:t>6</w:t>
      </w:r>
      <w:r w:rsidRPr="00772883">
        <w:rPr>
          <w:b/>
          <w:i/>
          <w:sz w:val="24"/>
          <w:szCs w:val="24"/>
        </w:rPr>
        <w:t xml:space="preserve"> –</w:t>
      </w:r>
      <w:r>
        <w:rPr>
          <w:b/>
          <w:i/>
          <w:sz w:val="24"/>
          <w:szCs w:val="24"/>
        </w:rPr>
        <w:t xml:space="preserve"> no comment</w:t>
      </w:r>
      <w:r w:rsidRPr="00772883">
        <w:rPr>
          <w:b/>
          <w:i/>
          <w:sz w:val="24"/>
          <w:szCs w:val="24"/>
        </w:rPr>
        <w:t>]</w:t>
      </w:r>
    </w:p>
    <w:p w:rsidR="003B2F28" w:rsidRDefault="003B2F28" w:rsidP="003B2F28"/>
    <w:p w:rsidR="003B2F28" w:rsidRDefault="003B2F28" w:rsidP="003B2F28">
      <w:r>
        <w:t>On 24 February 2016 the House of Representatives agreed to six Government amendments, the Assistant Minister for Finance presented a supplementary explanatory memorandum and the bill was read a third time.</w:t>
      </w:r>
    </w:p>
    <w:p w:rsidR="003B2F28" w:rsidRDefault="003B2F28" w:rsidP="003B2F28"/>
    <w:p w:rsidR="003B2F28" w:rsidRPr="00F35F5F" w:rsidRDefault="003B2F28" w:rsidP="003B2F28">
      <w:pPr>
        <w:rPr>
          <w:b/>
        </w:rPr>
      </w:pPr>
      <w:r w:rsidRPr="00293E7D">
        <w:rPr>
          <w:b/>
        </w:rPr>
        <w:t>The committee has no comment on these amendments or the additional explanatory material.</w:t>
      </w:r>
    </w:p>
    <w:p w:rsidR="003B2F28" w:rsidRDefault="003B2F28" w:rsidP="003B2F28"/>
    <w:p w:rsidR="003B2F28" w:rsidRPr="00AB461C" w:rsidRDefault="003B2F28" w:rsidP="003B2F28">
      <w:pPr>
        <w:rPr>
          <w:b/>
        </w:rPr>
      </w:pPr>
      <w:r>
        <w:rPr>
          <w:b/>
        </w:rPr>
        <w:t>Crimes Legislation Amendment (Proceeds of Crime and Other Measures) Bill 2015</w:t>
      </w:r>
    </w:p>
    <w:p w:rsidR="003B2F28" w:rsidRPr="00772883" w:rsidRDefault="003B2F28" w:rsidP="003B2F28">
      <w:pPr>
        <w:rPr>
          <w:b/>
          <w:szCs w:val="26"/>
        </w:rPr>
      </w:pPr>
      <w:r w:rsidRPr="00772883">
        <w:rPr>
          <w:b/>
          <w:i/>
          <w:sz w:val="24"/>
          <w:szCs w:val="24"/>
        </w:rPr>
        <w:t xml:space="preserve">[Digest </w:t>
      </w:r>
      <w:r>
        <w:rPr>
          <w:b/>
          <w:i/>
          <w:sz w:val="24"/>
          <w:szCs w:val="24"/>
        </w:rPr>
        <w:t>14</w:t>
      </w:r>
      <w:r w:rsidRPr="00772883">
        <w:rPr>
          <w:b/>
          <w:i/>
          <w:sz w:val="24"/>
          <w:szCs w:val="24"/>
        </w:rPr>
        <w:t>/1</w:t>
      </w:r>
      <w:r>
        <w:rPr>
          <w:b/>
          <w:i/>
          <w:sz w:val="24"/>
          <w:szCs w:val="24"/>
        </w:rPr>
        <w:t>5</w:t>
      </w:r>
      <w:r w:rsidRPr="00772883">
        <w:rPr>
          <w:b/>
          <w:i/>
          <w:sz w:val="24"/>
          <w:szCs w:val="24"/>
        </w:rPr>
        <w:t xml:space="preserve"> – Report </w:t>
      </w:r>
      <w:r>
        <w:rPr>
          <w:b/>
          <w:i/>
          <w:sz w:val="24"/>
          <w:szCs w:val="24"/>
        </w:rPr>
        <w:t>1</w:t>
      </w:r>
      <w:r w:rsidRPr="00772883">
        <w:rPr>
          <w:b/>
          <w:i/>
          <w:sz w:val="24"/>
          <w:szCs w:val="24"/>
        </w:rPr>
        <w:t>/16]</w:t>
      </w:r>
    </w:p>
    <w:p w:rsidR="003B2F28" w:rsidRDefault="003B2F28" w:rsidP="003B2F28"/>
    <w:p w:rsidR="003B2F28" w:rsidRDefault="003B2F28" w:rsidP="003B2F28">
      <w:r>
        <w:t>On 22 February 2016 the Assistant Minister for Agriculture and Water Resources (Senator Ruston) tabled an addendum to the explanatory memorandum.</w:t>
      </w:r>
    </w:p>
    <w:p w:rsidR="003B2F28" w:rsidRDefault="003B2F28" w:rsidP="003B2F28"/>
    <w:p w:rsidR="003B2F28" w:rsidRPr="00FE119F" w:rsidRDefault="003B2F28" w:rsidP="003B2F28">
      <w:pPr>
        <w:rPr>
          <w:b/>
        </w:rPr>
      </w:pPr>
      <w:r w:rsidRPr="00293E7D">
        <w:rPr>
          <w:b/>
        </w:rPr>
        <w:t xml:space="preserve">The committee thanks the Minister for Justice for providing this addendum which inserted key information into the explanatory memorandum as requested by the committee in its </w:t>
      </w:r>
      <w:r w:rsidRPr="00293E7D">
        <w:rPr>
          <w:b/>
          <w:i/>
        </w:rPr>
        <w:t>First Report of 2016</w:t>
      </w:r>
      <w:r w:rsidRPr="00293E7D">
        <w:rPr>
          <w:b/>
        </w:rPr>
        <w:t xml:space="preserve"> (see pages 10–15).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3B2F28" w:rsidRDefault="003B2F28" w:rsidP="003B2F28"/>
    <w:p w:rsidR="003B2F28" w:rsidRDefault="003B2F28" w:rsidP="003B2F28">
      <w:pPr>
        <w:rPr>
          <w:b/>
        </w:rPr>
      </w:pPr>
      <w:r>
        <w:rPr>
          <w:b/>
        </w:rPr>
        <w:t>Family Law Amendment (Financial Agreements and Other Measures) Bill 2015</w:t>
      </w:r>
    </w:p>
    <w:p w:rsidR="003B2F28" w:rsidRPr="00772883" w:rsidRDefault="003B2F28" w:rsidP="003B2F28">
      <w:pPr>
        <w:rPr>
          <w:b/>
          <w:szCs w:val="26"/>
        </w:rPr>
      </w:pPr>
      <w:r w:rsidRPr="00772883">
        <w:rPr>
          <w:b/>
          <w:i/>
          <w:sz w:val="24"/>
          <w:szCs w:val="24"/>
        </w:rPr>
        <w:t xml:space="preserve">[Digest </w:t>
      </w:r>
      <w:r>
        <w:rPr>
          <w:b/>
          <w:i/>
          <w:sz w:val="24"/>
          <w:szCs w:val="24"/>
        </w:rPr>
        <w:t>14</w:t>
      </w:r>
      <w:r w:rsidRPr="00772883">
        <w:rPr>
          <w:b/>
          <w:i/>
          <w:sz w:val="24"/>
          <w:szCs w:val="24"/>
        </w:rPr>
        <w:t>/1</w:t>
      </w:r>
      <w:r>
        <w:rPr>
          <w:b/>
          <w:i/>
          <w:sz w:val="24"/>
          <w:szCs w:val="24"/>
        </w:rPr>
        <w:t>5</w:t>
      </w:r>
      <w:r w:rsidRPr="00772883">
        <w:rPr>
          <w:b/>
          <w:i/>
          <w:sz w:val="24"/>
          <w:szCs w:val="24"/>
        </w:rPr>
        <w:t xml:space="preserve"> – Report </w:t>
      </w:r>
      <w:r>
        <w:rPr>
          <w:b/>
          <w:i/>
          <w:sz w:val="24"/>
          <w:szCs w:val="24"/>
        </w:rPr>
        <w:t>1</w:t>
      </w:r>
      <w:r w:rsidRPr="00772883">
        <w:rPr>
          <w:b/>
          <w:i/>
          <w:sz w:val="24"/>
          <w:szCs w:val="24"/>
        </w:rPr>
        <w:t>/16]</w:t>
      </w:r>
    </w:p>
    <w:p w:rsidR="003B2F28" w:rsidRDefault="003B2F28" w:rsidP="003B2F28"/>
    <w:p w:rsidR="003B2F28" w:rsidRDefault="003B2F28" w:rsidP="003B2F28">
      <w:r>
        <w:t>On 22 February 2016 the Assistant Minister for Agriculture and Water Resources (Senator Ruston) tabled a replacement explanatory memorandum.</w:t>
      </w:r>
    </w:p>
    <w:p w:rsidR="003B2F28" w:rsidRDefault="003B2F28" w:rsidP="003B2F28"/>
    <w:p w:rsidR="003B2F28" w:rsidRPr="00FE119F" w:rsidRDefault="003B2F28" w:rsidP="003B2F28">
      <w:pPr>
        <w:rPr>
          <w:b/>
        </w:rPr>
      </w:pPr>
      <w:r w:rsidRPr="00293E7D">
        <w:rPr>
          <w:b/>
        </w:rPr>
        <w:t xml:space="preserve">The committee thanks the Attorney-General for providing this replacement explanatory memorandum which includes additional explanatory material as requested by the committee in its </w:t>
      </w:r>
      <w:r w:rsidRPr="00293E7D">
        <w:rPr>
          <w:b/>
          <w:i/>
        </w:rPr>
        <w:t>First Report of 2016</w:t>
      </w:r>
      <w:r w:rsidRPr="00293E7D">
        <w:rPr>
          <w:b/>
        </w:rPr>
        <w:t xml:space="preserve"> (see pages 18–26). The committee welcomes the inclusion of </w:t>
      </w:r>
      <w:r w:rsidRPr="00293E7D">
        <w:rPr>
          <w:b/>
        </w:rPr>
        <w:lastRenderedPageBreak/>
        <w:t>additional information in explanatory material accompanying bills as these documents are an important point of access to understanding the law and, if needed, may be used as extrinsic material to assist with interpretation.</w:t>
      </w:r>
    </w:p>
    <w:p w:rsidR="003B2F28" w:rsidRDefault="003B2F28" w:rsidP="003B2F28"/>
    <w:p w:rsidR="003B2F28" w:rsidRPr="00C32A5F" w:rsidRDefault="003B2F28" w:rsidP="003B2F28">
      <w:pPr>
        <w:rPr>
          <w:b/>
        </w:rPr>
      </w:pPr>
      <w:r w:rsidRPr="00984B86">
        <w:rPr>
          <w:b/>
        </w:rPr>
        <w:t xml:space="preserve">Omnibus Repeal Day (Autumn 2015) </w:t>
      </w:r>
      <w:r>
        <w:rPr>
          <w:b/>
        </w:rPr>
        <w:t>Bill 2015</w:t>
      </w:r>
    </w:p>
    <w:p w:rsidR="003B2F28" w:rsidRPr="00772883" w:rsidRDefault="003B2F28" w:rsidP="003B2F28">
      <w:pPr>
        <w:rPr>
          <w:b/>
          <w:szCs w:val="26"/>
        </w:rPr>
      </w:pPr>
      <w:r w:rsidRPr="00772883">
        <w:rPr>
          <w:b/>
          <w:i/>
          <w:sz w:val="24"/>
          <w:szCs w:val="24"/>
        </w:rPr>
        <w:t xml:space="preserve">[Digest </w:t>
      </w:r>
      <w:r>
        <w:rPr>
          <w:b/>
          <w:i/>
          <w:sz w:val="24"/>
          <w:szCs w:val="24"/>
        </w:rPr>
        <w:t>4</w:t>
      </w:r>
      <w:r w:rsidRPr="00772883">
        <w:rPr>
          <w:b/>
          <w:i/>
          <w:sz w:val="24"/>
          <w:szCs w:val="24"/>
        </w:rPr>
        <w:t>/1</w:t>
      </w:r>
      <w:r>
        <w:rPr>
          <w:b/>
          <w:i/>
          <w:sz w:val="24"/>
          <w:szCs w:val="24"/>
        </w:rPr>
        <w:t>5</w:t>
      </w:r>
      <w:r w:rsidRPr="00772883">
        <w:rPr>
          <w:b/>
          <w:i/>
          <w:sz w:val="24"/>
          <w:szCs w:val="24"/>
        </w:rPr>
        <w:t xml:space="preserve"> – </w:t>
      </w:r>
      <w:r>
        <w:rPr>
          <w:b/>
          <w:i/>
          <w:sz w:val="24"/>
          <w:szCs w:val="24"/>
        </w:rPr>
        <w:t>no comment</w:t>
      </w:r>
      <w:r w:rsidRPr="00772883">
        <w:rPr>
          <w:b/>
          <w:i/>
          <w:sz w:val="24"/>
          <w:szCs w:val="24"/>
        </w:rPr>
        <w:t>]</w:t>
      </w:r>
    </w:p>
    <w:p w:rsidR="003B2F28" w:rsidRDefault="003B2F28" w:rsidP="003B2F28"/>
    <w:p w:rsidR="003B2F28" w:rsidRDefault="003B2F28" w:rsidP="003B2F28">
      <w:r>
        <w:t>On 24 February 2016 the Senate agreed to two Australian Greens amendments and the bill was read a third time.</w:t>
      </w:r>
    </w:p>
    <w:p w:rsidR="003B2F28" w:rsidRDefault="003B2F28" w:rsidP="003B2F28"/>
    <w:p w:rsidR="003B2F28" w:rsidRPr="00065700" w:rsidRDefault="003B2F28" w:rsidP="003B2F28">
      <w:pPr>
        <w:rPr>
          <w:b/>
        </w:rPr>
      </w:pPr>
      <w:r w:rsidRPr="00293E7D">
        <w:rPr>
          <w:b/>
        </w:rPr>
        <w:t>The committee has no comment on these amendments.</w:t>
      </w:r>
    </w:p>
    <w:p w:rsidR="003B2F28" w:rsidRDefault="003B2F28" w:rsidP="003B2F28"/>
    <w:p w:rsidR="003B2F28" w:rsidRPr="00C32A5F" w:rsidRDefault="003B2F28" w:rsidP="003B2F28">
      <w:pPr>
        <w:rPr>
          <w:b/>
        </w:rPr>
      </w:pPr>
      <w:r>
        <w:rPr>
          <w:b/>
        </w:rPr>
        <w:t>Social Services Legislation Amendment (Family Measures) Bill 2015</w:t>
      </w:r>
    </w:p>
    <w:p w:rsidR="003B2F28" w:rsidRDefault="003B2F28" w:rsidP="003B2F28"/>
    <w:p w:rsidR="003B2F28" w:rsidRDefault="003B2F28" w:rsidP="003B2F28">
      <w:r>
        <w:t>On 24 February 2016 the Senate agreed to one Government amendment, the Minister for Communications (Senator Fifield) tabled a supplementary explanatory memorandum and the bill was read a third time.</w:t>
      </w:r>
    </w:p>
    <w:p w:rsidR="003B2F28" w:rsidRDefault="003B2F28" w:rsidP="003B2F28"/>
    <w:p w:rsidR="003B2F28" w:rsidRDefault="003B2F28" w:rsidP="003B2F28">
      <w:pPr>
        <w:spacing w:after="120"/>
      </w:pPr>
      <w:r>
        <w:t>On 29 February 2016 the House of Representatives agreed to the Senate amendment and the bill was passed.</w:t>
      </w:r>
    </w:p>
    <w:p w:rsidR="003B2F28" w:rsidRPr="00722009" w:rsidRDefault="003B2F28" w:rsidP="003B2F28">
      <w:pPr>
        <w:rPr>
          <w:b/>
          <w:szCs w:val="26"/>
        </w:rPr>
      </w:pPr>
      <w:r w:rsidRPr="00293E7D">
        <w:rPr>
          <w:b/>
          <w:szCs w:val="26"/>
        </w:rPr>
        <w:t>The committee welcomes this amendment which defers the commencement dates for two measures in light of the time taken for passage of the bill. The amendment therefore ensures that the measures do not operate retrospectively.</w:t>
      </w:r>
    </w:p>
    <w:p w:rsidR="003B2F28" w:rsidRDefault="003B2F28" w:rsidP="003B2F28"/>
    <w:p w:rsidR="003B2F28" w:rsidRPr="00982322" w:rsidRDefault="003B2F28" w:rsidP="003B2F28">
      <w:pPr>
        <w:rPr>
          <w:b/>
        </w:rPr>
      </w:pPr>
      <w:r w:rsidRPr="00984B86">
        <w:rPr>
          <w:b/>
        </w:rPr>
        <w:t xml:space="preserve">Tax Laws Amendment (Implementation of the Common Reporting Standard) Bill 2015 </w:t>
      </w:r>
    </w:p>
    <w:p w:rsidR="003B2F28" w:rsidRPr="00772883" w:rsidRDefault="003B2F28" w:rsidP="003B2F28">
      <w:pPr>
        <w:spacing w:after="120"/>
        <w:rPr>
          <w:b/>
          <w:szCs w:val="26"/>
        </w:rPr>
      </w:pPr>
      <w:r w:rsidRPr="00772883">
        <w:rPr>
          <w:b/>
          <w:i/>
          <w:sz w:val="24"/>
          <w:szCs w:val="24"/>
        </w:rPr>
        <w:t xml:space="preserve">[Digest </w:t>
      </w:r>
      <w:r>
        <w:rPr>
          <w:b/>
          <w:i/>
          <w:sz w:val="24"/>
          <w:szCs w:val="24"/>
        </w:rPr>
        <w:t>1</w:t>
      </w:r>
      <w:r w:rsidRPr="00772883">
        <w:rPr>
          <w:b/>
          <w:i/>
          <w:sz w:val="24"/>
          <w:szCs w:val="24"/>
        </w:rPr>
        <w:t>/1</w:t>
      </w:r>
      <w:r>
        <w:rPr>
          <w:b/>
          <w:i/>
          <w:sz w:val="24"/>
          <w:szCs w:val="24"/>
        </w:rPr>
        <w:t>6</w:t>
      </w:r>
      <w:r w:rsidRPr="00772883">
        <w:rPr>
          <w:b/>
          <w:i/>
          <w:sz w:val="24"/>
          <w:szCs w:val="24"/>
        </w:rPr>
        <w:t xml:space="preserve"> – </w:t>
      </w:r>
      <w:r>
        <w:rPr>
          <w:b/>
          <w:i/>
          <w:sz w:val="24"/>
          <w:szCs w:val="24"/>
        </w:rPr>
        <w:t>no response required</w:t>
      </w:r>
      <w:r w:rsidRPr="00772883">
        <w:rPr>
          <w:b/>
          <w:i/>
          <w:sz w:val="24"/>
          <w:szCs w:val="24"/>
        </w:rPr>
        <w:t>]</w:t>
      </w:r>
    </w:p>
    <w:p w:rsidR="003B2F28" w:rsidRDefault="003B2F28" w:rsidP="003B2F28">
      <w:r>
        <w:t>On 23 February 2016 the Minister for Education and Training (Senator Birmingham) tabled a supplementary explanatory memorandum.</w:t>
      </w:r>
    </w:p>
    <w:p w:rsidR="003B2F28" w:rsidRDefault="003B2F28" w:rsidP="003B2F28"/>
    <w:p w:rsidR="003B2F28" w:rsidRDefault="003B2F28" w:rsidP="003B2F28">
      <w:r>
        <w:t>On 24 February 2016 the Senate agreed to two Government and six Opposition amendments and the bill was read a third time.</w:t>
      </w:r>
    </w:p>
    <w:p w:rsidR="003B2F28" w:rsidRDefault="003B2F28" w:rsidP="003B2F28"/>
    <w:p w:rsidR="003B2F28" w:rsidRDefault="003B2F28" w:rsidP="003B2F28">
      <w:r>
        <w:t>On 29 February 2016 the House of Representatives agreed to the Senate amendments and the bill was passed.</w:t>
      </w:r>
    </w:p>
    <w:p w:rsidR="003B2F28" w:rsidRDefault="003B2F28" w:rsidP="003B2F28"/>
    <w:p w:rsidR="003B2F28" w:rsidRPr="00F35F5F" w:rsidRDefault="003B2F28" w:rsidP="003B2F28">
      <w:pPr>
        <w:rPr>
          <w:b/>
        </w:rPr>
      </w:pPr>
      <w:r w:rsidRPr="00293E7D">
        <w:rPr>
          <w:b/>
        </w:rPr>
        <w:t>The committee has no comment on these amendments or the additional explanatory material.</w:t>
      </w:r>
    </w:p>
    <w:p w:rsidR="003B2F28" w:rsidRDefault="003B2F28" w:rsidP="003B2F28">
      <w:pPr>
        <w:spacing w:line="240" w:lineRule="auto"/>
        <w:jc w:val="left"/>
      </w:pPr>
    </w:p>
    <w:p w:rsidR="003B2F28" w:rsidRDefault="003B2F28" w:rsidP="003B2F28">
      <w:pPr>
        <w:pStyle w:val="H1"/>
        <w:jc w:val="center"/>
      </w:pPr>
      <w:r>
        <w:t>Scrutiny of Standing Appropriations</w:t>
      </w:r>
    </w:p>
    <w:p w:rsidR="003B2F28" w:rsidRPr="003A5036" w:rsidRDefault="003B2F28" w:rsidP="003B2F28">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3B2F28" w:rsidRPr="003A5036" w:rsidRDefault="003B2F28" w:rsidP="003B2F28"/>
    <w:p w:rsidR="003B2F28" w:rsidRPr="003A5036" w:rsidRDefault="003B2F28" w:rsidP="003B2F28">
      <w:pPr>
        <w:numPr>
          <w:ilvl w:val="0"/>
          <w:numId w:val="35"/>
        </w:numPr>
        <w:spacing w:after="120"/>
      </w:pPr>
      <w:r w:rsidRPr="003A5036">
        <w:t>inappropriately delegate legislative powers; or</w:t>
      </w:r>
    </w:p>
    <w:p w:rsidR="003B2F28" w:rsidRPr="003A5036" w:rsidRDefault="003B2F28" w:rsidP="003B2F28">
      <w:pPr>
        <w:numPr>
          <w:ilvl w:val="0"/>
          <w:numId w:val="35"/>
        </w:numPr>
      </w:pPr>
      <w:proofErr w:type="gramStart"/>
      <w:r w:rsidRPr="003A5036">
        <w:t>insufficiently</w:t>
      </w:r>
      <w:proofErr w:type="gramEnd"/>
      <w:r w:rsidRPr="003A5036">
        <w:t xml:space="preserve"> subject the exercise of legislative power to parliamentary scrutiny.</w:t>
      </w:r>
    </w:p>
    <w:p w:rsidR="003B2F28" w:rsidRPr="003A5036" w:rsidRDefault="003B2F28" w:rsidP="003B2F28"/>
    <w:p w:rsidR="003B2F28" w:rsidRPr="003A5036" w:rsidRDefault="003B2F28" w:rsidP="003B2F28">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3B2F28" w:rsidRPr="003A5036" w:rsidRDefault="003B2F28" w:rsidP="003B2F28">
      <w:pPr>
        <w:rPr>
          <w:sz w:val="16"/>
          <w:szCs w:val="16"/>
        </w:rPr>
      </w:pPr>
    </w:p>
    <w:p w:rsidR="003B2F28" w:rsidRPr="003A5036" w:rsidRDefault="003B2F28" w:rsidP="003B2F28">
      <w:pPr>
        <w:rPr>
          <w:sz w:val="16"/>
          <w:szCs w:val="16"/>
        </w:rPr>
      </w:pPr>
    </w:p>
    <w:p w:rsidR="003B2F28" w:rsidRPr="006E3A4A" w:rsidRDefault="003B2F28" w:rsidP="003B2F28">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3B2F28" w:rsidRPr="003A5036" w:rsidRDefault="003B2F28" w:rsidP="003B2F28">
      <w:pPr>
        <w:rPr>
          <w:sz w:val="24"/>
          <w:szCs w:val="24"/>
        </w:rPr>
      </w:pPr>
    </w:p>
    <w:p w:rsidR="003B2F28" w:rsidRPr="00AD01A9" w:rsidRDefault="003B2F28" w:rsidP="003B2F28">
      <w:pPr>
        <w:spacing w:after="240"/>
        <w:ind w:left="720" w:hanging="720"/>
        <w:rPr>
          <w:b/>
          <w:szCs w:val="26"/>
        </w:rPr>
      </w:pPr>
      <w:r>
        <w:tab/>
        <w:t>Nil</w:t>
      </w:r>
    </w:p>
    <w:p w:rsidR="003B2F28" w:rsidRPr="003A5036" w:rsidRDefault="003B2F28" w:rsidP="003B2F28">
      <w:pPr>
        <w:ind w:left="720" w:hanging="720"/>
      </w:pPr>
    </w:p>
    <w:p w:rsidR="003B2F28" w:rsidRPr="003A5036" w:rsidRDefault="003B2F28" w:rsidP="003B2F28">
      <w:pPr>
        <w:rPr>
          <w:b/>
        </w:rPr>
      </w:pPr>
      <w:r w:rsidRPr="003A5036">
        <w:rPr>
          <w:b/>
        </w:rPr>
        <w:t>Other relevant appropriation clauses in bills</w:t>
      </w:r>
    </w:p>
    <w:p w:rsidR="003B2F28" w:rsidRDefault="003B2F28" w:rsidP="003B2F28"/>
    <w:p w:rsidR="003B2F28" w:rsidRDefault="003B2F28" w:rsidP="003B2F28">
      <w:r>
        <w:tab/>
        <w:t>Nil</w:t>
      </w:r>
    </w:p>
    <w:p w:rsidR="003B2F28" w:rsidRPr="00CD6314" w:rsidRDefault="003B2F28" w:rsidP="003B2F28"/>
    <w:p w:rsidR="007469BF" w:rsidRDefault="007469BF" w:rsidP="0076328C">
      <w:pPr>
        <w:spacing w:after="240" w:line="240" w:lineRule="auto"/>
      </w:pPr>
    </w:p>
    <w:sectPr w:rsidR="007469BF" w:rsidSect="003B2F28">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1843" w:header="720" w:footer="567"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3B072A" w:rsidP="00683454">
    <w:pPr>
      <w:pStyle w:val="Footer"/>
      <w:jc w:val="center"/>
    </w:pPr>
  </w:p>
  <w:p w:rsidR="00683454" w:rsidRDefault="003B072A" w:rsidP="00683454">
    <w:pPr>
      <w:pStyle w:val="Footer"/>
      <w:jc w:val="center"/>
    </w:pPr>
  </w:p>
  <w:p w:rsidR="00683454" w:rsidRDefault="003B072A" w:rsidP="00683454">
    <w:pPr>
      <w:pStyle w:val="Footer"/>
      <w:jc w:val="center"/>
    </w:pPr>
  </w:p>
  <w:p w:rsidR="00683454" w:rsidRDefault="003B072A" w:rsidP="00683454">
    <w:pPr>
      <w:pStyle w:val="Footer"/>
      <w:jc w:val="center"/>
    </w:pPr>
  </w:p>
  <w:p w:rsidR="00683454" w:rsidRDefault="003B072A" w:rsidP="00683454">
    <w:pPr>
      <w:pStyle w:val="Footer"/>
      <w:jc w:val="center"/>
    </w:pPr>
  </w:p>
  <w:p w:rsidR="00683454" w:rsidRPr="00A4061E" w:rsidRDefault="003B2F28"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sidR="003B072A">
      <w:rPr>
        <w:noProof/>
        <w:color w:val="FFFFFF" w:themeColor="background1"/>
      </w:rPr>
      <w:t>iv</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3B2F28">
    <w:pPr>
      <w:pStyle w:val="Footer"/>
      <w:jc w:val="center"/>
    </w:pPr>
    <w:r>
      <w:fldChar w:fldCharType="begin"/>
    </w:r>
    <w:r>
      <w:instrText xml:space="preserve"> PAGE   \* MERGEFORMAT </w:instrText>
    </w:r>
    <w:r>
      <w:fldChar w:fldCharType="separate"/>
    </w:r>
    <w:r w:rsidR="003B072A">
      <w:rPr>
        <w:noProof/>
      </w:rPr>
      <w:t>v</w:t>
    </w:r>
    <w:r>
      <w:rPr>
        <w:noProof/>
      </w:rPr>
      <w:fldChar w:fldCharType="end"/>
    </w:r>
  </w:p>
  <w:p w:rsidR="00683454" w:rsidRDefault="003B07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F28" w:rsidRDefault="003B2F28">
    <w:pPr>
      <w:pStyle w:val="Footer"/>
      <w:jc w:val="center"/>
    </w:pPr>
  </w:p>
  <w:p w:rsidR="003B2F28" w:rsidRDefault="003B2F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3B2F28">
        <w:pPr>
          <w:pStyle w:val="Footer"/>
        </w:pPr>
        <w:r>
          <w:fldChar w:fldCharType="begin"/>
        </w:r>
        <w:r>
          <w:instrText xml:space="preserve"> PAGE   \* MERGEFORMAT </w:instrText>
        </w:r>
        <w:r>
          <w:fldChar w:fldCharType="separate"/>
        </w:r>
        <w:r>
          <w:rPr>
            <w:noProof/>
          </w:rPr>
          <w:t>viii</w:t>
        </w:r>
        <w:r>
          <w:rPr>
            <w:noProof/>
          </w:rPr>
          <w:fldChar w:fldCharType="end"/>
        </w:r>
      </w:p>
    </w:sdtContent>
  </w:sdt>
  <w:p w:rsidR="00F74F86" w:rsidRPr="002C33EA" w:rsidRDefault="003B2F28" w:rsidP="00F74F86">
    <w:pPr>
      <w:pStyle w:val="Footer"/>
      <w:jc w:val="center"/>
    </w:pPr>
    <w:r>
      <w:rPr>
        <w:sz w:val="22"/>
      </w:rPr>
      <w:t>Any Senator who wishes to draw matters to the attention of the</w:t>
    </w:r>
  </w:p>
  <w:p w:rsidR="00F74F86" w:rsidRPr="002C33EA" w:rsidRDefault="003B2F28" w:rsidP="00F74F86">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3222"/>
      <w:docPartObj>
        <w:docPartGallery w:val="Page Numbers (Bottom of Page)"/>
        <w:docPartUnique/>
      </w:docPartObj>
    </w:sdtPr>
    <w:sdtEndPr>
      <w:rPr>
        <w:noProof/>
      </w:rPr>
    </w:sdtEndPr>
    <w:sdtContent>
      <w:p w:rsidR="0097310E" w:rsidRDefault="003B2F28">
        <w:pPr>
          <w:pStyle w:val="Footer"/>
          <w:jc w:val="right"/>
        </w:pPr>
        <w:r>
          <w:fldChar w:fldCharType="begin"/>
        </w:r>
        <w:r>
          <w:instrText xml:space="preserve"> PAGE   \* MERGEFORMAT </w:instrText>
        </w:r>
        <w:r>
          <w:fldChar w:fldCharType="separate"/>
        </w:r>
        <w:r w:rsidR="003B072A">
          <w:rPr>
            <w:noProof/>
          </w:rPr>
          <w:t>vii</w:t>
        </w:r>
        <w:r>
          <w:rPr>
            <w:noProof/>
          </w:rPr>
          <w:fldChar w:fldCharType="end"/>
        </w:r>
      </w:p>
    </w:sdtContent>
  </w:sdt>
  <w:p w:rsidR="0097310E" w:rsidRPr="002C33EA" w:rsidRDefault="003B2F28" w:rsidP="0097310E">
    <w:pPr>
      <w:pStyle w:val="Footer"/>
      <w:jc w:val="center"/>
    </w:pPr>
    <w:r>
      <w:rPr>
        <w:sz w:val="22"/>
      </w:rPr>
      <w:t>Any Senator who wishes to draw matters to the attention of the</w:t>
    </w:r>
  </w:p>
  <w:p w:rsidR="0087584F" w:rsidRPr="002C33EA" w:rsidRDefault="003B2F28" w:rsidP="0097310E">
    <w:pPr>
      <w:pStyle w:val="Footer"/>
      <w:tabs>
        <w:tab w:val="clear" w:pos="8306"/>
      </w:tabs>
      <w:jc w:val="center"/>
    </w:pPr>
    <w:r>
      <w:rPr>
        <w:sz w:val="22"/>
      </w:rPr>
      <w:t>Committee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854966"/>
      <w:docPartObj>
        <w:docPartGallery w:val="Page Numbers (Bottom of Page)"/>
        <w:docPartUnique/>
      </w:docPartObj>
    </w:sdtPr>
    <w:sdtEndPr>
      <w:rPr>
        <w:noProof/>
      </w:rPr>
    </w:sdtEndPr>
    <w:sdtContent>
      <w:p w:rsidR="00153534" w:rsidRDefault="003B2F28">
        <w:pPr>
          <w:pStyle w:val="Footer"/>
        </w:pPr>
        <w:r>
          <w:fldChar w:fldCharType="begin"/>
        </w:r>
        <w:r>
          <w:instrText xml:space="preserve"> PAGE   \* MERGEFORMAT </w:instrText>
        </w:r>
        <w:r>
          <w:fldChar w:fldCharType="separate"/>
        </w:r>
        <w:r w:rsidR="003B072A">
          <w:rPr>
            <w:noProof/>
          </w:rPr>
          <w:t>10</w:t>
        </w:r>
        <w:r>
          <w:rPr>
            <w:noProof/>
          </w:rPr>
          <w:fldChar w:fldCharType="end"/>
        </w:r>
      </w:p>
    </w:sdtContent>
  </w:sdt>
  <w:p w:rsidR="00153534" w:rsidRPr="002C33EA" w:rsidRDefault="003B2F28" w:rsidP="00F74F86">
    <w:pPr>
      <w:pStyle w:val="Footer"/>
      <w:jc w:val="center"/>
    </w:pPr>
    <w:r>
      <w:rPr>
        <w:sz w:val="22"/>
      </w:rPr>
      <w:t>Any Senator who wishes to draw matters to the attention of the</w:t>
    </w:r>
  </w:p>
  <w:p w:rsidR="00153534" w:rsidRPr="002C33EA" w:rsidRDefault="003B2F28" w:rsidP="00F74F86">
    <w:pPr>
      <w:pStyle w:val="Footer"/>
      <w:tabs>
        <w:tab w:val="clear" w:pos="8306"/>
      </w:tabs>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18605"/>
      <w:docPartObj>
        <w:docPartGallery w:val="Page Numbers (Bottom of Page)"/>
        <w:docPartUnique/>
      </w:docPartObj>
    </w:sdtPr>
    <w:sdtEndPr>
      <w:rPr>
        <w:noProof/>
      </w:rPr>
    </w:sdtEndPr>
    <w:sdtContent>
      <w:p w:rsidR="00153534" w:rsidRDefault="003B2F28">
        <w:pPr>
          <w:pStyle w:val="Footer"/>
          <w:jc w:val="right"/>
        </w:pPr>
        <w:r>
          <w:fldChar w:fldCharType="begin"/>
        </w:r>
        <w:r>
          <w:instrText xml:space="preserve"> PAGE   \* MERGEFORMAT </w:instrText>
        </w:r>
        <w:r>
          <w:fldChar w:fldCharType="separate"/>
        </w:r>
        <w:r w:rsidR="003B072A">
          <w:rPr>
            <w:noProof/>
          </w:rPr>
          <w:t>9</w:t>
        </w:r>
        <w:r>
          <w:rPr>
            <w:noProof/>
          </w:rPr>
          <w:fldChar w:fldCharType="end"/>
        </w:r>
      </w:p>
    </w:sdtContent>
  </w:sdt>
  <w:p w:rsidR="00153534" w:rsidRPr="002C33EA" w:rsidRDefault="003B2F28" w:rsidP="0097310E">
    <w:pPr>
      <w:pStyle w:val="Footer"/>
      <w:jc w:val="center"/>
    </w:pPr>
    <w:r>
      <w:rPr>
        <w:sz w:val="22"/>
      </w:rPr>
      <w:t>Any Senator who wishes to draw matters to the attention of the</w:t>
    </w:r>
  </w:p>
  <w:p w:rsidR="00153534" w:rsidRPr="002C33EA" w:rsidRDefault="003B2F28" w:rsidP="0097310E">
    <w:pPr>
      <w:pStyle w:val="Footer"/>
      <w:tabs>
        <w:tab w:val="clear" w:pos="8306"/>
      </w:tabs>
      <w:jc w:val="cente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4" w:rsidRDefault="003B0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4" w:rsidRDefault="003B2F28" w:rsidP="00C44E68">
    <w:pPr>
      <w:pStyle w:val="Header"/>
      <w:pBdr>
        <w:bottom w:val="single" w:sz="4" w:space="1" w:color="auto"/>
      </w:pBdr>
      <w:tabs>
        <w:tab w:val="clear" w:pos="8306"/>
        <w:tab w:val="right" w:pos="8222"/>
      </w:tabs>
      <w:rPr>
        <w:b/>
      </w:rPr>
    </w:pPr>
    <w:r>
      <w:rPr>
        <w:b/>
      </w:rPr>
      <w:tab/>
    </w:r>
    <w:r>
      <w:rPr>
        <w:b/>
      </w:rPr>
      <w:tab/>
      <w:t>Alert Digest 3/16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4" w:rsidRPr="002C33EA" w:rsidRDefault="003B2F28" w:rsidP="002C33EA">
    <w:pPr>
      <w:pStyle w:val="Header"/>
      <w:pBdr>
        <w:bottom w:val="single" w:sz="4" w:space="1" w:color="auto"/>
      </w:pBdr>
      <w:rPr>
        <w:b/>
      </w:rPr>
    </w:pPr>
    <w:r>
      <w:rPr>
        <w:b/>
      </w:rPr>
      <w:t>Alert Digest 3/16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534" w:rsidRDefault="003B0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4"/>
  </w:num>
  <w:num w:numId="3">
    <w:abstractNumId w:val="19"/>
  </w:num>
  <w:num w:numId="4">
    <w:abstractNumId w:val="21"/>
  </w:num>
  <w:num w:numId="5">
    <w:abstractNumId w:val="26"/>
  </w:num>
  <w:num w:numId="6">
    <w:abstractNumId w:val="1"/>
  </w:num>
  <w:num w:numId="7">
    <w:abstractNumId w:val="29"/>
  </w:num>
  <w:num w:numId="8">
    <w:abstractNumId w:val="15"/>
  </w:num>
  <w:num w:numId="9">
    <w:abstractNumId w:val="5"/>
  </w:num>
  <w:num w:numId="10">
    <w:abstractNumId w:val="6"/>
  </w:num>
  <w:num w:numId="11">
    <w:abstractNumId w:val="27"/>
  </w:num>
  <w:num w:numId="12">
    <w:abstractNumId w:val="3"/>
  </w:num>
  <w:num w:numId="13">
    <w:abstractNumId w:val="31"/>
  </w:num>
  <w:num w:numId="14">
    <w:abstractNumId w:val="28"/>
  </w:num>
  <w:num w:numId="15">
    <w:abstractNumId w:val="30"/>
  </w:num>
  <w:num w:numId="16">
    <w:abstractNumId w:val="4"/>
  </w:num>
  <w:num w:numId="17">
    <w:abstractNumId w:val="25"/>
  </w:num>
  <w:num w:numId="18">
    <w:abstractNumId w:val="12"/>
  </w:num>
  <w:num w:numId="19">
    <w:abstractNumId w:val="20"/>
  </w:num>
  <w:num w:numId="20">
    <w:abstractNumId w:val="17"/>
  </w:num>
  <w:num w:numId="21">
    <w:abstractNumId w:val="22"/>
  </w:num>
  <w:num w:numId="22">
    <w:abstractNumId w:val="11"/>
  </w:num>
  <w:num w:numId="23">
    <w:abstractNumId w:val="10"/>
  </w:num>
  <w:num w:numId="24">
    <w:abstractNumId w:val="13"/>
  </w:num>
  <w:num w:numId="25">
    <w:abstractNumId w:val="0"/>
  </w:num>
  <w:num w:numId="26">
    <w:abstractNumId w:val="32"/>
  </w:num>
  <w:num w:numId="27">
    <w:abstractNumId w:val="23"/>
  </w:num>
  <w:num w:numId="28">
    <w:abstractNumId w:val="2"/>
  </w:num>
  <w:num w:numId="29">
    <w:abstractNumId w:val="7"/>
  </w:num>
  <w:num w:numId="30">
    <w:abstractNumId w:val="12"/>
  </w:num>
  <w:num w:numId="31">
    <w:abstractNumId w:val="24"/>
  </w:num>
  <w:num w:numId="32">
    <w:abstractNumId w:val="12"/>
    <w:lvlOverride w:ilvl="0">
      <w:startOverride w:val="1"/>
    </w:lvlOverride>
  </w:num>
  <w:num w:numId="33">
    <w:abstractNumId w:val="18"/>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072A"/>
    <w:rsid w:val="003B2DB9"/>
    <w:rsid w:val="003B2F28"/>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66336"/>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2A"/>
    <w:pPr>
      <w:spacing w:line="264" w:lineRule="auto"/>
      <w:jc w:val="both"/>
    </w:pPr>
    <w:rPr>
      <w:sz w:val="26"/>
    </w:rPr>
  </w:style>
  <w:style w:type="character" w:default="1" w:styleId="DefaultParagraphFont">
    <w:name w:val="Default Paragraph Font"/>
    <w:uiPriority w:val="1"/>
    <w:semiHidden/>
    <w:unhideWhenUsed/>
    <w:rsid w:val="003B07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72A"/>
  </w:style>
  <w:style w:type="paragraph" w:styleId="EnvelopeAddress">
    <w:name w:val="envelope address"/>
    <w:basedOn w:val="Normal"/>
    <w:rsid w:val="003B072A"/>
    <w:pPr>
      <w:framePr w:w="7920" w:h="1980" w:hRule="exact" w:hSpace="180" w:wrap="auto" w:hAnchor="page" w:xAlign="center" w:yAlign="bottom"/>
      <w:ind w:left="2880"/>
    </w:pPr>
    <w:rPr>
      <w:rFonts w:ascii="Arial" w:hAnsi="Arial"/>
    </w:rPr>
  </w:style>
  <w:style w:type="paragraph" w:styleId="EnvelopeReturn">
    <w:name w:val="envelope return"/>
    <w:basedOn w:val="Normal"/>
    <w:rsid w:val="003B072A"/>
    <w:rPr>
      <w:rFonts w:ascii="Arial" w:hAnsi="Arial"/>
      <w:sz w:val="20"/>
    </w:rPr>
  </w:style>
  <w:style w:type="paragraph" w:styleId="Header">
    <w:name w:val="header"/>
    <w:basedOn w:val="Normal"/>
    <w:link w:val="HeaderChar"/>
    <w:rsid w:val="003B072A"/>
    <w:pPr>
      <w:tabs>
        <w:tab w:val="center" w:pos="4153"/>
        <w:tab w:val="right" w:pos="8306"/>
      </w:tabs>
    </w:pPr>
  </w:style>
  <w:style w:type="paragraph" w:customStyle="1" w:styleId="I1">
    <w:name w:val="I1"/>
    <w:basedOn w:val="Normal"/>
    <w:rsid w:val="003B072A"/>
    <w:pPr>
      <w:ind w:left="567" w:right="709"/>
    </w:pPr>
    <w:rPr>
      <w:sz w:val="22"/>
    </w:rPr>
  </w:style>
  <w:style w:type="paragraph" w:customStyle="1" w:styleId="I2">
    <w:name w:val="I2"/>
    <w:basedOn w:val="Normal"/>
    <w:rsid w:val="003B072A"/>
    <w:pPr>
      <w:ind w:left="851" w:right="1134"/>
    </w:pPr>
    <w:rPr>
      <w:sz w:val="22"/>
    </w:rPr>
  </w:style>
  <w:style w:type="paragraph" w:customStyle="1" w:styleId="H1">
    <w:name w:val="H1"/>
    <w:basedOn w:val="Normal"/>
    <w:link w:val="H1Char"/>
    <w:rsid w:val="003B072A"/>
    <w:pPr>
      <w:spacing w:after="480"/>
    </w:pPr>
    <w:rPr>
      <w:b/>
      <w:sz w:val="36"/>
    </w:rPr>
  </w:style>
  <w:style w:type="paragraph" w:customStyle="1" w:styleId="H2">
    <w:name w:val="H2"/>
    <w:basedOn w:val="Normal"/>
    <w:link w:val="H2Char"/>
    <w:rsid w:val="003B072A"/>
    <w:rPr>
      <w:b/>
      <w:sz w:val="28"/>
    </w:rPr>
  </w:style>
  <w:style w:type="paragraph" w:customStyle="1" w:styleId="B1">
    <w:name w:val="B1"/>
    <w:basedOn w:val="Normal"/>
    <w:link w:val="B1Char"/>
    <w:rsid w:val="003B072A"/>
    <w:pPr>
      <w:numPr>
        <w:numId w:val="32"/>
      </w:numPr>
      <w:spacing w:after="240"/>
    </w:pPr>
  </w:style>
  <w:style w:type="paragraph" w:customStyle="1" w:styleId="B2">
    <w:name w:val="B2"/>
    <w:basedOn w:val="Normal"/>
    <w:rsid w:val="003B072A"/>
    <w:pPr>
      <w:numPr>
        <w:numId w:val="25"/>
      </w:numPr>
      <w:tabs>
        <w:tab w:val="left" w:pos="992"/>
      </w:tabs>
      <w:spacing w:after="240"/>
      <w:ind w:left="1020"/>
    </w:pPr>
  </w:style>
  <w:style w:type="paragraph" w:styleId="Footer">
    <w:name w:val="footer"/>
    <w:basedOn w:val="Normal"/>
    <w:link w:val="FooterChar"/>
    <w:rsid w:val="003B072A"/>
    <w:pPr>
      <w:tabs>
        <w:tab w:val="center" w:pos="4153"/>
        <w:tab w:val="right" w:pos="8306"/>
      </w:tabs>
    </w:pPr>
  </w:style>
  <w:style w:type="character" w:styleId="PageNumber">
    <w:name w:val="page number"/>
    <w:basedOn w:val="DefaultParagraphFont"/>
    <w:rsid w:val="003B072A"/>
  </w:style>
  <w:style w:type="character" w:customStyle="1" w:styleId="B1Char">
    <w:name w:val="B1 Char"/>
    <w:basedOn w:val="DefaultParagraphFont"/>
    <w:link w:val="B1"/>
    <w:rsid w:val="003B072A"/>
    <w:rPr>
      <w:sz w:val="26"/>
    </w:rPr>
  </w:style>
  <w:style w:type="paragraph" w:customStyle="1" w:styleId="TOCNormal">
    <w:name w:val="TOCNormal"/>
    <w:basedOn w:val="Normal"/>
    <w:rsid w:val="003B072A"/>
    <w:pPr>
      <w:spacing w:before="120" w:after="120"/>
      <w:ind w:left="510"/>
      <w:jc w:val="left"/>
    </w:pPr>
  </w:style>
  <w:style w:type="paragraph" w:customStyle="1" w:styleId="TOCBullet">
    <w:name w:val="TOCBullet"/>
    <w:basedOn w:val="TOC1"/>
    <w:rsid w:val="003B072A"/>
    <w:pPr>
      <w:numPr>
        <w:numId w:val="34"/>
      </w:numPr>
      <w:ind w:left="504" w:hanging="504"/>
    </w:pPr>
  </w:style>
  <w:style w:type="paragraph" w:customStyle="1" w:styleId="Bull">
    <w:name w:val="Bull"/>
    <w:basedOn w:val="Normal"/>
    <w:rsid w:val="003B072A"/>
    <w:pPr>
      <w:numPr>
        <w:numId w:val="27"/>
      </w:numPr>
    </w:pPr>
  </w:style>
  <w:style w:type="paragraph" w:customStyle="1" w:styleId="Bull1">
    <w:name w:val="Bull1"/>
    <w:basedOn w:val="Normal"/>
    <w:rsid w:val="003B072A"/>
    <w:pPr>
      <w:numPr>
        <w:numId w:val="29"/>
      </w:numPr>
      <w:ind w:right="397"/>
    </w:pPr>
  </w:style>
  <w:style w:type="paragraph" w:customStyle="1" w:styleId="TableTextBill">
    <w:name w:val="Table Text Bill"/>
    <w:link w:val="TableTextBillChar"/>
    <w:qFormat/>
    <w:rsid w:val="003B072A"/>
    <w:rPr>
      <w:b/>
      <w:sz w:val="22"/>
      <w:szCs w:val="22"/>
    </w:rPr>
  </w:style>
  <w:style w:type="paragraph" w:customStyle="1" w:styleId="TableText">
    <w:name w:val="Table Text"/>
    <w:next w:val="TableTextBill"/>
    <w:link w:val="TableTextChar"/>
    <w:qFormat/>
    <w:rsid w:val="003B072A"/>
    <w:rPr>
      <w:sz w:val="22"/>
      <w:szCs w:val="22"/>
    </w:rPr>
  </w:style>
  <w:style w:type="character" w:customStyle="1" w:styleId="TableTextBillChar">
    <w:name w:val="Table Text Bill Char"/>
    <w:basedOn w:val="B1Char"/>
    <w:link w:val="TableTextBill"/>
    <w:rsid w:val="003B072A"/>
    <w:rPr>
      <w:b/>
      <w:sz w:val="22"/>
      <w:szCs w:val="22"/>
    </w:rPr>
  </w:style>
  <w:style w:type="paragraph" w:styleId="TOC1">
    <w:name w:val="toc 1"/>
    <w:basedOn w:val="TOCNormal"/>
    <w:next w:val="Normal"/>
    <w:autoRedefine/>
    <w:uiPriority w:val="39"/>
    <w:unhideWhenUsed/>
    <w:rsid w:val="003B072A"/>
    <w:pPr>
      <w:tabs>
        <w:tab w:val="left" w:pos="7655"/>
        <w:tab w:val="right" w:pos="8182"/>
      </w:tabs>
      <w:ind w:right="1813"/>
    </w:pPr>
    <w:rPr>
      <w:noProof/>
    </w:rPr>
  </w:style>
  <w:style w:type="character" w:customStyle="1" w:styleId="TableTextChar">
    <w:name w:val="Table Text Char"/>
    <w:basedOn w:val="TableTextBillChar"/>
    <w:link w:val="TableText"/>
    <w:rsid w:val="003B072A"/>
    <w:rPr>
      <w:b w:val="0"/>
      <w:sz w:val="22"/>
      <w:szCs w:val="22"/>
    </w:rPr>
  </w:style>
  <w:style w:type="character" w:customStyle="1" w:styleId="FooterChar">
    <w:name w:val="Footer Char"/>
    <w:basedOn w:val="DefaultParagraphFont"/>
    <w:link w:val="Footer"/>
    <w:rsid w:val="003B2F28"/>
    <w:rPr>
      <w:sz w:val="26"/>
    </w:rPr>
  </w:style>
  <w:style w:type="table" w:styleId="TableGrid">
    <w:name w:val="Table Grid"/>
    <w:basedOn w:val="TableNormal"/>
    <w:uiPriority w:val="59"/>
    <w:rsid w:val="003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B2F28"/>
    <w:pPr>
      <w:tabs>
        <w:tab w:val="right" w:pos="8182"/>
        <w:tab w:val="right" w:pos="8222"/>
      </w:tabs>
      <w:spacing w:before="240" w:after="240"/>
      <w:ind w:left="567" w:right="964"/>
    </w:pPr>
  </w:style>
  <w:style w:type="character" w:customStyle="1" w:styleId="H2Char">
    <w:name w:val="H2 Char"/>
    <w:basedOn w:val="DefaultParagraphFont"/>
    <w:link w:val="H2"/>
    <w:rsid w:val="003B2F28"/>
    <w:rPr>
      <w:b/>
      <w:sz w:val="28"/>
    </w:rPr>
  </w:style>
  <w:style w:type="character" w:customStyle="1" w:styleId="HeaderChar">
    <w:name w:val="Header Char"/>
    <w:basedOn w:val="DefaultParagraphFont"/>
    <w:link w:val="Header"/>
    <w:rsid w:val="003B2F28"/>
    <w:rPr>
      <w:sz w:val="26"/>
    </w:rPr>
  </w:style>
  <w:style w:type="paragraph" w:customStyle="1" w:styleId="H21">
    <w:name w:val="H21"/>
    <w:basedOn w:val="Normal"/>
    <w:rsid w:val="003B2F28"/>
    <w:rPr>
      <w:b/>
      <w:sz w:val="28"/>
    </w:rPr>
  </w:style>
  <w:style w:type="paragraph" w:customStyle="1" w:styleId="H11">
    <w:name w:val="H11"/>
    <w:basedOn w:val="Normal"/>
    <w:next w:val="Normal"/>
    <w:qFormat/>
    <w:rsid w:val="003B2F28"/>
    <w:pPr>
      <w:spacing w:after="240"/>
    </w:pPr>
    <w:rPr>
      <w:b/>
      <w:sz w:val="36"/>
    </w:rPr>
  </w:style>
  <w:style w:type="paragraph" w:customStyle="1" w:styleId="H12">
    <w:name w:val="H12"/>
    <w:basedOn w:val="Normal"/>
    <w:next w:val="Normal"/>
    <w:qFormat/>
    <w:rsid w:val="003B2F28"/>
    <w:pPr>
      <w:spacing w:after="240"/>
    </w:pPr>
    <w:rPr>
      <w:b/>
      <w:sz w:val="36"/>
    </w:rPr>
  </w:style>
  <w:style w:type="paragraph" w:customStyle="1" w:styleId="H22">
    <w:name w:val="H22"/>
    <w:basedOn w:val="Normal"/>
    <w:rsid w:val="003B2F28"/>
    <w:rPr>
      <w:b/>
      <w:sz w:val="28"/>
    </w:rPr>
  </w:style>
  <w:style w:type="paragraph" w:customStyle="1" w:styleId="H13">
    <w:name w:val="H13"/>
    <w:basedOn w:val="Normal"/>
    <w:next w:val="Normal"/>
    <w:link w:val="H1Char1"/>
    <w:qFormat/>
    <w:rsid w:val="003B2F28"/>
    <w:pPr>
      <w:spacing w:after="240"/>
    </w:pPr>
    <w:rPr>
      <w:b/>
      <w:sz w:val="36"/>
    </w:rPr>
  </w:style>
  <w:style w:type="paragraph" w:customStyle="1" w:styleId="H211">
    <w:name w:val="H211"/>
    <w:basedOn w:val="Normal"/>
    <w:rsid w:val="003B2F28"/>
    <w:rPr>
      <w:b/>
      <w:sz w:val="28"/>
    </w:rPr>
  </w:style>
  <w:style w:type="character" w:customStyle="1" w:styleId="H1Char1">
    <w:name w:val="H1 Char1"/>
    <w:basedOn w:val="DefaultParagraphFont"/>
    <w:link w:val="H13"/>
    <w:rsid w:val="003B2F28"/>
    <w:rPr>
      <w:b/>
      <w:sz w:val="36"/>
    </w:rPr>
  </w:style>
  <w:style w:type="paragraph" w:customStyle="1" w:styleId="H131">
    <w:name w:val="H131"/>
    <w:basedOn w:val="Normal"/>
    <w:next w:val="Normal"/>
    <w:rsid w:val="003B2F28"/>
    <w:pPr>
      <w:spacing w:after="240"/>
    </w:pPr>
    <w:rPr>
      <w:b/>
      <w:sz w:val="36"/>
    </w:rPr>
  </w:style>
  <w:style w:type="paragraph" w:customStyle="1" w:styleId="H23">
    <w:name w:val="H23"/>
    <w:basedOn w:val="Normal"/>
    <w:rsid w:val="003B2F28"/>
    <w:rPr>
      <w:b/>
      <w:sz w:val="28"/>
    </w:rPr>
  </w:style>
  <w:style w:type="paragraph" w:customStyle="1" w:styleId="H14">
    <w:name w:val="H14"/>
    <w:basedOn w:val="Normal"/>
    <w:next w:val="Normal"/>
    <w:rsid w:val="003B2F28"/>
    <w:pPr>
      <w:spacing w:after="240"/>
    </w:pPr>
    <w:rPr>
      <w:b/>
      <w:sz w:val="36"/>
    </w:rPr>
  </w:style>
  <w:style w:type="paragraph" w:customStyle="1" w:styleId="H24">
    <w:name w:val="H24"/>
    <w:basedOn w:val="Normal"/>
    <w:rsid w:val="003B2F28"/>
    <w:rPr>
      <w:b/>
      <w:sz w:val="28"/>
    </w:rPr>
  </w:style>
  <w:style w:type="paragraph" w:customStyle="1" w:styleId="H212">
    <w:name w:val="H212"/>
    <w:basedOn w:val="Normal"/>
    <w:rsid w:val="003B2F28"/>
    <w:rPr>
      <w:b/>
      <w:sz w:val="28"/>
    </w:rPr>
  </w:style>
  <w:style w:type="character" w:customStyle="1" w:styleId="H1Char">
    <w:name w:val="H1 Char"/>
    <w:basedOn w:val="DefaultParagraphFont"/>
    <w:link w:val="H1"/>
    <w:rsid w:val="003B2F28"/>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2A"/>
    <w:pPr>
      <w:spacing w:line="264" w:lineRule="auto"/>
      <w:jc w:val="both"/>
    </w:pPr>
    <w:rPr>
      <w:sz w:val="26"/>
    </w:rPr>
  </w:style>
  <w:style w:type="character" w:default="1" w:styleId="DefaultParagraphFont">
    <w:name w:val="Default Paragraph Font"/>
    <w:uiPriority w:val="1"/>
    <w:semiHidden/>
    <w:unhideWhenUsed/>
    <w:rsid w:val="003B07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072A"/>
  </w:style>
  <w:style w:type="paragraph" w:styleId="EnvelopeAddress">
    <w:name w:val="envelope address"/>
    <w:basedOn w:val="Normal"/>
    <w:rsid w:val="003B072A"/>
    <w:pPr>
      <w:framePr w:w="7920" w:h="1980" w:hRule="exact" w:hSpace="180" w:wrap="auto" w:hAnchor="page" w:xAlign="center" w:yAlign="bottom"/>
      <w:ind w:left="2880"/>
    </w:pPr>
    <w:rPr>
      <w:rFonts w:ascii="Arial" w:hAnsi="Arial"/>
    </w:rPr>
  </w:style>
  <w:style w:type="paragraph" w:styleId="EnvelopeReturn">
    <w:name w:val="envelope return"/>
    <w:basedOn w:val="Normal"/>
    <w:rsid w:val="003B072A"/>
    <w:rPr>
      <w:rFonts w:ascii="Arial" w:hAnsi="Arial"/>
      <w:sz w:val="20"/>
    </w:rPr>
  </w:style>
  <w:style w:type="paragraph" w:styleId="Header">
    <w:name w:val="header"/>
    <w:basedOn w:val="Normal"/>
    <w:link w:val="HeaderChar"/>
    <w:rsid w:val="003B072A"/>
    <w:pPr>
      <w:tabs>
        <w:tab w:val="center" w:pos="4153"/>
        <w:tab w:val="right" w:pos="8306"/>
      </w:tabs>
    </w:pPr>
  </w:style>
  <w:style w:type="paragraph" w:customStyle="1" w:styleId="I1">
    <w:name w:val="I1"/>
    <w:basedOn w:val="Normal"/>
    <w:rsid w:val="003B072A"/>
    <w:pPr>
      <w:ind w:left="567" w:right="709"/>
    </w:pPr>
    <w:rPr>
      <w:sz w:val="22"/>
    </w:rPr>
  </w:style>
  <w:style w:type="paragraph" w:customStyle="1" w:styleId="I2">
    <w:name w:val="I2"/>
    <w:basedOn w:val="Normal"/>
    <w:rsid w:val="003B072A"/>
    <w:pPr>
      <w:ind w:left="851" w:right="1134"/>
    </w:pPr>
    <w:rPr>
      <w:sz w:val="22"/>
    </w:rPr>
  </w:style>
  <w:style w:type="paragraph" w:customStyle="1" w:styleId="H1">
    <w:name w:val="H1"/>
    <w:basedOn w:val="Normal"/>
    <w:link w:val="H1Char"/>
    <w:rsid w:val="003B072A"/>
    <w:pPr>
      <w:spacing w:after="480"/>
    </w:pPr>
    <w:rPr>
      <w:b/>
      <w:sz w:val="36"/>
    </w:rPr>
  </w:style>
  <w:style w:type="paragraph" w:customStyle="1" w:styleId="H2">
    <w:name w:val="H2"/>
    <w:basedOn w:val="Normal"/>
    <w:link w:val="H2Char"/>
    <w:rsid w:val="003B072A"/>
    <w:rPr>
      <w:b/>
      <w:sz w:val="28"/>
    </w:rPr>
  </w:style>
  <w:style w:type="paragraph" w:customStyle="1" w:styleId="B1">
    <w:name w:val="B1"/>
    <w:basedOn w:val="Normal"/>
    <w:link w:val="B1Char"/>
    <w:rsid w:val="003B072A"/>
    <w:pPr>
      <w:numPr>
        <w:numId w:val="32"/>
      </w:numPr>
      <w:spacing w:after="240"/>
    </w:pPr>
  </w:style>
  <w:style w:type="paragraph" w:customStyle="1" w:styleId="B2">
    <w:name w:val="B2"/>
    <w:basedOn w:val="Normal"/>
    <w:rsid w:val="003B072A"/>
    <w:pPr>
      <w:numPr>
        <w:numId w:val="25"/>
      </w:numPr>
      <w:tabs>
        <w:tab w:val="left" w:pos="992"/>
      </w:tabs>
      <w:spacing w:after="240"/>
      <w:ind w:left="1020"/>
    </w:pPr>
  </w:style>
  <w:style w:type="paragraph" w:styleId="Footer">
    <w:name w:val="footer"/>
    <w:basedOn w:val="Normal"/>
    <w:link w:val="FooterChar"/>
    <w:rsid w:val="003B072A"/>
    <w:pPr>
      <w:tabs>
        <w:tab w:val="center" w:pos="4153"/>
        <w:tab w:val="right" w:pos="8306"/>
      </w:tabs>
    </w:pPr>
  </w:style>
  <w:style w:type="character" w:styleId="PageNumber">
    <w:name w:val="page number"/>
    <w:basedOn w:val="DefaultParagraphFont"/>
    <w:rsid w:val="003B072A"/>
  </w:style>
  <w:style w:type="character" w:customStyle="1" w:styleId="B1Char">
    <w:name w:val="B1 Char"/>
    <w:basedOn w:val="DefaultParagraphFont"/>
    <w:link w:val="B1"/>
    <w:rsid w:val="003B072A"/>
    <w:rPr>
      <w:sz w:val="26"/>
    </w:rPr>
  </w:style>
  <w:style w:type="paragraph" w:customStyle="1" w:styleId="TOCNormal">
    <w:name w:val="TOCNormal"/>
    <w:basedOn w:val="Normal"/>
    <w:rsid w:val="003B072A"/>
    <w:pPr>
      <w:spacing w:before="120" w:after="120"/>
      <w:ind w:left="510"/>
      <w:jc w:val="left"/>
    </w:pPr>
  </w:style>
  <w:style w:type="paragraph" w:customStyle="1" w:styleId="TOCBullet">
    <w:name w:val="TOCBullet"/>
    <w:basedOn w:val="TOC1"/>
    <w:rsid w:val="003B072A"/>
    <w:pPr>
      <w:numPr>
        <w:numId w:val="34"/>
      </w:numPr>
      <w:ind w:left="504" w:hanging="504"/>
    </w:pPr>
  </w:style>
  <w:style w:type="paragraph" w:customStyle="1" w:styleId="Bull">
    <w:name w:val="Bull"/>
    <w:basedOn w:val="Normal"/>
    <w:rsid w:val="003B072A"/>
    <w:pPr>
      <w:numPr>
        <w:numId w:val="27"/>
      </w:numPr>
    </w:pPr>
  </w:style>
  <w:style w:type="paragraph" w:customStyle="1" w:styleId="Bull1">
    <w:name w:val="Bull1"/>
    <w:basedOn w:val="Normal"/>
    <w:rsid w:val="003B072A"/>
    <w:pPr>
      <w:numPr>
        <w:numId w:val="29"/>
      </w:numPr>
      <w:ind w:right="397"/>
    </w:pPr>
  </w:style>
  <w:style w:type="paragraph" w:customStyle="1" w:styleId="TableTextBill">
    <w:name w:val="Table Text Bill"/>
    <w:link w:val="TableTextBillChar"/>
    <w:qFormat/>
    <w:rsid w:val="003B072A"/>
    <w:rPr>
      <w:b/>
      <w:sz w:val="22"/>
      <w:szCs w:val="22"/>
    </w:rPr>
  </w:style>
  <w:style w:type="paragraph" w:customStyle="1" w:styleId="TableText">
    <w:name w:val="Table Text"/>
    <w:next w:val="TableTextBill"/>
    <w:link w:val="TableTextChar"/>
    <w:qFormat/>
    <w:rsid w:val="003B072A"/>
    <w:rPr>
      <w:sz w:val="22"/>
      <w:szCs w:val="22"/>
    </w:rPr>
  </w:style>
  <w:style w:type="character" w:customStyle="1" w:styleId="TableTextBillChar">
    <w:name w:val="Table Text Bill Char"/>
    <w:basedOn w:val="B1Char"/>
    <w:link w:val="TableTextBill"/>
    <w:rsid w:val="003B072A"/>
    <w:rPr>
      <w:b/>
      <w:sz w:val="22"/>
      <w:szCs w:val="22"/>
    </w:rPr>
  </w:style>
  <w:style w:type="paragraph" w:styleId="TOC1">
    <w:name w:val="toc 1"/>
    <w:basedOn w:val="TOCNormal"/>
    <w:next w:val="Normal"/>
    <w:autoRedefine/>
    <w:uiPriority w:val="39"/>
    <w:unhideWhenUsed/>
    <w:rsid w:val="003B072A"/>
    <w:pPr>
      <w:tabs>
        <w:tab w:val="left" w:pos="7655"/>
        <w:tab w:val="right" w:pos="8182"/>
      </w:tabs>
      <w:ind w:right="1813"/>
    </w:pPr>
    <w:rPr>
      <w:noProof/>
    </w:rPr>
  </w:style>
  <w:style w:type="character" w:customStyle="1" w:styleId="TableTextChar">
    <w:name w:val="Table Text Char"/>
    <w:basedOn w:val="TableTextBillChar"/>
    <w:link w:val="TableText"/>
    <w:rsid w:val="003B072A"/>
    <w:rPr>
      <w:b w:val="0"/>
      <w:sz w:val="22"/>
      <w:szCs w:val="22"/>
    </w:rPr>
  </w:style>
  <w:style w:type="character" w:customStyle="1" w:styleId="FooterChar">
    <w:name w:val="Footer Char"/>
    <w:basedOn w:val="DefaultParagraphFont"/>
    <w:link w:val="Footer"/>
    <w:rsid w:val="003B2F28"/>
    <w:rPr>
      <w:sz w:val="26"/>
    </w:rPr>
  </w:style>
  <w:style w:type="table" w:styleId="TableGrid">
    <w:name w:val="Table Grid"/>
    <w:basedOn w:val="TableNormal"/>
    <w:uiPriority w:val="59"/>
    <w:rsid w:val="003B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B2F28"/>
    <w:pPr>
      <w:tabs>
        <w:tab w:val="right" w:pos="8182"/>
        <w:tab w:val="right" w:pos="8222"/>
      </w:tabs>
      <w:spacing w:before="240" w:after="240"/>
      <w:ind w:left="567" w:right="964"/>
    </w:pPr>
  </w:style>
  <w:style w:type="character" w:customStyle="1" w:styleId="H2Char">
    <w:name w:val="H2 Char"/>
    <w:basedOn w:val="DefaultParagraphFont"/>
    <w:link w:val="H2"/>
    <w:rsid w:val="003B2F28"/>
    <w:rPr>
      <w:b/>
      <w:sz w:val="28"/>
    </w:rPr>
  </w:style>
  <w:style w:type="character" w:customStyle="1" w:styleId="HeaderChar">
    <w:name w:val="Header Char"/>
    <w:basedOn w:val="DefaultParagraphFont"/>
    <w:link w:val="Header"/>
    <w:rsid w:val="003B2F28"/>
    <w:rPr>
      <w:sz w:val="26"/>
    </w:rPr>
  </w:style>
  <w:style w:type="paragraph" w:customStyle="1" w:styleId="H21">
    <w:name w:val="H21"/>
    <w:basedOn w:val="Normal"/>
    <w:rsid w:val="003B2F28"/>
    <w:rPr>
      <w:b/>
      <w:sz w:val="28"/>
    </w:rPr>
  </w:style>
  <w:style w:type="paragraph" w:customStyle="1" w:styleId="H11">
    <w:name w:val="H11"/>
    <w:basedOn w:val="Normal"/>
    <w:next w:val="Normal"/>
    <w:qFormat/>
    <w:rsid w:val="003B2F28"/>
    <w:pPr>
      <w:spacing w:after="240"/>
    </w:pPr>
    <w:rPr>
      <w:b/>
      <w:sz w:val="36"/>
    </w:rPr>
  </w:style>
  <w:style w:type="paragraph" w:customStyle="1" w:styleId="H12">
    <w:name w:val="H12"/>
    <w:basedOn w:val="Normal"/>
    <w:next w:val="Normal"/>
    <w:qFormat/>
    <w:rsid w:val="003B2F28"/>
    <w:pPr>
      <w:spacing w:after="240"/>
    </w:pPr>
    <w:rPr>
      <w:b/>
      <w:sz w:val="36"/>
    </w:rPr>
  </w:style>
  <w:style w:type="paragraph" w:customStyle="1" w:styleId="H22">
    <w:name w:val="H22"/>
    <w:basedOn w:val="Normal"/>
    <w:rsid w:val="003B2F28"/>
    <w:rPr>
      <w:b/>
      <w:sz w:val="28"/>
    </w:rPr>
  </w:style>
  <w:style w:type="paragraph" w:customStyle="1" w:styleId="H13">
    <w:name w:val="H13"/>
    <w:basedOn w:val="Normal"/>
    <w:next w:val="Normal"/>
    <w:link w:val="H1Char1"/>
    <w:qFormat/>
    <w:rsid w:val="003B2F28"/>
    <w:pPr>
      <w:spacing w:after="240"/>
    </w:pPr>
    <w:rPr>
      <w:b/>
      <w:sz w:val="36"/>
    </w:rPr>
  </w:style>
  <w:style w:type="paragraph" w:customStyle="1" w:styleId="H211">
    <w:name w:val="H211"/>
    <w:basedOn w:val="Normal"/>
    <w:rsid w:val="003B2F28"/>
    <w:rPr>
      <w:b/>
      <w:sz w:val="28"/>
    </w:rPr>
  </w:style>
  <w:style w:type="character" w:customStyle="1" w:styleId="H1Char1">
    <w:name w:val="H1 Char1"/>
    <w:basedOn w:val="DefaultParagraphFont"/>
    <w:link w:val="H13"/>
    <w:rsid w:val="003B2F28"/>
    <w:rPr>
      <w:b/>
      <w:sz w:val="36"/>
    </w:rPr>
  </w:style>
  <w:style w:type="paragraph" w:customStyle="1" w:styleId="H131">
    <w:name w:val="H131"/>
    <w:basedOn w:val="Normal"/>
    <w:next w:val="Normal"/>
    <w:rsid w:val="003B2F28"/>
    <w:pPr>
      <w:spacing w:after="240"/>
    </w:pPr>
    <w:rPr>
      <w:b/>
      <w:sz w:val="36"/>
    </w:rPr>
  </w:style>
  <w:style w:type="paragraph" w:customStyle="1" w:styleId="H23">
    <w:name w:val="H23"/>
    <w:basedOn w:val="Normal"/>
    <w:rsid w:val="003B2F28"/>
    <w:rPr>
      <w:b/>
      <w:sz w:val="28"/>
    </w:rPr>
  </w:style>
  <w:style w:type="paragraph" w:customStyle="1" w:styleId="H14">
    <w:name w:val="H14"/>
    <w:basedOn w:val="Normal"/>
    <w:next w:val="Normal"/>
    <w:rsid w:val="003B2F28"/>
    <w:pPr>
      <w:spacing w:after="240"/>
    </w:pPr>
    <w:rPr>
      <w:b/>
      <w:sz w:val="36"/>
    </w:rPr>
  </w:style>
  <w:style w:type="paragraph" w:customStyle="1" w:styleId="H24">
    <w:name w:val="H24"/>
    <w:basedOn w:val="Normal"/>
    <w:rsid w:val="003B2F28"/>
    <w:rPr>
      <w:b/>
      <w:sz w:val="28"/>
    </w:rPr>
  </w:style>
  <w:style w:type="paragraph" w:customStyle="1" w:styleId="H212">
    <w:name w:val="H212"/>
    <w:basedOn w:val="Normal"/>
    <w:rsid w:val="003B2F28"/>
    <w:rPr>
      <w:b/>
      <w:sz w:val="28"/>
    </w:rPr>
  </w:style>
  <w:style w:type="character" w:customStyle="1" w:styleId="H1Char">
    <w:name w:val="H1 Char"/>
    <w:basedOn w:val="DefaultParagraphFont"/>
    <w:link w:val="H1"/>
    <w:rsid w:val="003B2F28"/>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24</Pages>
  <Words>2387</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16152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2016-03-02T04:31:00Z</dcterms:created>
  <dcterms:modified xsi:type="dcterms:W3CDTF">2016-03-02T04:31:00Z</dcterms:modified>
</cp:coreProperties>
</file>