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2"/>
        <w:gridCol w:w="1017"/>
      </w:tblGrid>
      <w:tr w:rsidR="004B44B4" w:rsidRPr="007D74DE" w:rsidTr="00DA5903">
        <w:trPr>
          <w:trHeight w:val="324"/>
        </w:trPr>
        <w:tc>
          <w:tcPr>
            <w:tcW w:w="11169" w:type="dxa"/>
            <w:gridSpan w:val="2"/>
            <w:vAlign w:val="center"/>
          </w:tcPr>
          <w:p w:rsidR="00FA6235" w:rsidRPr="00322126" w:rsidRDefault="00FA6235" w:rsidP="00390164">
            <w:pPr>
              <w:spacing w:line="150" w:lineRule="atLeast"/>
              <w:jc w:val="center"/>
              <w:rPr>
                <w:rFonts w:asciiTheme="minorHAnsi" w:hAnsiTheme="minorHAnsi"/>
                <w:b/>
                <w:color w:val="0000FF"/>
                <w:szCs w:val="22"/>
              </w:rPr>
            </w:pPr>
            <w:r w:rsidRPr="00322126">
              <w:rPr>
                <w:rFonts w:asciiTheme="minorHAnsi" w:hAnsiTheme="minorHAnsi"/>
                <w:i/>
                <w:szCs w:val="22"/>
              </w:rPr>
              <w:t>To ensure accuracy</w:t>
            </w:r>
            <w:r w:rsidR="004B44B4" w:rsidRPr="00322126">
              <w:rPr>
                <w:rFonts w:asciiTheme="minorHAnsi" w:hAnsiTheme="minorHAnsi"/>
                <w:i/>
                <w:szCs w:val="22"/>
              </w:rPr>
              <w:t>, please PRINT all information.</w:t>
            </w:r>
            <w:r w:rsidR="00390164" w:rsidRPr="00322126">
              <w:rPr>
                <w:rFonts w:asciiTheme="minorHAnsi" w:hAnsiTheme="minorHAnsi"/>
                <w:i/>
                <w:szCs w:val="22"/>
              </w:rPr>
              <w:t xml:space="preserve"> Y</w:t>
            </w:r>
            <w:r w:rsidRPr="00322126">
              <w:rPr>
                <w:rFonts w:asciiTheme="minorHAnsi" w:hAnsiTheme="minorHAnsi"/>
                <w:i/>
                <w:szCs w:val="22"/>
              </w:rPr>
              <w:t xml:space="preserve">our personal contact details will </w:t>
            </w:r>
            <w:r w:rsidRPr="00322126">
              <w:rPr>
                <w:rFonts w:asciiTheme="minorHAnsi" w:hAnsiTheme="minorHAnsi"/>
                <w:b/>
                <w:i/>
                <w:szCs w:val="22"/>
                <w:u w:val="single"/>
              </w:rPr>
              <w:t>not</w:t>
            </w:r>
            <w:r w:rsidRPr="00322126">
              <w:rPr>
                <w:rFonts w:asciiTheme="minorHAnsi" w:hAnsiTheme="minorHAnsi"/>
                <w:i/>
                <w:szCs w:val="22"/>
              </w:rPr>
              <w:t xml:space="preserve"> be published</w:t>
            </w:r>
          </w:p>
        </w:tc>
      </w:tr>
      <w:tr w:rsidR="00625F27" w:rsidRPr="007D74DE" w:rsidTr="00DA5903">
        <w:trPr>
          <w:trHeight w:val="570"/>
        </w:trPr>
        <w:tc>
          <w:tcPr>
            <w:tcW w:w="11169" w:type="dxa"/>
            <w:gridSpan w:val="2"/>
            <w:vAlign w:val="center"/>
          </w:tcPr>
          <w:p w:rsidR="00A86EAF" w:rsidRPr="00322126" w:rsidRDefault="00A86EAF" w:rsidP="00761289">
            <w:pPr>
              <w:rPr>
                <w:b/>
              </w:rPr>
            </w:pPr>
            <w:r w:rsidRPr="00322126">
              <w:rPr>
                <w:b/>
              </w:rPr>
              <w:t>CONTACT DETAILS</w:t>
            </w:r>
          </w:p>
          <w:p w:rsidR="00625F27" w:rsidRPr="00322126" w:rsidRDefault="00761289" w:rsidP="00761289">
            <w:pPr>
              <w:rPr>
                <w:b/>
              </w:rPr>
            </w:pPr>
            <w:r w:rsidRPr="00322126">
              <w:rPr>
                <w:b/>
              </w:rPr>
              <w:t>Title</w:t>
            </w:r>
          </w:p>
          <w:p w:rsidR="00761289" w:rsidRPr="00322126" w:rsidRDefault="00322126" w:rsidP="00803EF4">
            <w:pPr>
              <w:tabs>
                <w:tab w:val="left" w:pos="1114"/>
                <w:tab w:val="left" w:pos="2390"/>
                <w:tab w:val="left" w:pos="3852"/>
                <w:tab w:val="left" w:pos="5097"/>
              </w:tabs>
              <w:rPr>
                <w:szCs w:val="22"/>
              </w:rPr>
            </w:pPr>
            <w:sdt>
              <w:sdtPr>
                <w:rPr>
                  <w:sz w:val="26"/>
                  <w:szCs w:val="26"/>
                </w:rPr>
                <w:id w:val="-1553069556"/>
                <w14:checkbox>
                  <w14:checked w14:val="0"/>
                  <w14:checkedState w14:val="2612" w14:font="MS Gothic"/>
                  <w14:uncheckedState w14:val="2610" w14:font="MS Gothic"/>
                </w14:checkbox>
              </w:sdtPr>
              <w:sdtEndPr/>
              <w:sdtContent>
                <w:r w:rsidR="00761289" w:rsidRPr="00322126">
                  <w:rPr>
                    <w:rFonts w:ascii="MS Gothic" w:eastAsia="MS Gothic" w:hAnsi="MS Gothic" w:hint="eastAsia"/>
                    <w:sz w:val="26"/>
                    <w:szCs w:val="26"/>
                  </w:rPr>
                  <w:t>☐</w:t>
                </w:r>
              </w:sdtContent>
            </w:sdt>
            <w:r w:rsidR="00761289" w:rsidRPr="00322126">
              <w:rPr>
                <w:szCs w:val="22"/>
              </w:rPr>
              <w:t xml:space="preserve"> Mr</w:t>
            </w:r>
            <w:r w:rsidR="00761289" w:rsidRPr="00322126">
              <w:tab/>
            </w:r>
            <w:sdt>
              <w:sdtPr>
                <w:rPr>
                  <w:sz w:val="26"/>
                  <w:szCs w:val="26"/>
                </w:rPr>
                <w:id w:val="-937137135"/>
                <w14:checkbox>
                  <w14:checked w14:val="0"/>
                  <w14:checkedState w14:val="2612" w14:font="MS Gothic"/>
                  <w14:uncheckedState w14:val="2610" w14:font="MS Gothic"/>
                </w14:checkbox>
              </w:sdtPr>
              <w:sdtEndPr/>
              <w:sdtContent>
                <w:r w:rsidR="00761289" w:rsidRPr="00322126">
                  <w:rPr>
                    <w:rFonts w:ascii="MS Gothic" w:eastAsia="MS Gothic" w:hAnsi="MS Gothic" w:hint="eastAsia"/>
                    <w:sz w:val="26"/>
                    <w:szCs w:val="26"/>
                  </w:rPr>
                  <w:t>☐</w:t>
                </w:r>
              </w:sdtContent>
            </w:sdt>
            <w:r w:rsidR="00761289" w:rsidRPr="00322126">
              <w:rPr>
                <w:szCs w:val="22"/>
              </w:rPr>
              <w:t xml:space="preserve"> Ms</w:t>
            </w:r>
            <w:r w:rsidR="00761289" w:rsidRPr="00322126">
              <w:tab/>
            </w:r>
            <w:sdt>
              <w:sdtPr>
                <w:rPr>
                  <w:sz w:val="26"/>
                  <w:szCs w:val="26"/>
                </w:rPr>
                <w:id w:val="707922357"/>
                <w14:checkbox>
                  <w14:checked w14:val="0"/>
                  <w14:checkedState w14:val="2612" w14:font="MS Gothic"/>
                  <w14:uncheckedState w14:val="2610" w14:font="MS Gothic"/>
                </w14:checkbox>
              </w:sdtPr>
              <w:sdtEndPr/>
              <w:sdtContent>
                <w:r w:rsidR="00761289" w:rsidRPr="00322126">
                  <w:rPr>
                    <w:rFonts w:ascii="MS Gothic" w:eastAsia="MS Gothic" w:hAnsi="MS Gothic" w:hint="eastAsia"/>
                    <w:sz w:val="26"/>
                    <w:szCs w:val="26"/>
                  </w:rPr>
                  <w:t>☐</w:t>
                </w:r>
              </w:sdtContent>
            </w:sdt>
            <w:r w:rsidR="00761289" w:rsidRPr="00322126">
              <w:rPr>
                <w:szCs w:val="22"/>
              </w:rPr>
              <w:t xml:space="preserve"> Mrs</w:t>
            </w:r>
            <w:r w:rsidR="00761289" w:rsidRPr="00322126">
              <w:tab/>
            </w:r>
            <w:sdt>
              <w:sdtPr>
                <w:rPr>
                  <w:sz w:val="26"/>
                  <w:szCs w:val="26"/>
                </w:rPr>
                <w:id w:val="-1384332009"/>
                <w14:checkbox>
                  <w14:checked w14:val="0"/>
                  <w14:checkedState w14:val="2612" w14:font="MS Gothic"/>
                  <w14:uncheckedState w14:val="2610" w14:font="MS Gothic"/>
                </w14:checkbox>
              </w:sdtPr>
              <w:sdtEndPr/>
              <w:sdtContent>
                <w:r w:rsidR="00761289" w:rsidRPr="00322126">
                  <w:rPr>
                    <w:rFonts w:ascii="MS Gothic" w:eastAsia="MS Gothic" w:hAnsi="MS Gothic" w:hint="eastAsia"/>
                    <w:sz w:val="26"/>
                    <w:szCs w:val="26"/>
                  </w:rPr>
                  <w:t>☐</w:t>
                </w:r>
              </w:sdtContent>
            </w:sdt>
            <w:r w:rsidR="00761289" w:rsidRPr="00322126">
              <w:rPr>
                <w:szCs w:val="22"/>
              </w:rPr>
              <w:t xml:space="preserve"> Dr</w:t>
            </w:r>
            <w:r w:rsidR="00761289" w:rsidRPr="00322126">
              <w:tab/>
            </w:r>
            <w:sdt>
              <w:sdtPr>
                <w:rPr>
                  <w:sz w:val="26"/>
                  <w:szCs w:val="26"/>
                </w:rPr>
                <w:id w:val="1911263779"/>
                <w14:checkbox>
                  <w14:checked w14:val="0"/>
                  <w14:checkedState w14:val="2612" w14:font="MS Gothic"/>
                  <w14:uncheckedState w14:val="2610" w14:font="MS Gothic"/>
                </w14:checkbox>
              </w:sdtPr>
              <w:sdtEndPr/>
              <w:sdtContent>
                <w:r w:rsidR="00761289" w:rsidRPr="00322126">
                  <w:rPr>
                    <w:rFonts w:ascii="MS Gothic" w:eastAsia="MS Gothic" w:hAnsi="MS Gothic" w:hint="eastAsia"/>
                    <w:sz w:val="26"/>
                    <w:szCs w:val="26"/>
                  </w:rPr>
                  <w:t>☐</w:t>
                </w:r>
              </w:sdtContent>
            </w:sdt>
            <w:r w:rsidR="00761289" w:rsidRPr="00322126">
              <w:rPr>
                <w:szCs w:val="22"/>
              </w:rPr>
              <w:t xml:space="preserve"> None</w:t>
            </w:r>
            <w:r w:rsidR="00761289" w:rsidRPr="00322126">
              <w:t xml:space="preserve"> </w:t>
            </w:r>
            <w:r w:rsidR="00803EF4" w:rsidRPr="00322126">
              <w:t xml:space="preserve">        </w:t>
            </w:r>
            <w:sdt>
              <w:sdtPr>
                <w:rPr>
                  <w:sz w:val="26"/>
                  <w:szCs w:val="26"/>
                </w:rPr>
                <w:id w:val="-1443531074"/>
                <w14:checkbox>
                  <w14:checked w14:val="0"/>
                  <w14:checkedState w14:val="2612" w14:font="MS Gothic"/>
                  <w14:uncheckedState w14:val="2610" w14:font="MS Gothic"/>
                </w14:checkbox>
              </w:sdtPr>
              <w:sdtEndPr/>
              <w:sdtContent>
                <w:r w:rsidR="00803EF4" w:rsidRPr="00322126">
                  <w:rPr>
                    <w:rFonts w:ascii="MS Gothic" w:eastAsia="MS Gothic" w:hAnsi="MS Gothic" w:hint="eastAsia"/>
                    <w:sz w:val="26"/>
                    <w:szCs w:val="26"/>
                  </w:rPr>
                  <w:t>☐</w:t>
                </w:r>
              </w:sdtContent>
            </w:sdt>
            <w:r w:rsidR="00803EF4" w:rsidRPr="00322126">
              <w:rPr>
                <w:szCs w:val="22"/>
              </w:rPr>
              <w:t xml:space="preserve"> Other (please specify):</w:t>
            </w:r>
          </w:p>
        </w:tc>
      </w:tr>
      <w:tr w:rsidR="00625F27" w:rsidRPr="007D74DE" w:rsidTr="00390164">
        <w:trPr>
          <w:trHeight w:val="531"/>
        </w:trPr>
        <w:tc>
          <w:tcPr>
            <w:tcW w:w="11169" w:type="dxa"/>
            <w:gridSpan w:val="2"/>
            <w:vAlign w:val="center"/>
          </w:tcPr>
          <w:p w:rsidR="00625F27" w:rsidRPr="00322126" w:rsidRDefault="00625F27" w:rsidP="00761289">
            <w:pPr>
              <w:rPr>
                <w:b/>
                <w:szCs w:val="22"/>
              </w:rPr>
            </w:pPr>
            <w:r w:rsidRPr="00322126">
              <w:rPr>
                <w:b/>
              </w:rPr>
              <w:t>First name</w:t>
            </w:r>
            <w:r w:rsidRPr="00322126">
              <w:rPr>
                <w:b/>
                <w:szCs w:val="22"/>
              </w:rPr>
              <w:t>:</w:t>
            </w:r>
            <w:r w:rsidR="00761289" w:rsidRPr="00322126">
              <w:rPr>
                <w:szCs w:val="22"/>
              </w:rPr>
              <w:t xml:space="preserve"> </w:t>
            </w:r>
          </w:p>
        </w:tc>
      </w:tr>
      <w:tr w:rsidR="004B44B4" w:rsidRPr="007D74DE" w:rsidTr="00390164">
        <w:trPr>
          <w:trHeight w:val="441"/>
        </w:trPr>
        <w:tc>
          <w:tcPr>
            <w:tcW w:w="11169" w:type="dxa"/>
            <w:gridSpan w:val="2"/>
            <w:vAlign w:val="center"/>
          </w:tcPr>
          <w:p w:rsidR="00070F48" w:rsidRPr="00322126" w:rsidRDefault="00625F27" w:rsidP="00761289">
            <w:pPr>
              <w:rPr>
                <w:b/>
                <w:szCs w:val="22"/>
              </w:rPr>
            </w:pPr>
            <w:r w:rsidRPr="00322126">
              <w:rPr>
                <w:b/>
              </w:rPr>
              <w:t>Last n</w:t>
            </w:r>
            <w:r w:rsidR="004B44B4" w:rsidRPr="00322126">
              <w:rPr>
                <w:b/>
              </w:rPr>
              <w:t>ame</w:t>
            </w:r>
            <w:r w:rsidR="004B44B4" w:rsidRPr="00322126">
              <w:rPr>
                <w:b/>
                <w:szCs w:val="22"/>
              </w:rPr>
              <w:t>:</w:t>
            </w:r>
            <w:r w:rsidR="00761289" w:rsidRPr="00322126">
              <w:rPr>
                <w:szCs w:val="22"/>
              </w:rPr>
              <w:t xml:space="preserve"> </w:t>
            </w:r>
          </w:p>
        </w:tc>
      </w:tr>
      <w:tr w:rsidR="00EC600E" w:rsidRPr="007D74DE" w:rsidTr="00390164">
        <w:trPr>
          <w:trHeight w:val="1144"/>
        </w:trPr>
        <w:tc>
          <w:tcPr>
            <w:tcW w:w="11169" w:type="dxa"/>
            <w:gridSpan w:val="2"/>
            <w:vAlign w:val="center"/>
          </w:tcPr>
          <w:p w:rsidR="003442D2" w:rsidRPr="00322126" w:rsidRDefault="00D3777A" w:rsidP="00761289">
            <w:pPr>
              <w:rPr>
                <w:szCs w:val="22"/>
              </w:rPr>
            </w:pPr>
            <w:r w:rsidRPr="00322126">
              <w:rPr>
                <w:b/>
                <w:szCs w:val="22"/>
              </w:rPr>
              <w:t>Mobile:</w:t>
            </w:r>
            <w:r w:rsidR="00761289" w:rsidRPr="00322126">
              <w:rPr>
                <w:szCs w:val="22"/>
              </w:rPr>
              <w:t xml:space="preserve"> </w:t>
            </w:r>
          </w:p>
          <w:p w:rsidR="003442D2" w:rsidRPr="00322126" w:rsidRDefault="00D3777A" w:rsidP="00761289">
            <w:pPr>
              <w:rPr>
                <w:szCs w:val="22"/>
              </w:rPr>
            </w:pPr>
            <w:r w:rsidRPr="00322126">
              <w:rPr>
                <w:b/>
                <w:szCs w:val="22"/>
              </w:rPr>
              <w:t>Work number:</w:t>
            </w:r>
            <w:r w:rsidR="00761289" w:rsidRPr="00322126">
              <w:rPr>
                <w:szCs w:val="22"/>
              </w:rPr>
              <w:t xml:space="preserve"> </w:t>
            </w:r>
          </w:p>
          <w:p w:rsidR="003442D2" w:rsidRPr="00322126" w:rsidRDefault="00723C35" w:rsidP="00A86EAF">
            <w:pPr>
              <w:rPr>
                <w:szCs w:val="22"/>
              </w:rPr>
            </w:pPr>
            <w:r w:rsidRPr="00322126">
              <w:rPr>
                <w:b/>
                <w:szCs w:val="22"/>
              </w:rPr>
              <w:t>Email:</w:t>
            </w:r>
            <w:r w:rsidR="00761289" w:rsidRPr="00322126">
              <w:rPr>
                <w:szCs w:val="22"/>
              </w:rPr>
              <w:t xml:space="preserve"> </w:t>
            </w:r>
          </w:p>
        </w:tc>
      </w:tr>
      <w:tr w:rsidR="00DC3D2B" w:rsidRPr="007D74DE" w:rsidTr="00390164">
        <w:trPr>
          <w:trHeight w:val="1942"/>
        </w:trPr>
        <w:tc>
          <w:tcPr>
            <w:tcW w:w="10152" w:type="dxa"/>
            <w:vAlign w:val="center"/>
          </w:tcPr>
          <w:p w:rsidR="00390164" w:rsidRPr="00322126" w:rsidRDefault="00A86EAF" w:rsidP="004565C7">
            <w:pPr>
              <w:tabs>
                <w:tab w:val="left" w:pos="5792"/>
                <w:tab w:val="left" w:pos="7068"/>
              </w:tabs>
              <w:spacing w:before="100" w:beforeAutospacing="1"/>
              <w:rPr>
                <w:b/>
              </w:rPr>
            </w:pPr>
            <w:r w:rsidRPr="00322126">
              <w:rPr>
                <w:b/>
              </w:rPr>
              <w:t>SUBMISSIONS</w:t>
            </w:r>
          </w:p>
          <w:p w:rsidR="00A86EAF" w:rsidRPr="00322126" w:rsidRDefault="00DC3D2B" w:rsidP="00A86EAF">
            <w:pPr>
              <w:tabs>
                <w:tab w:val="left" w:pos="5792"/>
                <w:tab w:val="left" w:pos="7068"/>
              </w:tabs>
              <w:spacing w:before="0"/>
            </w:pPr>
            <w:r w:rsidRPr="00322126">
              <w:rPr>
                <w:b/>
              </w:rPr>
              <w:t>Would you like your submission to be confidential?</w:t>
            </w:r>
            <w:r w:rsidRPr="00322126">
              <w:rPr>
                <w:rStyle w:val="FootnoteReference"/>
                <w:b/>
              </w:rPr>
              <w:footnoteReference w:id="1"/>
            </w:r>
            <w:r w:rsidRPr="00322126">
              <w:tab/>
            </w:r>
          </w:p>
          <w:p w:rsidR="00A86EAF" w:rsidRPr="00322126" w:rsidRDefault="00A86EAF" w:rsidP="00A86EAF">
            <w:pPr>
              <w:tabs>
                <w:tab w:val="left" w:pos="5792"/>
                <w:tab w:val="left" w:pos="7068"/>
              </w:tabs>
              <w:spacing w:before="0"/>
            </w:pPr>
          </w:p>
          <w:p w:rsidR="00A86EAF" w:rsidRPr="00322126" w:rsidRDefault="00A86EAF" w:rsidP="00A86EAF">
            <w:pPr>
              <w:tabs>
                <w:tab w:val="left" w:pos="5792"/>
                <w:tab w:val="left" w:pos="7068"/>
              </w:tabs>
              <w:spacing w:before="0"/>
            </w:pPr>
            <w:r w:rsidRPr="00322126">
              <w:rPr>
                <w:b/>
              </w:rPr>
              <w:t>Would you like your submission to be name withheld?</w:t>
            </w:r>
            <w:r w:rsidRPr="00322126">
              <w:rPr>
                <w:rStyle w:val="FootnoteReference"/>
                <w:b/>
              </w:rPr>
              <w:footnoteReference w:id="2"/>
            </w:r>
          </w:p>
        </w:tc>
        <w:tc>
          <w:tcPr>
            <w:tcW w:w="1017" w:type="dxa"/>
          </w:tcPr>
          <w:p w:rsidR="00390164" w:rsidRDefault="00390164"/>
          <w:p w:rsidR="004565C7" w:rsidRDefault="00322126" w:rsidP="004565C7">
            <w:sdt>
              <w:sdtPr>
                <w:id w:val="-226920303"/>
                <w14:checkbox>
                  <w14:checked w14:val="0"/>
                  <w14:checkedState w14:val="2612" w14:font="MS Gothic"/>
                  <w14:uncheckedState w14:val="2610" w14:font="MS Gothic"/>
                </w14:checkbox>
              </w:sdtPr>
              <w:sdtEndPr/>
              <w:sdtContent>
                <w:r w:rsidR="004565C7" w:rsidRPr="00AE3EE5">
                  <w:rPr>
                    <w:rFonts w:ascii="MS Gothic" w:eastAsia="MS Gothic" w:hAnsi="MS Gothic" w:cs="MS Gothic" w:hint="eastAsia"/>
                  </w:rPr>
                  <w:t>☐</w:t>
                </w:r>
              </w:sdtContent>
            </w:sdt>
            <w:r w:rsidR="004565C7" w:rsidRPr="00AE3EE5">
              <w:t xml:space="preserve"> Yes                 </w:t>
            </w:r>
            <w:sdt>
              <w:sdtPr>
                <w:id w:val="-1107343528"/>
                <w14:checkbox>
                  <w14:checked w14:val="0"/>
                  <w14:checkedState w14:val="2612" w14:font="MS Gothic"/>
                  <w14:uncheckedState w14:val="2610" w14:font="MS Gothic"/>
                </w14:checkbox>
              </w:sdtPr>
              <w:sdtEndPr/>
              <w:sdtContent>
                <w:r w:rsidR="004565C7" w:rsidRPr="00AE3EE5">
                  <w:rPr>
                    <w:rFonts w:ascii="MS Gothic" w:eastAsia="MS Gothic" w:hAnsi="MS Gothic" w:cs="MS Gothic" w:hint="eastAsia"/>
                  </w:rPr>
                  <w:t>☐</w:t>
                </w:r>
              </w:sdtContent>
            </w:sdt>
            <w:r w:rsidR="004565C7" w:rsidRPr="00AE3EE5">
              <w:t xml:space="preserve"> No</w:t>
            </w:r>
          </w:p>
          <w:p w:rsidR="004565C7" w:rsidRDefault="004565C7" w:rsidP="004565C7"/>
          <w:p w:rsidR="004565C7" w:rsidRDefault="00322126" w:rsidP="004565C7">
            <w:sdt>
              <w:sdtPr>
                <w:id w:val="-1722361538"/>
                <w14:checkbox>
                  <w14:checked w14:val="0"/>
                  <w14:checkedState w14:val="2612" w14:font="MS Gothic"/>
                  <w14:uncheckedState w14:val="2610" w14:font="MS Gothic"/>
                </w14:checkbox>
              </w:sdtPr>
              <w:sdtEndPr/>
              <w:sdtContent>
                <w:r w:rsidR="004565C7" w:rsidRPr="00AE3EE5">
                  <w:rPr>
                    <w:rFonts w:ascii="MS Gothic" w:eastAsia="MS Gothic" w:hAnsi="MS Gothic" w:cs="MS Gothic" w:hint="eastAsia"/>
                  </w:rPr>
                  <w:t>☐</w:t>
                </w:r>
              </w:sdtContent>
            </w:sdt>
            <w:r w:rsidR="004565C7" w:rsidRPr="00AE3EE5">
              <w:t xml:space="preserve"> Yes                 </w:t>
            </w:r>
            <w:sdt>
              <w:sdtPr>
                <w:id w:val="2102364307"/>
                <w14:checkbox>
                  <w14:checked w14:val="0"/>
                  <w14:checkedState w14:val="2612" w14:font="MS Gothic"/>
                  <w14:uncheckedState w14:val="2610" w14:font="MS Gothic"/>
                </w14:checkbox>
              </w:sdtPr>
              <w:sdtEndPr/>
              <w:sdtContent>
                <w:r w:rsidR="004565C7" w:rsidRPr="00AE3EE5">
                  <w:rPr>
                    <w:rFonts w:ascii="MS Gothic" w:eastAsia="MS Gothic" w:hAnsi="MS Gothic" w:cs="MS Gothic" w:hint="eastAsia"/>
                  </w:rPr>
                  <w:t>☐</w:t>
                </w:r>
              </w:sdtContent>
            </w:sdt>
            <w:r w:rsidR="004565C7" w:rsidRPr="00AE3EE5">
              <w:t xml:space="preserve"> No</w:t>
            </w:r>
          </w:p>
        </w:tc>
      </w:tr>
      <w:tr w:rsidR="00DC3D2B" w:rsidRPr="007D74DE" w:rsidTr="00DA5903">
        <w:trPr>
          <w:trHeight w:val="810"/>
        </w:trPr>
        <w:tc>
          <w:tcPr>
            <w:tcW w:w="10152" w:type="dxa"/>
            <w:vAlign w:val="center"/>
          </w:tcPr>
          <w:p w:rsidR="00DC3D2B" w:rsidRPr="00322126" w:rsidRDefault="00A86EAF" w:rsidP="00FA6235">
            <w:pPr>
              <w:tabs>
                <w:tab w:val="left" w:pos="5792"/>
                <w:tab w:val="left" w:pos="7068"/>
              </w:tabs>
              <w:rPr>
                <w:b/>
              </w:rPr>
            </w:pPr>
            <w:r w:rsidRPr="00322126">
              <w:rPr>
                <w:b/>
              </w:rPr>
              <w:t>PUBLIC HEARINGS</w:t>
            </w:r>
          </w:p>
          <w:p w:rsidR="00DC3D2B" w:rsidRPr="00322126" w:rsidRDefault="00DC3D2B" w:rsidP="00FA6235">
            <w:pPr>
              <w:tabs>
                <w:tab w:val="left" w:pos="5792"/>
                <w:tab w:val="left" w:pos="7068"/>
              </w:tabs>
              <w:rPr>
                <w:b/>
              </w:rPr>
            </w:pPr>
            <w:r w:rsidRPr="00322126">
              <w:rPr>
                <w:b/>
              </w:rPr>
              <w:t>Please indicate whether you would like to appear as a witness at a public hearing</w:t>
            </w:r>
          </w:p>
          <w:p w:rsidR="00A86EAF" w:rsidRPr="00322126" w:rsidRDefault="00A86EAF" w:rsidP="00A86EAF">
            <w:pPr>
              <w:tabs>
                <w:tab w:val="left" w:pos="5792"/>
                <w:tab w:val="left" w:pos="7068"/>
              </w:tabs>
              <w:rPr>
                <w:i/>
              </w:rPr>
            </w:pPr>
            <w:r w:rsidRPr="00322126">
              <w:rPr>
                <w:i/>
              </w:rPr>
              <w:t>Please note that it is a committee decision to determine who will be invited to appear as witnesses at a public hearing</w:t>
            </w:r>
          </w:p>
          <w:p w:rsidR="00F40901" w:rsidRPr="00322126" w:rsidRDefault="00F40901" w:rsidP="00A86EAF">
            <w:pPr>
              <w:tabs>
                <w:tab w:val="left" w:pos="5792"/>
                <w:tab w:val="left" w:pos="7068"/>
              </w:tabs>
              <w:rPr>
                <w:i/>
              </w:rPr>
            </w:pPr>
          </w:p>
          <w:p w:rsidR="00F40901" w:rsidRPr="00322126" w:rsidRDefault="00F40901" w:rsidP="00A86EAF">
            <w:pPr>
              <w:tabs>
                <w:tab w:val="left" w:pos="5792"/>
                <w:tab w:val="left" w:pos="7068"/>
              </w:tabs>
              <w:rPr>
                <w:b/>
              </w:rPr>
            </w:pPr>
            <w:r w:rsidRPr="00322126">
              <w:rPr>
                <w:b/>
              </w:rPr>
              <w:t xml:space="preserve">Please indicate whether you have any </w:t>
            </w:r>
            <w:r w:rsidR="001627C4" w:rsidRPr="00322126">
              <w:rPr>
                <w:b/>
              </w:rPr>
              <w:t>safety concerns about appearing at a public hearing</w:t>
            </w:r>
          </w:p>
          <w:p w:rsidR="001627C4" w:rsidRPr="00322126" w:rsidRDefault="001627C4" w:rsidP="001627C4">
            <w:pPr>
              <w:tabs>
                <w:tab w:val="left" w:pos="5792"/>
                <w:tab w:val="left" w:pos="7068"/>
              </w:tabs>
              <w:rPr>
                <w:i/>
              </w:rPr>
            </w:pPr>
            <w:r w:rsidRPr="00322126">
              <w:rPr>
                <w:i/>
              </w:rPr>
              <w:t>The secretariat can make special arrangements for you to appear as a witness if you have safety concerns</w:t>
            </w:r>
          </w:p>
        </w:tc>
        <w:tc>
          <w:tcPr>
            <w:tcW w:w="1017" w:type="dxa"/>
          </w:tcPr>
          <w:p w:rsidR="00F40901" w:rsidRDefault="00F40901" w:rsidP="00CC1A91"/>
          <w:p w:rsidR="00DD2585" w:rsidRDefault="00322126" w:rsidP="00CC1A91">
            <w:sdt>
              <w:sdtPr>
                <w:id w:val="-771240960"/>
                <w14:checkbox>
                  <w14:checked w14:val="0"/>
                  <w14:checkedState w14:val="2612" w14:font="MS Gothic"/>
                  <w14:uncheckedState w14:val="2610" w14:font="MS Gothic"/>
                </w14:checkbox>
              </w:sdtPr>
              <w:sdtEndPr/>
              <w:sdtContent>
                <w:r w:rsidR="00DD2585" w:rsidRPr="00AE3EE5">
                  <w:rPr>
                    <w:rFonts w:ascii="MS Gothic" w:eastAsia="MS Gothic" w:hAnsi="MS Gothic" w:cs="MS Gothic" w:hint="eastAsia"/>
                  </w:rPr>
                  <w:t>☐</w:t>
                </w:r>
              </w:sdtContent>
            </w:sdt>
            <w:r w:rsidR="00DD2585" w:rsidRPr="00AE3EE5">
              <w:t xml:space="preserve"> Yes                 </w:t>
            </w:r>
            <w:sdt>
              <w:sdtPr>
                <w:id w:val="2006696756"/>
                <w14:checkbox>
                  <w14:checked w14:val="0"/>
                  <w14:checkedState w14:val="2612" w14:font="MS Gothic"/>
                  <w14:uncheckedState w14:val="2610" w14:font="MS Gothic"/>
                </w14:checkbox>
              </w:sdtPr>
              <w:sdtEndPr/>
              <w:sdtContent>
                <w:r w:rsidR="00DD2585" w:rsidRPr="00AE3EE5">
                  <w:rPr>
                    <w:rFonts w:ascii="MS Gothic" w:eastAsia="MS Gothic" w:hAnsi="MS Gothic" w:cs="MS Gothic" w:hint="eastAsia"/>
                  </w:rPr>
                  <w:t>☐</w:t>
                </w:r>
              </w:sdtContent>
            </w:sdt>
            <w:r w:rsidR="00DD2585" w:rsidRPr="00AE3EE5">
              <w:t xml:space="preserve"> No</w:t>
            </w:r>
          </w:p>
          <w:p w:rsidR="00F40901" w:rsidRDefault="00F40901" w:rsidP="00CC1A91"/>
          <w:p w:rsidR="00F40901" w:rsidRDefault="00F40901" w:rsidP="00CC1A91"/>
          <w:p w:rsidR="00F40901" w:rsidRDefault="00322126" w:rsidP="00CC1A91">
            <w:sdt>
              <w:sdtPr>
                <w:id w:val="414049442"/>
                <w14:checkbox>
                  <w14:checked w14:val="0"/>
                  <w14:checkedState w14:val="2612" w14:font="MS Gothic"/>
                  <w14:uncheckedState w14:val="2610" w14:font="MS Gothic"/>
                </w14:checkbox>
              </w:sdtPr>
              <w:sdtEndPr/>
              <w:sdtContent>
                <w:r w:rsidR="00F40901" w:rsidRPr="00AE3EE5">
                  <w:rPr>
                    <w:rFonts w:ascii="MS Gothic" w:eastAsia="MS Gothic" w:hAnsi="MS Gothic" w:cs="MS Gothic" w:hint="eastAsia"/>
                  </w:rPr>
                  <w:t>☐</w:t>
                </w:r>
              </w:sdtContent>
            </w:sdt>
            <w:r w:rsidR="00F40901" w:rsidRPr="00AE3EE5">
              <w:t xml:space="preserve"> Yes                 </w:t>
            </w:r>
            <w:sdt>
              <w:sdtPr>
                <w:id w:val="2140908478"/>
                <w14:checkbox>
                  <w14:checked w14:val="0"/>
                  <w14:checkedState w14:val="2612" w14:font="MS Gothic"/>
                  <w14:uncheckedState w14:val="2610" w14:font="MS Gothic"/>
                </w14:checkbox>
              </w:sdtPr>
              <w:sdtEndPr/>
              <w:sdtContent>
                <w:r w:rsidR="00F40901" w:rsidRPr="00AE3EE5">
                  <w:rPr>
                    <w:rFonts w:ascii="MS Gothic" w:eastAsia="MS Gothic" w:hAnsi="MS Gothic" w:cs="MS Gothic" w:hint="eastAsia"/>
                  </w:rPr>
                  <w:t>☐</w:t>
                </w:r>
              </w:sdtContent>
            </w:sdt>
            <w:r w:rsidR="00F40901" w:rsidRPr="00AE3EE5">
              <w:t xml:space="preserve"> No</w:t>
            </w:r>
          </w:p>
        </w:tc>
      </w:tr>
      <w:tr w:rsidR="004C6F2E" w:rsidRPr="007D74DE" w:rsidTr="00DA5903">
        <w:trPr>
          <w:trHeight w:val="810"/>
        </w:trPr>
        <w:tc>
          <w:tcPr>
            <w:tcW w:w="10152" w:type="dxa"/>
            <w:vAlign w:val="center"/>
          </w:tcPr>
          <w:p w:rsidR="004C6F2E" w:rsidRPr="00322126" w:rsidRDefault="004C6F2E" w:rsidP="004C6F2E">
            <w:pPr>
              <w:tabs>
                <w:tab w:val="left" w:pos="5792"/>
                <w:tab w:val="left" w:pos="7068"/>
              </w:tabs>
              <w:rPr>
                <w:b/>
              </w:rPr>
            </w:pPr>
            <w:r w:rsidRPr="00322126">
              <w:rPr>
                <w:b/>
              </w:rPr>
              <w:t>FAMILY DISPUTE RESOLUTION</w:t>
            </w:r>
          </w:p>
          <w:p w:rsidR="004C6F2E" w:rsidRPr="00322126" w:rsidRDefault="004C6F2E" w:rsidP="00FA6235">
            <w:pPr>
              <w:tabs>
                <w:tab w:val="left" w:pos="5792"/>
                <w:tab w:val="left" w:pos="7068"/>
              </w:tabs>
              <w:rPr>
                <w:b/>
              </w:rPr>
            </w:pPr>
            <w:r w:rsidRPr="00322126">
              <w:rPr>
                <w:b/>
              </w:rPr>
              <w:t>Please indicate whether you have engaged in family dispute resolution, and not proceeded with a court application</w:t>
            </w:r>
          </w:p>
          <w:p w:rsidR="004C6F2E" w:rsidRPr="00322126" w:rsidRDefault="004C6F2E" w:rsidP="00FA6235">
            <w:pPr>
              <w:tabs>
                <w:tab w:val="left" w:pos="5792"/>
                <w:tab w:val="left" w:pos="7068"/>
              </w:tabs>
              <w:rPr>
                <w:b/>
              </w:rPr>
            </w:pPr>
          </w:p>
          <w:p w:rsidR="004C6F2E" w:rsidRPr="00322126" w:rsidRDefault="004C6F2E" w:rsidP="00FA6235">
            <w:pPr>
              <w:tabs>
                <w:tab w:val="left" w:pos="5792"/>
                <w:tab w:val="left" w:pos="7068"/>
              </w:tabs>
              <w:rPr>
                <w:b/>
              </w:rPr>
            </w:pPr>
            <w:r w:rsidRPr="00322126">
              <w:rPr>
                <w:b/>
              </w:rPr>
              <w:t xml:space="preserve">Please indicate whether you have been issued with a section 60I certificate by a family dispute resolution practitioner under the </w:t>
            </w:r>
            <w:r w:rsidRPr="00322126">
              <w:rPr>
                <w:b/>
                <w:i/>
              </w:rPr>
              <w:t>Family Law Act 1975</w:t>
            </w:r>
            <w:r w:rsidRPr="00322126">
              <w:rPr>
                <w:b/>
              </w:rPr>
              <w:t xml:space="preserve"> (</w:t>
            </w:r>
            <w:proofErr w:type="spellStart"/>
            <w:r w:rsidRPr="00322126">
              <w:rPr>
                <w:b/>
              </w:rPr>
              <w:t>Cth</w:t>
            </w:r>
            <w:proofErr w:type="spellEnd"/>
            <w:r w:rsidRPr="00322126">
              <w:rPr>
                <w:b/>
              </w:rPr>
              <w:t>)</w:t>
            </w:r>
          </w:p>
        </w:tc>
        <w:tc>
          <w:tcPr>
            <w:tcW w:w="1017" w:type="dxa"/>
          </w:tcPr>
          <w:p w:rsidR="004C6F2E" w:rsidRDefault="004C6F2E" w:rsidP="00CC1A91"/>
          <w:p w:rsidR="004C6F2E" w:rsidRDefault="00322126" w:rsidP="00CC1A91">
            <w:sdt>
              <w:sdtPr>
                <w:id w:val="-1648731536"/>
                <w14:checkbox>
                  <w14:checked w14:val="0"/>
                  <w14:checkedState w14:val="2612" w14:font="MS Gothic"/>
                  <w14:uncheckedState w14:val="2610" w14:font="MS Gothic"/>
                </w14:checkbox>
              </w:sdtPr>
              <w:sdtEndPr/>
              <w:sdtContent>
                <w:r w:rsidR="004C6F2E" w:rsidRPr="00AE3EE5">
                  <w:rPr>
                    <w:rFonts w:ascii="MS Gothic" w:eastAsia="MS Gothic" w:hAnsi="MS Gothic" w:cs="MS Gothic" w:hint="eastAsia"/>
                  </w:rPr>
                  <w:t>☐</w:t>
                </w:r>
              </w:sdtContent>
            </w:sdt>
            <w:r w:rsidR="004C6F2E" w:rsidRPr="00AE3EE5">
              <w:t xml:space="preserve"> Yes                 </w:t>
            </w:r>
            <w:sdt>
              <w:sdtPr>
                <w:id w:val="-996334303"/>
                <w14:checkbox>
                  <w14:checked w14:val="0"/>
                  <w14:checkedState w14:val="2612" w14:font="MS Gothic"/>
                  <w14:uncheckedState w14:val="2610" w14:font="MS Gothic"/>
                </w14:checkbox>
              </w:sdtPr>
              <w:sdtEndPr/>
              <w:sdtContent>
                <w:r w:rsidR="004C6F2E" w:rsidRPr="00AE3EE5">
                  <w:rPr>
                    <w:rFonts w:ascii="MS Gothic" w:eastAsia="MS Gothic" w:hAnsi="MS Gothic" w:cs="MS Gothic" w:hint="eastAsia"/>
                  </w:rPr>
                  <w:t>☐</w:t>
                </w:r>
              </w:sdtContent>
            </w:sdt>
            <w:r w:rsidR="004C6F2E" w:rsidRPr="00AE3EE5">
              <w:t xml:space="preserve"> No</w:t>
            </w:r>
          </w:p>
          <w:p w:rsidR="004C6F2E" w:rsidRDefault="004C6F2E" w:rsidP="00CC1A91"/>
          <w:p w:rsidR="004C6F2E" w:rsidRDefault="00322126" w:rsidP="00CC1A91">
            <w:sdt>
              <w:sdtPr>
                <w:id w:val="-1430277706"/>
                <w14:checkbox>
                  <w14:checked w14:val="0"/>
                  <w14:checkedState w14:val="2612" w14:font="MS Gothic"/>
                  <w14:uncheckedState w14:val="2610" w14:font="MS Gothic"/>
                </w14:checkbox>
              </w:sdtPr>
              <w:sdtEndPr/>
              <w:sdtContent>
                <w:r w:rsidR="004C6F2E" w:rsidRPr="00AE3EE5">
                  <w:rPr>
                    <w:rFonts w:ascii="MS Gothic" w:eastAsia="MS Gothic" w:hAnsi="MS Gothic" w:cs="MS Gothic" w:hint="eastAsia"/>
                  </w:rPr>
                  <w:t>☐</w:t>
                </w:r>
              </w:sdtContent>
            </w:sdt>
            <w:r w:rsidR="004C6F2E" w:rsidRPr="00AE3EE5">
              <w:t xml:space="preserve"> Yes                 </w:t>
            </w:r>
            <w:sdt>
              <w:sdtPr>
                <w:id w:val="-245266364"/>
                <w14:checkbox>
                  <w14:checked w14:val="0"/>
                  <w14:checkedState w14:val="2612" w14:font="MS Gothic"/>
                  <w14:uncheckedState w14:val="2610" w14:font="MS Gothic"/>
                </w14:checkbox>
              </w:sdtPr>
              <w:sdtEndPr/>
              <w:sdtContent>
                <w:r w:rsidR="004C6F2E" w:rsidRPr="00AE3EE5">
                  <w:rPr>
                    <w:rFonts w:ascii="MS Gothic" w:eastAsia="MS Gothic" w:hAnsi="MS Gothic" w:cs="MS Gothic" w:hint="eastAsia"/>
                  </w:rPr>
                  <w:t>☐</w:t>
                </w:r>
              </w:sdtContent>
            </w:sdt>
            <w:r w:rsidR="004C6F2E" w:rsidRPr="00AE3EE5">
              <w:t xml:space="preserve"> No</w:t>
            </w:r>
          </w:p>
        </w:tc>
      </w:tr>
      <w:tr w:rsidR="00DC3D2B" w:rsidRPr="007D74DE" w:rsidTr="00DA5903">
        <w:trPr>
          <w:trHeight w:val="978"/>
        </w:trPr>
        <w:tc>
          <w:tcPr>
            <w:tcW w:w="10152" w:type="dxa"/>
            <w:vAlign w:val="center"/>
          </w:tcPr>
          <w:p w:rsidR="00DC3D2B" w:rsidRDefault="00A86EAF" w:rsidP="00DC3D2B">
            <w:pPr>
              <w:tabs>
                <w:tab w:val="left" w:pos="5792"/>
                <w:tab w:val="left" w:pos="7068"/>
              </w:tabs>
              <w:rPr>
                <w:b/>
              </w:rPr>
            </w:pPr>
            <w:r>
              <w:rPr>
                <w:b/>
              </w:rPr>
              <w:t>RELEVANT DOCUMENTATION</w:t>
            </w:r>
          </w:p>
          <w:p w:rsidR="00390164" w:rsidRDefault="00DC3D2B" w:rsidP="004F5A0A">
            <w:pPr>
              <w:tabs>
                <w:tab w:val="left" w:pos="5792"/>
                <w:tab w:val="left" w:pos="7068"/>
              </w:tabs>
              <w:rPr>
                <w:b/>
              </w:rPr>
            </w:pPr>
            <w:r>
              <w:rPr>
                <w:b/>
              </w:rPr>
              <w:t>Please indicate whether you have any relevant documentation to share with the committee</w:t>
            </w:r>
            <w:r w:rsidR="006C4206">
              <w:rPr>
                <w:b/>
              </w:rPr>
              <w:t>.</w:t>
            </w:r>
          </w:p>
          <w:p w:rsidR="004F5A0A" w:rsidRPr="004F5A0A" w:rsidRDefault="004F5A0A" w:rsidP="004F5A0A">
            <w:pPr>
              <w:tabs>
                <w:tab w:val="left" w:pos="5792"/>
                <w:tab w:val="left" w:pos="7068"/>
              </w:tabs>
              <w:rPr>
                <w:b/>
                <w:i/>
              </w:rPr>
            </w:pPr>
            <w:r w:rsidRPr="004F5A0A">
              <w:rPr>
                <w:i/>
              </w:rPr>
              <w:t>Please do not provide this documentation with your submission. The committee will contact you if it requires this documentation.</w:t>
            </w:r>
          </w:p>
        </w:tc>
        <w:tc>
          <w:tcPr>
            <w:tcW w:w="1017" w:type="dxa"/>
            <w:vAlign w:val="center"/>
          </w:tcPr>
          <w:p w:rsidR="00DC3D2B" w:rsidRDefault="00322126" w:rsidP="00FA6235">
            <w:pPr>
              <w:tabs>
                <w:tab w:val="left" w:pos="5792"/>
                <w:tab w:val="left" w:pos="7068"/>
              </w:tabs>
              <w:rPr>
                <w:b/>
              </w:rPr>
            </w:pPr>
            <w:sdt>
              <w:sdtPr>
                <w:id w:val="-1474366374"/>
                <w14:checkbox>
                  <w14:checked w14:val="0"/>
                  <w14:checkedState w14:val="2612" w14:font="MS Gothic"/>
                  <w14:uncheckedState w14:val="2610" w14:font="MS Gothic"/>
                </w14:checkbox>
              </w:sdtPr>
              <w:sdtEndPr/>
              <w:sdtContent>
                <w:r w:rsidR="00DC3D2B" w:rsidRPr="00AE3EE5">
                  <w:rPr>
                    <w:rFonts w:ascii="MS Gothic" w:eastAsia="MS Gothic" w:hAnsi="MS Gothic" w:cs="MS Gothic" w:hint="eastAsia"/>
                  </w:rPr>
                  <w:t>☐</w:t>
                </w:r>
              </w:sdtContent>
            </w:sdt>
            <w:r w:rsidR="00DC3D2B" w:rsidRPr="00AE3EE5">
              <w:t xml:space="preserve"> Yes                 </w:t>
            </w:r>
            <w:sdt>
              <w:sdtPr>
                <w:id w:val="-1920869041"/>
                <w14:checkbox>
                  <w14:checked w14:val="0"/>
                  <w14:checkedState w14:val="2612" w14:font="MS Gothic"/>
                  <w14:uncheckedState w14:val="2610" w14:font="MS Gothic"/>
                </w14:checkbox>
              </w:sdtPr>
              <w:sdtEndPr/>
              <w:sdtContent>
                <w:r w:rsidR="00DC3D2B" w:rsidRPr="00AE3EE5">
                  <w:rPr>
                    <w:rFonts w:ascii="MS Gothic" w:eastAsia="MS Gothic" w:hAnsi="MS Gothic" w:cs="MS Gothic" w:hint="eastAsia"/>
                  </w:rPr>
                  <w:t>☐</w:t>
                </w:r>
              </w:sdtContent>
            </w:sdt>
            <w:r w:rsidR="00DC3D2B" w:rsidRPr="00AE3EE5">
              <w:t xml:space="preserve"> No</w:t>
            </w:r>
          </w:p>
        </w:tc>
      </w:tr>
      <w:tr w:rsidR="00625F27" w:rsidRPr="003442D2" w:rsidTr="00DA5903">
        <w:trPr>
          <w:trHeight w:val="322"/>
        </w:trPr>
        <w:tc>
          <w:tcPr>
            <w:tcW w:w="11169" w:type="dxa"/>
            <w:gridSpan w:val="2"/>
            <w:vAlign w:val="center"/>
          </w:tcPr>
          <w:p w:rsidR="00625F27" w:rsidRPr="00DC3D2B" w:rsidRDefault="00FA6235" w:rsidP="00FA6235">
            <w:pPr>
              <w:rPr>
                <w:b/>
                <w:szCs w:val="22"/>
              </w:rPr>
            </w:pPr>
            <w:r w:rsidRPr="00DC3D2B">
              <w:rPr>
                <w:b/>
                <w:szCs w:val="22"/>
              </w:rPr>
              <w:lastRenderedPageBreak/>
              <w:t>Issues</w:t>
            </w:r>
          </w:p>
          <w:p w:rsidR="00FA6235" w:rsidRPr="00DC3D2B" w:rsidRDefault="00FA6235" w:rsidP="00FA6235">
            <w:pPr>
              <w:rPr>
                <w:i/>
                <w:color w:val="0000FF"/>
                <w:szCs w:val="22"/>
              </w:rPr>
            </w:pPr>
            <w:r w:rsidRPr="00DC3D2B">
              <w:rPr>
                <w:i/>
                <w:szCs w:val="22"/>
              </w:rPr>
              <w:t xml:space="preserve">Please indicate which issues from the committee's Terms of Reference are </w:t>
            </w:r>
            <w:r w:rsidR="00592FC7" w:rsidRPr="00DC3D2B">
              <w:rPr>
                <w:i/>
                <w:szCs w:val="22"/>
              </w:rPr>
              <w:t>relevant</w:t>
            </w:r>
            <w:r w:rsidRPr="00DC3D2B">
              <w:rPr>
                <w:i/>
                <w:szCs w:val="22"/>
              </w:rPr>
              <w:t xml:space="preserve"> to your submission</w:t>
            </w:r>
          </w:p>
        </w:tc>
      </w:tr>
      <w:tr w:rsidR="00DC3D2B" w:rsidRPr="007D74DE" w:rsidTr="00DA5903">
        <w:trPr>
          <w:trHeight w:val="195"/>
        </w:trPr>
        <w:tc>
          <w:tcPr>
            <w:tcW w:w="10152" w:type="dxa"/>
            <w:vAlign w:val="center"/>
          </w:tcPr>
          <w:p w:rsidR="00A86EAF" w:rsidRDefault="00A86EAF" w:rsidP="00A86EAF">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ongoing issues and further improvements relating to the interaction and information sharing between the family law system and state and territory child protection systems, and family and domestic violence jurisdictions</w:t>
            </w:r>
            <w:r w:rsidR="00711539">
              <w:rPr>
                <w:rFonts w:asciiTheme="minorHAnsi" w:hAnsiTheme="minorHAnsi"/>
                <w:sz w:val="22"/>
                <w:szCs w:val="22"/>
                <w:lang w:val="en"/>
              </w:rPr>
              <w:t xml:space="preserve">, including: </w:t>
            </w:r>
          </w:p>
          <w:p w:rsidR="00711539" w:rsidRPr="00711539" w:rsidRDefault="00711539" w:rsidP="00711539">
            <w:pPr>
              <w:pStyle w:val="Default"/>
              <w:numPr>
                <w:ilvl w:val="1"/>
                <w:numId w:val="3"/>
              </w:numPr>
              <w:ind w:right="317"/>
              <w:rPr>
                <w:rFonts w:asciiTheme="minorHAnsi" w:hAnsiTheme="minorHAnsi"/>
                <w:sz w:val="22"/>
                <w:szCs w:val="22"/>
                <w:lang w:val="en"/>
              </w:rPr>
            </w:pPr>
            <w:r w:rsidRPr="00711539">
              <w:rPr>
                <w:rFonts w:asciiTheme="minorHAnsi" w:hAnsiTheme="minorHAnsi"/>
                <w:sz w:val="22"/>
                <w:szCs w:val="22"/>
                <w:lang w:val="en"/>
              </w:rPr>
              <w:t>the process, and evidential and legal standards and onuses of proof, in relation to the granting of domestic violence orders and apprehended violence orders, and</w:t>
            </w:r>
          </w:p>
          <w:p w:rsidR="00DC3D2B" w:rsidRPr="00711539" w:rsidRDefault="00711539" w:rsidP="00A86EAF">
            <w:pPr>
              <w:pStyle w:val="Default"/>
              <w:numPr>
                <w:ilvl w:val="1"/>
                <w:numId w:val="3"/>
              </w:numPr>
              <w:ind w:right="317"/>
              <w:rPr>
                <w:rFonts w:asciiTheme="minorHAnsi" w:hAnsiTheme="minorHAnsi"/>
                <w:sz w:val="22"/>
                <w:szCs w:val="22"/>
                <w:lang w:val="en"/>
              </w:rPr>
            </w:pPr>
            <w:r w:rsidRPr="00711539">
              <w:rPr>
                <w:rFonts w:asciiTheme="minorHAnsi" w:hAnsiTheme="minorHAnsi"/>
                <w:sz w:val="22"/>
                <w:szCs w:val="22"/>
                <w:lang w:val="en"/>
              </w:rPr>
              <w:t>the visibility of, and consideration given to, domestic violence orders and apprehended violence orders in family law proceedings;</w:t>
            </w:r>
          </w:p>
        </w:tc>
        <w:tc>
          <w:tcPr>
            <w:tcW w:w="1017" w:type="dxa"/>
            <w:vAlign w:val="center"/>
          </w:tcPr>
          <w:p w:rsidR="00DC3D2B" w:rsidRPr="00292CDF" w:rsidRDefault="00322126" w:rsidP="00DC3D2B">
            <w:pPr>
              <w:pStyle w:val="Default"/>
              <w:rPr>
                <w:szCs w:val="22"/>
              </w:rPr>
            </w:pPr>
            <w:sdt>
              <w:sdtPr>
                <w:rPr>
                  <w:rFonts w:ascii="Calibri" w:eastAsia="Times New Roman" w:hAnsi="Calibri"/>
                  <w:color w:val="auto"/>
                  <w:sz w:val="22"/>
                </w:rPr>
                <w:id w:val="1424229248"/>
                <w14:checkbox>
                  <w14:checked w14:val="0"/>
                  <w14:checkedState w14:val="2612" w14:font="MS Gothic"/>
                  <w14:uncheckedState w14:val="2610" w14:font="MS Gothic"/>
                </w14:checkbox>
              </w:sdtPr>
              <w:sdtEndPr/>
              <w:sdtContent>
                <w:r w:rsidR="00A86EAF">
                  <w:rPr>
                    <w:rFonts w:ascii="MS Gothic" w:eastAsia="MS Gothic" w:hAnsi="MS Gothic" w:hint="eastAsia"/>
                    <w:color w:val="auto"/>
                    <w:sz w:val="22"/>
                  </w:rPr>
                  <w:t>☐</w:t>
                </w:r>
              </w:sdtContent>
            </w:sdt>
            <w:r w:rsidR="00DC3D2B" w:rsidRPr="00DC3D2B">
              <w:rPr>
                <w:rFonts w:ascii="Calibri" w:eastAsia="Times New Roman" w:hAnsi="Calibri"/>
                <w:color w:val="auto"/>
                <w:sz w:val="22"/>
              </w:rPr>
              <w:t xml:space="preserve"> Yes                 </w:t>
            </w:r>
            <w:sdt>
              <w:sdtPr>
                <w:rPr>
                  <w:rFonts w:ascii="Calibri" w:eastAsia="Times New Roman" w:hAnsi="Calibri"/>
                  <w:color w:val="auto"/>
                  <w:sz w:val="22"/>
                </w:rPr>
                <w:id w:val="-1732841785"/>
                <w14:checkbox>
                  <w14:checked w14:val="0"/>
                  <w14:checkedState w14:val="2612" w14:font="MS Gothic"/>
                  <w14:uncheckedState w14:val="2610" w14:font="MS Gothic"/>
                </w14:checkbox>
              </w:sdtPr>
              <w:sdtEndPr/>
              <w:sdtContent>
                <w:r w:rsidR="00DC3D2B" w:rsidRPr="00DC3D2B">
                  <w:rPr>
                    <w:rFonts w:ascii="MS Gothic" w:eastAsia="MS Gothic" w:hAnsi="MS Gothic" w:cs="MS Gothic" w:hint="eastAsia"/>
                    <w:color w:val="auto"/>
                    <w:sz w:val="22"/>
                  </w:rPr>
                  <w:t>☐</w:t>
                </w:r>
              </w:sdtContent>
            </w:sdt>
            <w:r w:rsidR="00DC3D2B" w:rsidRPr="00DC3D2B">
              <w:rPr>
                <w:rFonts w:ascii="Calibri" w:eastAsia="Times New Roman" w:hAnsi="Calibri"/>
                <w:color w:val="auto"/>
                <w:sz w:val="22"/>
              </w:rPr>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the appropriateness of family court powers to ensure parties in family law proceedings provide truthful and complete evidence, and the ability of the court to make orders for non-compliance and the efficacy of the enforcement of such orders;</w:t>
            </w:r>
          </w:p>
        </w:tc>
        <w:tc>
          <w:tcPr>
            <w:tcW w:w="1017" w:type="dxa"/>
          </w:tcPr>
          <w:p w:rsidR="00DC3D2B" w:rsidRDefault="00322126">
            <w:sdt>
              <w:sdtPr>
                <w:id w:val="1126276581"/>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936597884"/>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beyond the proposed merger of the Family Court and the Federal Circuit Court any other reform that may be needed to the family law and the current structure of the Family Court and the Federal Circuit Court;</w:t>
            </w:r>
          </w:p>
        </w:tc>
        <w:tc>
          <w:tcPr>
            <w:tcW w:w="1017" w:type="dxa"/>
          </w:tcPr>
          <w:p w:rsidR="00DC3D2B" w:rsidRDefault="00322126">
            <w:sdt>
              <w:sdtPr>
                <w:id w:val="-1904974221"/>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1649045447"/>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A86EAF" w:rsidRPr="00A86EAF" w:rsidRDefault="00A86EAF" w:rsidP="00A86EAF">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 xml:space="preserve">the financial costs to families of family law proceedings, and options to reduce the financial impact, with particular focus on those instances where legal fees incurred by parties are disproportionate to the total property pool in dispute or are disproportionate to the objective level of complexity of parenting issues, and with consideration being given amongst other things to banning ‘disappointment fees’, and: </w:t>
            </w:r>
          </w:p>
          <w:p w:rsidR="00A86EAF" w:rsidRPr="00A86EAF" w:rsidRDefault="00A86EAF" w:rsidP="00A86EAF">
            <w:pPr>
              <w:pStyle w:val="Default"/>
              <w:numPr>
                <w:ilvl w:val="1"/>
                <w:numId w:val="3"/>
              </w:numPr>
              <w:ind w:right="317"/>
              <w:rPr>
                <w:rFonts w:asciiTheme="minorHAnsi" w:hAnsiTheme="minorHAnsi"/>
                <w:sz w:val="22"/>
                <w:szCs w:val="22"/>
                <w:lang w:val="en"/>
              </w:rPr>
            </w:pPr>
            <w:r w:rsidRPr="00A86EAF">
              <w:rPr>
                <w:rFonts w:asciiTheme="minorHAnsi" w:hAnsiTheme="minorHAnsi"/>
                <w:sz w:val="22"/>
                <w:szCs w:val="22"/>
                <w:lang w:val="en"/>
              </w:rPr>
              <w:t>capping total fees by reference to the total pool of assets in dispute, or any other regulatory option to prevent disproportionate legal fees being charged in family law matters, and</w:t>
            </w:r>
          </w:p>
          <w:p w:rsidR="00DC3D2B" w:rsidRPr="00711539" w:rsidRDefault="00A86EAF" w:rsidP="00A86EAF">
            <w:pPr>
              <w:pStyle w:val="Default"/>
              <w:numPr>
                <w:ilvl w:val="1"/>
                <w:numId w:val="3"/>
              </w:numPr>
              <w:ind w:right="317"/>
              <w:rPr>
                <w:rFonts w:asciiTheme="minorHAnsi" w:hAnsiTheme="minorHAnsi"/>
                <w:sz w:val="22"/>
                <w:szCs w:val="22"/>
                <w:lang w:val="en"/>
              </w:rPr>
            </w:pPr>
            <w:r w:rsidRPr="00A86EAF">
              <w:rPr>
                <w:rFonts w:asciiTheme="minorHAnsi" w:hAnsiTheme="minorHAnsi"/>
                <w:sz w:val="22"/>
                <w:szCs w:val="22"/>
                <w:lang w:val="en"/>
              </w:rPr>
              <w:t>any mechanisms to improve the timely, efficient and effective resolution of property disputes in family law proceedings;</w:t>
            </w:r>
          </w:p>
        </w:tc>
        <w:tc>
          <w:tcPr>
            <w:tcW w:w="1017" w:type="dxa"/>
          </w:tcPr>
          <w:p w:rsidR="00DC3D2B" w:rsidRDefault="00322126">
            <w:sdt>
              <w:sdtPr>
                <w:id w:val="-1841382408"/>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2116811473"/>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the effectiveness of the delivery of family law support services and family dispute resolution processes;</w:t>
            </w:r>
          </w:p>
        </w:tc>
        <w:tc>
          <w:tcPr>
            <w:tcW w:w="1017" w:type="dxa"/>
          </w:tcPr>
          <w:p w:rsidR="00DC3D2B" w:rsidRDefault="00322126">
            <w:sdt>
              <w:sdtPr>
                <w:id w:val="515497787"/>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1337652285"/>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the impacts of family law proceedings on the health, safety and wellbeing of children and families involved in those proceedings;</w:t>
            </w:r>
          </w:p>
        </w:tc>
        <w:tc>
          <w:tcPr>
            <w:tcW w:w="1017" w:type="dxa"/>
          </w:tcPr>
          <w:p w:rsidR="00DC3D2B" w:rsidRDefault="00322126">
            <w:sdt>
              <w:sdtPr>
                <w:id w:val="167526466"/>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1839032526"/>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any issues arising for grandparent carers in family law matters and family law court proceedings;</w:t>
            </w:r>
          </w:p>
        </w:tc>
        <w:tc>
          <w:tcPr>
            <w:tcW w:w="1017" w:type="dxa"/>
          </w:tcPr>
          <w:p w:rsidR="00DC3D2B" w:rsidRDefault="00322126">
            <w:sdt>
              <w:sdtPr>
                <w:id w:val="1471015854"/>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706178331"/>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any further avenues to improve the performance and monitoring of professionals involved in family law proceedings and the resolution of disputes, including agencies, family law practitioners, family law experts and report writers, the staff and judicial officers of the courts, and family dispute resolution practitioners;</w:t>
            </w:r>
          </w:p>
        </w:tc>
        <w:tc>
          <w:tcPr>
            <w:tcW w:w="1017" w:type="dxa"/>
          </w:tcPr>
          <w:p w:rsidR="00DC3D2B" w:rsidRDefault="00322126">
            <w:sdt>
              <w:sdtPr>
                <w:id w:val="-1329659423"/>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1763483530"/>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any improvements to the interaction between the family law system and the child support system;</w:t>
            </w:r>
          </w:p>
        </w:tc>
        <w:tc>
          <w:tcPr>
            <w:tcW w:w="1017" w:type="dxa"/>
          </w:tcPr>
          <w:p w:rsidR="00DC3D2B" w:rsidRDefault="00322126">
            <w:sdt>
              <w:sdtPr>
                <w:id w:val="-242410200"/>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583993956"/>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711539" w:rsidRDefault="00A86EAF" w:rsidP="00711539">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the potential usage of pre-nuptial agreements and their enforceability to minimise future property disputes; and</w:t>
            </w:r>
          </w:p>
        </w:tc>
        <w:tc>
          <w:tcPr>
            <w:tcW w:w="1017" w:type="dxa"/>
          </w:tcPr>
          <w:p w:rsidR="00DC3D2B" w:rsidRDefault="00322126">
            <w:sdt>
              <w:sdtPr>
                <w:id w:val="-1875684724"/>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134771999"/>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r w:rsidR="00DC3D2B" w:rsidRPr="007D74DE" w:rsidTr="00DA5903">
        <w:trPr>
          <w:trHeight w:val="186"/>
        </w:trPr>
        <w:tc>
          <w:tcPr>
            <w:tcW w:w="10152" w:type="dxa"/>
            <w:vAlign w:val="center"/>
          </w:tcPr>
          <w:p w:rsidR="00DC3D2B" w:rsidRPr="00A86EAF" w:rsidRDefault="00A86EAF" w:rsidP="00A86EAF">
            <w:pPr>
              <w:pStyle w:val="Default"/>
              <w:numPr>
                <w:ilvl w:val="0"/>
                <w:numId w:val="3"/>
              </w:numPr>
              <w:ind w:right="317"/>
              <w:rPr>
                <w:rFonts w:asciiTheme="minorHAnsi" w:hAnsiTheme="minorHAnsi"/>
                <w:sz w:val="22"/>
                <w:szCs w:val="22"/>
                <w:lang w:val="en"/>
              </w:rPr>
            </w:pPr>
            <w:r w:rsidRPr="00A86EAF">
              <w:rPr>
                <w:rFonts w:asciiTheme="minorHAnsi" w:hAnsiTheme="minorHAnsi"/>
                <w:sz w:val="22"/>
                <w:szCs w:val="22"/>
                <w:lang w:val="en"/>
              </w:rPr>
              <w:t>any related matters</w:t>
            </w:r>
          </w:p>
        </w:tc>
        <w:tc>
          <w:tcPr>
            <w:tcW w:w="1017" w:type="dxa"/>
          </w:tcPr>
          <w:p w:rsidR="00DC3D2B" w:rsidRDefault="00322126">
            <w:sdt>
              <w:sdtPr>
                <w:id w:val="1534082603"/>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Yes                 </w:t>
            </w:r>
            <w:sdt>
              <w:sdtPr>
                <w:id w:val="1152491514"/>
                <w14:checkbox>
                  <w14:checked w14:val="0"/>
                  <w14:checkedState w14:val="2612" w14:font="MS Gothic"/>
                  <w14:uncheckedState w14:val="2610" w14:font="MS Gothic"/>
                </w14:checkbox>
              </w:sdtPr>
              <w:sdtEndPr/>
              <w:sdtContent>
                <w:r w:rsidR="00DC3D2B" w:rsidRPr="00BD1929">
                  <w:rPr>
                    <w:rFonts w:ascii="MS Gothic" w:eastAsia="MS Gothic" w:hAnsi="MS Gothic" w:cs="MS Gothic" w:hint="eastAsia"/>
                  </w:rPr>
                  <w:t>☐</w:t>
                </w:r>
              </w:sdtContent>
            </w:sdt>
            <w:r w:rsidR="00DC3D2B" w:rsidRPr="00BD1929">
              <w:t xml:space="preserve"> No</w:t>
            </w:r>
          </w:p>
        </w:tc>
      </w:tr>
    </w:tbl>
    <w:p w:rsidR="00DC3D2B" w:rsidRDefault="00DC3D2B" w:rsidP="00B31548">
      <w:pPr>
        <w:spacing w:before="0" w:after="0"/>
      </w:pPr>
    </w:p>
    <w:p w:rsidR="00E04615" w:rsidRDefault="00E04615">
      <w:pPr>
        <w:spacing w:before="0" w:after="0"/>
      </w:pPr>
      <w:r>
        <w:br w:type="page"/>
      </w:r>
    </w:p>
    <w:tbl>
      <w:tblPr>
        <w:tblStyle w:val="TableGrid"/>
        <w:tblW w:w="111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9"/>
      </w:tblGrid>
      <w:tr w:rsidR="00E04615" w:rsidRPr="003442D2" w:rsidTr="00CC1A91">
        <w:trPr>
          <w:trHeight w:val="322"/>
        </w:trPr>
        <w:tc>
          <w:tcPr>
            <w:tcW w:w="11169" w:type="dxa"/>
            <w:vAlign w:val="center"/>
          </w:tcPr>
          <w:p w:rsidR="00E04615" w:rsidRPr="00DC3D2B" w:rsidRDefault="00E04615" w:rsidP="00CC1A91">
            <w:pPr>
              <w:rPr>
                <w:b/>
                <w:szCs w:val="22"/>
              </w:rPr>
            </w:pPr>
            <w:r>
              <w:rPr>
                <w:b/>
                <w:szCs w:val="22"/>
              </w:rPr>
              <w:lastRenderedPageBreak/>
              <w:t>Your submission</w:t>
            </w:r>
          </w:p>
          <w:p w:rsidR="00E04615" w:rsidRDefault="00E04615" w:rsidP="00E04615">
            <w:pPr>
              <w:rPr>
                <w:i/>
                <w:szCs w:val="22"/>
              </w:rPr>
            </w:pPr>
            <w:r w:rsidRPr="00DC3D2B">
              <w:rPr>
                <w:i/>
                <w:szCs w:val="22"/>
              </w:rPr>
              <w:t xml:space="preserve">Please </w:t>
            </w:r>
            <w:r>
              <w:rPr>
                <w:i/>
                <w:szCs w:val="22"/>
              </w:rPr>
              <w:t xml:space="preserve">provide a brief summary </w:t>
            </w:r>
            <w:r w:rsidRPr="00EE54FF">
              <w:rPr>
                <w:i/>
                <w:szCs w:val="22"/>
              </w:rPr>
              <w:t xml:space="preserve">of your </w:t>
            </w:r>
            <w:r w:rsidR="001A6899" w:rsidRPr="00EE54FF">
              <w:rPr>
                <w:i/>
                <w:szCs w:val="22"/>
              </w:rPr>
              <w:t>experience and any relevant issues</w:t>
            </w:r>
            <w:r w:rsidRPr="00EE54FF">
              <w:rPr>
                <w:i/>
                <w:szCs w:val="22"/>
              </w:rPr>
              <w:t>. Your</w:t>
            </w:r>
            <w:r>
              <w:rPr>
                <w:i/>
                <w:szCs w:val="22"/>
              </w:rPr>
              <w:t xml:space="preserve"> submission should respond to one or more of the committee's Terms of Reference</w:t>
            </w:r>
          </w:p>
          <w:p w:rsidR="00E04615" w:rsidRDefault="00E04615" w:rsidP="00E04615">
            <w:pPr>
              <w:rPr>
                <w:i/>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6149E3" w:rsidRDefault="006149E3" w:rsidP="00E04615">
            <w:pPr>
              <w:rPr>
                <w:i/>
                <w:color w:val="0000FF"/>
                <w:szCs w:val="22"/>
              </w:rPr>
            </w:pPr>
          </w:p>
          <w:p w:rsidR="006149E3" w:rsidRDefault="006149E3" w:rsidP="00E04615">
            <w:pPr>
              <w:rPr>
                <w:i/>
                <w:color w:val="0000FF"/>
                <w:szCs w:val="22"/>
              </w:rPr>
            </w:pPr>
          </w:p>
          <w:p w:rsidR="006149E3" w:rsidRDefault="006149E3" w:rsidP="00E04615">
            <w:pPr>
              <w:rPr>
                <w:i/>
                <w:color w:val="0000FF"/>
                <w:szCs w:val="22"/>
              </w:rPr>
            </w:pPr>
          </w:p>
          <w:p w:rsidR="006149E3" w:rsidRDefault="006149E3" w:rsidP="00E04615">
            <w:pPr>
              <w:rPr>
                <w:i/>
                <w:color w:val="0000FF"/>
                <w:szCs w:val="22"/>
              </w:rPr>
            </w:pPr>
          </w:p>
          <w:p w:rsidR="006149E3" w:rsidRDefault="006149E3" w:rsidP="00E04615">
            <w:pPr>
              <w:rPr>
                <w:i/>
                <w:color w:val="0000FF"/>
                <w:szCs w:val="22"/>
              </w:rPr>
            </w:pPr>
          </w:p>
          <w:p w:rsidR="006149E3" w:rsidRDefault="006149E3" w:rsidP="00E04615">
            <w:pPr>
              <w:rPr>
                <w:i/>
                <w:color w:val="0000FF"/>
                <w:szCs w:val="22"/>
              </w:rPr>
            </w:pPr>
          </w:p>
          <w:p w:rsidR="006149E3" w:rsidRDefault="006149E3"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Default="00E04615" w:rsidP="00E04615">
            <w:pPr>
              <w:rPr>
                <w:i/>
                <w:color w:val="0000FF"/>
                <w:szCs w:val="22"/>
              </w:rPr>
            </w:pPr>
          </w:p>
          <w:p w:rsidR="00E04615" w:rsidRPr="00DC3D2B" w:rsidRDefault="00E04615" w:rsidP="00E04615">
            <w:pPr>
              <w:rPr>
                <w:i/>
                <w:color w:val="0000FF"/>
                <w:szCs w:val="22"/>
              </w:rPr>
            </w:pPr>
          </w:p>
        </w:tc>
      </w:tr>
    </w:tbl>
    <w:p w:rsidR="00E04615" w:rsidRDefault="00E04615" w:rsidP="006149E3">
      <w:pPr>
        <w:jc w:val="center"/>
      </w:pPr>
    </w:p>
    <w:p w:rsidR="006149E3" w:rsidRPr="006149E3" w:rsidRDefault="006149E3" w:rsidP="006149E3">
      <w:pPr>
        <w:spacing w:before="0" w:after="0"/>
        <w:jc w:val="center"/>
      </w:pPr>
      <w:r w:rsidRPr="00EE54FF">
        <w:rPr>
          <w:b/>
        </w:rPr>
        <w:t xml:space="preserve">If </w:t>
      </w:r>
      <w:r w:rsidR="001A6899" w:rsidRPr="00EE54FF">
        <w:rPr>
          <w:b/>
        </w:rPr>
        <w:t xml:space="preserve">there is insufficient room above to summarise your experience and relevant issues, please attach an </w:t>
      </w:r>
      <w:proofErr w:type="spellStart"/>
      <w:r w:rsidR="001A6899" w:rsidRPr="00EE54FF">
        <w:rPr>
          <w:b/>
        </w:rPr>
        <w:t>addititional</w:t>
      </w:r>
      <w:proofErr w:type="spellEnd"/>
      <w:r w:rsidR="001A6899" w:rsidRPr="00EE54FF">
        <w:rPr>
          <w:b/>
        </w:rPr>
        <w:t xml:space="preserve"> page to this submission.</w:t>
      </w:r>
      <w:r w:rsidR="001A6899">
        <w:rPr>
          <w:b/>
        </w:rPr>
        <w:t xml:space="preserve"> </w:t>
      </w:r>
    </w:p>
    <w:p w:rsidR="006149E3" w:rsidRDefault="006149E3">
      <w:pPr>
        <w:spacing w:before="0" w:after="0"/>
      </w:pPr>
      <w:r>
        <w:br w:type="page"/>
      </w:r>
    </w:p>
    <w:tbl>
      <w:tblPr>
        <w:tblStyle w:val="TableGrid"/>
        <w:tblW w:w="111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9"/>
      </w:tblGrid>
      <w:tr w:rsidR="00DC3D2B" w:rsidRPr="003442D2" w:rsidTr="00DA5903">
        <w:trPr>
          <w:trHeight w:val="322"/>
        </w:trPr>
        <w:tc>
          <w:tcPr>
            <w:tcW w:w="11169" w:type="dxa"/>
            <w:vAlign w:val="center"/>
          </w:tcPr>
          <w:p w:rsidR="00DC3D2B" w:rsidRPr="00DC3D2B" w:rsidRDefault="00DC3D2B" w:rsidP="00CC1A91">
            <w:pPr>
              <w:rPr>
                <w:b/>
                <w:szCs w:val="22"/>
              </w:rPr>
            </w:pPr>
            <w:r>
              <w:rPr>
                <w:b/>
                <w:szCs w:val="22"/>
              </w:rPr>
              <w:lastRenderedPageBreak/>
              <w:t>Proposed solutions</w:t>
            </w:r>
          </w:p>
          <w:p w:rsidR="00DC3D2B" w:rsidRPr="00DC3D2B" w:rsidRDefault="00DC3D2B" w:rsidP="00E61943">
            <w:pPr>
              <w:rPr>
                <w:i/>
                <w:color w:val="0000FF"/>
                <w:szCs w:val="22"/>
              </w:rPr>
            </w:pPr>
            <w:r w:rsidRPr="00DC3D2B">
              <w:rPr>
                <w:i/>
                <w:szCs w:val="22"/>
              </w:rPr>
              <w:t xml:space="preserve">Please indicate </w:t>
            </w:r>
            <w:r>
              <w:rPr>
                <w:i/>
                <w:szCs w:val="22"/>
              </w:rPr>
              <w:t xml:space="preserve">any proposed solutions </w:t>
            </w:r>
            <w:r w:rsidR="00137B47">
              <w:rPr>
                <w:i/>
                <w:szCs w:val="22"/>
              </w:rPr>
              <w:t xml:space="preserve">you may have </w:t>
            </w:r>
            <w:r w:rsidR="00E61943">
              <w:rPr>
                <w:i/>
                <w:szCs w:val="22"/>
              </w:rPr>
              <w:t>that</w:t>
            </w:r>
            <w:r w:rsidR="00137B47">
              <w:rPr>
                <w:i/>
                <w:szCs w:val="22"/>
              </w:rPr>
              <w:t xml:space="preserve"> </w:t>
            </w:r>
            <w:r>
              <w:rPr>
                <w:i/>
                <w:szCs w:val="22"/>
              </w:rPr>
              <w:t xml:space="preserve">correspond to </w:t>
            </w:r>
            <w:r w:rsidRPr="00DC3D2B">
              <w:rPr>
                <w:i/>
                <w:szCs w:val="22"/>
              </w:rPr>
              <w:t xml:space="preserve">the committee's Terms of Reference </w:t>
            </w:r>
          </w:p>
        </w:tc>
      </w:tr>
      <w:tr w:rsidR="00A86EAF" w:rsidRPr="007D74DE" w:rsidTr="00DA5903">
        <w:trPr>
          <w:trHeight w:val="195"/>
        </w:trPr>
        <w:tc>
          <w:tcPr>
            <w:tcW w:w="11169" w:type="dxa"/>
            <w:vAlign w:val="center"/>
          </w:tcPr>
          <w:p w:rsidR="00A86EAF"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ongoing issues and further improvements relating to the interaction and information sharing between the family law system and state and territory child protection systems, and family and domestic violence jurisdictions</w:t>
            </w:r>
            <w:r w:rsidR="00711539">
              <w:rPr>
                <w:rFonts w:asciiTheme="minorHAnsi" w:hAnsiTheme="minorHAnsi"/>
                <w:i/>
                <w:sz w:val="22"/>
                <w:szCs w:val="22"/>
                <w:lang w:val="en"/>
              </w:rPr>
              <w:t xml:space="preserve">, including: </w:t>
            </w:r>
          </w:p>
          <w:p w:rsidR="00711539" w:rsidRDefault="00711539" w:rsidP="00711539">
            <w:pPr>
              <w:pStyle w:val="Default"/>
              <w:numPr>
                <w:ilvl w:val="1"/>
                <w:numId w:val="14"/>
              </w:numPr>
              <w:ind w:right="317"/>
              <w:rPr>
                <w:rFonts w:asciiTheme="minorHAnsi" w:hAnsiTheme="minorHAnsi"/>
                <w:i/>
                <w:sz w:val="22"/>
                <w:szCs w:val="22"/>
                <w:lang w:val="en"/>
              </w:rPr>
            </w:pPr>
            <w:r w:rsidRPr="00711539">
              <w:rPr>
                <w:rFonts w:asciiTheme="minorHAnsi" w:hAnsiTheme="minorHAnsi"/>
                <w:i/>
                <w:sz w:val="22"/>
                <w:szCs w:val="22"/>
                <w:lang w:val="en"/>
              </w:rPr>
              <w:t>the process, and evidential and legal standards and onuses of proof, in relation to the granting of domestic violence orders and apprehended violence orders, and</w:t>
            </w:r>
          </w:p>
          <w:p w:rsidR="00711539" w:rsidRPr="00711539" w:rsidRDefault="00711539" w:rsidP="00711539">
            <w:pPr>
              <w:pStyle w:val="Default"/>
              <w:numPr>
                <w:ilvl w:val="1"/>
                <w:numId w:val="14"/>
              </w:numPr>
              <w:ind w:right="317"/>
              <w:rPr>
                <w:rFonts w:asciiTheme="minorHAnsi" w:hAnsiTheme="minorHAnsi"/>
                <w:i/>
                <w:sz w:val="22"/>
                <w:szCs w:val="22"/>
                <w:lang w:val="en"/>
              </w:rPr>
            </w:pPr>
            <w:r w:rsidRPr="00711539">
              <w:rPr>
                <w:rFonts w:asciiTheme="minorHAnsi" w:hAnsiTheme="minorHAnsi"/>
                <w:i/>
                <w:sz w:val="22"/>
                <w:szCs w:val="22"/>
                <w:lang w:val="en"/>
              </w:rPr>
              <w:t>the visibility of, and consideration given to, domestic violence orders and apprehended violence orders in family law proceedings;</w:t>
            </w:r>
          </w:p>
          <w:p w:rsidR="00711539" w:rsidRDefault="00711539" w:rsidP="00711539">
            <w:pPr>
              <w:pStyle w:val="Default"/>
              <w:ind w:right="317"/>
              <w:rPr>
                <w:rFonts w:asciiTheme="minorHAnsi" w:hAnsiTheme="minorHAnsi"/>
                <w:i/>
                <w:sz w:val="22"/>
                <w:szCs w:val="22"/>
                <w:lang w:val="en"/>
              </w:rPr>
            </w:pPr>
          </w:p>
          <w:p w:rsidR="00711539" w:rsidRDefault="00711539" w:rsidP="00711539">
            <w:pPr>
              <w:pStyle w:val="Default"/>
              <w:ind w:right="317"/>
              <w:rPr>
                <w:rFonts w:asciiTheme="minorHAnsi" w:hAnsiTheme="minorHAnsi"/>
                <w:i/>
                <w:sz w:val="22"/>
                <w:szCs w:val="22"/>
                <w:lang w:val="en"/>
              </w:rPr>
            </w:pPr>
          </w:p>
          <w:p w:rsidR="00711539" w:rsidRDefault="00711539" w:rsidP="00711539">
            <w:pPr>
              <w:pStyle w:val="Default"/>
              <w:ind w:right="317"/>
              <w:rPr>
                <w:rFonts w:asciiTheme="minorHAnsi" w:hAnsiTheme="minorHAnsi"/>
                <w:i/>
                <w:sz w:val="22"/>
                <w:szCs w:val="22"/>
                <w:lang w:val="en"/>
              </w:rPr>
            </w:pPr>
          </w:p>
          <w:p w:rsidR="00357182" w:rsidRDefault="00357182" w:rsidP="00711539">
            <w:pPr>
              <w:pStyle w:val="Default"/>
              <w:ind w:right="317"/>
              <w:rPr>
                <w:rFonts w:asciiTheme="minorHAnsi" w:hAnsiTheme="minorHAnsi"/>
                <w:i/>
                <w:sz w:val="22"/>
                <w:szCs w:val="22"/>
                <w:lang w:val="en"/>
              </w:rPr>
            </w:pPr>
          </w:p>
          <w:p w:rsidR="00711539" w:rsidRPr="00711539" w:rsidRDefault="00711539" w:rsidP="00711539">
            <w:pPr>
              <w:pStyle w:val="Default"/>
              <w:ind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the appropriateness of family court powers to ensure parties in family law proceedings provide truthful and complete evidence, and the ability of the court to make orders for non-compliance and the efficacy of the enforcement of such orders;</w:t>
            </w:r>
          </w:p>
          <w:p w:rsidR="00711539" w:rsidRDefault="00711539" w:rsidP="00711539">
            <w:pPr>
              <w:pStyle w:val="Default"/>
              <w:ind w:right="317"/>
              <w:rPr>
                <w:rFonts w:asciiTheme="minorHAnsi" w:hAnsiTheme="minorHAnsi"/>
                <w:i/>
                <w:sz w:val="22"/>
                <w:szCs w:val="22"/>
                <w:lang w:val="en"/>
              </w:rPr>
            </w:pPr>
          </w:p>
          <w:p w:rsidR="00711539" w:rsidRDefault="00711539" w:rsidP="00711539">
            <w:pPr>
              <w:pStyle w:val="Default"/>
              <w:ind w:right="317"/>
              <w:rPr>
                <w:rFonts w:asciiTheme="minorHAnsi" w:hAnsiTheme="minorHAnsi"/>
                <w:i/>
                <w:sz w:val="22"/>
                <w:szCs w:val="22"/>
                <w:lang w:val="en"/>
              </w:rPr>
            </w:pPr>
          </w:p>
          <w:p w:rsidR="00357182" w:rsidRDefault="00357182" w:rsidP="00711539">
            <w:pPr>
              <w:pStyle w:val="Default"/>
              <w:ind w:right="317"/>
              <w:rPr>
                <w:rFonts w:asciiTheme="minorHAnsi" w:hAnsiTheme="minorHAnsi"/>
                <w:i/>
                <w:sz w:val="22"/>
                <w:szCs w:val="22"/>
                <w:lang w:val="en"/>
              </w:rPr>
            </w:pPr>
          </w:p>
          <w:p w:rsidR="00711539" w:rsidRPr="00711539" w:rsidRDefault="00711539" w:rsidP="00711539">
            <w:pPr>
              <w:pStyle w:val="Default"/>
              <w:ind w:right="317"/>
              <w:rPr>
                <w:rFonts w:asciiTheme="minorHAnsi" w:hAnsiTheme="minorHAnsi"/>
                <w:i/>
                <w:sz w:val="22"/>
                <w:szCs w:val="22"/>
                <w:lang w:val="en"/>
              </w:rPr>
            </w:pPr>
          </w:p>
          <w:p w:rsidR="00A86EAF" w:rsidRPr="00711539" w:rsidRDefault="00A86EAF"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Pr="00711539"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beyond the proposed merger of the Family Court and the Federal Circuit Court any other reform that may be needed to the family law and the current structure of the Family Court and the Federal Circuit Court;</w:t>
            </w:r>
          </w:p>
          <w:p w:rsidR="00A86EAF" w:rsidRDefault="00A86EAF" w:rsidP="00711539">
            <w:pPr>
              <w:pStyle w:val="Default"/>
              <w:ind w:left="720" w:right="317"/>
              <w:rPr>
                <w:rFonts w:asciiTheme="minorHAnsi" w:hAnsiTheme="minorHAnsi"/>
                <w:i/>
                <w:sz w:val="22"/>
                <w:szCs w:val="22"/>
                <w:lang w:val="en"/>
              </w:rPr>
            </w:pPr>
          </w:p>
          <w:p w:rsidR="00711539" w:rsidRDefault="00711539" w:rsidP="00357182">
            <w:pPr>
              <w:pStyle w:val="Default"/>
              <w:ind w:right="317"/>
              <w:rPr>
                <w:rFonts w:asciiTheme="minorHAnsi" w:hAnsiTheme="minorHAnsi"/>
                <w:i/>
                <w:sz w:val="22"/>
                <w:szCs w:val="22"/>
                <w:lang w:val="en"/>
              </w:rPr>
            </w:pPr>
          </w:p>
          <w:p w:rsidR="00357182" w:rsidRDefault="00357182"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Pr="00711539"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 xml:space="preserve">the financial costs to families of family law proceedings, and options to reduce the financial impact, with particular focus on those instances where legal fees incurred by parties are disproportionate to the total property pool in dispute or are disproportionate to the objective level of complexity of parenting issues, and with consideration being given amongst other things to banning ‘disappointment fees’, and: </w:t>
            </w:r>
          </w:p>
          <w:p w:rsidR="00711539" w:rsidRPr="00711539" w:rsidRDefault="00A86EAF" w:rsidP="00711539">
            <w:pPr>
              <w:pStyle w:val="Default"/>
              <w:numPr>
                <w:ilvl w:val="1"/>
                <w:numId w:val="14"/>
              </w:numPr>
              <w:ind w:right="317"/>
              <w:rPr>
                <w:rFonts w:asciiTheme="minorHAnsi" w:hAnsiTheme="minorHAnsi"/>
                <w:i/>
                <w:sz w:val="22"/>
                <w:szCs w:val="22"/>
                <w:lang w:val="en"/>
              </w:rPr>
            </w:pPr>
            <w:r w:rsidRPr="00711539">
              <w:rPr>
                <w:rFonts w:asciiTheme="minorHAnsi" w:hAnsiTheme="minorHAnsi"/>
                <w:i/>
                <w:sz w:val="22"/>
                <w:szCs w:val="22"/>
                <w:lang w:val="en"/>
              </w:rPr>
              <w:t>capping total fees by reference to the total pool of assets in dispute, or any other regulatory option to prevent disproportionate legal fees being charged in family law matters, and</w:t>
            </w:r>
          </w:p>
          <w:p w:rsidR="00A86EAF" w:rsidRPr="00711539" w:rsidRDefault="00A86EAF" w:rsidP="00711539">
            <w:pPr>
              <w:pStyle w:val="Default"/>
              <w:numPr>
                <w:ilvl w:val="1"/>
                <w:numId w:val="14"/>
              </w:numPr>
              <w:ind w:right="317"/>
              <w:rPr>
                <w:rFonts w:asciiTheme="minorHAnsi" w:hAnsiTheme="minorHAnsi"/>
                <w:i/>
                <w:sz w:val="22"/>
                <w:szCs w:val="22"/>
                <w:lang w:val="en"/>
              </w:rPr>
            </w:pPr>
            <w:r w:rsidRPr="00711539">
              <w:rPr>
                <w:rFonts w:asciiTheme="minorHAnsi" w:hAnsiTheme="minorHAnsi"/>
                <w:i/>
                <w:sz w:val="22"/>
                <w:szCs w:val="22"/>
                <w:lang w:val="en"/>
              </w:rPr>
              <w:t>any mechanisms to improve the timely, efficient and effective resolution of property disputes in family law proceedings;</w:t>
            </w:r>
          </w:p>
          <w:p w:rsidR="00A86EAF" w:rsidRDefault="00A86EAF"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357182" w:rsidRDefault="00357182" w:rsidP="00357182">
            <w:pPr>
              <w:pStyle w:val="Default"/>
              <w:ind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Pr="00711539"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the effectiveness of the delivery of family law support services and family dispute resolution processes;</w:t>
            </w:r>
          </w:p>
          <w:p w:rsidR="00A86EAF" w:rsidRDefault="00A86EAF"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Default="00A86EAF" w:rsidP="00711539">
            <w:pPr>
              <w:pStyle w:val="Default"/>
              <w:keepNext/>
              <w:numPr>
                <w:ilvl w:val="0"/>
                <w:numId w:val="14"/>
              </w:numPr>
              <w:ind w:right="318"/>
              <w:rPr>
                <w:rFonts w:asciiTheme="minorHAnsi" w:hAnsiTheme="minorHAnsi"/>
                <w:i/>
                <w:sz w:val="22"/>
                <w:szCs w:val="22"/>
                <w:lang w:val="en"/>
              </w:rPr>
            </w:pPr>
            <w:r w:rsidRPr="00711539">
              <w:rPr>
                <w:rFonts w:asciiTheme="minorHAnsi" w:hAnsiTheme="minorHAnsi"/>
                <w:i/>
                <w:sz w:val="22"/>
                <w:szCs w:val="22"/>
                <w:lang w:val="en"/>
              </w:rPr>
              <w:lastRenderedPageBreak/>
              <w:t>the impacts of family law proceedings on the health, safety and wellbeing of children and families involved in those proceedings;</w:t>
            </w:r>
          </w:p>
          <w:p w:rsidR="00711539" w:rsidRPr="00711539" w:rsidRDefault="00711539" w:rsidP="00711539">
            <w:pPr>
              <w:pStyle w:val="Default"/>
              <w:keepNext/>
              <w:ind w:left="720" w:right="318"/>
              <w:rPr>
                <w:rFonts w:asciiTheme="minorHAnsi" w:hAnsiTheme="minorHAnsi"/>
                <w:i/>
                <w:sz w:val="22"/>
                <w:szCs w:val="22"/>
                <w:lang w:val="en"/>
              </w:rPr>
            </w:pPr>
          </w:p>
          <w:p w:rsidR="00A86EAF" w:rsidRDefault="00A86EAF" w:rsidP="00711539">
            <w:pPr>
              <w:pStyle w:val="Default"/>
              <w:keepNext/>
              <w:ind w:left="720" w:right="318"/>
              <w:rPr>
                <w:rFonts w:asciiTheme="minorHAnsi" w:hAnsiTheme="minorHAnsi"/>
                <w:i/>
                <w:sz w:val="22"/>
                <w:szCs w:val="22"/>
                <w:lang w:val="en"/>
              </w:rPr>
            </w:pPr>
          </w:p>
          <w:p w:rsidR="00711539" w:rsidRDefault="00711539" w:rsidP="00711539">
            <w:pPr>
              <w:pStyle w:val="Default"/>
              <w:keepNext/>
              <w:ind w:left="720" w:right="318"/>
              <w:rPr>
                <w:rFonts w:asciiTheme="minorHAnsi" w:hAnsiTheme="minorHAnsi"/>
                <w:i/>
                <w:sz w:val="22"/>
                <w:szCs w:val="22"/>
                <w:lang w:val="en"/>
              </w:rPr>
            </w:pPr>
          </w:p>
          <w:p w:rsidR="00711539" w:rsidRDefault="00711539" w:rsidP="00711539">
            <w:pPr>
              <w:pStyle w:val="Default"/>
              <w:keepNext/>
              <w:ind w:left="720" w:right="318"/>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Pr="00711539"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any issues arising for grandparent carers in family law matters and family law court proceedings;</w:t>
            </w:r>
          </w:p>
          <w:p w:rsidR="00A86EAF" w:rsidRDefault="00A86EAF"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Pr="00711539"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any further avenues to improve the performance and monitoring of professionals involved in family law proceedings and the resolution of disputes, including agencies, family law practitioners, family law experts and report writers, the staff and judicial officers of the courts, and family dispute resolution practitioners;</w:t>
            </w:r>
          </w:p>
          <w:p w:rsidR="00A86EAF" w:rsidRDefault="00A86EAF"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Pr="00711539"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any improvements to the interaction between the family law system and the child support system;</w:t>
            </w:r>
          </w:p>
          <w:p w:rsidR="00A86EAF" w:rsidRDefault="00A86EAF"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the potential usage of pre-nuptial agreements and their enforceability to minimise future property disputes; and</w:t>
            </w: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p w:rsidR="00A86EAF" w:rsidRPr="00711539" w:rsidRDefault="00A86EAF" w:rsidP="00711539">
            <w:pPr>
              <w:pStyle w:val="Default"/>
              <w:ind w:left="720" w:right="317"/>
              <w:rPr>
                <w:rFonts w:asciiTheme="minorHAnsi" w:hAnsiTheme="minorHAnsi"/>
                <w:i/>
                <w:sz w:val="22"/>
                <w:szCs w:val="22"/>
                <w:lang w:val="en"/>
              </w:rPr>
            </w:pPr>
          </w:p>
        </w:tc>
      </w:tr>
      <w:tr w:rsidR="00A86EAF" w:rsidRPr="007D74DE" w:rsidTr="00DA5903">
        <w:trPr>
          <w:trHeight w:val="186"/>
        </w:trPr>
        <w:tc>
          <w:tcPr>
            <w:tcW w:w="11169" w:type="dxa"/>
            <w:vAlign w:val="center"/>
          </w:tcPr>
          <w:p w:rsidR="00A86EAF" w:rsidRPr="00711539" w:rsidRDefault="00A86EAF" w:rsidP="00711539">
            <w:pPr>
              <w:pStyle w:val="Default"/>
              <w:numPr>
                <w:ilvl w:val="0"/>
                <w:numId w:val="14"/>
              </w:numPr>
              <w:ind w:right="317"/>
              <w:rPr>
                <w:rFonts w:asciiTheme="minorHAnsi" w:hAnsiTheme="minorHAnsi"/>
                <w:i/>
                <w:sz w:val="22"/>
                <w:szCs w:val="22"/>
                <w:lang w:val="en"/>
              </w:rPr>
            </w:pPr>
            <w:r w:rsidRPr="00711539">
              <w:rPr>
                <w:rFonts w:asciiTheme="minorHAnsi" w:hAnsiTheme="minorHAnsi"/>
                <w:i/>
                <w:sz w:val="22"/>
                <w:szCs w:val="22"/>
                <w:lang w:val="en"/>
              </w:rPr>
              <w:t>any related matters</w:t>
            </w: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Default="00711539" w:rsidP="00711539">
            <w:pPr>
              <w:pStyle w:val="Default"/>
              <w:ind w:left="720" w:right="317"/>
              <w:rPr>
                <w:rFonts w:asciiTheme="minorHAnsi" w:hAnsiTheme="minorHAnsi"/>
                <w:i/>
                <w:sz w:val="22"/>
                <w:szCs w:val="22"/>
                <w:lang w:val="en"/>
              </w:rPr>
            </w:pPr>
          </w:p>
          <w:p w:rsidR="00711539" w:rsidRPr="00711539" w:rsidRDefault="00711539" w:rsidP="00711539">
            <w:pPr>
              <w:pStyle w:val="Default"/>
              <w:ind w:left="720" w:right="317"/>
              <w:rPr>
                <w:rFonts w:asciiTheme="minorHAnsi" w:hAnsiTheme="minorHAnsi"/>
                <w:i/>
                <w:sz w:val="22"/>
                <w:szCs w:val="22"/>
                <w:lang w:val="en"/>
              </w:rPr>
            </w:pPr>
          </w:p>
        </w:tc>
      </w:tr>
    </w:tbl>
    <w:p w:rsidR="00625F27" w:rsidRDefault="00625F27" w:rsidP="00AD1E50">
      <w:pPr>
        <w:jc w:val="center"/>
      </w:pPr>
    </w:p>
    <w:p w:rsidR="001A6899" w:rsidRPr="006149E3" w:rsidRDefault="001A6899" w:rsidP="001A6899">
      <w:pPr>
        <w:spacing w:before="0" w:after="0"/>
        <w:jc w:val="center"/>
      </w:pPr>
      <w:r w:rsidRPr="00EE54FF">
        <w:rPr>
          <w:b/>
        </w:rPr>
        <w:t xml:space="preserve">If there </w:t>
      </w:r>
      <w:proofErr w:type="gramStart"/>
      <w:r w:rsidRPr="00EE54FF">
        <w:rPr>
          <w:b/>
        </w:rPr>
        <w:t xml:space="preserve">is insufficient room above to </w:t>
      </w:r>
      <w:proofErr w:type="spellStart"/>
      <w:r w:rsidRPr="00EE54FF">
        <w:rPr>
          <w:b/>
        </w:rPr>
        <w:t>dicuss</w:t>
      </w:r>
      <w:proofErr w:type="spellEnd"/>
      <w:r w:rsidRPr="00EE54FF">
        <w:rPr>
          <w:b/>
        </w:rPr>
        <w:t xml:space="preserve"> your proposed solutions</w:t>
      </w:r>
      <w:proofErr w:type="gramEnd"/>
      <w:r w:rsidRPr="00EE54FF">
        <w:rPr>
          <w:b/>
        </w:rPr>
        <w:t>, please attach additional pages</w:t>
      </w:r>
      <w:r w:rsidR="00AD1E50" w:rsidRPr="00EE54FF">
        <w:rPr>
          <w:b/>
        </w:rPr>
        <w:t xml:space="preserve"> to this submission</w:t>
      </w:r>
      <w:r w:rsidRPr="00EE54FF">
        <w:rPr>
          <w:b/>
        </w:rPr>
        <w:t>.</w:t>
      </w:r>
      <w:r>
        <w:rPr>
          <w:b/>
        </w:rPr>
        <w:t xml:space="preserve"> </w:t>
      </w:r>
    </w:p>
    <w:p w:rsidR="00A20422" w:rsidRDefault="00A20422" w:rsidP="00B31548">
      <w:pPr>
        <w:spacing w:before="0" w:after="0"/>
      </w:pPr>
      <w:bookmarkStart w:id="0" w:name="_GoBack"/>
      <w:bookmarkEnd w:id="0"/>
    </w:p>
    <w:p w:rsidR="00A20422" w:rsidRDefault="00A20422" w:rsidP="00B31548">
      <w:pPr>
        <w:spacing w:before="0" w:after="0"/>
      </w:pPr>
    </w:p>
    <w:p w:rsidR="00A20422" w:rsidRDefault="00A20422" w:rsidP="00B31548">
      <w:pPr>
        <w:spacing w:before="0" w:after="0"/>
      </w:pPr>
    </w:p>
    <w:p w:rsidR="00A20422" w:rsidRDefault="00A20422" w:rsidP="00B31548">
      <w:pPr>
        <w:spacing w:before="0" w:after="0"/>
      </w:pPr>
    </w:p>
    <w:p w:rsidR="00A20422" w:rsidRDefault="00A20422" w:rsidP="00B31548">
      <w:pPr>
        <w:spacing w:before="0" w:after="0"/>
      </w:pPr>
    </w:p>
    <w:sectPr w:rsidR="00A20422" w:rsidSect="0009704C">
      <w:headerReference w:type="even" r:id="rId12"/>
      <w:headerReference w:type="default" r:id="rId13"/>
      <w:footerReference w:type="default" r:id="rId14"/>
      <w:headerReference w:type="first" r:id="rId15"/>
      <w:type w:val="continuous"/>
      <w:pgSz w:w="11906" w:h="16838"/>
      <w:pgMar w:top="851" w:right="1440" w:bottom="851" w:left="1440" w:header="720" w:footer="3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6F" w:rsidRDefault="00F32B6F">
      <w:r>
        <w:separator/>
      </w:r>
    </w:p>
  </w:endnote>
  <w:endnote w:type="continuationSeparator" w:id="0">
    <w:p w:rsidR="00F32B6F" w:rsidRDefault="00F3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741922"/>
      <w:docPartObj>
        <w:docPartGallery w:val="Page Numbers (Bottom of Page)"/>
        <w:docPartUnique/>
      </w:docPartObj>
    </w:sdtPr>
    <w:sdtEndPr>
      <w:rPr>
        <w:noProof/>
      </w:rPr>
    </w:sdtEndPr>
    <w:sdtContent>
      <w:p w:rsidR="00506773" w:rsidRDefault="00506773">
        <w:pPr>
          <w:pStyle w:val="Footer"/>
          <w:jc w:val="center"/>
        </w:pPr>
        <w:r w:rsidRPr="00506773">
          <w:rPr>
            <w:rFonts w:asciiTheme="minorHAnsi" w:hAnsiTheme="minorHAnsi"/>
            <w:sz w:val="20"/>
            <w:szCs w:val="20"/>
          </w:rPr>
          <w:fldChar w:fldCharType="begin"/>
        </w:r>
        <w:r w:rsidRPr="00506773">
          <w:rPr>
            <w:rFonts w:asciiTheme="minorHAnsi" w:hAnsiTheme="minorHAnsi"/>
            <w:sz w:val="20"/>
            <w:szCs w:val="20"/>
          </w:rPr>
          <w:instrText xml:space="preserve"> PAGE   \* MERGEFORMAT </w:instrText>
        </w:r>
        <w:r w:rsidRPr="00506773">
          <w:rPr>
            <w:rFonts w:asciiTheme="minorHAnsi" w:hAnsiTheme="minorHAnsi"/>
            <w:sz w:val="20"/>
            <w:szCs w:val="20"/>
          </w:rPr>
          <w:fldChar w:fldCharType="separate"/>
        </w:r>
        <w:r w:rsidR="00322126">
          <w:rPr>
            <w:rFonts w:asciiTheme="minorHAnsi" w:hAnsiTheme="minorHAnsi"/>
            <w:noProof/>
            <w:sz w:val="20"/>
            <w:szCs w:val="20"/>
          </w:rPr>
          <w:t>2</w:t>
        </w:r>
        <w:r w:rsidRPr="00506773">
          <w:rPr>
            <w:rFonts w:asciiTheme="minorHAnsi" w:hAnsiTheme="minorHAnsi"/>
            <w:noProof/>
            <w:sz w:val="20"/>
            <w:szCs w:val="20"/>
          </w:rPr>
          <w:fldChar w:fldCharType="end"/>
        </w:r>
      </w:p>
    </w:sdtContent>
  </w:sdt>
  <w:p w:rsidR="00506773" w:rsidRDefault="00506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6F" w:rsidRDefault="00F32B6F">
      <w:r>
        <w:separator/>
      </w:r>
    </w:p>
  </w:footnote>
  <w:footnote w:type="continuationSeparator" w:id="0">
    <w:p w:rsidR="00F32B6F" w:rsidRDefault="00F32B6F">
      <w:r>
        <w:continuationSeparator/>
      </w:r>
    </w:p>
  </w:footnote>
  <w:footnote w:id="1">
    <w:p w:rsidR="00DC3D2B" w:rsidRPr="00A86EAF" w:rsidRDefault="00DC3D2B" w:rsidP="00DC3D2B">
      <w:pPr>
        <w:pStyle w:val="FootnoteText"/>
        <w:rPr>
          <w:rFonts w:asciiTheme="minorHAnsi" w:hAnsiTheme="minorHAnsi"/>
        </w:rPr>
      </w:pPr>
      <w:r w:rsidRPr="00A86EAF">
        <w:rPr>
          <w:rStyle w:val="FootnoteReference"/>
          <w:rFonts w:asciiTheme="minorHAnsi" w:hAnsiTheme="minorHAnsi"/>
        </w:rPr>
        <w:footnoteRef/>
      </w:r>
      <w:r w:rsidRPr="00A86EAF">
        <w:rPr>
          <w:rFonts w:asciiTheme="minorHAnsi" w:hAnsiTheme="minorHAnsi"/>
        </w:rPr>
        <w:t xml:space="preserve"> </w:t>
      </w:r>
      <w:r w:rsidRPr="00A86EAF">
        <w:rPr>
          <w:rStyle w:val="Strong"/>
          <w:rFonts w:asciiTheme="minorHAnsi" w:hAnsiTheme="minorHAnsi"/>
          <w:b w:val="0"/>
          <w:shd w:val="clear" w:color="auto" w:fill="FFFFFF"/>
        </w:rPr>
        <w:t xml:space="preserve">Confidential submissions are only read by members of the committee and the secretariat. </w:t>
      </w:r>
    </w:p>
  </w:footnote>
  <w:footnote w:id="2">
    <w:p w:rsidR="00A86EAF" w:rsidRDefault="00A86EAF" w:rsidP="00A86EAF">
      <w:pPr>
        <w:pStyle w:val="FootnoteText"/>
      </w:pPr>
      <w:r w:rsidRPr="00A86EAF">
        <w:rPr>
          <w:rStyle w:val="FootnoteReference"/>
          <w:rFonts w:asciiTheme="minorHAnsi" w:hAnsiTheme="minorHAnsi"/>
        </w:rPr>
        <w:footnoteRef/>
      </w:r>
      <w:r w:rsidRPr="00A86EAF">
        <w:rPr>
          <w:rFonts w:asciiTheme="minorHAnsi" w:hAnsiTheme="minorHAnsi"/>
        </w:rPr>
        <w:t xml:space="preserve"> </w:t>
      </w:r>
      <w:r w:rsidRPr="00A86EAF">
        <w:rPr>
          <w:rStyle w:val="Strong"/>
          <w:rFonts w:asciiTheme="minorHAnsi" w:hAnsiTheme="minorHAnsi"/>
          <w:b w:val="0"/>
          <w:shd w:val="clear" w:color="auto" w:fill="FFFFFF"/>
        </w:rPr>
        <w:t xml:space="preserve">Name withheld submissions are published on the committee's website with </w:t>
      </w:r>
      <w:r w:rsidR="0028193E">
        <w:rPr>
          <w:rStyle w:val="Strong"/>
          <w:rFonts w:asciiTheme="minorHAnsi" w:hAnsiTheme="minorHAnsi"/>
          <w:b w:val="0"/>
          <w:shd w:val="clear" w:color="auto" w:fill="FFFFFF"/>
        </w:rPr>
        <w:t xml:space="preserve">all </w:t>
      </w:r>
      <w:r w:rsidRPr="00A86EAF">
        <w:rPr>
          <w:rStyle w:val="Strong"/>
          <w:rFonts w:asciiTheme="minorHAnsi" w:hAnsiTheme="minorHAnsi"/>
          <w:b w:val="0"/>
          <w:shd w:val="clear" w:color="auto" w:fill="FFFFFF"/>
        </w:rPr>
        <w:t>personal information redacted.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77" w:rsidRDefault="00576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77" w:rsidRDefault="00576277" w:rsidP="004C6F2E">
    <w:pPr>
      <w:pStyle w:val="Header"/>
      <w:tabs>
        <w:tab w:val="clear" w:pos="4153"/>
        <w:tab w:val="clear" w:pos="8306"/>
        <w:tab w:val="left" w:pos="91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35" w:rsidRPr="00AA1ADD" w:rsidRDefault="00FA6235" w:rsidP="00FA6235">
    <w:pPr>
      <w:pStyle w:val="BodyText"/>
      <w:spacing w:before="120"/>
      <w:rPr>
        <w:rFonts w:asciiTheme="majorHAnsi" w:hAnsiTheme="majorHAnsi"/>
        <w:color w:val="003399"/>
        <w:sz w:val="32"/>
      </w:rPr>
    </w:pPr>
    <w:r w:rsidRPr="00AA1ADD">
      <w:rPr>
        <w:rFonts w:ascii="Times New Roman"/>
        <w:noProof/>
        <w:color w:val="003399"/>
        <w:sz w:val="20"/>
      </w:rPr>
      <w:drawing>
        <wp:anchor distT="0" distB="0" distL="114300" distR="114300" simplePos="0" relativeHeight="251659264" behindDoc="0" locked="0" layoutInCell="1" allowOverlap="1" wp14:anchorId="607514BA" wp14:editId="06A8FD7D">
          <wp:simplePos x="0" y="0"/>
          <wp:positionH relativeFrom="margin">
            <wp:posOffset>-692150</wp:posOffset>
          </wp:positionH>
          <wp:positionV relativeFrom="margin">
            <wp:posOffset>-1015365</wp:posOffset>
          </wp:positionV>
          <wp:extent cx="1123315" cy="833755"/>
          <wp:effectExtent l="0" t="0" r="635" b="4445"/>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23315" cy="833755"/>
                  </a:xfrm>
                  <a:prstGeom prst="rect">
                    <a:avLst/>
                  </a:prstGeom>
                </pic:spPr>
              </pic:pic>
            </a:graphicData>
          </a:graphic>
        </wp:anchor>
      </w:drawing>
    </w:r>
    <w:r w:rsidR="00D05169" w:rsidRPr="00084C96">
      <w:t xml:space="preserve"> </w:t>
    </w:r>
    <w:bookmarkStart w:id="1" w:name="meeting_cover_pages"/>
    <w:bookmarkEnd w:id="1"/>
  </w:p>
  <w:p w:rsidR="00D05169" w:rsidRDefault="00FA6235" w:rsidP="00FA6235">
    <w:pPr>
      <w:pStyle w:val="Heading1"/>
      <w:spacing w:before="120" w:after="120"/>
      <w:ind w:left="0"/>
      <w:jc w:val="center"/>
      <w:rPr>
        <w:sz w:val="36"/>
      </w:rPr>
    </w:pPr>
    <w:r w:rsidRPr="00AA1ADD">
      <w:rPr>
        <w:sz w:val="36"/>
      </w:rPr>
      <w:t>JOINT SELECT COMMITTEE ON</w:t>
    </w:r>
    <w:r w:rsidRPr="00AA1ADD">
      <w:rPr>
        <w:sz w:val="36"/>
      </w:rPr>
      <w:br/>
      <w:t>AUSTRALIA'S FAMILY LAW SYSTEM</w:t>
    </w:r>
  </w:p>
  <w:p w:rsidR="00770EDC" w:rsidRPr="00770EDC" w:rsidRDefault="00770EDC" w:rsidP="00770EDC">
    <w:pPr>
      <w:jc w:val="center"/>
      <w:rPr>
        <w:rFonts w:ascii="Georgia" w:eastAsia="Calibri" w:hAnsi="Georgia"/>
        <w:color w:val="003D6A"/>
        <w:spacing w:val="-7"/>
        <w:sz w:val="36"/>
        <w:szCs w:val="36"/>
        <w:lang w:eastAsia="en-US"/>
      </w:rPr>
    </w:pPr>
    <w:r w:rsidRPr="00770EDC">
      <w:rPr>
        <w:rFonts w:ascii="Georgia" w:eastAsia="Calibri" w:hAnsi="Georgia"/>
        <w:color w:val="003D6A"/>
        <w:spacing w:val="-7"/>
        <w:sz w:val="36"/>
        <w:szCs w:val="36"/>
        <w:lang w:eastAsia="en-US"/>
      </w:rPr>
      <w:t>Individual witness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9DA"/>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3E0C2C"/>
    <w:multiLevelType w:val="hybridMultilevel"/>
    <w:tmpl w:val="5F0E179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984A38"/>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BC51B4A"/>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7981B88"/>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B52155A"/>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EC127F6"/>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8122324"/>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83C036E"/>
    <w:multiLevelType w:val="multilevel"/>
    <w:tmpl w:val="1A12A0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Verdana" w:eastAsia="Calibri" w:hAnsi="Verdana"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C50171E"/>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D4373E7"/>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F6842D0"/>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6D33EE7"/>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D062AEA"/>
    <w:multiLevelType w:val="multilevel"/>
    <w:tmpl w:val="8F9CB6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8"/>
  </w:num>
  <w:num w:numId="3">
    <w:abstractNumId w:val="6"/>
  </w:num>
  <w:num w:numId="4">
    <w:abstractNumId w:val="2"/>
  </w:num>
  <w:num w:numId="5">
    <w:abstractNumId w:val="9"/>
  </w:num>
  <w:num w:numId="6">
    <w:abstractNumId w:val="0"/>
  </w:num>
  <w:num w:numId="7">
    <w:abstractNumId w:val="10"/>
  </w:num>
  <w:num w:numId="8">
    <w:abstractNumId w:val="7"/>
  </w:num>
  <w:num w:numId="9">
    <w:abstractNumId w:val="11"/>
  </w:num>
  <w:num w:numId="10">
    <w:abstractNumId w:val="5"/>
  </w:num>
  <w:num w:numId="11">
    <w:abstractNumId w:val="13"/>
  </w:num>
  <w:num w:numId="12">
    <w:abstractNumId w:val="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5124A9F-F61C-476F-8098-4E6683AA80F7}"/>
    <w:docVar w:name="dgnword-eventsink" w:val="112742776"/>
  </w:docVars>
  <w:rsids>
    <w:rsidRoot w:val="00BE10E0"/>
    <w:rsid w:val="00044110"/>
    <w:rsid w:val="00070F48"/>
    <w:rsid w:val="00080461"/>
    <w:rsid w:val="000849F9"/>
    <w:rsid w:val="00084C96"/>
    <w:rsid w:val="0009704C"/>
    <w:rsid w:val="000D47BB"/>
    <w:rsid w:val="000E595F"/>
    <w:rsid w:val="001109C3"/>
    <w:rsid w:val="00113C26"/>
    <w:rsid w:val="00114B78"/>
    <w:rsid w:val="00130DDA"/>
    <w:rsid w:val="00137B47"/>
    <w:rsid w:val="001627C4"/>
    <w:rsid w:val="00177FA0"/>
    <w:rsid w:val="001841BA"/>
    <w:rsid w:val="001A6899"/>
    <w:rsid w:val="001A703C"/>
    <w:rsid w:val="001B28FE"/>
    <w:rsid w:val="001D3879"/>
    <w:rsid w:val="001E3F89"/>
    <w:rsid w:val="001E7D4C"/>
    <w:rsid w:val="00201B49"/>
    <w:rsid w:val="00205DD8"/>
    <w:rsid w:val="00211A4F"/>
    <w:rsid w:val="00215347"/>
    <w:rsid w:val="00246006"/>
    <w:rsid w:val="00264F4D"/>
    <w:rsid w:val="0026591A"/>
    <w:rsid w:val="0026677B"/>
    <w:rsid w:val="00273484"/>
    <w:rsid w:val="0028193E"/>
    <w:rsid w:val="00292CDF"/>
    <w:rsid w:val="002A5354"/>
    <w:rsid w:val="002C652D"/>
    <w:rsid w:val="002D7847"/>
    <w:rsid w:val="002F7290"/>
    <w:rsid w:val="00322126"/>
    <w:rsid w:val="003409C0"/>
    <w:rsid w:val="003442D2"/>
    <w:rsid w:val="00354F68"/>
    <w:rsid w:val="00357182"/>
    <w:rsid w:val="00382B44"/>
    <w:rsid w:val="00386ECC"/>
    <w:rsid w:val="00390164"/>
    <w:rsid w:val="003C003C"/>
    <w:rsid w:val="003C6FA9"/>
    <w:rsid w:val="003D02EF"/>
    <w:rsid w:val="003F175E"/>
    <w:rsid w:val="003F4B89"/>
    <w:rsid w:val="003F7CB5"/>
    <w:rsid w:val="00414236"/>
    <w:rsid w:val="004203EB"/>
    <w:rsid w:val="00446053"/>
    <w:rsid w:val="00452B93"/>
    <w:rsid w:val="0045402B"/>
    <w:rsid w:val="004565C7"/>
    <w:rsid w:val="00457C30"/>
    <w:rsid w:val="0049481E"/>
    <w:rsid w:val="004B44B4"/>
    <w:rsid w:val="004C0DD1"/>
    <w:rsid w:val="004C6F2E"/>
    <w:rsid w:val="004D09C8"/>
    <w:rsid w:val="004D10A6"/>
    <w:rsid w:val="004F5A0A"/>
    <w:rsid w:val="00506773"/>
    <w:rsid w:val="005149F3"/>
    <w:rsid w:val="00520A72"/>
    <w:rsid w:val="00533665"/>
    <w:rsid w:val="0054502E"/>
    <w:rsid w:val="0056285C"/>
    <w:rsid w:val="00576277"/>
    <w:rsid w:val="00587079"/>
    <w:rsid w:val="00592FC7"/>
    <w:rsid w:val="005A7202"/>
    <w:rsid w:val="005C3854"/>
    <w:rsid w:val="005C3936"/>
    <w:rsid w:val="005E0520"/>
    <w:rsid w:val="006149E3"/>
    <w:rsid w:val="00625F27"/>
    <w:rsid w:val="006511B9"/>
    <w:rsid w:val="0066157E"/>
    <w:rsid w:val="00662560"/>
    <w:rsid w:val="00673173"/>
    <w:rsid w:val="00691600"/>
    <w:rsid w:val="00693C16"/>
    <w:rsid w:val="006A6FC5"/>
    <w:rsid w:val="006C26AB"/>
    <w:rsid w:val="006C4206"/>
    <w:rsid w:val="006C42D0"/>
    <w:rsid w:val="006D39CB"/>
    <w:rsid w:val="00702424"/>
    <w:rsid w:val="00703AE7"/>
    <w:rsid w:val="00711539"/>
    <w:rsid w:val="00716991"/>
    <w:rsid w:val="00722C5E"/>
    <w:rsid w:val="00722DB9"/>
    <w:rsid w:val="00723C35"/>
    <w:rsid w:val="00731D51"/>
    <w:rsid w:val="00737CC5"/>
    <w:rsid w:val="00752B27"/>
    <w:rsid w:val="0075542A"/>
    <w:rsid w:val="00757479"/>
    <w:rsid w:val="0076110E"/>
    <w:rsid w:val="00761289"/>
    <w:rsid w:val="007667F1"/>
    <w:rsid w:val="00770EDC"/>
    <w:rsid w:val="007A772C"/>
    <w:rsid w:val="007C29AD"/>
    <w:rsid w:val="007D74DE"/>
    <w:rsid w:val="007F4BB1"/>
    <w:rsid w:val="007F60A7"/>
    <w:rsid w:val="00803EF4"/>
    <w:rsid w:val="00813FA0"/>
    <w:rsid w:val="008239F4"/>
    <w:rsid w:val="00834628"/>
    <w:rsid w:val="00845F1F"/>
    <w:rsid w:val="00855C87"/>
    <w:rsid w:val="008608AA"/>
    <w:rsid w:val="00861732"/>
    <w:rsid w:val="00890D93"/>
    <w:rsid w:val="008C5209"/>
    <w:rsid w:val="008F0EE8"/>
    <w:rsid w:val="00974311"/>
    <w:rsid w:val="00984E82"/>
    <w:rsid w:val="009A57AD"/>
    <w:rsid w:val="009C0A2F"/>
    <w:rsid w:val="009F198D"/>
    <w:rsid w:val="009F3D44"/>
    <w:rsid w:val="00A139EF"/>
    <w:rsid w:val="00A20422"/>
    <w:rsid w:val="00A247CC"/>
    <w:rsid w:val="00A30E83"/>
    <w:rsid w:val="00A31696"/>
    <w:rsid w:val="00A62B82"/>
    <w:rsid w:val="00A74B65"/>
    <w:rsid w:val="00A86EAF"/>
    <w:rsid w:val="00AB5874"/>
    <w:rsid w:val="00AC61B2"/>
    <w:rsid w:val="00AD1E50"/>
    <w:rsid w:val="00AE3A9F"/>
    <w:rsid w:val="00AF2094"/>
    <w:rsid w:val="00AF46FA"/>
    <w:rsid w:val="00B03BED"/>
    <w:rsid w:val="00B13167"/>
    <w:rsid w:val="00B20974"/>
    <w:rsid w:val="00B31548"/>
    <w:rsid w:val="00B77B2B"/>
    <w:rsid w:val="00B917B7"/>
    <w:rsid w:val="00B977BB"/>
    <w:rsid w:val="00BB75FD"/>
    <w:rsid w:val="00BD1D20"/>
    <w:rsid w:val="00BD2CA4"/>
    <w:rsid w:val="00BE10E0"/>
    <w:rsid w:val="00BE10FF"/>
    <w:rsid w:val="00BE1850"/>
    <w:rsid w:val="00BE22FC"/>
    <w:rsid w:val="00BE43D9"/>
    <w:rsid w:val="00BF451D"/>
    <w:rsid w:val="00C13AA6"/>
    <w:rsid w:val="00C3381E"/>
    <w:rsid w:val="00C454D5"/>
    <w:rsid w:val="00C47183"/>
    <w:rsid w:val="00C64EA3"/>
    <w:rsid w:val="00C658F7"/>
    <w:rsid w:val="00C80E8E"/>
    <w:rsid w:val="00C84203"/>
    <w:rsid w:val="00C9049E"/>
    <w:rsid w:val="00CB40B2"/>
    <w:rsid w:val="00CD1D67"/>
    <w:rsid w:val="00CE2A54"/>
    <w:rsid w:val="00CF6BB6"/>
    <w:rsid w:val="00D05169"/>
    <w:rsid w:val="00D05615"/>
    <w:rsid w:val="00D14E6D"/>
    <w:rsid w:val="00D3531B"/>
    <w:rsid w:val="00D3777A"/>
    <w:rsid w:val="00D52608"/>
    <w:rsid w:val="00D9342B"/>
    <w:rsid w:val="00D97D4A"/>
    <w:rsid w:val="00DA108E"/>
    <w:rsid w:val="00DA5903"/>
    <w:rsid w:val="00DC3D2B"/>
    <w:rsid w:val="00DD0CB6"/>
    <w:rsid w:val="00DD2585"/>
    <w:rsid w:val="00DD2A10"/>
    <w:rsid w:val="00DD4BFC"/>
    <w:rsid w:val="00DE1F25"/>
    <w:rsid w:val="00DE34BE"/>
    <w:rsid w:val="00E04615"/>
    <w:rsid w:val="00E248B0"/>
    <w:rsid w:val="00E30C88"/>
    <w:rsid w:val="00E54442"/>
    <w:rsid w:val="00E61943"/>
    <w:rsid w:val="00E63005"/>
    <w:rsid w:val="00E65C3B"/>
    <w:rsid w:val="00E7438B"/>
    <w:rsid w:val="00E80728"/>
    <w:rsid w:val="00E83793"/>
    <w:rsid w:val="00E96230"/>
    <w:rsid w:val="00EC600E"/>
    <w:rsid w:val="00EE54FF"/>
    <w:rsid w:val="00F32B6F"/>
    <w:rsid w:val="00F40732"/>
    <w:rsid w:val="00F40901"/>
    <w:rsid w:val="00F413F4"/>
    <w:rsid w:val="00F65FF7"/>
    <w:rsid w:val="00FA31CE"/>
    <w:rsid w:val="00FA6235"/>
    <w:rsid w:val="00FB0F83"/>
    <w:rsid w:val="00FD37AA"/>
    <w:rsid w:val="00FD7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89"/>
    <w:pPr>
      <w:spacing w:before="80" w:after="80"/>
    </w:pPr>
    <w:rPr>
      <w:rFonts w:ascii="Calibri" w:hAnsi="Calibri"/>
      <w:sz w:val="22"/>
      <w:szCs w:val="24"/>
    </w:rPr>
  </w:style>
  <w:style w:type="paragraph" w:styleId="Heading1">
    <w:name w:val="heading 1"/>
    <w:basedOn w:val="Normal"/>
    <w:next w:val="Normal"/>
    <w:link w:val="Heading1Char"/>
    <w:uiPriority w:val="9"/>
    <w:rsid w:val="00FA6235"/>
    <w:pPr>
      <w:pBdr>
        <w:bottom w:val="single" w:sz="4" w:space="4" w:color="003D6A"/>
      </w:pBdr>
      <w:spacing w:before="0" w:after="360"/>
      <w:ind w:left="454" w:right="284"/>
      <w:outlineLvl w:val="0"/>
    </w:pPr>
    <w:rPr>
      <w:rFonts w:ascii="Georgia" w:eastAsia="Calibri" w:hAnsi="Georgia"/>
      <w:color w:val="003D6A"/>
      <w:spacing w:val="-7"/>
      <w:sz w:val="60"/>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Normal">
    <w:name w:val="DPS Normal"/>
    <w:rsid w:val="004B44B4"/>
    <w:rPr>
      <w:rFonts w:ascii="Verdana" w:hAnsi="Verdana"/>
      <w:sz w:val="22"/>
      <w:szCs w:val="22"/>
    </w:rPr>
  </w:style>
  <w:style w:type="paragraph" w:styleId="Header">
    <w:name w:val="header"/>
    <w:basedOn w:val="Normal"/>
    <w:rsid w:val="004B44B4"/>
    <w:pPr>
      <w:tabs>
        <w:tab w:val="center" w:pos="4153"/>
        <w:tab w:val="right" w:pos="8306"/>
      </w:tabs>
    </w:pPr>
    <w:rPr>
      <w:rFonts w:ascii="Verdana" w:hAnsi="Verdana"/>
      <w:color w:val="000000"/>
      <w:szCs w:val="22"/>
    </w:rPr>
  </w:style>
  <w:style w:type="paragraph" w:styleId="Footer">
    <w:name w:val="footer"/>
    <w:basedOn w:val="Normal"/>
    <w:link w:val="FooterChar"/>
    <w:uiPriority w:val="99"/>
    <w:rsid w:val="004B44B4"/>
    <w:pPr>
      <w:tabs>
        <w:tab w:val="center" w:pos="4153"/>
        <w:tab w:val="right" w:pos="8306"/>
      </w:tabs>
    </w:pPr>
    <w:rPr>
      <w:rFonts w:ascii="Verdana" w:hAnsi="Verdana"/>
      <w:color w:val="000000"/>
      <w:szCs w:val="22"/>
    </w:rPr>
  </w:style>
  <w:style w:type="table" w:styleId="TableGrid">
    <w:name w:val="Table Grid"/>
    <w:aliases w:val="DPS Table Grid"/>
    <w:basedOn w:val="TableNormal"/>
    <w:rsid w:val="004B44B4"/>
    <w:rPr>
      <w:rFonts w:ascii="Verdana" w:hAnsi="Verdana"/>
      <w:sz w:val="22"/>
    </w:rPr>
    <w:tblPr/>
  </w:style>
  <w:style w:type="paragraph" w:styleId="BodyTextIndent">
    <w:name w:val="Body Text Indent"/>
    <w:basedOn w:val="Normal"/>
    <w:rsid w:val="004B44B4"/>
    <w:pPr>
      <w:spacing w:after="120"/>
      <w:ind w:left="283"/>
    </w:pPr>
    <w:rPr>
      <w:color w:val="000000"/>
    </w:rPr>
  </w:style>
  <w:style w:type="paragraph" w:styleId="BalloonText">
    <w:name w:val="Balloon Text"/>
    <w:basedOn w:val="Normal"/>
    <w:link w:val="BalloonTextChar"/>
    <w:uiPriority w:val="99"/>
    <w:semiHidden/>
    <w:unhideWhenUsed/>
    <w:rsid w:val="004C0DD1"/>
    <w:rPr>
      <w:rFonts w:ascii="Tahoma" w:hAnsi="Tahoma" w:cs="Tahoma"/>
      <w:sz w:val="16"/>
      <w:szCs w:val="16"/>
    </w:rPr>
  </w:style>
  <w:style w:type="character" w:customStyle="1" w:styleId="BalloonTextChar">
    <w:name w:val="Balloon Text Char"/>
    <w:basedOn w:val="DefaultParagraphFont"/>
    <w:link w:val="BalloonText"/>
    <w:uiPriority w:val="99"/>
    <w:semiHidden/>
    <w:rsid w:val="004C0DD1"/>
    <w:rPr>
      <w:rFonts w:ascii="Tahoma" w:hAnsi="Tahoma" w:cs="Tahoma"/>
      <w:sz w:val="16"/>
      <w:szCs w:val="16"/>
    </w:rPr>
  </w:style>
  <w:style w:type="character" w:styleId="CommentReference">
    <w:name w:val="annotation reference"/>
    <w:basedOn w:val="DefaultParagraphFont"/>
    <w:uiPriority w:val="99"/>
    <w:semiHidden/>
    <w:unhideWhenUsed/>
    <w:rsid w:val="008608AA"/>
    <w:rPr>
      <w:sz w:val="16"/>
      <w:szCs w:val="16"/>
    </w:rPr>
  </w:style>
  <w:style w:type="paragraph" w:styleId="CommentText">
    <w:name w:val="annotation text"/>
    <w:basedOn w:val="Normal"/>
    <w:link w:val="CommentTextChar"/>
    <w:uiPriority w:val="99"/>
    <w:semiHidden/>
    <w:unhideWhenUsed/>
    <w:rsid w:val="008608AA"/>
    <w:rPr>
      <w:sz w:val="20"/>
      <w:szCs w:val="20"/>
    </w:rPr>
  </w:style>
  <w:style w:type="character" w:customStyle="1" w:styleId="CommentTextChar">
    <w:name w:val="Comment Text Char"/>
    <w:basedOn w:val="DefaultParagraphFont"/>
    <w:link w:val="CommentText"/>
    <w:uiPriority w:val="99"/>
    <w:semiHidden/>
    <w:rsid w:val="008608AA"/>
  </w:style>
  <w:style w:type="paragraph" w:styleId="CommentSubject">
    <w:name w:val="annotation subject"/>
    <w:basedOn w:val="CommentText"/>
    <w:next w:val="CommentText"/>
    <w:link w:val="CommentSubjectChar"/>
    <w:uiPriority w:val="99"/>
    <w:semiHidden/>
    <w:unhideWhenUsed/>
    <w:rsid w:val="008608AA"/>
    <w:rPr>
      <w:b/>
      <w:bCs/>
    </w:rPr>
  </w:style>
  <w:style w:type="character" w:customStyle="1" w:styleId="CommentSubjectChar">
    <w:name w:val="Comment Subject Char"/>
    <w:basedOn w:val="CommentTextChar"/>
    <w:link w:val="CommentSubject"/>
    <w:uiPriority w:val="99"/>
    <w:semiHidden/>
    <w:rsid w:val="008608AA"/>
    <w:rPr>
      <w:b/>
      <w:bCs/>
    </w:rPr>
  </w:style>
  <w:style w:type="paragraph" w:styleId="ListParagraph">
    <w:name w:val="List Paragraph"/>
    <w:basedOn w:val="Normal"/>
    <w:uiPriority w:val="34"/>
    <w:qFormat/>
    <w:rsid w:val="000849F9"/>
    <w:pPr>
      <w:ind w:left="720"/>
      <w:contextualSpacing/>
    </w:pPr>
  </w:style>
  <w:style w:type="character" w:styleId="PlaceholderText">
    <w:name w:val="Placeholder Text"/>
    <w:basedOn w:val="DefaultParagraphFont"/>
    <w:uiPriority w:val="99"/>
    <w:semiHidden/>
    <w:rsid w:val="000849F9"/>
    <w:rPr>
      <w:color w:val="808080"/>
    </w:rPr>
  </w:style>
  <w:style w:type="paragraph" w:styleId="BodyText">
    <w:name w:val="Body Text"/>
    <w:basedOn w:val="Normal"/>
    <w:link w:val="BodyTextChar"/>
    <w:uiPriority w:val="99"/>
    <w:unhideWhenUsed/>
    <w:rsid w:val="00FA6235"/>
    <w:pPr>
      <w:spacing w:after="120"/>
    </w:pPr>
  </w:style>
  <w:style w:type="character" w:customStyle="1" w:styleId="BodyTextChar">
    <w:name w:val="Body Text Char"/>
    <w:basedOn w:val="DefaultParagraphFont"/>
    <w:link w:val="BodyText"/>
    <w:uiPriority w:val="99"/>
    <w:rsid w:val="00FA6235"/>
    <w:rPr>
      <w:rFonts w:ascii="Calibri" w:hAnsi="Calibri"/>
      <w:sz w:val="22"/>
      <w:szCs w:val="24"/>
    </w:rPr>
  </w:style>
  <w:style w:type="character" w:customStyle="1" w:styleId="Heading1Char">
    <w:name w:val="Heading 1 Char"/>
    <w:basedOn w:val="DefaultParagraphFont"/>
    <w:link w:val="Heading1"/>
    <w:uiPriority w:val="9"/>
    <w:rsid w:val="00FA6235"/>
    <w:rPr>
      <w:rFonts w:ascii="Georgia" w:eastAsia="Calibri" w:hAnsi="Georgia"/>
      <w:color w:val="003D6A"/>
      <w:spacing w:val="-7"/>
      <w:sz w:val="60"/>
      <w:szCs w:val="36"/>
      <w:lang w:eastAsia="en-US"/>
    </w:rPr>
  </w:style>
  <w:style w:type="paragraph" w:styleId="FootnoteText">
    <w:name w:val="footnote text"/>
    <w:basedOn w:val="Normal"/>
    <w:link w:val="FootnoteTextChar"/>
    <w:uiPriority w:val="99"/>
    <w:semiHidden/>
    <w:unhideWhenUsed/>
    <w:rsid w:val="00FA6235"/>
    <w:pPr>
      <w:spacing w:before="0" w:after="0"/>
    </w:pPr>
    <w:rPr>
      <w:sz w:val="20"/>
      <w:szCs w:val="20"/>
    </w:rPr>
  </w:style>
  <w:style w:type="character" w:customStyle="1" w:styleId="FootnoteTextChar">
    <w:name w:val="Footnote Text Char"/>
    <w:basedOn w:val="DefaultParagraphFont"/>
    <w:link w:val="FootnoteText"/>
    <w:uiPriority w:val="99"/>
    <w:semiHidden/>
    <w:rsid w:val="00FA6235"/>
    <w:rPr>
      <w:rFonts w:ascii="Calibri" w:hAnsi="Calibri"/>
    </w:rPr>
  </w:style>
  <w:style w:type="character" w:styleId="FootnoteReference">
    <w:name w:val="footnote reference"/>
    <w:basedOn w:val="DefaultParagraphFont"/>
    <w:uiPriority w:val="99"/>
    <w:semiHidden/>
    <w:unhideWhenUsed/>
    <w:rsid w:val="00FA6235"/>
    <w:rPr>
      <w:vertAlign w:val="superscript"/>
    </w:rPr>
  </w:style>
  <w:style w:type="character" w:styleId="Strong">
    <w:name w:val="Strong"/>
    <w:basedOn w:val="DefaultParagraphFont"/>
    <w:uiPriority w:val="22"/>
    <w:qFormat/>
    <w:rsid w:val="00FA6235"/>
    <w:rPr>
      <w:b/>
      <w:bCs/>
    </w:rPr>
  </w:style>
  <w:style w:type="paragraph" w:customStyle="1" w:styleId="Default">
    <w:name w:val="Default"/>
    <w:rsid w:val="00FA6235"/>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uiPriority w:val="99"/>
    <w:rsid w:val="00506773"/>
    <w:rPr>
      <w:rFonts w:ascii="Verdana" w:hAnsi="Verdan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89"/>
    <w:pPr>
      <w:spacing w:before="80" w:after="80"/>
    </w:pPr>
    <w:rPr>
      <w:rFonts w:ascii="Calibri" w:hAnsi="Calibri"/>
      <w:sz w:val="22"/>
      <w:szCs w:val="24"/>
    </w:rPr>
  </w:style>
  <w:style w:type="paragraph" w:styleId="Heading1">
    <w:name w:val="heading 1"/>
    <w:basedOn w:val="Normal"/>
    <w:next w:val="Normal"/>
    <w:link w:val="Heading1Char"/>
    <w:uiPriority w:val="9"/>
    <w:rsid w:val="00FA6235"/>
    <w:pPr>
      <w:pBdr>
        <w:bottom w:val="single" w:sz="4" w:space="4" w:color="003D6A"/>
      </w:pBdr>
      <w:spacing w:before="0" w:after="360"/>
      <w:ind w:left="454" w:right="284"/>
      <w:outlineLvl w:val="0"/>
    </w:pPr>
    <w:rPr>
      <w:rFonts w:ascii="Georgia" w:eastAsia="Calibri" w:hAnsi="Georgia"/>
      <w:color w:val="003D6A"/>
      <w:spacing w:val="-7"/>
      <w:sz w:val="60"/>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Normal">
    <w:name w:val="DPS Normal"/>
    <w:rsid w:val="004B44B4"/>
    <w:rPr>
      <w:rFonts w:ascii="Verdana" w:hAnsi="Verdana"/>
      <w:sz w:val="22"/>
      <w:szCs w:val="22"/>
    </w:rPr>
  </w:style>
  <w:style w:type="paragraph" w:styleId="Header">
    <w:name w:val="header"/>
    <w:basedOn w:val="Normal"/>
    <w:rsid w:val="004B44B4"/>
    <w:pPr>
      <w:tabs>
        <w:tab w:val="center" w:pos="4153"/>
        <w:tab w:val="right" w:pos="8306"/>
      </w:tabs>
    </w:pPr>
    <w:rPr>
      <w:rFonts w:ascii="Verdana" w:hAnsi="Verdana"/>
      <w:color w:val="000000"/>
      <w:szCs w:val="22"/>
    </w:rPr>
  </w:style>
  <w:style w:type="paragraph" w:styleId="Footer">
    <w:name w:val="footer"/>
    <w:basedOn w:val="Normal"/>
    <w:link w:val="FooterChar"/>
    <w:uiPriority w:val="99"/>
    <w:rsid w:val="004B44B4"/>
    <w:pPr>
      <w:tabs>
        <w:tab w:val="center" w:pos="4153"/>
        <w:tab w:val="right" w:pos="8306"/>
      </w:tabs>
    </w:pPr>
    <w:rPr>
      <w:rFonts w:ascii="Verdana" w:hAnsi="Verdana"/>
      <w:color w:val="000000"/>
      <w:szCs w:val="22"/>
    </w:rPr>
  </w:style>
  <w:style w:type="table" w:styleId="TableGrid">
    <w:name w:val="Table Grid"/>
    <w:aliases w:val="DPS Table Grid"/>
    <w:basedOn w:val="TableNormal"/>
    <w:rsid w:val="004B44B4"/>
    <w:rPr>
      <w:rFonts w:ascii="Verdana" w:hAnsi="Verdana"/>
      <w:sz w:val="22"/>
    </w:rPr>
    <w:tblPr/>
  </w:style>
  <w:style w:type="paragraph" w:styleId="BodyTextIndent">
    <w:name w:val="Body Text Indent"/>
    <w:basedOn w:val="Normal"/>
    <w:rsid w:val="004B44B4"/>
    <w:pPr>
      <w:spacing w:after="120"/>
      <w:ind w:left="283"/>
    </w:pPr>
    <w:rPr>
      <w:color w:val="000000"/>
    </w:rPr>
  </w:style>
  <w:style w:type="paragraph" w:styleId="BalloonText">
    <w:name w:val="Balloon Text"/>
    <w:basedOn w:val="Normal"/>
    <w:link w:val="BalloonTextChar"/>
    <w:uiPriority w:val="99"/>
    <w:semiHidden/>
    <w:unhideWhenUsed/>
    <w:rsid w:val="004C0DD1"/>
    <w:rPr>
      <w:rFonts w:ascii="Tahoma" w:hAnsi="Tahoma" w:cs="Tahoma"/>
      <w:sz w:val="16"/>
      <w:szCs w:val="16"/>
    </w:rPr>
  </w:style>
  <w:style w:type="character" w:customStyle="1" w:styleId="BalloonTextChar">
    <w:name w:val="Balloon Text Char"/>
    <w:basedOn w:val="DefaultParagraphFont"/>
    <w:link w:val="BalloonText"/>
    <w:uiPriority w:val="99"/>
    <w:semiHidden/>
    <w:rsid w:val="004C0DD1"/>
    <w:rPr>
      <w:rFonts w:ascii="Tahoma" w:hAnsi="Tahoma" w:cs="Tahoma"/>
      <w:sz w:val="16"/>
      <w:szCs w:val="16"/>
    </w:rPr>
  </w:style>
  <w:style w:type="character" w:styleId="CommentReference">
    <w:name w:val="annotation reference"/>
    <w:basedOn w:val="DefaultParagraphFont"/>
    <w:uiPriority w:val="99"/>
    <w:semiHidden/>
    <w:unhideWhenUsed/>
    <w:rsid w:val="008608AA"/>
    <w:rPr>
      <w:sz w:val="16"/>
      <w:szCs w:val="16"/>
    </w:rPr>
  </w:style>
  <w:style w:type="paragraph" w:styleId="CommentText">
    <w:name w:val="annotation text"/>
    <w:basedOn w:val="Normal"/>
    <w:link w:val="CommentTextChar"/>
    <w:uiPriority w:val="99"/>
    <w:semiHidden/>
    <w:unhideWhenUsed/>
    <w:rsid w:val="008608AA"/>
    <w:rPr>
      <w:sz w:val="20"/>
      <w:szCs w:val="20"/>
    </w:rPr>
  </w:style>
  <w:style w:type="character" w:customStyle="1" w:styleId="CommentTextChar">
    <w:name w:val="Comment Text Char"/>
    <w:basedOn w:val="DefaultParagraphFont"/>
    <w:link w:val="CommentText"/>
    <w:uiPriority w:val="99"/>
    <w:semiHidden/>
    <w:rsid w:val="008608AA"/>
  </w:style>
  <w:style w:type="paragraph" w:styleId="CommentSubject">
    <w:name w:val="annotation subject"/>
    <w:basedOn w:val="CommentText"/>
    <w:next w:val="CommentText"/>
    <w:link w:val="CommentSubjectChar"/>
    <w:uiPriority w:val="99"/>
    <w:semiHidden/>
    <w:unhideWhenUsed/>
    <w:rsid w:val="008608AA"/>
    <w:rPr>
      <w:b/>
      <w:bCs/>
    </w:rPr>
  </w:style>
  <w:style w:type="character" w:customStyle="1" w:styleId="CommentSubjectChar">
    <w:name w:val="Comment Subject Char"/>
    <w:basedOn w:val="CommentTextChar"/>
    <w:link w:val="CommentSubject"/>
    <w:uiPriority w:val="99"/>
    <w:semiHidden/>
    <w:rsid w:val="008608AA"/>
    <w:rPr>
      <w:b/>
      <w:bCs/>
    </w:rPr>
  </w:style>
  <w:style w:type="paragraph" w:styleId="ListParagraph">
    <w:name w:val="List Paragraph"/>
    <w:basedOn w:val="Normal"/>
    <w:uiPriority w:val="34"/>
    <w:qFormat/>
    <w:rsid w:val="000849F9"/>
    <w:pPr>
      <w:ind w:left="720"/>
      <w:contextualSpacing/>
    </w:pPr>
  </w:style>
  <w:style w:type="character" w:styleId="PlaceholderText">
    <w:name w:val="Placeholder Text"/>
    <w:basedOn w:val="DefaultParagraphFont"/>
    <w:uiPriority w:val="99"/>
    <w:semiHidden/>
    <w:rsid w:val="000849F9"/>
    <w:rPr>
      <w:color w:val="808080"/>
    </w:rPr>
  </w:style>
  <w:style w:type="paragraph" w:styleId="BodyText">
    <w:name w:val="Body Text"/>
    <w:basedOn w:val="Normal"/>
    <w:link w:val="BodyTextChar"/>
    <w:uiPriority w:val="99"/>
    <w:unhideWhenUsed/>
    <w:rsid w:val="00FA6235"/>
    <w:pPr>
      <w:spacing w:after="120"/>
    </w:pPr>
  </w:style>
  <w:style w:type="character" w:customStyle="1" w:styleId="BodyTextChar">
    <w:name w:val="Body Text Char"/>
    <w:basedOn w:val="DefaultParagraphFont"/>
    <w:link w:val="BodyText"/>
    <w:uiPriority w:val="99"/>
    <w:rsid w:val="00FA6235"/>
    <w:rPr>
      <w:rFonts w:ascii="Calibri" w:hAnsi="Calibri"/>
      <w:sz w:val="22"/>
      <w:szCs w:val="24"/>
    </w:rPr>
  </w:style>
  <w:style w:type="character" w:customStyle="1" w:styleId="Heading1Char">
    <w:name w:val="Heading 1 Char"/>
    <w:basedOn w:val="DefaultParagraphFont"/>
    <w:link w:val="Heading1"/>
    <w:uiPriority w:val="9"/>
    <w:rsid w:val="00FA6235"/>
    <w:rPr>
      <w:rFonts w:ascii="Georgia" w:eastAsia="Calibri" w:hAnsi="Georgia"/>
      <w:color w:val="003D6A"/>
      <w:spacing w:val="-7"/>
      <w:sz w:val="60"/>
      <w:szCs w:val="36"/>
      <w:lang w:eastAsia="en-US"/>
    </w:rPr>
  </w:style>
  <w:style w:type="paragraph" w:styleId="FootnoteText">
    <w:name w:val="footnote text"/>
    <w:basedOn w:val="Normal"/>
    <w:link w:val="FootnoteTextChar"/>
    <w:uiPriority w:val="99"/>
    <w:semiHidden/>
    <w:unhideWhenUsed/>
    <w:rsid w:val="00FA6235"/>
    <w:pPr>
      <w:spacing w:before="0" w:after="0"/>
    </w:pPr>
    <w:rPr>
      <w:sz w:val="20"/>
      <w:szCs w:val="20"/>
    </w:rPr>
  </w:style>
  <w:style w:type="character" w:customStyle="1" w:styleId="FootnoteTextChar">
    <w:name w:val="Footnote Text Char"/>
    <w:basedOn w:val="DefaultParagraphFont"/>
    <w:link w:val="FootnoteText"/>
    <w:uiPriority w:val="99"/>
    <w:semiHidden/>
    <w:rsid w:val="00FA6235"/>
    <w:rPr>
      <w:rFonts w:ascii="Calibri" w:hAnsi="Calibri"/>
    </w:rPr>
  </w:style>
  <w:style w:type="character" w:styleId="FootnoteReference">
    <w:name w:val="footnote reference"/>
    <w:basedOn w:val="DefaultParagraphFont"/>
    <w:uiPriority w:val="99"/>
    <w:semiHidden/>
    <w:unhideWhenUsed/>
    <w:rsid w:val="00FA6235"/>
    <w:rPr>
      <w:vertAlign w:val="superscript"/>
    </w:rPr>
  </w:style>
  <w:style w:type="character" w:styleId="Strong">
    <w:name w:val="Strong"/>
    <w:basedOn w:val="DefaultParagraphFont"/>
    <w:uiPriority w:val="22"/>
    <w:qFormat/>
    <w:rsid w:val="00FA6235"/>
    <w:rPr>
      <w:b/>
      <w:bCs/>
    </w:rPr>
  </w:style>
  <w:style w:type="paragraph" w:customStyle="1" w:styleId="Default">
    <w:name w:val="Default"/>
    <w:rsid w:val="00FA6235"/>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uiPriority w:val="99"/>
    <w:rsid w:val="00506773"/>
    <w:rPr>
      <w:rFonts w:ascii="Verdana" w:hAnsi="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937596">
      <w:bodyDiv w:val="1"/>
      <w:marLeft w:val="0"/>
      <w:marRight w:val="0"/>
      <w:marTop w:val="0"/>
      <w:marBottom w:val="0"/>
      <w:divBdr>
        <w:top w:val="none" w:sz="0" w:space="0" w:color="auto"/>
        <w:left w:val="none" w:sz="0" w:space="0" w:color="auto"/>
        <w:bottom w:val="none" w:sz="0" w:space="0" w:color="auto"/>
        <w:right w:val="none" w:sz="0" w:space="0" w:color="auto"/>
      </w:divBdr>
      <w:divsChild>
        <w:div w:id="13582873">
          <w:marLeft w:val="0"/>
          <w:marRight w:val="0"/>
          <w:marTop w:val="0"/>
          <w:marBottom w:val="0"/>
          <w:divBdr>
            <w:top w:val="none" w:sz="0" w:space="0" w:color="auto"/>
            <w:left w:val="none" w:sz="0" w:space="0" w:color="auto"/>
            <w:bottom w:val="none" w:sz="0" w:space="0" w:color="auto"/>
            <w:right w:val="none" w:sz="0" w:space="0" w:color="auto"/>
          </w:divBdr>
          <w:divsChild>
            <w:div w:id="691346908">
              <w:marLeft w:val="0"/>
              <w:marRight w:val="0"/>
              <w:marTop w:val="0"/>
              <w:marBottom w:val="0"/>
              <w:divBdr>
                <w:top w:val="none" w:sz="0" w:space="0" w:color="auto"/>
                <w:left w:val="none" w:sz="0" w:space="0" w:color="auto"/>
                <w:bottom w:val="none" w:sz="0" w:space="0" w:color="auto"/>
                <w:right w:val="none" w:sz="0" w:space="0" w:color="auto"/>
              </w:divBdr>
              <w:divsChild>
                <w:div w:id="40447914">
                  <w:marLeft w:val="0"/>
                  <w:marRight w:val="0"/>
                  <w:marTop w:val="0"/>
                  <w:marBottom w:val="0"/>
                  <w:divBdr>
                    <w:top w:val="none" w:sz="0" w:space="0" w:color="auto"/>
                    <w:left w:val="none" w:sz="0" w:space="0" w:color="auto"/>
                    <w:bottom w:val="none" w:sz="0" w:space="0" w:color="auto"/>
                    <w:right w:val="none" w:sz="0" w:space="0" w:color="auto"/>
                  </w:divBdr>
                  <w:divsChild>
                    <w:div w:id="1345471252">
                      <w:marLeft w:val="0"/>
                      <w:marRight w:val="0"/>
                      <w:marTop w:val="0"/>
                      <w:marBottom w:val="0"/>
                      <w:divBdr>
                        <w:top w:val="none" w:sz="0" w:space="0" w:color="auto"/>
                        <w:left w:val="none" w:sz="0" w:space="0" w:color="auto"/>
                        <w:bottom w:val="none" w:sz="0" w:space="0" w:color="auto"/>
                        <w:right w:val="none" w:sz="0" w:space="0" w:color="auto"/>
                      </w:divBdr>
                      <w:divsChild>
                        <w:div w:id="44959560">
                          <w:marLeft w:val="0"/>
                          <w:marRight w:val="0"/>
                          <w:marTop w:val="0"/>
                          <w:marBottom w:val="0"/>
                          <w:divBdr>
                            <w:top w:val="none" w:sz="0" w:space="0" w:color="auto"/>
                            <w:left w:val="none" w:sz="0" w:space="0" w:color="auto"/>
                            <w:bottom w:val="none" w:sz="0" w:space="0" w:color="auto"/>
                            <w:right w:val="none" w:sz="0" w:space="0" w:color="auto"/>
                          </w:divBdr>
                          <w:divsChild>
                            <w:div w:id="1141997380">
                              <w:marLeft w:val="0"/>
                              <w:marRight w:val="0"/>
                              <w:marTop w:val="0"/>
                              <w:marBottom w:val="0"/>
                              <w:divBdr>
                                <w:top w:val="none" w:sz="0" w:space="0" w:color="auto"/>
                                <w:left w:val="none" w:sz="0" w:space="0" w:color="auto"/>
                                <w:bottom w:val="none" w:sz="0" w:space="0" w:color="auto"/>
                                <w:right w:val="none" w:sz="0" w:space="0" w:color="auto"/>
                              </w:divBdr>
                              <w:divsChild>
                                <w:div w:id="1798527341">
                                  <w:marLeft w:val="0"/>
                                  <w:marRight w:val="0"/>
                                  <w:marTop w:val="0"/>
                                  <w:marBottom w:val="0"/>
                                  <w:divBdr>
                                    <w:top w:val="none" w:sz="0" w:space="0" w:color="auto"/>
                                    <w:left w:val="none" w:sz="0" w:space="0" w:color="auto"/>
                                    <w:bottom w:val="none" w:sz="0" w:space="0" w:color="auto"/>
                                    <w:right w:val="none" w:sz="0" w:space="0" w:color="auto"/>
                                  </w:divBdr>
                                  <w:divsChild>
                                    <w:div w:id="1389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4198991580341A4CE763A0E01F0F3" ma:contentTypeVersion="0" ma:contentTypeDescription="Create a new document." ma:contentTypeScope="" ma:versionID="082435bfe196effa2a28bb8d427bb37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5299-7EE7-4DBD-9E02-0EE7EA5A8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B5FB8A-BFB7-4BD1-A0F1-8738D865DD52}">
  <ds:schemaRefs>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28F4ABE4-B3AC-4A16-96FB-4C26CA3504A5}">
  <ds:schemaRefs>
    <ds:schemaRef ds:uri="http://schemas.microsoft.com/sharepoint/v3/contenttype/forms"/>
  </ds:schemaRefs>
</ds:datastoreItem>
</file>

<file path=customXml/itemProps4.xml><?xml version="1.0" encoding="utf-8"?>
<ds:datastoreItem xmlns:ds="http://schemas.openxmlformats.org/officeDocument/2006/customXml" ds:itemID="{1DD99617-278F-4D62-A286-7F9DFE71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1183</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Witness form</vt:lpstr>
    </vt:vector>
  </TitlesOfParts>
  <Company>Parliament of Australia</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2018-02-21T05:37:00Z</cp:lastPrinted>
  <dcterms:created xsi:type="dcterms:W3CDTF">2019-10-23T02:19:00Z</dcterms:created>
  <dcterms:modified xsi:type="dcterms:W3CDTF">2019-10-24T01:22:00Z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0x010100EDA4198991580341A4CE763A0E01F0F3</vt:lpwstr>
  </property>
  <property fmtid="{D5CDD505-2E9C-101B-9397-08002B2CF9AE}" pid="3" name="Owner">
    <vt:lpwstr>PARLNET\dewari44</vt:lpwstr>
  </property>
</Properties>
</file>