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D9B" w:rsidRDefault="00104D9B">
      <w:pPr>
        <w:spacing w:after="480" w:line="240" w:lineRule="auto"/>
        <w:jc w:val="center"/>
        <w:rPr>
          <w:b/>
          <w:sz w:val="52"/>
        </w:rPr>
      </w:pPr>
      <w:r>
        <w:rPr>
          <w:b/>
          <w:sz w:val="52"/>
        </w:rPr>
        <w:t>Senate Standing Committee</w:t>
      </w:r>
    </w:p>
    <w:p w:rsidR="00104D9B" w:rsidRDefault="00104D9B">
      <w:pPr>
        <w:spacing w:after="480" w:line="240" w:lineRule="auto"/>
        <w:jc w:val="center"/>
        <w:rPr>
          <w:b/>
          <w:sz w:val="52"/>
        </w:rPr>
      </w:pPr>
      <w:r>
        <w:rPr>
          <w:b/>
          <w:sz w:val="52"/>
        </w:rPr>
        <w:t>for the</w:t>
      </w:r>
    </w:p>
    <w:p w:rsidR="00104D9B" w:rsidRDefault="00104D9B">
      <w:pPr>
        <w:spacing w:after="480" w:line="240" w:lineRule="auto"/>
        <w:jc w:val="center"/>
        <w:rPr>
          <w:b/>
          <w:sz w:val="52"/>
        </w:rPr>
      </w:pPr>
      <w:r>
        <w:rPr>
          <w:b/>
          <w:sz w:val="52"/>
        </w:rPr>
        <w:t>Scrutiny of Bills</w:t>
      </w: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766348">
      <w:pPr>
        <w:spacing w:line="240" w:lineRule="auto"/>
        <w:jc w:val="center"/>
        <w:rPr>
          <w:b/>
          <w:sz w:val="48"/>
        </w:rPr>
      </w:pPr>
      <w:r>
        <w:rPr>
          <w:b/>
          <w:sz w:val="48"/>
        </w:rPr>
        <w:t>Alert Digest No.</w:t>
      </w:r>
      <w:r w:rsidR="00603CDB">
        <w:rPr>
          <w:b/>
          <w:sz w:val="48"/>
        </w:rPr>
        <w:t>3</w:t>
      </w:r>
      <w:r w:rsidR="003C5934">
        <w:rPr>
          <w:b/>
          <w:sz w:val="48"/>
        </w:rPr>
        <w:t xml:space="preserve"> of 2012</w:t>
      </w: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603CDB">
      <w:pPr>
        <w:spacing w:line="240" w:lineRule="auto"/>
        <w:jc w:val="center"/>
        <w:rPr>
          <w:b/>
          <w:sz w:val="32"/>
        </w:rPr>
      </w:pPr>
      <w:r>
        <w:rPr>
          <w:b/>
          <w:sz w:val="32"/>
        </w:rPr>
        <w:t>14 March</w:t>
      </w:r>
      <w:r w:rsidR="00971F89">
        <w:rPr>
          <w:b/>
          <w:sz w:val="32"/>
        </w:rPr>
        <w:t xml:space="preserve"> </w:t>
      </w:r>
      <w:r w:rsidR="003C5934">
        <w:rPr>
          <w:b/>
          <w:sz w:val="32"/>
        </w:rPr>
        <w:t>2012</w:t>
      </w:r>
    </w:p>
    <w:p w:rsidR="00104D9B" w:rsidRDefault="00104D9B">
      <w:pPr>
        <w:spacing w:line="240" w:lineRule="auto"/>
        <w:jc w:val="center"/>
        <w:rPr>
          <w:b/>
          <w:sz w:val="32"/>
        </w:rPr>
      </w:pPr>
    </w:p>
    <w:p w:rsidR="00104D9B" w:rsidRDefault="00104D9B">
      <w:pPr>
        <w:spacing w:line="240" w:lineRule="auto"/>
        <w:jc w:val="center"/>
        <w:rPr>
          <w:b/>
          <w:sz w:val="32"/>
        </w:rPr>
      </w:pPr>
    </w:p>
    <w:p w:rsidR="00104D9B" w:rsidRDefault="00104D9B">
      <w:pPr>
        <w:spacing w:line="240" w:lineRule="auto"/>
        <w:jc w:val="center"/>
        <w:rPr>
          <w:b/>
        </w:rPr>
      </w:pPr>
      <w:r>
        <w:rPr>
          <w:b/>
        </w:rPr>
        <w:t>ISSN 1329-668X</w:t>
      </w:r>
    </w:p>
    <w:p w:rsidR="00D537A9" w:rsidRDefault="00D537A9" w:rsidP="00D537A9">
      <w:pPr>
        <w:spacing w:after="240" w:line="240" w:lineRule="auto"/>
        <w:jc w:val="center"/>
        <w:rPr>
          <w:b/>
          <w:sz w:val="37"/>
        </w:rPr>
      </w:pPr>
      <w:r>
        <w:rPr>
          <w:b/>
          <w:sz w:val="37"/>
        </w:rPr>
        <w:lastRenderedPageBreak/>
        <w:t>Senate Standing Committee for the Scrutiny of Bills</w:t>
      </w:r>
    </w:p>
    <w:p w:rsidR="00D537A9" w:rsidRDefault="00D537A9" w:rsidP="00D537A9">
      <w:pPr>
        <w:spacing w:after="240" w:line="240" w:lineRule="auto"/>
        <w:jc w:val="center"/>
        <w:rPr>
          <w:b/>
          <w:sz w:val="37"/>
        </w:rPr>
      </w:pPr>
    </w:p>
    <w:p w:rsidR="00D537A9" w:rsidRDefault="00D537A9" w:rsidP="00D537A9">
      <w:pPr>
        <w:spacing w:before="120" w:after="120" w:line="240" w:lineRule="auto"/>
        <w:jc w:val="center"/>
        <w:rPr>
          <w:b/>
          <w:sz w:val="32"/>
        </w:rPr>
      </w:pPr>
      <w:r>
        <w:rPr>
          <w:b/>
          <w:sz w:val="32"/>
        </w:rPr>
        <w:t>Members of the Committee</w:t>
      </w:r>
    </w:p>
    <w:p w:rsidR="00D537A9" w:rsidRDefault="00D537A9" w:rsidP="00D537A9">
      <w:pPr>
        <w:jc w:val="center"/>
      </w:pPr>
    </w:p>
    <w:p w:rsidR="00D537A9" w:rsidRDefault="00D537A9" w:rsidP="00D537A9">
      <w:pPr>
        <w:jc w:val="center"/>
      </w:pPr>
      <w:r>
        <w:t>Senator M Fifield (Chair)</w:t>
      </w:r>
    </w:p>
    <w:p w:rsidR="00D537A9" w:rsidRDefault="00D537A9" w:rsidP="00D537A9">
      <w:pPr>
        <w:jc w:val="center"/>
      </w:pPr>
      <w:r>
        <w:t>Senator C Brown (Deputy Chair)</w:t>
      </w:r>
    </w:p>
    <w:p w:rsidR="00D537A9" w:rsidRDefault="00D537A9" w:rsidP="00D537A9">
      <w:pPr>
        <w:jc w:val="center"/>
      </w:pPr>
      <w:r>
        <w:t>Senator M Bishop</w:t>
      </w:r>
    </w:p>
    <w:p w:rsidR="00D537A9" w:rsidRDefault="00D537A9" w:rsidP="00D537A9">
      <w:pPr>
        <w:jc w:val="center"/>
      </w:pPr>
      <w:r>
        <w:t>Senator S Edwards</w:t>
      </w:r>
    </w:p>
    <w:p w:rsidR="00D537A9" w:rsidRDefault="00D537A9" w:rsidP="00D537A9">
      <w:pPr>
        <w:jc w:val="center"/>
      </w:pPr>
      <w:r>
        <w:t>Senator G Marshall</w:t>
      </w:r>
    </w:p>
    <w:p w:rsidR="00D537A9" w:rsidRDefault="00D537A9" w:rsidP="00D537A9">
      <w:pPr>
        <w:jc w:val="center"/>
      </w:pPr>
      <w:r>
        <w:t xml:space="preserve">Senator R </w:t>
      </w:r>
      <w:proofErr w:type="spellStart"/>
      <w:r>
        <w:t>Siewert</w:t>
      </w:r>
      <w:proofErr w:type="spellEnd"/>
    </w:p>
    <w:p w:rsidR="00D537A9" w:rsidRDefault="00D537A9" w:rsidP="00D537A9">
      <w:pPr>
        <w:spacing w:before="240" w:after="240" w:line="240" w:lineRule="auto"/>
        <w:jc w:val="center"/>
        <w:rPr>
          <w:b/>
          <w:sz w:val="32"/>
        </w:rPr>
      </w:pPr>
      <w:r>
        <w:rPr>
          <w:b/>
          <w:sz w:val="32"/>
        </w:rPr>
        <w:t>Terms of Reference</w:t>
      </w:r>
    </w:p>
    <w:p w:rsidR="00D537A9" w:rsidRDefault="00D537A9" w:rsidP="00D537A9">
      <w:pPr>
        <w:spacing w:after="360" w:line="240" w:lineRule="auto"/>
        <w:jc w:val="center"/>
      </w:pPr>
      <w:r>
        <w:t xml:space="preserve">Extract from </w:t>
      </w:r>
      <w:r>
        <w:rPr>
          <w:b/>
        </w:rPr>
        <w:t>Standing Order 24</w:t>
      </w:r>
    </w:p>
    <w:p w:rsidR="00D537A9" w:rsidRDefault="00D537A9" w:rsidP="00D537A9">
      <w:pPr>
        <w:tabs>
          <w:tab w:val="left" w:pos="426"/>
        </w:tabs>
        <w:spacing w:after="240" w:line="240" w:lineRule="auto"/>
        <w:ind w:left="1134" w:hanging="1134"/>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D537A9" w:rsidRDefault="00D537A9" w:rsidP="00D537A9">
      <w:pPr>
        <w:tabs>
          <w:tab w:val="left" w:pos="8576"/>
        </w:tabs>
        <w:spacing w:before="120"/>
        <w:ind w:left="1701" w:hanging="567"/>
      </w:pPr>
      <w:r>
        <w:t>(</w:t>
      </w:r>
      <w:proofErr w:type="spellStart"/>
      <w:proofErr w:type="gramStart"/>
      <w:r>
        <w:t>i</w:t>
      </w:r>
      <w:proofErr w:type="spellEnd"/>
      <w:proofErr w:type="gramEnd"/>
      <w:r>
        <w:t>)</w:t>
      </w:r>
      <w:r>
        <w:tab/>
        <w:t>trespass unduly on personal rights and liberties;</w:t>
      </w:r>
    </w:p>
    <w:p w:rsidR="00D537A9" w:rsidRDefault="00D537A9" w:rsidP="00D537A9">
      <w:pPr>
        <w:tabs>
          <w:tab w:val="left" w:pos="8576"/>
        </w:tabs>
        <w:spacing w:before="120"/>
        <w:ind w:left="1701" w:hanging="567"/>
      </w:pPr>
      <w:r>
        <w:t>(ii)</w:t>
      </w:r>
      <w:r>
        <w:tab/>
      </w:r>
      <w:proofErr w:type="gramStart"/>
      <w:r>
        <w:t>make</w:t>
      </w:r>
      <w:proofErr w:type="gramEnd"/>
      <w:r>
        <w:t xml:space="preserve"> rights, liberties or obligations unduly dependent upon insufficiently defined administrative powers;</w:t>
      </w:r>
    </w:p>
    <w:p w:rsidR="00D537A9" w:rsidRDefault="00D537A9" w:rsidP="00D537A9">
      <w:pPr>
        <w:tabs>
          <w:tab w:val="left" w:pos="8576"/>
        </w:tabs>
        <w:spacing w:before="120"/>
        <w:ind w:left="1701" w:hanging="567"/>
      </w:pPr>
      <w:r>
        <w:t>(iii)</w:t>
      </w:r>
      <w:r>
        <w:tab/>
      </w:r>
      <w:proofErr w:type="gramStart"/>
      <w:r>
        <w:t>make</w:t>
      </w:r>
      <w:proofErr w:type="gramEnd"/>
      <w:r>
        <w:t xml:space="preserve"> rights, liberties or obligations unduly dependent upon non-reviewable decisions;</w:t>
      </w:r>
    </w:p>
    <w:p w:rsidR="00D537A9" w:rsidRDefault="00D537A9" w:rsidP="00D537A9">
      <w:pPr>
        <w:tabs>
          <w:tab w:val="left" w:pos="8576"/>
        </w:tabs>
        <w:spacing w:before="120"/>
        <w:ind w:left="1701" w:hanging="567"/>
      </w:pPr>
      <w:r>
        <w:t>(iv)</w:t>
      </w:r>
      <w:r>
        <w:tab/>
      </w:r>
      <w:proofErr w:type="gramStart"/>
      <w:r>
        <w:t>inappropriately</w:t>
      </w:r>
      <w:proofErr w:type="gramEnd"/>
      <w:r>
        <w:t xml:space="preserve"> delegate legislative powers; or</w:t>
      </w:r>
    </w:p>
    <w:p w:rsidR="00D537A9" w:rsidRDefault="00D537A9" w:rsidP="00D537A9">
      <w:pPr>
        <w:tabs>
          <w:tab w:val="left" w:pos="8576"/>
        </w:tabs>
        <w:spacing w:before="120"/>
        <w:ind w:left="1701" w:hanging="567"/>
      </w:pPr>
      <w:r>
        <w:t>(v)</w:t>
      </w:r>
      <w:r>
        <w:tab/>
      </w:r>
      <w:proofErr w:type="gramStart"/>
      <w:r>
        <w:t>insufficiently</w:t>
      </w:r>
      <w:proofErr w:type="gramEnd"/>
      <w:r>
        <w:t xml:space="preserve"> subject the exercise of legislative power to parliamentary scrutiny.</w:t>
      </w:r>
    </w:p>
    <w:p w:rsidR="00D537A9" w:rsidRDefault="00D537A9" w:rsidP="00D537A9">
      <w:pPr>
        <w:tabs>
          <w:tab w:val="left" w:pos="8576"/>
        </w:tabs>
        <w:spacing w:before="120"/>
        <w:ind w:left="1701" w:hanging="567"/>
      </w:pPr>
    </w:p>
    <w:p w:rsidR="00D537A9" w:rsidRDefault="00D537A9" w:rsidP="00D537A9">
      <w:pPr>
        <w:tabs>
          <w:tab w:val="left" w:pos="426"/>
          <w:tab w:val="left" w:pos="1134"/>
          <w:tab w:val="left" w:pos="1701"/>
        </w:tabs>
        <w:spacing w:after="180" w:line="240" w:lineRule="auto"/>
        <w:ind w:left="1134" w:hanging="1134"/>
      </w:pPr>
      <w:r>
        <w:tab/>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D537A9" w:rsidRDefault="00D537A9" w:rsidP="00D537A9">
      <w:pPr>
        <w:pBdr>
          <w:bottom w:val="single" w:sz="4" w:space="1" w:color="auto"/>
        </w:pBdr>
        <w:spacing w:after="480"/>
        <w:jc w:val="center"/>
        <w:rPr>
          <w:b/>
          <w:sz w:val="32"/>
        </w:rPr>
      </w:pPr>
      <w:r>
        <w:br w:type="page"/>
      </w:r>
      <w:r>
        <w:rPr>
          <w:b/>
          <w:sz w:val="32"/>
        </w:rPr>
        <w:lastRenderedPageBreak/>
        <w:t>TABLE OF CONTENTS</w:t>
      </w:r>
    </w:p>
    <w:tbl>
      <w:tblPr>
        <w:tblW w:w="0" w:type="auto"/>
        <w:tblInd w:w="108" w:type="dxa"/>
        <w:tblLayout w:type="fixed"/>
        <w:tblLook w:val="0000"/>
      </w:tblPr>
      <w:tblGrid>
        <w:gridCol w:w="6663"/>
        <w:gridCol w:w="1275"/>
      </w:tblGrid>
      <w:tr w:rsidR="00D537A9" w:rsidTr="00E41063">
        <w:tc>
          <w:tcPr>
            <w:tcW w:w="6663" w:type="dxa"/>
          </w:tcPr>
          <w:p w:rsidR="00D537A9" w:rsidRPr="004D4608" w:rsidRDefault="00D537A9" w:rsidP="00E41063">
            <w:pPr>
              <w:spacing w:before="120" w:after="360"/>
              <w:jc w:val="left"/>
              <w:rPr>
                <w:b/>
              </w:rPr>
            </w:pPr>
            <w:r>
              <w:rPr>
                <w:b/>
              </w:rPr>
              <w:t>Commentary on bills</w:t>
            </w:r>
          </w:p>
        </w:tc>
        <w:tc>
          <w:tcPr>
            <w:tcW w:w="1275" w:type="dxa"/>
            <w:vAlign w:val="bottom"/>
          </w:tcPr>
          <w:p w:rsidR="00D537A9" w:rsidRDefault="00D537A9" w:rsidP="00E41063">
            <w:pPr>
              <w:spacing w:after="120"/>
              <w:jc w:val="right"/>
            </w:pPr>
          </w:p>
        </w:tc>
      </w:tr>
    </w:tbl>
    <w:p w:rsidR="00D537A9" w:rsidRDefault="00D537A9" w:rsidP="00D537A9">
      <w:pPr>
        <w:pStyle w:val="TOCBullet"/>
        <w:numPr>
          <w:ilvl w:val="0"/>
          <w:numId w:val="0"/>
        </w:numPr>
        <w:tabs>
          <w:tab w:val="clear" w:pos="7655"/>
        </w:tabs>
        <w:ind w:left="567" w:right="1247"/>
        <w:rPr>
          <w:rFonts w:asciiTheme="minorHAnsi" w:eastAsiaTheme="minorEastAsia" w:hAnsiTheme="minorHAnsi" w:cstheme="minorBidi"/>
          <w:sz w:val="22"/>
          <w:szCs w:val="22"/>
        </w:rPr>
      </w:pPr>
      <w:r>
        <w:t>Assisting Victims of Overseas Terrorism Bill 2012</w:t>
      </w:r>
      <w:r>
        <w:tab/>
        <w:t>1</w:t>
      </w:r>
    </w:p>
    <w:p w:rsidR="00D537A9" w:rsidRDefault="00D537A9" w:rsidP="00D537A9">
      <w:pPr>
        <w:pStyle w:val="TOCBullet"/>
        <w:numPr>
          <w:ilvl w:val="0"/>
          <w:numId w:val="0"/>
        </w:numPr>
        <w:tabs>
          <w:tab w:val="clear" w:pos="7655"/>
        </w:tabs>
        <w:ind w:left="567" w:right="1247"/>
        <w:rPr>
          <w:rFonts w:asciiTheme="minorHAnsi" w:eastAsiaTheme="minorEastAsia" w:hAnsiTheme="minorHAnsi" w:cstheme="minorBidi"/>
          <w:sz w:val="22"/>
          <w:szCs w:val="22"/>
        </w:rPr>
      </w:pPr>
      <w:r>
        <w:t>Corporations Legislation Amendment (Audit Enhancement) Bill 2012</w:t>
      </w:r>
      <w:r>
        <w:tab/>
        <w:t>3</w:t>
      </w:r>
    </w:p>
    <w:p w:rsidR="00D537A9" w:rsidRDefault="00D537A9" w:rsidP="00D537A9">
      <w:pPr>
        <w:pStyle w:val="TOCBullet"/>
        <w:numPr>
          <w:ilvl w:val="0"/>
          <w:numId w:val="0"/>
        </w:numPr>
        <w:tabs>
          <w:tab w:val="clear" w:pos="7655"/>
        </w:tabs>
        <w:ind w:left="567" w:right="1247"/>
        <w:rPr>
          <w:rFonts w:asciiTheme="minorHAnsi" w:eastAsiaTheme="minorEastAsia" w:hAnsiTheme="minorHAnsi" w:cstheme="minorBidi"/>
          <w:sz w:val="22"/>
          <w:szCs w:val="22"/>
        </w:rPr>
      </w:pPr>
      <w:r>
        <w:t>Equal Opportunity for Women in the Workplace Amendment Bill 2012</w:t>
      </w:r>
      <w:r>
        <w:tab/>
        <w:t>6</w:t>
      </w:r>
    </w:p>
    <w:p w:rsidR="00D537A9" w:rsidRDefault="00D537A9" w:rsidP="00D537A9">
      <w:pPr>
        <w:pStyle w:val="TOC3"/>
        <w:ind w:right="1247"/>
        <w:rPr>
          <w:rFonts w:asciiTheme="minorHAnsi" w:eastAsiaTheme="minorEastAsia" w:hAnsiTheme="minorHAnsi" w:cstheme="minorBidi"/>
          <w:noProof/>
          <w:sz w:val="22"/>
          <w:szCs w:val="22"/>
        </w:rPr>
      </w:pPr>
      <w:r>
        <w:rPr>
          <w:noProof/>
        </w:rPr>
        <w:t>Fair Work (Job Security and Fairer Bargaining) Amendment Bill 2012</w:t>
      </w:r>
      <w:r>
        <w:rPr>
          <w:noProof/>
        </w:rPr>
        <w:tab/>
        <w:t>7</w:t>
      </w:r>
    </w:p>
    <w:p w:rsidR="00D537A9" w:rsidRDefault="00D537A9" w:rsidP="00D537A9">
      <w:pPr>
        <w:pStyle w:val="TOC3"/>
        <w:ind w:right="1247"/>
        <w:rPr>
          <w:rFonts w:asciiTheme="minorHAnsi" w:eastAsiaTheme="minorEastAsia" w:hAnsiTheme="minorHAnsi" w:cstheme="minorBidi"/>
          <w:noProof/>
          <w:sz w:val="22"/>
          <w:szCs w:val="22"/>
        </w:rPr>
      </w:pPr>
      <w:r>
        <w:rPr>
          <w:noProof/>
        </w:rPr>
        <w:t>Indirect Tax Laws Amendment (Assessment) Bill 2012</w:t>
      </w:r>
      <w:r>
        <w:rPr>
          <w:noProof/>
        </w:rPr>
        <w:tab/>
        <w:t>8</w:t>
      </w:r>
    </w:p>
    <w:p w:rsidR="00D537A9" w:rsidRDefault="00D537A9" w:rsidP="00D537A9">
      <w:pPr>
        <w:pStyle w:val="TOCBullet"/>
        <w:numPr>
          <w:ilvl w:val="0"/>
          <w:numId w:val="0"/>
        </w:numPr>
        <w:tabs>
          <w:tab w:val="clear" w:pos="7655"/>
          <w:tab w:val="right" w:pos="8222"/>
        </w:tabs>
        <w:ind w:left="567" w:right="1247"/>
        <w:rPr>
          <w:rFonts w:asciiTheme="minorHAnsi" w:eastAsiaTheme="minorEastAsia" w:hAnsiTheme="minorHAnsi" w:cstheme="minorBidi"/>
          <w:sz w:val="22"/>
          <w:szCs w:val="22"/>
        </w:rPr>
      </w:pPr>
      <w:r>
        <w:t>Low Aromatic Fuel Bill 2012</w:t>
      </w:r>
      <w:r>
        <w:tab/>
        <w:t>9</w:t>
      </w:r>
    </w:p>
    <w:p w:rsidR="00D537A9" w:rsidRDefault="00D537A9" w:rsidP="00D537A9">
      <w:pPr>
        <w:pStyle w:val="TOC3"/>
        <w:ind w:right="1247"/>
        <w:rPr>
          <w:rFonts w:asciiTheme="minorHAnsi" w:eastAsiaTheme="minorEastAsia" w:hAnsiTheme="minorHAnsi" w:cstheme="minorBidi"/>
          <w:noProof/>
          <w:sz w:val="22"/>
          <w:szCs w:val="22"/>
        </w:rPr>
      </w:pPr>
      <w:r>
        <w:rPr>
          <w:noProof/>
        </w:rPr>
        <w:t>Native Title Amendment (Reform) Bill (No.1) 2012</w:t>
      </w:r>
      <w:r>
        <w:rPr>
          <w:noProof/>
        </w:rPr>
        <w:tab/>
        <w:t>11</w:t>
      </w:r>
    </w:p>
    <w:p w:rsidR="00D537A9" w:rsidRDefault="00D537A9" w:rsidP="00D537A9">
      <w:pPr>
        <w:pStyle w:val="TOCBullet"/>
        <w:numPr>
          <w:ilvl w:val="0"/>
          <w:numId w:val="0"/>
        </w:numPr>
        <w:tabs>
          <w:tab w:val="clear" w:pos="7655"/>
        </w:tabs>
        <w:ind w:left="567" w:right="1247"/>
        <w:rPr>
          <w:rFonts w:asciiTheme="minorHAnsi" w:eastAsiaTheme="minorEastAsia" w:hAnsiTheme="minorHAnsi" w:cstheme="minorBidi"/>
          <w:sz w:val="22"/>
          <w:szCs w:val="22"/>
        </w:rPr>
      </w:pPr>
      <w:r>
        <w:t>Public Service Amendment Bill 2012</w:t>
      </w:r>
      <w:r>
        <w:tab/>
        <w:t>12</w:t>
      </w:r>
    </w:p>
    <w:p w:rsidR="00D537A9" w:rsidRDefault="00D537A9" w:rsidP="00D537A9">
      <w:pPr>
        <w:pStyle w:val="TOCBullet"/>
        <w:numPr>
          <w:ilvl w:val="0"/>
          <w:numId w:val="0"/>
        </w:numPr>
        <w:tabs>
          <w:tab w:val="clear" w:pos="7655"/>
        </w:tabs>
        <w:ind w:left="567" w:right="1247"/>
        <w:rPr>
          <w:rFonts w:asciiTheme="minorHAnsi" w:eastAsiaTheme="minorEastAsia" w:hAnsiTheme="minorHAnsi" w:cstheme="minorBidi"/>
          <w:sz w:val="22"/>
          <w:szCs w:val="22"/>
        </w:rPr>
      </w:pPr>
      <w:r>
        <w:t>Special Broadcasting Service Amendment (Natural Program Breaks and Disruptive Advertising) Bill 2012</w:t>
      </w:r>
      <w:r>
        <w:tab/>
        <w:t>14</w:t>
      </w:r>
    </w:p>
    <w:p w:rsidR="00D537A9" w:rsidRDefault="00D537A9" w:rsidP="00D537A9">
      <w:pPr>
        <w:pStyle w:val="TOC3"/>
        <w:ind w:right="1247"/>
        <w:rPr>
          <w:rFonts w:asciiTheme="minorHAnsi" w:eastAsiaTheme="minorEastAsia" w:hAnsiTheme="minorHAnsi" w:cstheme="minorBidi"/>
          <w:noProof/>
          <w:sz w:val="22"/>
          <w:szCs w:val="22"/>
        </w:rPr>
      </w:pPr>
      <w:r>
        <w:rPr>
          <w:noProof/>
        </w:rPr>
        <w:t>Tax and Superannuation Laws Amendment (2012 Measures No.1) Bill 2012</w:t>
      </w:r>
      <w:r>
        <w:rPr>
          <w:noProof/>
        </w:rPr>
        <w:tab/>
        <w:t>15</w:t>
      </w:r>
    </w:p>
    <w:p w:rsidR="00D537A9" w:rsidRDefault="00D537A9" w:rsidP="00D537A9">
      <w:pPr>
        <w:pStyle w:val="TOC3"/>
        <w:ind w:right="1247"/>
        <w:rPr>
          <w:rFonts w:asciiTheme="minorHAnsi" w:eastAsiaTheme="minorEastAsia" w:hAnsiTheme="minorHAnsi" w:cstheme="minorBidi"/>
          <w:noProof/>
          <w:sz w:val="22"/>
          <w:szCs w:val="22"/>
        </w:rPr>
      </w:pPr>
      <w:r w:rsidRPr="00243787">
        <w:rPr>
          <w:noProof/>
        </w:rPr>
        <w:t>Commentary on amendments to bills</w:t>
      </w:r>
      <w:r>
        <w:rPr>
          <w:noProof/>
        </w:rPr>
        <w:tab/>
        <w:t>17</w:t>
      </w:r>
    </w:p>
    <w:p w:rsidR="00D537A9" w:rsidRDefault="00D537A9" w:rsidP="00D537A9">
      <w:pPr>
        <w:pStyle w:val="TOC3"/>
        <w:ind w:right="1247"/>
        <w:rPr>
          <w:rFonts w:asciiTheme="minorHAnsi" w:eastAsiaTheme="minorEastAsia" w:hAnsiTheme="minorHAnsi" w:cstheme="minorBidi"/>
          <w:noProof/>
          <w:sz w:val="22"/>
          <w:szCs w:val="22"/>
        </w:rPr>
      </w:pPr>
      <w:r w:rsidRPr="00243787">
        <w:rPr>
          <w:noProof/>
        </w:rPr>
        <w:t>Scrutiny of standing appropriations</w:t>
      </w:r>
      <w:r>
        <w:rPr>
          <w:noProof/>
        </w:rPr>
        <w:tab/>
        <w:t>19</w:t>
      </w:r>
    </w:p>
    <w:p w:rsidR="00D537A9" w:rsidRDefault="00D537A9" w:rsidP="00D537A9">
      <w:pPr>
        <w:tabs>
          <w:tab w:val="left" w:pos="1170"/>
        </w:tabs>
        <w:jc w:val="left"/>
      </w:pPr>
    </w:p>
    <w:p w:rsidR="00D537A9" w:rsidRDefault="00D537A9" w:rsidP="00D537A9">
      <w:pPr>
        <w:tabs>
          <w:tab w:val="left" w:pos="1170"/>
        </w:tabs>
        <w:jc w:val="left"/>
      </w:pPr>
    </w:p>
    <w:p w:rsidR="00D537A9" w:rsidRDefault="00D537A9" w:rsidP="00D537A9">
      <w:pPr>
        <w:pBdr>
          <w:top w:val="single" w:sz="4" w:space="1" w:color="auto"/>
          <w:left w:val="single" w:sz="4" w:space="4" w:color="auto"/>
          <w:bottom w:val="single" w:sz="4" w:space="1" w:color="auto"/>
          <w:right w:val="single" w:sz="4" w:space="4" w:color="auto"/>
        </w:pBdr>
        <w:tabs>
          <w:tab w:val="left" w:pos="1170"/>
        </w:tabs>
        <w:jc w:val="left"/>
      </w:pPr>
    </w:p>
    <w:p w:rsidR="00D537A9" w:rsidRPr="00AA01CE" w:rsidRDefault="00D537A9" w:rsidP="00D537A9">
      <w:pPr>
        <w:pStyle w:val="H2"/>
        <w:pBdr>
          <w:top w:val="single" w:sz="4" w:space="1" w:color="auto"/>
          <w:left w:val="single" w:sz="4" w:space="4" w:color="auto"/>
          <w:bottom w:val="single" w:sz="4" w:space="1" w:color="auto"/>
          <w:right w:val="single" w:sz="4" w:space="4" w:color="auto"/>
        </w:pBdr>
        <w:spacing w:after="120"/>
        <w:jc w:val="center"/>
        <w:rPr>
          <w:sz w:val="26"/>
          <w:szCs w:val="26"/>
        </w:rPr>
      </w:pPr>
      <w:r>
        <w:rPr>
          <w:sz w:val="26"/>
          <w:szCs w:val="26"/>
        </w:rPr>
        <w:t xml:space="preserve">Senate </w:t>
      </w:r>
      <w:r w:rsidRPr="00AA01CE">
        <w:rPr>
          <w:sz w:val="26"/>
          <w:szCs w:val="26"/>
        </w:rPr>
        <w:t xml:space="preserve">Standing </w:t>
      </w:r>
      <w:r>
        <w:rPr>
          <w:sz w:val="26"/>
          <w:szCs w:val="26"/>
        </w:rPr>
        <w:t xml:space="preserve">Legislation </w:t>
      </w:r>
      <w:r w:rsidRPr="00AA01CE">
        <w:rPr>
          <w:sz w:val="26"/>
          <w:szCs w:val="26"/>
        </w:rPr>
        <w:t xml:space="preserve">Committee </w:t>
      </w:r>
      <w:r>
        <w:rPr>
          <w:sz w:val="26"/>
          <w:szCs w:val="26"/>
        </w:rPr>
        <w:t>Inquiries</w:t>
      </w:r>
    </w:p>
    <w:p w:rsidR="00D537A9" w:rsidRDefault="00D537A9" w:rsidP="00D537A9">
      <w:pPr>
        <w:pBdr>
          <w:top w:val="single" w:sz="4" w:space="1" w:color="auto"/>
          <w:left w:val="single" w:sz="4" w:space="4" w:color="auto"/>
          <w:bottom w:val="single" w:sz="4" w:space="1" w:color="auto"/>
          <w:right w:val="single" w:sz="4" w:space="4" w:color="auto"/>
        </w:pBdr>
        <w:tabs>
          <w:tab w:val="left" w:pos="1170"/>
        </w:tabs>
      </w:pPr>
      <w:r>
        <w:t>The committee will forward any comments it has made on a bill to any relevant legislation committee for information.</w:t>
      </w:r>
    </w:p>
    <w:p w:rsidR="00D537A9" w:rsidRDefault="00D537A9" w:rsidP="00D537A9">
      <w:pPr>
        <w:pBdr>
          <w:top w:val="single" w:sz="4" w:space="1" w:color="auto"/>
          <w:left w:val="single" w:sz="4" w:space="4" w:color="auto"/>
          <w:bottom w:val="single" w:sz="4" w:space="1" w:color="auto"/>
          <w:right w:val="single" w:sz="4" w:space="4" w:color="auto"/>
        </w:pBdr>
        <w:tabs>
          <w:tab w:val="left" w:pos="1170"/>
        </w:tabs>
        <w:jc w:val="left"/>
      </w:pPr>
    </w:p>
    <w:p w:rsidR="00D537A9" w:rsidRDefault="00D537A9" w:rsidP="00D537A9">
      <w:pPr>
        <w:tabs>
          <w:tab w:val="left" w:pos="1170"/>
        </w:tabs>
        <w:jc w:val="left"/>
      </w:pPr>
    </w:p>
    <w:p w:rsidR="00D537A9" w:rsidRDefault="00D537A9" w:rsidP="00D537A9">
      <w:pPr>
        <w:tabs>
          <w:tab w:val="left" w:pos="1170"/>
        </w:tabs>
        <w:jc w:val="left"/>
      </w:pPr>
    </w:p>
    <w:p w:rsidR="00D537A9" w:rsidRDefault="00D537A9" w:rsidP="00D537A9">
      <w:pPr>
        <w:tabs>
          <w:tab w:val="left" w:pos="1170"/>
        </w:tabs>
        <w:jc w:val="left"/>
        <w:sectPr w:rsidR="00D537A9" w:rsidSect="00E10390">
          <w:headerReference w:type="default" r:id="rId7"/>
          <w:footerReference w:type="even" r:id="rId8"/>
          <w:footerReference w:type="default" r:id="rId9"/>
          <w:pgSz w:w="11906" w:h="16838"/>
          <w:pgMar w:top="1701" w:right="1700" w:bottom="1701" w:left="1843" w:header="720" w:footer="720" w:gutter="170"/>
          <w:pgNumType w:fmt="lowerRoman" w:start="5"/>
          <w:cols w:space="720"/>
          <w:titlePg/>
          <w:docGrid w:linePitch="354"/>
        </w:sectPr>
      </w:pPr>
    </w:p>
    <w:p w:rsidR="00D537A9" w:rsidRPr="00E15F38" w:rsidRDefault="00D537A9" w:rsidP="00D537A9">
      <w:pPr>
        <w:pStyle w:val="H1"/>
      </w:pPr>
      <w:r>
        <w:lastRenderedPageBreak/>
        <w:t>Assisting Victims of Overseas Terrorism Bill 2012</w:t>
      </w:r>
    </w:p>
    <w:p w:rsidR="00D537A9" w:rsidRPr="00C54BA1" w:rsidRDefault="00D537A9" w:rsidP="00D537A9">
      <w:r w:rsidRPr="00C54BA1">
        <w:t xml:space="preserve">Introduced into the </w:t>
      </w:r>
      <w:r>
        <w:t xml:space="preserve">Senate </w:t>
      </w:r>
      <w:r w:rsidRPr="00C54BA1">
        <w:t xml:space="preserve">on </w:t>
      </w:r>
      <w:r>
        <w:t>1 March 2012</w:t>
      </w:r>
    </w:p>
    <w:p w:rsidR="00D537A9" w:rsidRDefault="00D537A9" w:rsidP="00D537A9">
      <w:r>
        <w:t xml:space="preserve">By: Senator </w:t>
      </w:r>
      <w:proofErr w:type="spellStart"/>
      <w:r>
        <w:t>Brandis</w:t>
      </w:r>
      <w:proofErr w:type="spellEnd"/>
    </w:p>
    <w:p w:rsidR="00D537A9" w:rsidRDefault="00D537A9" w:rsidP="00D537A9"/>
    <w:p w:rsidR="00D537A9" w:rsidRPr="00C54BA1" w:rsidRDefault="00D537A9" w:rsidP="00D537A9">
      <w:pPr>
        <w:pStyle w:val="H2"/>
      </w:pPr>
      <w:r w:rsidRPr="00C54BA1">
        <w:t>Background</w:t>
      </w:r>
    </w:p>
    <w:p w:rsidR="00D537A9" w:rsidRDefault="00D537A9" w:rsidP="00D537A9"/>
    <w:p w:rsidR="00D537A9" w:rsidRDefault="00D537A9" w:rsidP="00D537A9">
      <w:r>
        <w:t>This bill proposes the establishment of a framework to facilitate financial assistance for Australians killed or injured, or their next of kin, as a result of international terrorist acts.</w:t>
      </w:r>
    </w:p>
    <w:p w:rsidR="00D537A9" w:rsidRDefault="00D537A9" w:rsidP="00D537A9"/>
    <w:p w:rsidR="00D537A9" w:rsidRDefault="00D537A9" w:rsidP="00D537A9">
      <w:pPr>
        <w:pStyle w:val="H2"/>
      </w:pPr>
      <w:r>
        <w:t>Inappropriate delegation of legislative power</w:t>
      </w:r>
    </w:p>
    <w:p w:rsidR="00D537A9" w:rsidRPr="0053177F" w:rsidRDefault="00D537A9" w:rsidP="00D537A9">
      <w:pPr>
        <w:pStyle w:val="H2"/>
      </w:pPr>
      <w:r>
        <w:t>Clause 6</w:t>
      </w:r>
    </w:p>
    <w:p w:rsidR="00D537A9" w:rsidRDefault="00D537A9" w:rsidP="00D537A9"/>
    <w:p w:rsidR="00D537A9" w:rsidRDefault="00D537A9" w:rsidP="00D537A9">
      <w:r>
        <w:t xml:space="preserve">This bill proposes the establishment of a framework, similar to State and Territory victims of crime compensation schemes, for Australians killed or injured, or their next of kin, as a result of international terrorist acts. Subclause 6(1) requires the Minister to, by legislative </w:t>
      </w:r>
      <w:proofErr w:type="gramStart"/>
      <w:r>
        <w:t>instrument,</w:t>
      </w:r>
      <w:proofErr w:type="gramEnd"/>
      <w:r>
        <w:t xml:space="preserve"> determine guidelines for the operation of the scheme. Subclause 6(2) provides that the guidelines must include details on the eligibility requirements to be satisfied before a recommendation may be made to the Minister for payment of financial assistance.</w:t>
      </w:r>
    </w:p>
    <w:p w:rsidR="00D537A9" w:rsidRDefault="00D537A9" w:rsidP="00D537A9"/>
    <w:p w:rsidR="00D537A9" w:rsidRDefault="00D537A9" w:rsidP="00D537A9">
      <w:r>
        <w:t xml:space="preserve">The Committee generally prefers that important matters be dealt with in primary legislation. The bill authorises a compensation framework to be developed through delegated legislation and provides little by way of guidance as to the substance of the eligibility requirements. Although the Committee accepts that framework legislation may be appropriate in certain circumstances, it expects that the explanatory memorandum will provide a detailed explanation of why it is considered necessary to deal with important questions in delegated legislation. </w:t>
      </w:r>
    </w:p>
    <w:p w:rsidR="00D537A9" w:rsidRDefault="00D537A9" w:rsidP="00D537A9"/>
    <w:p w:rsidR="00D537A9" w:rsidRPr="00AB5866" w:rsidRDefault="00D537A9" w:rsidP="00D537A9">
      <w:pPr>
        <w:rPr>
          <w:b/>
        </w:rPr>
      </w:pPr>
      <w:r>
        <w:t xml:space="preserve">The Committee notes that clause 8 of the bill imposes a requirement on the Minister to consult with representatives of a number of affected or interested groups prior to making the guidelines and then twice each year after the commencement of the framework. The importance of ensuring that the guidelines reflect the concerns of affected and interested groups may be part of a justification for the delegation of legislative </w:t>
      </w:r>
      <w:proofErr w:type="gramStart"/>
      <w:r>
        <w:t>power,</w:t>
      </w:r>
      <w:proofErr w:type="gramEnd"/>
      <w:r>
        <w:t xml:space="preserve"> however in the absence of discussion of the need for delegated legislation </w:t>
      </w:r>
      <w:r w:rsidRPr="00AB5866">
        <w:rPr>
          <w:b/>
        </w:rPr>
        <w:t xml:space="preserve">the Committee </w:t>
      </w:r>
      <w:r w:rsidRPr="00AB5866">
        <w:rPr>
          <w:b/>
        </w:rPr>
        <w:lastRenderedPageBreak/>
        <w:t xml:space="preserve">seeks the Senator's </w:t>
      </w:r>
      <w:r>
        <w:rPr>
          <w:b/>
        </w:rPr>
        <w:t>advice</w:t>
      </w:r>
      <w:r w:rsidRPr="00AB5866">
        <w:rPr>
          <w:b/>
        </w:rPr>
        <w:t xml:space="preserve"> as to an explanation </w:t>
      </w:r>
      <w:r>
        <w:rPr>
          <w:b/>
        </w:rPr>
        <w:t>for</w:t>
      </w:r>
      <w:r w:rsidRPr="00AB5866">
        <w:rPr>
          <w:b/>
        </w:rPr>
        <w:t xml:space="preserve"> the proposed approach. </w:t>
      </w:r>
    </w:p>
    <w:p w:rsidR="00D537A9" w:rsidRDefault="00D537A9" w:rsidP="00D537A9"/>
    <w:p w:rsidR="00D537A9" w:rsidRPr="001153E3" w:rsidRDefault="00D537A9" w:rsidP="00D537A9"/>
    <w:p w:rsidR="00D537A9" w:rsidRDefault="00D537A9" w:rsidP="00D537A9">
      <w:pPr>
        <w:ind w:left="567" w:right="567"/>
        <w:rPr>
          <w:i/>
        </w:rPr>
      </w:pPr>
      <w:r>
        <w:rPr>
          <w:i/>
        </w:rPr>
        <w:t>Pending the Senator's advice, the Committee draws Senators’ attention to the provisions, as they may delegate legislative powers inappropriately, in breach of principle 1(a</w:t>
      </w:r>
      <w:proofErr w:type="gramStart"/>
      <w:r>
        <w:rPr>
          <w:i/>
        </w:rPr>
        <w:t>)(</w:t>
      </w:r>
      <w:proofErr w:type="gramEnd"/>
      <w:r>
        <w:rPr>
          <w:i/>
        </w:rPr>
        <w:t>iv) of the Committee’s terms of reference.</w:t>
      </w:r>
    </w:p>
    <w:p w:rsidR="00D537A9" w:rsidRDefault="00D537A9" w:rsidP="00D537A9">
      <w:pPr>
        <w:ind w:left="567" w:right="567"/>
        <w:rPr>
          <w:i/>
        </w:rPr>
      </w:pPr>
    </w:p>
    <w:p w:rsidR="00D537A9" w:rsidRDefault="00D537A9" w:rsidP="00D537A9">
      <w:pPr>
        <w:spacing w:line="240" w:lineRule="auto"/>
        <w:jc w:val="left"/>
        <w:rPr>
          <w:b/>
          <w:sz w:val="36"/>
        </w:rPr>
      </w:pPr>
      <w:r>
        <w:br w:type="page"/>
      </w:r>
    </w:p>
    <w:p w:rsidR="00D537A9" w:rsidRPr="007D3C39" w:rsidRDefault="00D537A9" w:rsidP="00D537A9">
      <w:pPr>
        <w:pStyle w:val="H1"/>
      </w:pPr>
      <w:r w:rsidRPr="007D3C39">
        <w:t>Corporations Legislation Amendment (Audit Enhancement) Bill 2012</w:t>
      </w:r>
    </w:p>
    <w:p w:rsidR="00D537A9" w:rsidRPr="007D3C39" w:rsidRDefault="00D537A9" w:rsidP="00D537A9">
      <w:r w:rsidRPr="007D3C39">
        <w:t>Introduced into the House of Representatives on 29 February 2012</w:t>
      </w:r>
    </w:p>
    <w:p w:rsidR="00D537A9" w:rsidRPr="007D3C39" w:rsidRDefault="00D537A9" w:rsidP="00D537A9">
      <w:r w:rsidRPr="007D3C39">
        <w:t>Portfolio: Treasury</w:t>
      </w:r>
    </w:p>
    <w:p w:rsidR="00D537A9" w:rsidRPr="007D3C39" w:rsidRDefault="00D537A9" w:rsidP="00D537A9"/>
    <w:p w:rsidR="00D537A9" w:rsidRPr="007D3C39" w:rsidRDefault="00D537A9" w:rsidP="00D537A9">
      <w:pPr>
        <w:pStyle w:val="H2"/>
      </w:pPr>
      <w:r w:rsidRPr="007D3C39">
        <w:t>Background</w:t>
      </w:r>
    </w:p>
    <w:p w:rsidR="00D537A9" w:rsidRDefault="00D537A9" w:rsidP="00D537A9"/>
    <w:p w:rsidR="00D537A9" w:rsidRDefault="00D537A9" w:rsidP="00D537A9">
      <w:r>
        <w:t xml:space="preserve">The bill amends the </w:t>
      </w:r>
      <w:r>
        <w:rPr>
          <w:i/>
        </w:rPr>
        <w:t>Corporations Act 2001</w:t>
      </w:r>
      <w:r>
        <w:t xml:space="preserve"> and the </w:t>
      </w:r>
      <w:r>
        <w:rPr>
          <w:i/>
        </w:rPr>
        <w:t>Australian Securities and Investments Commission Act 2004</w:t>
      </w:r>
      <w:r>
        <w:t xml:space="preserve"> to:</w:t>
      </w:r>
    </w:p>
    <w:p w:rsidR="00D537A9" w:rsidRDefault="00D537A9" w:rsidP="00D537A9"/>
    <w:p w:rsidR="00D537A9" w:rsidRDefault="00D537A9" w:rsidP="00D537A9">
      <w:pPr>
        <w:pStyle w:val="B1"/>
      </w:pPr>
      <w:r>
        <w:t>provide for directors of a listed company or listed registered scheme to extend the five year auditor rotation period for up to two years if specified criteria are met;</w:t>
      </w:r>
    </w:p>
    <w:p w:rsidR="00D537A9" w:rsidRDefault="00D537A9" w:rsidP="00D537A9">
      <w:pPr>
        <w:pStyle w:val="B1"/>
      </w:pPr>
      <w:r>
        <w:t>introduce a requirement for audit firms to publish an annual transparency report if they conduct audits of ten or more Australian listed companies, listed registered schemes, authorised deposit-taking institutions or insurances companies;</w:t>
      </w:r>
    </w:p>
    <w:p w:rsidR="00D537A9" w:rsidRDefault="00D537A9" w:rsidP="00D537A9">
      <w:pPr>
        <w:pStyle w:val="B1"/>
      </w:pPr>
      <w:r>
        <w:t>remove the auditor independence function from the Financial Reporting Council and replace it with a role to provide the Minister and professional accounting bodies strategic policy advice and reports in relation to the quality of audits conducted by Australian auditors;</w:t>
      </w:r>
    </w:p>
    <w:p w:rsidR="00D537A9" w:rsidRDefault="00D537A9" w:rsidP="00D537A9">
      <w:pPr>
        <w:pStyle w:val="B1"/>
      </w:pPr>
      <w:r>
        <w:t>provide ASIC with the power to issue public audit deficiency reports on individual audit firms; and</w:t>
      </w:r>
    </w:p>
    <w:p w:rsidR="00D537A9" w:rsidRDefault="00D537A9" w:rsidP="00D537A9">
      <w:pPr>
        <w:pStyle w:val="B1"/>
      </w:pPr>
      <w:proofErr w:type="gramStart"/>
      <w:r>
        <w:t>allow</w:t>
      </w:r>
      <w:proofErr w:type="gramEnd"/>
      <w:r>
        <w:t xml:space="preserve"> ASIC to communicate directly with an audited body in specified circumstances.</w:t>
      </w:r>
    </w:p>
    <w:p w:rsidR="00D537A9" w:rsidRDefault="00D537A9" w:rsidP="00D537A9">
      <w:pPr>
        <w:pStyle w:val="H2"/>
      </w:pPr>
      <w:r>
        <w:t>Strict liability</w:t>
      </w:r>
    </w:p>
    <w:p w:rsidR="00D537A9" w:rsidRDefault="00D537A9" w:rsidP="00D537A9">
      <w:pPr>
        <w:pStyle w:val="H2"/>
      </w:pPr>
      <w:r>
        <w:t xml:space="preserve">Item 18, Schedule 1, Part 2, subsection </w:t>
      </w:r>
      <w:proofErr w:type="gramStart"/>
      <w:r>
        <w:t>332A(</w:t>
      </w:r>
      <w:proofErr w:type="gramEnd"/>
      <w:r>
        <w:t xml:space="preserve">3) </w:t>
      </w:r>
    </w:p>
    <w:p w:rsidR="00D537A9" w:rsidRDefault="00D537A9" w:rsidP="00D537A9"/>
    <w:p w:rsidR="00D537A9" w:rsidRDefault="00D537A9" w:rsidP="00D537A9">
      <w:r>
        <w:t xml:space="preserve">This proposed provision makes </w:t>
      </w:r>
      <w:r w:rsidRPr="00DB450E">
        <w:rPr>
          <w:color w:val="000000" w:themeColor="text1"/>
        </w:rPr>
        <w:t>offences relating to the failure by auditors to comply with the annual transparency reporting requirements offences</w:t>
      </w:r>
      <w:r>
        <w:t xml:space="preserve"> of strict liability. The explanatory memorandum, at pages 32 and 33, states that this:</w:t>
      </w:r>
    </w:p>
    <w:p w:rsidR="00D537A9" w:rsidRDefault="00D537A9" w:rsidP="00D537A9"/>
    <w:p w:rsidR="00D537A9" w:rsidRDefault="00D537A9" w:rsidP="00D537A9">
      <w:pPr>
        <w:pStyle w:val="I1"/>
      </w:pPr>
      <w:r>
        <w:lastRenderedPageBreak/>
        <w:t xml:space="preserve">...is designed to provide an incentive across the firm or audit company to foster an effective culture of compliance. </w:t>
      </w:r>
    </w:p>
    <w:p w:rsidR="00D537A9" w:rsidRDefault="00D537A9" w:rsidP="00D537A9">
      <w:pPr>
        <w:pStyle w:val="I1"/>
      </w:pPr>
    </w:p>
    <w:p w:rsidR="00D537A9" w:rsidRDefault="00D537A9" w:rsidP="00D537A9">
      <w:pPr>
        <w:rPr>
          <w:b/>
        </w:rPr>
      </w:pPr>
      <w:r>
        <w:t xml:space="preserve">It is also the case that the applicable penalties (see item 19) are within the limits set out in the </w:t>
      </w:r>
      <w:r w:rsidRPr="00FD0681">
        <w:rPr>
          <w:i/>
        </w:rPr>
        <w:t>Guide to Framing Commonwealth Offences</w:t>
      </w:r>
      <w:r>
        <w:t xml:space="preserve">. Although the Committee prefers to see explanatory memoranda deal with the justification for strict liability in more detail and, in particular, for close attention to be paid to the principles stated in the </w:t>
      </w:r>
      <w:r w:rsidRPr="00FD0681">
        <w:rPr>
          <w:i/>
        </w:rPr>
        <w:t>Guide to Framing Commonwealth Offences</w:t>
      </w:r>
      <w:r>
        <w:t xml:space="preserve">, in the circumstances </w:t>
      </w:r>
      <w:r w:rsidRPr="0070626A">
        <w:rPr>
          <w:b/>
        </w:rPr>
        <w:t>the Committee leaves this matter to the consideration of the Senate as a whole.</w:t>
      </w:r>
    </w:p>
    <w:p w:rsidR="00D537A9" w:rsidRDefault="00D537A9" w:rsidP="00D537A9">
      <w:pPr>
        <w:rPr>
          <w:b/>
        </w:rPr>
      </w:pPr>
    </w:p>
    <w:p w:rsidR="00D537A9" w:rsidRPr="0070626A" w:rsidRDefault="00D537A9" w:rsidP="00D537A9">
      <w:pPr>
        <w:ind w:left="737" w:right="680"/>
        <w:rPr>
          <w:b/>
        </w:rPr>
      </w:pPr>
      <w:r>
        <w:rPr>
          <w:i/>
        </w:rPr>
        <w:t>In the circumstances, the Committee makes no further comment on this matter.</w:t>
      </w:r>
    </w:p>
    <w:p w:rsidR="00D537A9" w:rsidRDefault="00D537A9" w:rsidP="00D537A9"/>
    <w:p w:rsidR="00D537A9" w:rsidRDefault="00D537A9" w:rsidP="00D537A9">
      <w:pPr>
        <w:pStyle w:val="H2"/>
      </w:pPr>
      <w:r>
        <w:t>Inappropriate delegation of legislative power</w:t>
      </w:r>
    </w:p>
    <w:p w:rsidR="00D537A9" w:rsidRDefault="00D537A9" w:rsidP="00D537A9">
      <w:pPr>
        <w:pStyle w:val="H2"/>
      </w:pPr>
      <w:r>
        <w:t xml:space="preserve">Item 18, Schedule 1, Part 2, subsection </w:t>
      </w:r>
      <w:proofErr w:type="gramStart"/>
      <w:r>
        <w:t>332B(</w:t>
      </w:r>
      <w:proofErr w:type="gramEnd"/>
      <w:r>
        <w:t xml:space="preserve">1) </w:t>
      </w:r>
    </w:p>
    <w:p w:rsidR="00D537A9" w:rsidRDefault="00D537A9" w:rsidP="00D537A9"/>
    <w:p w:rsidR="00D537A9" w:rsidRDefault="00D537A9" w:rsidP="00D537A9">
      <w:r>
        <w:t xml:space="preserve">The information to be included in an annual transparency report must contain information to be prescribed by the regulations. The explanatory memorandum sets out a long list of the sort of information that will be required. However, the Committee generally prefers that important matters be dealt with in primary legislation. No explanation is given as to why delegated legislation is appropriate for </w:t>
      </w:r>
      <w:proofErr w:type="gramStart"/>
      <w:r>
        <w:t>these provision</w:t>
      </w:r>
      <w:proofErr w:type="gramEnd"/>
      <w:r>
        <w:t xml:space="preserve">. Without further information it appears to the Committee that at least some of these requirements could be dealt with in primary legislation. </w:t>
      </w:r>
      <w:r w:rsidRPr="00F62C26">
        <w:rPr>
          <w:b/>
        </w:rPr>
        <w:t xml:space="preserve">The Committee therefore seeks the </w:t>
      </w:r>
      <w:r>
        <w:rPr>
          <w:b/>
        </w:rPr>
        <w:t>Treasure</w:t>
      </w:r>
      <w:r w:rsidRPr="00F62C26">
        <w:rPr>
          <w:b/>
        </w:rPr>
        <w:t>r's advice as to the justification for the proposed approach</w:t>
      </w:r>
      <w:r>
        <w:t xml:space="preserve">. </w:t>
      </w:r>
    </w:p>
    <w:p w:rsidR="00D537A9" w:rsidRDefault="00D537A9" w:rsidP="00D537A9"/>
    <w:p w:rsidR="00D537A9" w:rsidRDefault="00D537A9" w:rsidP="00D537A9">
      <w:pPr>
        <w:ind w:left="567" w:right="567"/>
        <w:rPr>
          <w:i/>
        </w:rPr>
      </w:pPr>
      <w:r>
        <w:rPr>
          <w:i/>
        </w:rPr>
        <w:t>Pending the Treasurer's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D537A9" w:rsidRDefault="00D537A9" w:rsidP="00D537A9">
      <w:pPr>
        <w:ind w:left="567" w:right="567"/>
        <w:rPr>
          <w:i/>
        </w:rPr>
      </w:pPr>
    </w:p>
    <w:p w:rsidR="00D537A9" w:rsidRDefault="00D537A9" w:rsidP="00D537A9">
      <w:pPr>
        <w:pStyle w:val="H2"/>
      </w:pPr>
      <w:r>
        <w:t>Trespass on personal rights and liberties, collective responsibility and reversal of burden of proof</w:t>
      </w:r>
    </w:p>
    <w:p w:rsidR="00D537A9" w:rsidRDefault="00D537A9" w:rsidP="00D537A9">
      <w:pPr>
        <w:pStyle w:val="H2"/>
      </w:pPr>
      <w:r>
        <w:t>Item 18, Schedule 1, Part 2, section 332G</w:t>
      </w:r>
    </w:p>
    <w:p w:rsidR="00D537A9" w:rsidRDefault="00D537A9" w:rsidP="00D537A9"/>
    <w:p w:rsidR="00D537A9" w:rsidRDefault="00D537A9" w:rsidP="00D537A9">
      <w:r>
        <w:t xml:space="preserve">This provision provides that an offence that would otherwise be committed by a firm in relation to an annual transparency report is taken to have been committed by each member of the firm. The explanatory memorandum states at page 33 that this is designed to impose ‘a form of collective liability…to encourage a ‘culture of compliance’ across the whole firm’. Subsection </w:t>
      </w:r>
      <w:r>
        <w:lastRenderedPageBreak/>
        <w:t xml:space="preserve">332G(4) provides for exceptions, namely, if the member of the firm does not know of the circumstances that constitute the contravention concerned or knows of the circumstances but takes reasonable steps to correct the contravention as soon as possible. The </w:t>
      </w:r>
      <w:r w:rsidRPr="00422A83">
        <w:rPr>
          <w:i/>
        </w:rPr>
        <w:t>Note</w:t>
      </w:r>
      <w:r>
        <w:t xml:space="preserve"> to this subsection states that in relation to these exceptions the defendant bears an evidential onus of proof. </w:t>
      </w:r>
    </w:p>
    <w:p w:rsidR="00D537A9" w:rsidRDefault="00D537A9" w:rsidP="00D537A9"/>
    <w:p w:rsidR="00D537A9" w:rsidRDefault="00D537A9" w:rsidP="00D537A9">
      <w:r>
        <w:t xml:space="preserve">In the Committee's view the imposition of collective responsibility should be strictly justified. In addition, the necessity to impose an evidential burden on defendants to establish the exceptions is not addressed in the explanatory memorandum. Although the question of whether steps have been taken to correct a contravention about which a person has knowledge is matter which is peculiarly within the knowledge of the defendant, it is less clear that it is appropriate to require that the defendant bear an evidential burden in relation to the question of whether or not they know of the circumstances that constitute a contravention of the provision concerned. Although the defendant’s lack of knowledge of a matter may obviously be said to be something peculiarly within their knowledge, it may not always be apparent what evidence may readily be available to demonstrate a lack of knowledge by the defendant. </w:t>
      </w:r>
    </w:p>
    <w:p w:rsidR="00D537A9" w:rsidRDefault="00D537A9" w:rsidP="00D537A9"/>
    <w:p w:rsidR="00D537A9" w:rsidRPr="00422A83" w:rsidRDefault="00D537A9" w:rsidP="00D537A9">
      <w:pPr>
        <w:rPr>
          <w:b/>
        </w:rPr>
      </w:pPr>
      <w:r w:rsidRPr="00422A83">
        <w:rPr>
          <w:b/>
        </w:rPr>
        <w:t xml:space="preserve">The Committee therefore seeks the </w:t>
      </w:r>
      <w:r>
        <w:rPr>
          <w:b/>
        </w:rPr>
        <w:t>Treasur</w:t>
      </w:r>
      <w:r w:rsidRPr="00422A83">
        <w:rPr>
          <w:b/>
        </w:rPr>
        <w:t>er's advice as to the justification for the imposition of collective responsibility and for the imposition of an evidential burden on defendants.</w:t>
      </w:r>
    </w:p>
    <w:p w:rsidR="00D537A9" w:rsidRDefault="00D537A9" w:rsidP="00D537A9"/>
    <w:p w:rsidR="00D537A9" w:rsidRDefault="00D537A9" w:rsidP="00D537A9">
      <w:pPr>
        <w:ind w:left="567" w:right="567"/>
        <w:rPr>
          <w:i/>
        </w:rPr>
      </w:pPr>
      <w:r>
        <w:rPr>
          <w:i/>
        </w:rPr>
        <w:t>Pending the Treasurer's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D537A9" w:rsidRDefault="00D537A9" w:rsidP="00D537A9">
      <w:pPr>
        <w:ind w:left="567" w:right="567"/>
        <w:rPr>
          <w:i/>
        </w:rPr>
      </w:pPr>
    </w:p>
    <w:p w:rsidR="00D537A9" w:rsidRDefault="00D537A9" w:rsidP="00D537A9"/>
    <w:p w:rsidR="00D537A9" w:rsidRPr="00E15F38" w:rsidRDefault="00D537A9" w:rsidP="00D537A9">
      <w:pPr>
        <w:pStyle w:val="H1"/>
        <w:spacing w:after="240"/>
      </w:pPr>
      <w:r>
        <w:br w:type="page"/>
      </w:r>
      <w:r>
        <w:lastRenderedPageBreak/>
        <w:t>Equal Opportunity for Women in the Workplace Amendment Bill 2012</w:t>
      </w:r>
    </w:p>
    <w:p w:rsidR="00D537A9" w:rsidRPr="00C54BA1" w:rsidRDefault="00D537A9" w:rsidP="00D537A9">
      <w:r w:rsidRPr="00C54BA1">
        <w:t xml:space="preserve">Introduced into the </w:t>
      </w:r>
      <w:r>
        <w:t xml:space="preserve">House of Representatives </w:t>
      </w:r>
      <w:r w:rsidRPr="00C54BA1">
        <w:t xml:space="preserve">on </w:t>
      </w:r>
      <w:r>
        <w:t>1 March 2012</w:t>
      </w:r>
    </w:p>
    <w:p w:rsidR="00D537A9" w:rsidRDefault="00D537A9" w:rsidP="00D537A9">
      <w:r>
        <w:t>Portfolio: Families, Housing, Community Services and Indigenous Affairs</w:t>
      </w:r>
    </w:p>
    <w:p w:rsidR="00D537A9" w:rsidRDefault="00D537A9" w:rsidP="00D537A9"/>
    <w:p w:rsidR="00D537A9" w:rsidRPr="00C54BA1" w:rsidRDefault="00D537A9" w:rsidP="00D537A9">
      <w:pPr>
        <w:pStyle w:val="H2"/>
      </w:pPr>
      <w:r w:rsidRPr="00C54BA1">
        <w:t>Background</w:t>
      </w:r>
    </w:p>
    <w:p w:rsidR="00D537A9" w:rsidRDefault="00D537A9" w:rsidP="00D537A9"/>
    <w:p w:rsidR="00D537A9" w:rsidRDefault="00D537A9" w:rsidP="00D537A9">
      <w:r>
        <w:t xml:space="preserve">This bill amends the </w:t>
      </w:r>
      <w:r>
        <w:rPr>
          <w:i/>
        </w:rPr>
        <w:t>Equal Opportunity for Women in the Workplace Act 1999.</w:t>
      </w:r>
      <w:r>
        <w:t xml:space="preserve"> The bill provides for the following amendments to reflect the focus on gender equality in the workplace including:</w:t>
      </w:r>
    </w:p>
    <w:p w:rsidR="00D537A9" w:rsidRDefault="00D537A9" w:rsidP="00D537A9"/>
    <w:p w:rsidR="00D537A9" w:rsidRDefault="00D537A9" w:rsidP="00D537A9">
      <w:pPr>
        <w:pStyle w:val="B1"/>
      </w:pPr>
      <w:r>
        <w:t xml:space="preserve">amending the name of the Act to the </w:t>
      </w:r>
      <w:r w:rsidRPr="00621A0B">
        <w:rPr>
          <w:i/>
        </w:rPr>
        <w:t>Workplace Gender Equality Act 2012</w:t>
      </w:r>
      <w:r>
        <w:t>;</w:t>
      </w:r>
    </w:p>
    <w:p w:rsidR="00D537A9" w:rsidRDefault="00D537A9" w:rsidP="00D537A9">
      <w:pPr>
        <w:pStyle w:val="B1"/>
      </w:pPr>
      <w:r>
        <w:t>amending the coverage of the Act to include all employers and employees in the workplace;</w:t>
      </w:r>
    </w:p>
    <w:p w:rsidR="00D537A9" w:rsidRDefault="00D537A9" w:rsidP="00D537A9">
      <w:pPr>
        <w:pStyle w:val="B1"/>
      </w:pPr>
      <w:r>
        <w:t>introducing a new reporting framework in which relevant employers are required to report against gender equality indicators; and</w:t>
      </w:r>
    </w:p>
    <w:p w:rsidR="00D537A9" w:rsidRDefault="00D537A9" w:rsidP="00D537A9">
      <w:pPr>
        <w:pStyle w:val="B1"/>
      </w:pPr>
      <w:proofErr w:type="gramStart"/>
      <w:r>
        <w:t>introducing</w:t>
      </w:r>
      <w:proofErr w:type="gramEnd"/>
      <w:r>
        <w:t xml:space="preserve"> amendments relating to transparency associated with compliance with the Act and the consequences of non-compliance.</w:t>
      </w:r>
    </w:p>
    <w:p w:rsidR="00D537A9" w:rsidRDefault="00D537A9" w:rsidP="00D537A9">
      <w:pPr>
        <w:pStyle w:val="H2"/>
      </w:pPr>
      <w:r>
        <w:t>Inappropriate delegation of legislative power</w:t>
      </w:r>
    </w:p>
    <w:p w:rsidR="00D537A9" w:rsidRDefault="00D537A9" w:rsidP="00D537A9">
      <w:pPr>
        <w:pStyle w:val="H2"/>
      </w:pPr>
      <w:r>
        <w:t>Item 55, Schedule 1, subsection 19(1)</w:t>
      </w:r>
    </w:p>
    <w:p w:rsidR="00D537A9" w:rsidRDefault="00D537A9" w:rsidP="00D537A9"/>
    <w:p w:rsidR="00D537A9" w:rsidRDefault="00D537A9" w:rsidP="00D537A9">
      <w:pPr>
        <w:rPr>
          <w:b/>
        </w:rPr>
      </w:pPr>
      <w:r>
        <w:t xml:space="preserve">This provision requires the minister to, by legislative instrument, set minimum standards in relation to specified gender equality indicators, specified relevant employers and specified reporting periods. The Committee prefers that the use of delegated legislation is fully explained. In this case the explanatory memorandum does not address this point, but indicates </w:t>
      </w:r>
      <w:r w:rsidRPr="0062062C">
        <w:t xml:space="preserve">at page </w:t>
      </w:r>
      <w:r>
        <w:t xml:space="preserve">2 that the development of these standards will be evidence-based and that the Minister must consult the Agency prior to making the standards. It is also envisaged (see subsection 31(3)) that the Minister will consult with other relevant persons, such as industry and employee organisations. </w:t>
      </w:r>
      <w:r w:rsidRPr="00BC3223">
        <w:rPr>
          <w:b/>
        </w:rPr>
        <w:t>In these circumstances the Committee leaves the question of whether the proposed approach is appropriate to the consideration of the Senate as a whole.</w:t>
      </w:r>
    </w:p>
    <w:p w:rsidR="00D537A9" w:rsidRDefault="00D537A9" w:rsidP="00D537A9">
      <w:pPr>
        <w:ind w:left="737" w:right="680"/>
        <w:rPr>
          <w:i/>
        </w:rPr>
      </w:pPr>
    </w:p>
    <w:p w:rsidR="00D537A9" w:rsidRDefault="00D537A9" w:rsidP="00D537A9">
      <w:pPr>
        <w:ind w:left="737" w:right="680"/>
        <w:rPr>
          <w:i/>
        </w:rPr>
      </w:pPr>
      <w:r>
        <w:rPr>
          <w:i/>
        </w:rPr>
        <w:t>In the circumstances, the Committee makes no further comment on this matter.</w:t>
      </w:r>
    </w:p>
    <w:p w:rsidR="00D537A9" w:rsidRDefault="00D537A9" w:rsidP="00D537A9">
      <w:pPr>
        <w:ind w:left="737" w:right="680"/>
        <w:rPr>
          <w:i/>
        </w:rPr>
        <w:sectPr w:rsidR="00D537A9" w:rsidSect="00A178C2">
          <w:headerReference w:type="even" r:id="rId10"/>
          <w:headerReference w:type="default" r:id="rId11"/>
          <w:footerReference w:type="even" r:id="rId12"/>
          <w:footerReference w:type="default" r:id="rId13"/>
          <w:pgSz w:w="11906" w:h="16838"/>
          <w:pgMar w:top="1701" w:right="1701" w:bottom="1701" w:left="1843" w:header="720" w:footer="720" w:gutter="170"/>
          <w:pgNumType w:start="1"/>
          <w:cols w:space="720"/>
          <w:docGrid w:linePitch="354"/>
        </w:sectPr>
      </w:pPr>
    </w:p>
    <w:p w:rsidR="00D537A9" w:rsidRPr="00E15F38" w:rsidRDefault="00D537A9" w:rsidP="00D537A9">
      <w:pPr>
        <w:pStyle w:val="H1"/>
      </w:pPr>
      <w:r>
        <w:lastRenderedPageBreak/>
        <w:t>Fair Work (Job Security and Fairer Bargaining) Amendment Bill 2012</w:t>
      </w:r>
    </w:p>
    <w:p w:rsidR="00D537A9" w:rsidRPr="00C54BA1" w:rsidRDefault="00D537A9" w:rsidP="00D537A9">
      <w:r w:rsidRPr="00C54BA1">
        <w:t xml:space="preserve">Introduced into the </w:t>
      </w:r>
      <w:r>
        <w:t xml:space="preserve">House of Representatives </w:t>
      </w:r>
      <w:r w:rsidRPr="00C54BA1">
        <w:t xml:space="preserve">on </w:t>
      </w:r>
      <w:r>
        <w:t>27 February 2012</w:t>
      </w:r>
    </w:p>
    <w:p w:rsidR="00D537A9" w:rsidRDefault="00D537A9" w:rsidP="00D537A9">
      <w:r>
        <w:t xml:space="preserve">By: Mr </w:t>
      </w:r>
      <w:proofErr w:type="spellStart"/>
      <w:r>
        <w:t>Bandt</w:t>
      </w:r>
      <w:proofErr w:type="spellEnd"/>
    </w:p>
    <w:p w:rsidR="00D537A9" w:rsidRDefault="00D537A9" w:rsidP="00D537A9"/>
    <w:p w:rsidR="00D537A9" w:rsidRPr="00C54BA1" w:rsidRDefault="00D537A9" w:rsidP="00D537A9">
      <w:pPr>
        <w:pStyle w:val="H2"/>
      </w:pPr>
      <w:r w:rsidRPr="00C54BA1">
        <w:t>Background</w:t>
      </w:r>
    </w:p>
    <w:p w:rsidR="00D537A9" w:rsidRDefault="00D537A9" w:rsidP="00D537A9"/>
    <w:p w:rsidR="00D537A9" w:rsidRDefault="00D537A9" w:rsidP="00D537A9">
      <w:r>
        <w:t xml:space="preserve">This bill amends the </w:t>
      </w:r>
      <w:r>
        <w:rPr>
          <w:i/>
        </w:rPr>
        <w:t>Fair Work Act 2009</w:t>
      </w:r>
      <w:r>
        <w:t xml:space="preserve"> to provide for:</w:t>
      </w:r>
    </w:p>
    <w:p w:rsidR="00D537A9" w:rsidRDefault="00D537A9" w:rsidP="00D537A9"/>
    <w:p w:rsidR="00D537A9" w:rsidRDefault="00D537A9" w:rsidP="00D537A9">
      <w:pPr>
        <w:pStyle w:val="B1"/>
      </w:pPr>
      <w:r>
        <w:t>Fair Work Australia to have regard to job security and workloads of employees who will be covered by a workplace determination during a dispute;</w:t>
      </w:r>
    </w:p>
    <w:p w:rsidR="00D537A9" w:rsidRDefault="00D537A9" w:rsidP="00D537A9">
      <w:pPr>
        <w:pStyle w:val="B1"/>
      </w:pPr>
      <w:r>
        <w:t>a requirement for an employer to give three days notice of a lockout or any change in normal operation preparatory to a lockout;</w:t>
      </w:r>
    </w:p>
    <w:p w:rsidR="00D537A9" w:rsidRDefault="00D537A9" w:rsidP="00D537A9">
      <w:pPr>
        <w:pStyle w:val="B1"/>
      </w:pPr>
      <w:r>
        <w:t>Fair Work Australia to have the capacity to make orders that only suspend or terminate the specific action that is causing significant economic harm or threatening to endanger the life, the personal safety or health, or the welfare, of the population or causing significant damage to the Australian economy; and</w:t>
      </w:r>
    </w:p>
    <w:p w:rsidR="00D537A9" w:rsidRDefault="00D537A9" w:rsidP="00D537A9">
      <w:pPr>
        <w:pStyle w:val="B1"/>
      </w:pPr>
      <w:proofErr w:type="gramStart"/>
      <w:r>
        <w:t>the</w:t>
      </w:r>
      <w:proofErr w:type="gramEnd"/>
      <w:r>
        <w:t xml:space="preserve"> introduction of changes regarding permitted matters capable of settlement.</w:t>
      </w:r>
    </w:p>
    <w:p w:rsidR="00D537A9" w:rsidRDefault="00D537A9" w:rsidP="00D537A9">
      <w:pPr>
        <w:pStyle w:val="Bull1"/>
        <w:numPr>
          <w:ilvl w:val="0"/>
          <w:numId w:val="0"/>
        </w:numPr>
      </w:pPr>
    </w:p>
    <w:p w:rsidR="00D537A9" w:rsidRDefault="00D537A9" w:rsidP="00D537A9">
      <w:pPr>
        <w:jc w:val="center"/>
        <w:rPr>
          <w:i/>
        </w:rPr>
      </w:pPr>
      <w:r>
        <w:rPr>
          <w:i/>
        </w:rPr>
        <w:t>The Committee has no comment on this bill.</w:t>
      </w:r>
    </w:p>
    <w:p w:rsidR="00D537A9" w:rsidRDefault="00D537A9" w:rsidP="00D537A9">
      <w:pPr>
        <w:pStyle w:val="Bull1"/>
        <w:numPr>
          <w:ilvl w:val="0"/>
          <w:numId w:val="0"/>
        </w:numPr>
      </w:pPr>
    </w:p>
    <w:p w:rsidR="00D537A9" w:rsidRDefault="00D537A9" w:rsidP="00D537A9"/>
    <w:p w:rsidR="00D537A9" w:rsidRDefault="00D537A9" w:rsidP="00D537A9">
      <w:pPr>
        <w:spacing w:line="240" w:lineRule="auto"/>
        <w:jc w:val="left"/>
      </w:pPr>
      <w:r>
        <w:br w:type="page"/>
      </w:r>
    </w:p>
    <w:p w:rsidR="00D537A9" w:rsidRPr="00E15F38" w:rsidRDefault="00D537A9" w:rsidP="00D537A9">
      <w:pPr>
        <w:pStyle w:val="H1"/>
      </w:pPr>
      <w:r>
        <w:t>Indirect Tax Laws Amendment (Assessment) Bill 2012</w:t>
      </w:r>
    </w:p>
    <w:p w:rsidR="00D537A9" w:rsidRPr="00C54BA1" w:rsidRDefault="00D537A9" w:rsidP="00D537A9">
      <w:r w:rsidRPr="00C54BA1">
        <w:t xml:space="preserve">Introduced into the </w:t>
      </w:r>
      <w:r>
        <w:t xml:space="preserve">House of Representatives </w:t>
      </w:r>
      <w:r w:rsidRPr="00C54BA1">
        <w:t xml:space="preserve">on </w:t>
      </w:r>
      <w:r>
        <w:t>29 February 2012</w:t>
      </w:r>
    </w:p>
    <w:p w:rsidR="00D537A9" w:rsidRDefault="00D537A9" w:rsidP="00D537A9">
      <w:r>
        <w:t>Portfolio: Treasury</w:t>
      </w:r>
    </w:p>
    <w:p w:rsidR="00D537A9" w:rsidRDefault="00D537A9" w:rsidP="00D537A9"/>
    <w:p w:rsidR="00D537A9" w:rsidRPr="00C54BA1" w:rsidRDefault="00D537A9" w:rsidP="00D537A9">
      <w:pPr>
        <w:pStyle w:val="H2"/>
      </w:pPr>
      <w:r w:rsidRPr="00C54BA1">
        <w:t>Background</w:t>
      </w:r>
    </w:p>
    <w:p w:rsidR="00D537A9" w:rsidRDefault="00D537A9" w:rsidP="00D537A9"/>
    <w:p w:rsidR="00D537A9" w:rsidRDefault="00D537A9" w:rsidP="00D537A9">
      <w:r>
        <w:t xml:space="preserve">This bill amends various laws relating to indirect taxation. </w:t>
      </w:r>
    </w:p>
    <w:p w:rsidR="00D537A9" w:rsidRDefault="00D537A9" w:rsidP="00D537A9"/>
    <w:p w:rsidR="00D537A9" w:rsidRDefault="00D537A9" w:rsidP="00D537A9">
      <w:r w:rsidRPr="00706899">
        <w:t xml:space="preserve">Schedule 1 amends the </w:t>
      </w:r>
      <w:r w:rsidRPr="00706899">
        <w:rPr>
          <w:i/>
        </w:rPr>
        <w:t>Taxation Administration Act 1953</w:t>
      </w:r>
      <w:r w:rsidRPr="00706899">
        <w:t xml:space="preserve">, the </w:t>
      </w:r>
      <w:r w:rsidRPr="00706899">
        <w:rPr>
          <w:i/>
        </w:rPr>
        <w:t>A</w:t>
      </w:r>
      <w:r>
        <w:rPr>
          <w:i/>
        </w:rPr>
        <w:t xml:space="preserve"> </w:t>
      </w:r>
      <w:r w:rsidRPr="00706899">
        <w:rPr>
          <w:i/>
        </w:rPr>
        <w:t>New Tax System (Goods and Services Tax) Act 1999</w:t>
      </w:r>
      <w:r w:rsidRPr="00706899">
        <w:t xml:space="preserve"> </w:t>
      </w:r>
      <w:r w:rsidRPr="00DE2099">
        <w:t xml:space="preserve">(GST Act) </w:t>
      </w:r>
      <w:r w:rsidRPr="00706899">
        <w:t>and other taxation Acts to harmonise the current self actuating system that applies to the goods and services tax, the luxury car tax, the wine equalisation tax and fuel tax credits with the self assessment system for income tax.</w:t>
      </w:r>
    </w:p>
    <w:p w:rsidR="00D537A9" w:rsidRDefault="00D537A9" w:rsidP="00D537A9"/>
    <w:p w:rsidR="00D537A9" w:rsidRDefault="00D537A9" w:rsidP="00D537A9">
      <w:pPr>
        <w:rPr>
          <w:iCs/>
        </w:rPr>
      </w:pPr>
      <w:r w:rsidRPr="00706899">
        <w:rPr>
          <w:iCs/>
        </w:rPr>
        <w:t xml:space="preserve">Schedule 2 amends the </w:t>
      </w:r>
      <w:r w:rsidRPr="00706899">
        <w:rPr>
          <w:i/>
          <w:iCs/>
        </w:rPr>
        <w:t>A New Tax System (Goods and Services Tax) Act 1999</w:t>
      </w:r>
      <w:r w:rsidRPr="00706899">
        <w:rPr>
          <w:iCs/>
        </w:rPr>
        <w:t xml:space="preserve"> and the </w:t>
      </w:r>
      <w:r w:rsidRPr="00706899">
        <w:rPr>
          <w:i/>
          <w:iCs/>
        </w:rPr>
        <w:t>Fuel Tax Act 2006</w:t>
      </w:r>
      <w:r w:rsidRPr="00706899">
        <w:rPr>
          <w:iCs/>
        </w:rPr>
        <w:t xml:space="preserve"> to legislate the Commissioner of Taxation’s power to make a determination allowing a taxpayer to take into account, on his or her goods and services tax or fuel tax return for the current tax period or fuel tax return period, errors made in working out net amounts and net fuel amounts for preceding tax periods or fuel tax return periods.</w:t>
      </w:r>
    </w:p>
    <w:p w:rsidR="00D537A9" w:rsidRDefault="00D537A9" w:rsidP="00D537A9">
      <w:pPr>
        <w:rPr>
          <w:iCs/>
        </w:rPr>
      </w:pPr>
    </w:p>
    <w:p w:rsidR="00D537A9" w:rsidRDefault="00D537A9" w:rsidP="00D537A9">
      <w:r w:rsidRPr="00DE2099">
        <w:t xml:space="preserve">Schedule 3 </w:t>
      </w:r>
      <w:r>
        <w:t xml:space="preserve">amends </w:t>
      </w:r>
      <w:r w:rsidRPr="00DE2099">
        <w:t xml:space="preserve">the GST </w:t>
      </w:r>
      <w:r>
        <w:t>Act</w:t>
      </w:r>
      <w:r w:rsidRPr="00DE2099">
        <w:t xml:space="preserve"> to confirm that the luxury car tax and the wine equalisation tax are part of the ‘net amount’ that is calculated under the GST Act</w:t>
      </w:r>
      <w:r>
        <w:t xml:space="preserve">. </w:t>
      </w:r>
      <w:r w:rsidRPr="00DE2099">
        <w:t>Schedule 3 also makes amendments to create a single ‘net amount’ definition that applies differently to reflect differing circumstances.</w:t>
      </w:r>
    </w:p>
    <w:p w:rsidR="00D537A9" w:rsidRDefault="00D537A9" w:rsidP="00D537A9"/>
    <w:p w:rsidR="00D537A9" w:rsidRDefault="00D537A9" w:rsidP="00D537A9">
      <w:pPr>
        <w:rPr>
          <w:iCs/>
        </w:rPr>
      </w:pPr>
      <w:r w:rsidRPr="00706899">
        <w:rPr>
          <w:iCs/>
        </w:rPr>
        <w:t>Schedule 4 makes technical corrections and other minor amendments to the taxation laws</w:t>
      </w:r>
      <w:r>
        <w:rPr>
          <w:iCs/>
        </w:rPr>
        <w:t xml:space="preserve">.  </w:t>
      </w:r>
      <w:r w:rsidRPr="00706899">
        <w:rPr>
          <w:iCs/>
        </w:rPr>
        <w:t>These amendments are part of the Government’s commitment to the care and maintenance of the tax system.</w:t>
      </w:r>
    </w:p>
    <w:p w:rsidR="00D537A9" w:rsidRDefault="00D537A9" w:rsidP="00D537A9">
      <w:pPr>
        <w:rPr>
          <w:iCs/>
        </w:rPr>
      </w:pPr>
    </w:p>
    <w:p w:rsidR="00D537A9" w:rsidRDefault="00D537A9" w:rsidP="00D537A9">
      <w:pPr>
        <w:jc w:val="center"/>
        <w:rPr>
          <w:i/>
        </w:rPr>
      </w:pPr>
      <w:r>
        <w:rPr>
          <w:i/>
        </w:rPr>
        <w:t>The Committee has no comment on this bill.</w:t>
      </w:r>
    </w:p>
    <w:p w:rsidR="00D537A9" w:rsidRPr="005C4D82" w:rsidRDefault="00D537A9" w:rsidP="00D537A9"/>
    <w:p w:rsidR="00D537A9" w:rsidRPr="005C4D82" w:rsidRDefault="00D537A9" w:rsidP="00D537A9">
      <w:pPr>
        <w:rPr>
          <w:b/>
          <w:i/>
        </w:rPr>
      </w:pPr>
    </w:p>
    <w:p w:rsidR="00D537A9" w:rsidRDefault="00D537A9" w:rsidP="00D537A9">
      <w:pPr>
        <w:spacing w:line="240" w:lineRule="auto"/>
        <w:jc w:val="left"/>
      </w:pPr>
      <w:r>
        <w:br w:type="page"/>
      </w:r>
    </w:p>
    <w:p w:rsidR="00D537A9" w:rsidRPr="00E15F38" w:rsidRDefault="00D537A9" w:rsidP="00D537A9">
      <w:pPr>
        <w:pStyle w:val="H1"/>
      </w:pPr>
      <w:bookmarkStart w:id="0" w:name="OLE_LINK2"/>
      <w:r>
        <w:t>Low Aromatic Fuel Bill 2012</w:t>
      </w:r>
      <w:bookmarkEnd w:id="0"/>
    </w:p>
    <w:p w:rsidR="00D537A9" w:rsidRPr="00C54BA1" w:rsidRDefault="00D537A9" w:rsidP="00D537A9">
      <w:r w:rsidRPr="00C54BA1">
        <w:t xml:space="preserve">Introduced into the </w:t>
      </w:r>
      <w:r>
        <w:t xml:space="preserve">Senate </w:t>
      </w:r>
      <w:r w:rsidRPr="00C54BA1">
        <w:t xml:space="preserve">on </w:t>
      </w:r>
      <w:r>
        <w:t>1 March 2012</w:t>
      </w:r>
    </w:p>
    <w:p w:rsidR="00D537A9" w:rsidRDefault="00D537A9" w:rsidP="00D537A9">
      <w:r>
        <w:t xml:space="preserve">By: Senator </w:t>
      </w:r>
      <w:proofErr w:type="spellStart"/>
      <w:r>
        <w:t>Siewert</w:t>
      </w:r>
      <w:proofErr w:type="spellEnd"/>
    </w:p>
    <w:p w:rsidR="00D537A9" w:rsidRDefault="00D537A9" w:rsidP="00D537A9"/>
    <w:p w:rsidR="00D537A9" w:rsidRPr="00C54BA1" w:rsidRDefault="00D537A9" w:rsidP="00D537A9">
      <w:pPr>
        <w:pStyle w:val="H2"/>
      </w:pPr>
      <w:r w:rsidRPr="00C54BA1">
        <w:t>Background</w:t>
      </w:r>
    </w:p>
    <w:p w:rsidR="00D537A9" w:rsidRDefault="00D537A9" w:rsidP="00D537A9"/>
    <w:p w:rsidR="00D537A9" w:rsidRDefault="00D537A9" w:rsidP="00D537A9">
      <w:r>
        <w:t>This bill is to promote the supply of low aromatic fuel and control the supply of other fuels in certain areas by providing the Minister with the power to designate certain Low Aromatic Fuel (LAF) and Fuel Control Areas.</w:t>
      </w:r>
    </w:p>
    <w:p w:rsidR="00D537A9" w:rsidRPr="00D17E9C" w:rsidRDefault="00D537A9" w:rsidP="00D537A9"/>
    <w:p w:rsidR="00D537A9" w:rsidRDefault="00D537A9" w:rsidP="00D537A9">
      <w:pPr>
        <w:pStyle w:val="H2"/>
      </w:pPr>
      <w:r>
        <w:t>Trespass on personal rights and liberties, reversal of onus</w:t>
      </w:r>
    </w:p>
    <w:p w:rsidR="00D537A9" w:rsidRDefault="00D537A9" w:rsidP="00D537A9">
      <w:pPr>
        <w:pStyle w:val="H2"/>
      </w:pPr>
      <w:r>
        <w:t>Subclauses 8(4), 10(2) and 12(2)</w:t>
      </w:r>
    </w:p>
    <w:p w:rsidR="00D537A9" w:rsidRDefault="00D537A9" w:rsidP="00D537A9"/>
    <w:p w:rsidR="00D537A9" w:rsidRDefault="00D537A9" w:rsidP="00D537A9">
      <w:r>
        <w:t xml:space="preserve">This provision provides for exceptions to offences relating to the transportation and possession of regular unleaded petrol for supply in a low aromatic fuel area. The first exception is that the conduct is covered by a Ministerial exemption and that any conditions of the exemption have been complied with. The second is that the corporation has engaged in the conduct in order to comply with a direction under an emergency law (the </w:t>
      </w:r>
      <w:r w:rsidRPr="00F04BFA">
        <w:rPr>
          <w:i/>
        </w:rPr>
        <w:t xml:space="preserve">Liquid Fuel Emergency Act 1984 </w:t>
      </w:r>
      <w:r>
        <w:t xml:space="preserve">or a law prescribed by the regulations—see clause 5).  It is likely to be the case that circumstances relating to both of these exceptions are matters which can be said to be peculiarly within the knowledge of the defendant, though it is regrettable that the explanatory memorandum does not address the question. </w:t>
      </w:r>
    </w:p>
    <w:p w:rsidR="00D537A9" w:rsidRDefault="00D537A9" w:rsidP="00D537A9"/>
    <w:p w:rsidR="00D537A9" w:rsidRDefault="00D537A9" w:rsidP="00D537A9">
      <w:r>
        <w:t>The same issue also arises in relation to subclause 10(2) in relation to an offence of failing to comply with requirements determined by legislative instruments and subclause 12(2) in relation to general fuels requirements.</w:t>
      </w:r>
    </w:p>
    <w:p w:rsidR="00D537A9" w:rsidRDefault="00D537A9" w:rsidP="00D537A9"/>
    <w:p w:rsidR="00D537A9" w:rsidRDefault="00D537A9" w:rsidP="00D537A9">
      <w:pPr>
        <w:rPr>
          <w:b/>
        </w:rPr>
      </w:pPr>
      <w:r>
        <w:rPr>
          <w:b/>
        </w:rPr>
        <w:t xml:space="preserve">As it appears that the provisions relate to matters which can be said to be peculiarly within the knowledge of the defendant, </w:t>
      </w:r>
      <w:r w:rsidRPr="00BC3223">
        <w:rPr>
          <w:b/>
        </w:rPr>
        <w:t>the Committee leaves the question of whether the proposed approach is appropriate to the consideration of the Senate as a whole.</w:t>
      </w:r>
    </w:p>
    <w:p w:rsidR="00D537A9" w:rsidRPr="00BC3223" w:rsidRDefault="00D537A9" w:rsidP="00D537A9">
      <w:pPr>
        <w:rPr>
          <w:b/>
        </w:rPr>
      </w:pPr>
    </w:p>
    <w:p w:rsidR="00D537A9" w:rsidRDefault="00D537A9" w:rsidP="00D537A9">
      <w:pPr>
        <w:ind w:left="737" w:right="680"/>
        <w:rPr>
          <w:i/>
        </w:rPr>
      </w:pPr>
      <w:r>
        <w:rPr>
          <w:i/>
        </w:rPr>
        <w:t>In the circumstances, the Committee makes no further comment on these subclauses.</w:t>
      </w:r>
    </w:p>
    <w:p w:rsidR="00D537A9" w:rsidRDefault="00D537A9" w:rsidP="00D537A9">
      <w:pPr>
        <w:pStyle w:val="Bull"/>
        <w:numPr>
          <w:ilvl w:val="0"/>
          <w:numId w:val="0"/>
        </w:numPr>
      </w:pPr>
    </w:p>
    <w:p w:rsidR="00D537A9" w:rsidRDefault="00D537A9" w:rsidP="00D537A9">
      <w:pPr>
        <w:pStyle w:val="H2"/>
      </w:pPr>
      <w:r>
        <w:lastRenderedPageBreak/>
        <w:t>Inappropriate delegation of legislative power</w:t>
      </w:r>
    </w:p>
    <w:p w:rsidR="00D537A9" w:rsidRPr="00B343A2" w:rsidRDefault="00D537A9" w:rsidP="00D537A9">
      <w:pPr>
        <w:pStyle w:val="H2"/>
        <w:rPr>
          <w:szCs w:val="28"/>
        </w:rPr>
      </w:pPr>
      <w:r w:rsidRPr="00B343A2">
        <w:rPr>
          <w:szCs w:val="28"/>
        </w:rPr>
        <w:t>Clauses 11 and 12</w:t>
      </w:r>
    </w:p>
    <w:p w:rsidR="00D537A9" w:rsidRDefault="00D537A9" w:rsidP="00D537A9"/>
    <w:p w:rsidR="00D537A9" w:rsidRDefault="00D537A9" w:rsidP="00D537A9">
      <w:r>
        <w:t xml:space="preserve">Clause 11 of the bill empowers the Minister to determine requirements relating to the supply, transport, possession or storage of a fuel in, or in relation to, a low aromatic fuel area or a fuel control area. Contravention of a requirement made under clause 11 constitutes an offence pursuant to clause 12. There may be reasons that justify enabling these important requirements in regulations rather than including them in the primary legislation. </w:t>
      </w:r>
      <w:r w:rsidRPr="001C73BE">
        <w:rPr>
          <w:b/>
        </w:rPr>
        <w:t xml:space="preserve">However, as the explanatory memorandum does not address the justification for setting out the content of an offence in a legislative instrument, the Committee seeks the Senator's explanation as to why the proposed approach is justified. </w:t>
      </w:r>
    </w:p>
    <w:p w:rsidR="00D537A9" w:rsidRDefault="00D537A9" w:rsidP="00D537A9"/>
    <w:p w:rsidR="00D537A9" w:rsidRDefault="00D537A9" w:rsidP="00D537A9">
      <w:pPr>
        <w:ind w:left="567" w:right="567"/>
        <w:rPr>
          <w:i/>
        </w:rPr>
      </w:pPr>
      <w:r>
        <w:rPr>
          <w:i/>
        </w:rPr>
        <w:t>Pending the Senator's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D537A9" w:rsidRDefault="00D537A9" w:rsidP="00D537A9">
      <w:pPr>
        <w:ind w:left="567" w:right="567"/>
        <w:rPr>
          <w:i/>
        </w:rPr>
      </w:pPr>
    </w:p>
    <w:p w:rsidR="00D537A9" w:rsidRDefault="00D537A9" w:rsidP="00D537A9"/>
    <w:p w:rsidR="00D537A9" w:rsidRDefault="00D537A9" w:rsidP="00D537A9">
      <w:pPr>
        <w:spacing w:line="240" w:lineRule="auto"/>
        <w:jc w:val="left"/>
      </w:pPr>
      <w:r>
        <w:br w:type="page"/>
      </w:r>
    </w:p>
    <w:p w:rsidR="00D537A9" w:rsidRPr="00E15F38" w:rsidRDefault="00D537A9" w:rsidP="00D537A9">
      <w:pPr>
        <w:pStyle w:val="H1"/>
      </w:pPr>
      <w:r>
        <w:t>Native Title Amendment (Reform) Bill (No.1) 2012</w:t>
      </w:r>
    </w:p>
    <w:p w:rsidR="00D537A9" w:rsidRPr="00C54BA1" w:rsidRDefault="00D537A9" w:rsidP="00D537A9">
      <w:r w:rsidRPr="00C54BA1">
        <w:t xml:space="preserve">Introduced into the </w:t>
      </w:r>
      <w:r>
        <w:t xml:space="preserve">Senate </w:t>
      </w:r>
      <w:r w:rsidRPr="00C54BA1">
        <w:t xml:space="preserve">on </w:t>
      </w:r>
      <w:r>
        <w:t>29 February 2012</w:t>
      </w:r>
    </w:p>
    <w:p w:rsidR="00D537A9" w:rsidRDefault="00D537A9" w:rsidP="00D537A9">
      <w:r>
        <w:t xml:space="preserve">By: Senator </w:t>
      </w:r>
      <w:proofErr w:type="spellStart"/>
      <w:r>
        <w:t>Siewert</w:t>
      </w:r>
      <w:proofErr w:type="spellEnd"/>
    </w:p>
    <w:p w:rsidR="00D537A9" w:rsidRDefault="00D537A9" w:rsidP="00D537A9"/>
    <w:p w:rsidR="00D537A9" w:rsidRPr="00C54BA1" w:rsidRDefault="00D537A9" w:rsidP="00D537A9">
      <w:pPr>
        <w:pStyle w:val="H2"/>
      </w:pPr>
      <w:r w:rsidRPr="00C54BA1">
        <w:t>Background</w:t>
      </w:r>
    </w:p>
    <w:p w:rsidR="00D537A9" w:rsidRDefault="00D537A9" w:rsidP="00D537A9"/>
    <w:p w:rsidR="00D537A9" w:rsidRDefault="00D537A9" w:rsidP="00D537A9">
      <w:r>
        <w:t xml:space="preserve">This bill amends the </w:t>
      </w:r>
      <w:r>
        <w:rPr>
          <w:i/>
        </w:rPr>
        <w:t>Native Title Act 1993</w:t>
      </w:r>
      <w:r>
        <w:t xml:space="preserve"> by:</w:t>
      </w:r>
    </w:p>
    <w:p w:rsidR="00D537A9" w:rsidRDefault="00D537A9" w:rsidP="00D537A9"/>
    <w:p w:rsidR="00D537A9" w:rsidRDefault="00D537A9" w:rsidP="00D537A9">
      <w:pPr>
        <w:pStyle w:val="B1"/>
      </w:pPr>
      <w:r>
        <w:t>re-defining 'traditional' to ensure that laws and customs can be considered traditional if they remain identifiable through time;</w:t>
      </w:r>
    </w:p>
    <w:p w:rsidR="00D537A9" w:rsidRDefault="00D537A9" w:rsidP="00D537A9">
      <w:pPr>
        <w:pStyle w:val="B1"/>
      </w:pPr>
      <w:r>
        <w:t>providing for prior extinguishment to be disregarded by agreement;</w:t>
      </w:r>
    </w:p>
    <w:p w:rsidR="00D537A9" w:rsidRDefault="00D537A9" w:rsidP="00D537A9">
      <w:pPr>
        <w:pStyle w:val="B1"/>
      </w:pPr>
      <w:proofErr w:type="gramStart"/>
      <w:r>
        <w:t>providing</w:t>
      </w:r>
      <w:proofErr w:type="gramEnd"/>
      <w:r>
        <w:t xml:space="preserve"> clarification of the meaning of negotiating in good faith.</w:t>
      </w:r>
    </w:p>
    <w:p w:rsidR="00D537A9" w:rsidRDefault="00D537A9" w:rsidP="00D537A9"/>
    <w:p w:rsidR="00D537A9" w:rsidRDefault="00D537A9" w:rsidP="00D537A9">
      <w:pPr>
        <w:jc w:val="center"/>
        <w:rPr>
          <w:i/>
        </w:rPr>
      </w:pPr>
      <w:r>
        <w:rPr>
          <w:i/>
        </w:rPr>
        <w:t>The Committee has no comment on this bill.</w:t>
      </w:r>
    </w:p>
    <w:p w:rsidR="00D537A9" w:rsidRDefault="00D537A9" w:rsidP="00D537A9"/>
    <w:p w:rsidR="00D537A9" w:rsidRDefault="00D537A9" w:rsidP="00D537A9"/>
    <w:p w:rsidR="00D537A9" w:rsidRPr="00D777F7" w:rsidRDefault="00D537A9" w:rsidP="00D537A9"/>
    <w:p w:rsidR="00D537A9" w:rsidRDefault="00D537A9" w:rsidP="00D537A9">
      <w:pPr>
        <w:spacing w:line="240" w:lineRule="auto"/>
        <w:jc w:val="left"/>
      </w:pPr>
      <w:r>
        <w:br w:type="page"/>
      </w:r>
    </w:p>
    <w:p w:rsidR="00D537A9" w:rsidRPr="00E15F38" w:rsidRDefault="00D537A9" w:rsidP="00D537A9">
      <w:pPr>
        <w:pStyle w:val="H1"/>
      </w:pPr>
      <w:r>
        <w:t>Public Service Amendment Bill 2012</w:t>
      </w:r>
    </w:p>
    <w:p w:rsidR="00D537A9" w:rsidRPr="00C54BA1" w:rsidRDefault="00D537A9" w:rsidP="00D537A9">
      <w:r w:rsidRPr="00C54BA1">
        <w:t xml:space="preserve">Introduced into the </w:t>
      </w:r>
      <w:r>
        <w:t xml:space="preserve">House of Representatives </w:t>
      </w:r>
      <w:r w:rsidRPr="00C54BA1">
        <w:t xml:space="preserve">on </w:t>
      </w:r>
      <w:r>
        <w:t>1 March 2012</w:t>
      </w:r>
    </w:p>
    <w:p w:rsidR="00D537A9" w:rsidRDefault="00D537A9" w:rsidP="00D537A9">
      <w:r>
        <w:t>Portfolio: Prime Minister</w:t>
      </w:r>
    </w:p>
    <w:p w:rsidR="00D537A9" w:rsidRDefault="00D537A9" w:rsidP="00D537A9"/>
    <w:p w:rsidR="00D537A9" w:rsidRPr="00C54BA1" w:rsidRDefault="00D537A9" w:rsidP="00D537A9">
      <w:pPr>
        <w:pStyle w:val="H2"/>
      </w:pPr>
      <w:r w:rsidRPr="00C54BA1">
        <w:t>Background</w:t>
      </w:r>
    </w:p>
    <w:p w:rsidR="00D537A9" w:rsidRDefault="00D537A9" w:rsidP="00D537A9"/>
    <w:p w:rsidR="00D537A9" w:rsidRPr="007C3E8D" w:rsidRDefault="00D537A9" w:rsidP="00D537A9">
      <w:r>
        <w:t xml:space="preserve">This bill </w:t>
      </w:r>
      <w:r w:rsidRPr="007C3E8D">
        <w:t xml:space="preserve">amends the </w:t>
      </w:r>
      <w:r w:rsidRPr="007C3E8D">
        <w:rPr>
          <w:i/>
        </w:rPr>
        <w:t>Public Service Act 1999</w:t>
      </w:r>
      <w:r w:rsidRPr="007C3E8D">
        <w:t xml:space="preserve"> </w:t>
      </w:r>
      <w:r>
        <w:t>by</w:t>
      </w:r>
      <w:r w:rsidRPr="007C3E8D">
        <w:t>:</w:t>
      </w:r>
    </w:p>
    <w:p w:rsidR="00D537A9" w:rsidRDefault="00D537A9" w:rsidP="00D537A9"/>
    <w:p w:rsidR="00D537A9" w:rsidRDefault="00D537A9" w:rsidP="00D537A9">
      <w:pPr>
        <w:pStyle w:val="B1"/>
      </w:pPr>
      <w:r w:rsidRPr="007C3E8D">
        <w:t>revi</w:t>
      </w:r>
      <w:r>
        <w:t>sing</w:t>
      </w:r>
      <w:r w:rsidRPr="007C3E8D">
        <w:t xml:space="preserve"> the </w:t>
      </w:r>
      <w:r>
        <w:t xml:space="preserve">Australian </w:t>
      </w:r>
      <w:r w:rsidRPr="007C3E8D">
        <w:t>P</w:t>
      </w:r>
      <w:r>
        <w:t xml:space="preserve">ublic </w:t>
      </w:r>
      <w:r w:rsidRPr="007C3E8D">
        <w:t>S</w:t>
      </w:r>
      <w:r>
        <w:t>ervice (APS)</w:t>
      </w:r>
      <w:r w:rsidRPr="007C3E8D">
        <w:t xml:space="preserve"> Values, clarify the roles and responsibili</w:t>
      </w:r>
      <w:r>
        <w:t>ties of Secretaries and amending</w:t>
      </w:r>
      <w:r w:rsidRPr="007C3E8D">
        <w:t xml:space="preserve"> their employmen</w:t>
      </w:r>
      <w:r>
        <w:t>t arrangements, and establishing</w:t>
      </w:r>
      <w:r w:rsidRPr="007C3E8D">
        <w:t xml:space="preserve"> APS leadership groups;</w:t>
      </w:r>
    </w:p>
    <w:p w:rsidR="00D537A9" w:rsidRDefault="00D537A9" w:rsidP="00D537A9">
      <w:pPr>
        <w:pStyle w:val="B1"/>
      </w:pPr>
      <w:r w:rsidRPr="007C3E8D">
        <w:t>revi</w:t>
      </w:r>
      <w:r>
        <w:t>sing and clarifying</w:t>
      </w:r>
      <w:r w:rsidRPr="007C3E8D">
        <w:t xml:space="preserve"> the roles and functions of the Public Service Commissioner; and</w:t>
      </w:r>
    </w:p>
    <w:p w:rsidR="00D537A9" w:rsidRPr="007C3E8D" w:rsidRDefault="00D537A9" w:rsidP="00D537A9">
      <w:pPr>
        <w:pStyle w:val="B1"/>
      </w:pPr>
      <w:proofErr w:type="gramStart"/>
      <w:r>
        <w:t>amending</w:t>
      </w:r>
      <w:proofErr w:type="gramEnd"/>
      <w:r w:rsidRPr="007C3E8D">
        <w:t xml:space="preserve"> the day-to-day workforce management of the APS through a range of operational amendments.</w:t>
      </w:r>
    </w:p>
    <w:p w:rsidR="00D537A9" w:rsidRDefault="00D537A9" w:rsidP="00D537A9">
      <w:r>
        <w:t>The bill also provides for consequential and transitional provisions which:</w:t>
      </w:r>
    </w:p>
    <w:p w:rsidR="00D537A9" w:rsidRDefault="00D537A9" w:rsidP="00D537A9"/>
    <w:p w:rsidR="00D537A9" w:rsidRDefault="00D537A9" w:rsidP="00D537A9">
      <w:pPr>
        <w:pStyle w:val="B1"/>
      </w:pPr>
      <w:r w:rsidRPr="007C3E8D">
        <w:t xml:space="preserve">validate actions and decisions taken before commencement; </w:t>
      </w:r>
    </w:p>
    <w:p w:rsidR="00D537A9" w:rsidRDefault="00D537A9" w:rsidP="00D537A9">
      <w:pPr>
        <w:pStyle w:val="B1"/>
      </w:pPr>
      <w:r w:rsidRPr="007C3E8D">
        <w:t>cover aspects of the transition to the new employment framework; and</w:t>
      </w:r>
    </w:p>
    <w:p w:rsidR="00D537A9" w:rsidRDefault="00D537A9" w:rsidP="00D537A9">
      <w:pPr>
        <w:pStyle w:val="B1"/>
      </w:pPr>
      <w:proofErr w:type="gramStart"/>
      <w:r w:rsidRPr="007C3E8D">
        <w:t>make</w:t>
      </w:r>
      <w:proofErr w:type="gramEnd"/>
      <w:r w:rsidRPr="007C3E8D">
        <w:t xml:space="preserve"> consequential amendments to other legislation where appropriate.</w:t>
      </w:r>
    </w:p>
    <w:p w:rsidR="00D537A9" w:rsidRDefault="00D537A9" w:rsidP="00D537A9"/>
    <w:p w:rsidR="00D537A9" w:rsidRDefault="00D537A9" w:rsidP="00D537A9">
      <w:pPr>
        <w:pStyle w:val="H2"/>
      </w:pPr>
      <w:r>
        <w:t>Inappropriate delegation of legislative power</w:t>
      </w:r>
    </w:p>
    <w:p w:rsidR="00D537A9" w:rsidRPr="00A3324D" w:rsidRDefault="00D537A9" w:rsidP="00D537A9">
      <w:pPr>
        <w:pStyle w:val="H2"/>
        <w:rPr>
          <w:szCs w:val="28"/>
        </w:rPr>
      </w:pPr>
      <w:r>
        <w:rPr>
          <w:szCs w:val="28"/>
        </w:rPr>
        <w:t xml:space="preserve">Item 70, Schedule 1, subsection </w:t>
      </w:r>
      <w:proofErr w:type="gramStart"/>
      <w:r>
        <w:rPr>
          <w:szCs w:val="28"/>
        </w:rPr>
        <w:t>72E(</w:t>
      </w:r>
      <w:proofErr w:type="gramEnd"/>
      <w:r>
        <w:rPr>
          <w:szCs w:val="28"/>
        </w:rPr>
        <w:t>1)</w:t>
      </w:r>
    </w:p>
    <w:p w:rsidR="00D537A9" w:rsidRDefault="00D537A9" w:rsidP="00D537A9"/>
    <w:p w:rsidR="00D537A9" w:rsidRDefault="00D537A9" w:rsidP="00D537A9">
      <w:r>
        <w:t xml:space="preserve">Proposed subsection </w:t>
      </w:r>
      <w:proofErr w:type="gramStart"/>
      <w:r>
        <w:t>72E(</w:t>
      </w:r>
      <w:proofErr w:type="gramEnd"/>
      <w:r>
        <w:t xml:space="preserve">1) provides that the regulations may authorise the use or disclosure of personal information. Disclosures thereby authorised would mean that they would be authorised by law for the purposes of the </w:t>
      </w:r>
      <w:r w:rsidRPr="00A3324D">
        <w:rPr>
          <w:i/>
        </w:rPr>
        <w:t>Privacy Act 1988</w:t>
      </w:r>
      <w:r>
        <w:t xml:space="preserve">. Given that the disclosure of personal information raises privacy concerns and the explanatory memorandum does not address the issue </w:t>
      </w:r>
      <w:r w:rsidRPr="007F3450">
        <w:rPr>
          <w:b/>
        </w:rPr>
        <w:t xml:space="preserve">the Committee seeks the </w:t>
      </w:r>
      <w:r>
        <w:rPr>
          <w:b/>
        </w:rPr>
        <w:t xml:space="preserve">Prime </w:t>
      </w:r>
      <w:r w:rsidRPr="007F3450">
        <w:rPr>
          <w:b/>
        </w:rPr>
        <w:t>Minister’s advice as to why the primary legislation cannot deal with the issue</w:t>
      </w:r>
      <w:r>
        <w:t xml:space="preserve">. </w:t>
      </w:r>
    </w:p>
    <w:p w:rsidR="00D537A9" w:rsidRDefault="00D537A9" w:rsidP="00D537A9">
      <w:pPr>
        <w:spacing w:line="240" w:lineRule="auto"/>
        <w:jc w:val="left"/>
      </w:pPr>
      <w:r>
        <w:br w:type="page"/>
      </w:r>
    </w:p>
    <w:p w:rsidR="00D537A9" w:rsidRDefault="00D537A9" w:rsidP="00D537A9">
      <w:pPr>
        <w:ind w:left="567" w:right="567"/>
        <w:rPr>
          <w:i/>
        </w:rPr>
      </w:pPr>
      <w:r>
        <w:rPr>
          <w:i/>
        </w:rPr>
        <w:t>Pending the Prime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D537A9" w:rsidRDefault="00D537A9" w:rsidP="00D537A9">
      <w:pPr>
        <w:ind w:left="567" w:right="567"/>
        <w:rPr>
          <w:i/>
        </w:rPr>
      </w:pPr>
    </w:p>
    <w:p w:rsidR="00D537A9" w:rsidRDefault="00D537A9" w:rsidP="00D537A9">
      <w:pPr>
        <w:pStyle w:val="H2"/>
      </w:pPr>
      <w:r>
        <w:t>Inappropriate delegation of legislative power</w:t>
      </w:r>
    </w:p>
    <w:p w:rsidR="00D537A9" w:rsidRPr="00B343A2" w:rsidRDefault="00D537A9" w:rsidP="00D537A9">
      <w:pPr>
        <w:pStyle w:val="H2"/>
        <w:rPr>
          <w:szCs w:val="28"/>
        </w:rPr>
      </w:pPr>
      <w:r>
        <w:rPr>
          <w:szCs w:val="28"/>
        </w:rPr>
        <w:t>Items 75, 76 and 79</w:t>
      </w:r>
    </w:p>
    <w:p w:rsidR="00D537A9" w:rsidRDefault="00D537A9" w:rsidP="00D537A9"/>
    <w:p w:rsidR="00D537A9" w:rsidRPr="00880638" w:rsidRDefault="00D537A9" w:rsidP="00D537A9">
      <w:pPr>
        <w:rPr>
          <w:b/>
        </w:rPr>
      </w:pPr>
      <w:r>
        <w:t xml:space="preserve">These items contain notes that the disallowance and </w:t>
      </w:r>
      <w:proofErr w:type="spellStart"/>
      <w:r>
        <w:t>sunsetting</w:t>
      </w:r>
      <w:proofErr w:type="spellEnd"/>
      <w:r>
        <w:t xml:space="preserve"> provisions of the legislative instruments do not apply to the legislative instruments which are referred to. As the explanatory memorandum does not address why this is appropriate </w:t>
      </w:r>
      <w:r w:rsidRPr="00880638">
        <w:rPr>
          <w:b/>
        </w:rPr>
        <w:t xml:space="preserve">the Committee seeks </w:t>
      </w:r>
      <w:r>
        <w:rPr>
          <w:b/>
        </w:rPr>
        <w:t xml:space="preserve">the Prime Minister’s </w:t>
      </w:r>
      <w:r w:rsidRPr="00880638">
        <w:rPr>
          <w:b/>
        </w:rPr>
        <w:t>advice as to the justification for the proposed approach.</w:t>
      </w:r>
    </w:p>
    <w:p w:rsidR="00D537A9" w:rsidRDefault="00D537A9" w:rsidP="00D537A9"/>
    <w:p w:rsidR="00D537A9" w:rsidRDefault="00D537A9" w:rsidP="00D537A9">
      <w:pPr>
        <w:ind w:left="567" w:right="567"/>
        <w:rPr>
          <w:i/>
        </w:rPr>
      </w:pPr>
      <w:r>
        <w:rPr>
          <w:i/>
        </w:rPr>
        <w:t>Pending the Prime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D537A9" w:rsidRDefault="00D537A9" w:rsidP="00D537A9">
      <w:pPr>
        <w:ind w:left="567" w:right="567"/>
        <w:rPr>
          <w:i/>
        </w:rPr>
      </w:pPr>
    </w:p>
    <w:p w:rsidR="00D537A9" w:rsidRDefault="00D537A9" w:rsidP="00D537A9"/>
    <w:p w:rsidR="00D537A9" w:rsidRDefault="00D537A9" w:rsidP="00D537A9"/>
    <w:p w:rsidR="00D537A9" w:rsidRDefault="00D537A9" w:rsidP="00D537A9">
      <w:pPr>
        <w:spacing w:line="240" w:lineRule="auto"/>
        <w:jc w:val="left"/>
      </w:pPr>
      <w:r>
        <w:br w:type="page"/>
      </w:r>
    </w:p>
    <w:p w:rsidR="00D537A9" w:rsidRPr="00E15F38" w:rsidRDefault="00D537A9" w:rsidP="00D537A9">
      <w:pPr>
        <w:pStyle w:val="H1"/>
      </w:pPr>
      <w:r>
        <w:t>Special Broadcasting Service Amendment (Natural Program Breaks and Disruptive Advertising) Bill 2012</w:t>
      </w:r>
    </w:p>
    <w:p w:rsidR="00D537A9" w:rsidRPr="00C54BA1" w:rsidRDefault="00D537A9" w:rsidP="00D537A9">
      <w:r w:rsidRPr="00C54BA1">
        <w:t xml:space="preserve">Introduced into the </w:t>
      </w:r>
      <w:r>
        <w:t xml:space="preserve">Senate </w:t>
      </w:r>
      <w:r w:rsidRPr="00C54BA1">
        <w:t xml:space="preserve">on </w:t>
      </w:r>
      <w:r>
        <w:t>27 February 2012</w:t>
      </w:r>
    </w:p>
    <w:p w:rsidR="00D537A9" w:rsidRDefault="00D537A9" w:rsidP="00D537A9">
      <w:r>
        <w:t xml:space="preserve">By: Senator </w:t>
      </w:r>
      <w:proofErr w:type="spellStart"/>
      <w:r>
        <w:t>Ludlam</w:t>
      </w:r>
      <w:proofErr w:type="spellEnd"/>
    </w:p>
    <w:p w:rsidR="00D537A9" w:rsidRDefault="00D537A9" w:rsidP="00D537A9"/>
    <w:p w:rsidR="00D537A9" w:rsidRPr="00C54BA1" w:rsidRDefault="00D537A9" w:rsidP="00D537A9">
      <w:pPr>
        <w:pStyle w:val="H2"/>
      </w:pPr>
      <w:r w:rsidRPr="00C54BA1">
        <w:t>Background</w:t>
      </w:r>
    </w:p>
    <w:p w:rsidR="00D537A9" w:rsidRDefault="00D537A9" w:rsidP="00D537A9"/>
    <w:p w:rsidR="00D537A9" w:rsidRDefault="00D537A9" w:rsidP="00D537A9">
      <w:r>
        <w:t xml:space="preserve">This bill amends the </w:t>
      </w:r>
      <w:r w:rsidRPr="00062B07">
        <w:rPr>
          <w:i/>
        </w:rPr>
        <w:t>Special Broadcasting Service Act 1991</w:t>
      </w:r>
      <w:r>
        <w:t xml:space="preserve"> to phase out advertising within television programs.</w:t>
      </w:r>
    </w:p>
    <w:p w:rsidR="00D537A9" w:rsidRDefault="00D537A9" w:rsidP="00D537A9"/>
    <w:p w:rsidR="00D537A9" w:rsidRDefault="00D537A9" w:rsidP="00D537A9">
      <w:pPr>
        <w:pStyle w:val="H2"/>
      </w:pPr>
      <w:r>
        <w:t>Delayed commencement</w:t>
      </w:r>
    </w:p>
    <w:p w:rsidR="00D537A9" w:rsidRDefault="00D537A9" w:rsidP="00D537A9">
      <w:pPr>
        <w:rPr>
          <w:b/>
        </w:rPr>
      </w:pPr>
    </w:p>
    <w:p w:rsidR="00D537A9" w:rsidRPr="00FC4765" w:rsidRDefault="00D537A9" w:rsidP="00D537A9">
      <w:pPr>
        <w:rPr>
          <w:b/>
        </w:rPr>
      </w:pPr>
      <w:r w:rsidRPr="00880638">
        <w:t>The intention of the bill is described as ‘phasing out’ advertising within television programs, and this is achieved by introducing new requirements each year for three years from 1 January 2013. Unfortunately the explanatory memorandum does not address the question of delayed commencement, but in the circumstances the Committee makes no further comment.</w:t>
      </w:r>
      <w:r>
        <w:t xml:space="preserve"> </w:t>
      </w:r>
    </w:p>
    <w:p w:rsidR="00D537A9" w:rsidRDefault="00D537A9" w:rsidP="00D537A9"/>
    <w:p w:rsidR="00D537A9" w:rsidRDefault="00D537A9" w:rsidP="00D537A9">
      <w:pPr>
        <w:ind w:left="737" w:right="680"/>
        <w:rPr>
          <w:i/>
        </w:rPr>
      </w:pPr>
      <w:r>
        <w:rPr>
          <w:i/>
        </w:rPr>
        <w:t>In the circumstances, the Committee makes no further comment on the bill.</w:t>
      </w:r>
    </w:p>
    <w:p w:rsidR="00D537A9" w:rsidRDefault="00D537A9" w:rsidP="00D537A9"/>
    <w:p w:rsidR="00D537A9" w:rsidRDefault="00D537A9" w:rsidP="00D537A9">
      <w:pPr>
        <w:spacing w:line="240" w:lineRule="auto"/>
        <w:jc w:val="left"/>
        <w:rPr>
          <w:b/>
          <w:sz w:val="36"/>
        </w:rPr>
      </w:pPr>
      <w:r>
        <w:br w:type="page"/>
      </w:r>
    </w:p>
    <w:p w:rsidR="00D537A9" w:rsidRPr="00E15F38" w:rsidRDefault="00D537A9" w:rsidP="00D537A9">
      <w:pPr>
        <w:pStyle w:val="H1"/>
      </w:pPr>
      <w:r>
        <w:t>Tax and Superannuation Laws Amendment (2012 Measures No.1) Bill 2012</w:t>
      </w:r>
    </w:p>
    <w:p w:rsidR="00D537A9" w:rsidRPr="00C54BA1" w:rsidRDefault="00D537A9" w:rsidP="00D537A9">
      <w:r w:rsidRPr="00C54BA1">
        <w:t xml:space="preserve">Introduced into the </w:t>
      </w:r>
      <w:r>
        <w:t xml:space="preserve">House of Representatives </w:t>
      </w:r>
      <w:r w:rsidRPr="00C54BA1">
        <w:t xml:space="preserve">on </w:t>
      </w:r>
      <w:r>
        <w:t>1 March 2012</w:t>
      </w:r>
    </w:p>
    <w:p w:rsidR="00D537A9" w:rsidRDefault="00D537A9" w:rsidP="00D537A9">
      <w:r>
        <w:t>Portfolio: Treasury</w:t>
      </w:r>
    </w:p>
    <w:p w:rsidR="00D537A9" w:rsidRDefault="00D537A9" w:rsidP="00D537A9"/>
    <w:p w:rsidR="00D537A9" w:rsidRPr="00C54BA1" w:rsidRDefault="00D537A9" w:rsidP="00D537A9">
      <w:pPr>
        <w:pStyle w:val="H2"/>
      </w:pPr>
      <w:r w:rsidRPr="00C54BA1">
        <w:t>Background</w:t>
      </w:r>
    </w:p>
    <w:p w:rsidR="00D537A9" w:rsidRDefault="00D537A9" w:rsidP="00D537A9"/>
    <w:p w:rsidR="00D537A9" w:rsidRDefault="00D537A9" w:rsidP="00D537A9">
      <w:r>
        <w:t>This bill amends various taxation and superannuation laws.</w:t>
      </w:r>
    </w:p>
    <w:p w:rsidR="00D537A9" w:rsidRDefault="00D537A9" w:rsidP="00D537A9"/>
    <w:p w:rsidR="00D537A9" w:rsidRDefault="00D537A9" w:rsidP="00D537A9">
      <w:r>
        <w:t xml:space="preserve">Schedule 1 to this Bill amends the </w:t>
      </w:r>
      <w:r>
        <w:rPr>
          <w:i/>
        </w:rPr>
        <w:t>A New Tax System (Goods and Services Tax) Act 1999</w:t>
      </w:r>
      <w:r>
        <w:t xml:space="preserve"> to ensure that a</w:t>
      </w:r>
      <w:r w:rsidRPr="008555BF">
        <w:t xml:space="preserve"> supply</w:t>
      </w:r>
      <w:r>
        <w:t xml:space="preserve"> made</w:t>
      </w:r>
      <w:r w:rsidRPr="008555BF">
        <w:t xml:space="preserve"> by </w:t>
      </w:r>
      <w:r>
        <w:t>a</w:t>
      </w:r>
      <w:r w:rsidRPr="008555BF">
        <w:t xml:space="preserve"> health care provider </w:t>
      </w:r>
      <w:r>
        <w:t>to</w:t>
      </w:r>
      <w:r w:rsidRPr="008555BF">
        <w:t xml:space="preserve"> an insurer</w:t>
      </w:r>
      <w:r>
        <w:t>, a statutory compensation scheme operator, a compulsory third party scheme operator</w:t>
      </w:r>
      <w:r w:rsidRPr="008555BF">
        <w:t xml:space="preserve"> or a government entity</w:t>
      </w:r>
      <w:r>
        <w:t xml:space="preserve">, </w:t>
      </w:r>
      <w:r w:rsidRPr="008555BF">
        <w:t xml:space="preserve">is treated as a </w:t>
      </w:r>
      <w:proofErr w:type="spellStart"/>
      <w:r w:rsidRPr="008555BF">
        <w:t>GST</w:t>
      </w:r>
      <w:r>
        <w:noBreakHyphen/>
      </w:r>
      <w:r w:rsidRPr="008555BF">
        <w:t>free</w:t>
      </w:r>
      <w:proofErr w:type="spellEnd"/>
      <w:r w:rsidRPr="008555BF">
        <w:t xml:space="preserve"> supply </w:t>
      </w:r>
      <w:r>
        <w:t>to the extent that the underlying</w:t>
      </w:r>
      <w:r w:rsidRPr="008555BF">
        <w:t xml:space="preserve"> supply from the health care provider to </w:t>
      </w:r>
      <w:r>
        <w:t>an</w:t>
      </w:r>
      <w:r w:rsidRPr="008555BF">
        <w:t xml:space="preserve"> </w:t>
      </w:r>
      <w:r>
        <w:t>individual</w:t>
      </w:r>
      <w:r w:rsidRPr="008555BF">
        <w:t xml:space="preserve"> is a </w:t>
      </w:r>
      <w:proofErr w:type="spellStart"/>
      <w:r w:rsidRPr="008555BF">
        <w:t>GST</w:t>
      </w:r>
      <w:r>
        <w:noBreakHyphen/>
      </w:r>
      <w:r w:rsidRPr="008555BF">
        <w:t>free</w:t>
      </w:r>
      <w:proofErr w:type="spellEnd"/>
      <w:r w:rsidRPr="008555BF">
        <w:t xml:space="preserve"> health supply.</w:t>
      </w:r>
    </w:p>
    <w:p w:rsidR="00D537A9" w:rsidRDefault="00D537A9" w:rsidP="00D537A9"/>
    <w:p w:rsidR="00D537A9" w:rsidRDefault="00D537A9" w:rsidP="00D537A9">
      <w:r>
        <w:t xml:space="preserve">Schedule 2 to this Bill amends the </w:t>
      </w:r>
      <w:r w:rsidRPr="008C496B">
        <w:rPr>
          <w:i/>
        </w:rPr>
        <w:t>A New Tax System (Goods and Services Tax) Act 1999</w:t>
      </w:r>
      <w:r>
        <w:t xml:space="preserve"> (GST Act) to restore the policy intent that the non commercial activities of government related entities are not subject to goods and services tax.</w:t>
      </w:r>
    </w:p>
    <w:p w:rsidR="00D537A9" w:rsidRDefault="00D537A9" w:rsidP="00D537A9"/>
    <w:p w:rsidR="00D537A9" w:rsidRDefault="00D537A9" w:rsidP="00D537A9">
      <w:r>
        <w:t xml:space="preserve">Schedule 3 to this Bill amends the </w:t>
      </w:r>
      <w:r w:rsidRPr="003E1ED1">
        <w:rPr>
          <w:i/>
        </w:rPr>
        <w:t>Income Tax Assessment Act 1997</w:t>
      </w:r>
      <w:r>
        <w:rPr>
          <w:i/>
        </w:rPr>
        <w:t xml:space="preserve"> </w:t>
      </w:r>
      <w:r>
        <w:t>to temporarily pause the indexation of the superannuation concessional contributions cap so that it will remain fixed at $25,000 up to and including the 2013</w:t>
      </w:r>
      <w:r>
        <w:noBreakHyphen/>
        <w:t>14 financial year.</w:t>
      </w:r>
    </w:p>
    <w:p w:rsidR="00D537A9" w:rsidRDefault="00D537A9" w:rsidP="00D537A9"/>
    <w:p w:rsidR="00D537A9" w:rsidRDefault="00D537A9" w:rsidP="00D537A9">
      <w:r>
        <w:t xml:space="preserve">Schedule 4 to this Bill amends the </w:t>
      </w:r>
      <w:r>
        <w:rPr>
          <w:i/>
          <w:lang w:val="en-US" w:eastAsia="en-US"/>
        </w:rPr>
        <w:t>Income Tax Assessment Act 1997</w:t>
      </w:r>
      <w:r w:rsidRPr="00662CD7">
        <w:rPr>
          <w:lang w:val="en-US" w:eastAsia="en-US"/>
        </w:rPr>
        <w:t>,</w:t>
      </w:r>
      <w:r>
        <w:rPr>
          <w:i/>
          <w:lang w:val="en-US" w:eastAsia="en-US"/>
        </w:rPr>
        <w:t xml:space="preserve"> </w:t>
      </w:r>
      <w:r>
        <w:rPr>
          <w:lang w:val="en-US" w:eastAsia="en-US"/>
        </w:rPr>
        <w:t xml:space="preserve">the </w:t>
      </w:r>
      <w:r>
        <w:rPr>
          <w:i/>
          <w:lang w:val="en-US" w:eastAsia="en-US"/>
        </w:rPr>
        <w:t>Superannuation (Government Co–contribution for Low Income Earners) Act 2003</w:t>
      </w:r>
      <w:r w:rsidRPr="00662CD7">
        <w:rPr>
          <w:lang w:val="en-US" w:eastAsia="en-US"/>
        </w:rPr>
        <w:t>,</w:t>
      </w:r>
      <w:r>
        <w:rPr>
          <w:i/>
          <w:lang w:val="en-US" w:eastAsia="en-US"/>
        </w:rPr>
        <w:t xml:space="preserve"> </w:t>
      </w:r>
      <w:r>
        <w:rPr>
          <w:lang w:val="en-US" w:eastAsia="en-US"/>
        </w:rPr>
        <w:t xml:space="preserve">the </w:t>
      </w:r>
      <w:r>
        <w:rPr>
          <w:i/>
          <w:lang w:val="en-US" w:eastAsia="en-US"/>
        </w:rPr>
        <w:t>Taxation Administration Act 1953</w:t>
      </w:r>
      <w:r w:rsidRPr="00662CD7">
        <w:rPr>
          <w:lang w:val="en-US" w:eastAsia="en-US"/>
        </w:rPr>
        <w:t>,</w:t>
      </w:r>
      <w:r>
        <w:rPr>
          <w:lang w:val="en-US" w:eastAsia="en-US"/>
        </w:rPr>
        <w:t xml:space="preserve"> and </w:t>
      </w:r>
      <w:r w:rsidRPr="00DF28F6">
        <w:t xml:space="preserve">the </w:t>
      </w:r>
      <w:r w:rsidRPr="00DF28F6">
        <w:rPr>
          <w:i/>
        </w:rPr>
        <w:t>Taxation (</w:t>
      </w:r>
      <w:r w:rsidRPr="00CA4071">
        <w:rPr>
          <w:i/>
        </w:rPr>
        <w:t>Interest on Overpayments and Early Payments) Act 1983</w:t>
      </w:r>
      <w:r w:rsidRPr="00CA4071">
        <w:rPr>
          <w:lang w:val="en-US" w:eastAsia="en-US"/>
        </w:rPr>
        <w:t xml:space="preserve"> to allow eligible individuals the option to effectively have excess concessional contributions of $10,000 or less refunded to them</w:t>
      </w:r>
      <w:r>
        <w:rPr>
          <w:lang w:val="en-US" w:eastAsia="en-US"/>
        </w:rPr>
        <w:t>.</w:t>
      </w:r>
    </w:p>
    <w:p w:rsidR="00D537A9" w:rsidRDefault="00D537A9" w:rsidP="00D537A9"/>
    <w:p w:rsidR="00D537A9" w:rsidRDefault="00D537A9" w:rsidP="00D537A9">
      <w:r>
        <w:t xml:space="preserve">Schedule 5 permits the Australian Taxation Office to disclose details of an individual’s superannuation interests and superannuation benefits to a regulated superannuation fund or public sector superannuation scheme, an </w:t>
      </w:r>
      <w:r>
        <w:lastRenderedPageBreak/>
        <w:t>approved deposit fund, retirement savings account provider or their administrators.</w:t>
      </w:r>
    </w:p>
    <w:p w:rsidR="00D537A9" w:rsidRDefault="00D537A9" w:rsidP="00D537A9">
      <w:pPr>
        <w:spacing w:line="240" w:lineRule="auto"/>
        <w:jc w:val="left"/>
      </w:pPr>
    </w:p>
    <w:p w:rsidR="00D537A9" w:rsidRDefault="00D537A9" w:rsidP="00D537A9">
      <w:r>
        <w:t xml:space="preserve">Schedule 6 to this Bill amends the </w:t>
      </w:r>
      <w:r w:rsidRPr="008C496B">
        <w:rPr>
          <w:i/>
        </w:rPr>
        <w:t>Superannuation Industry (Supervision) Act 1993</w:t>
      </w:r>
      <w:r>
        <w:t xml:space="preserve"> to require employers to report, on payslips, any information prescribed in the regulations about superannuation contributions.</w:t>
      </w:r>
    </w:p>
    <w:p w:rsidR="00D537A9" w:rsidRDefault="00D537A9" w:rsidP="00D537A9"/>
    <w:p w:rsidR="00D537A9" w:rsidRDefault="00D537A9" w:rsidP="00D537A9">
      <w:r w:rsidRPr="0056113C">
        <w:t xml:space="preserve">Schedule </w:t>
      </w:r>
      <w:r>
        <w:t>7</w:t>
      </w:r>
      <w:r w:rsidRPr="0056113C">
        <w:t xml:space="preserve"> to this Bill amends the </w:t>
      </w:r>
      <w:r w:rsidRPr="0056113C">
        <w:rPr>
          <w:i/>
        </w:rPr>
        <w:t>Taxation Administration Act 1953</w:t>
      </w:r>
      <w:r w:rsidRPr="0056113C">
        <w:t xml:space="preserve"> to provide the Commissioner of Taxation with a legislative discretion to withhold </w:t>
      </w:r>
      <w:r>
        <w:t xml:space="preserve">entitlements to </w:t>
      </w:r>
      <w:r w:rsidRPr="0056113C">
        <w:t>high risk refunds pending refund integrity checks of a taxpayer’s claim.</w:t>
      </w:r>
    </w:p>
    <w:p w:rsidR="00D537A9" w:rsidRDefault="00D537A9" w:rsidP="00D537A9"/>
    <w:p w:rsidR="00D537A9" w:rsidRDefault="00D537A9" w:rsidP="00D537A9"/>
    <w:p w:rsidR="00D537A9" w:rsidRDefault="00D537A9" w:rsidP="00D537A9">
      <w:pPr>
        <w:jc w:val="center"/>
        <w:rPr>
          <w:i/>
        </w:rPr>
      </w:pPr>
      <w:r>
        <w:rPr>
          <w:i/>
        </w:rPr>
        <w:t>The Committee has no comment on this bill.</w:t>
      </w:r>
    </w:p>
    <w:p w:rsidR="00D537A9" w:rsidRDefault="00D537A9" w:rsidP="00D537A9"/>
    <w:p w:rsidR="00D537A9" w:rsidRDefault="00D537A9" w:rsidP="00D537A9"/>
    <w:p w:rsidR="00D537A9" w:rsidRDefault="00D537A9" w:rsidP="00D537A9"/>
    <w:p w:rsidR="00D537A9" w:rsidRDefault="00D537A9" w:rsidP="00D537A9">
      <w:pPr>
        <w:spacing w:line="240" w:lineRule="auto"/>
        <w:jc w:val="left"/>
        <w:rPr>
          <w:b/>
          <w:caps/>
          <w:sz w:val="32"/>
        </w:rPr>
      </w:pPr>
      <w:r>
        <w:rPr>
          <w:b/>
          <w:caps/>
          <w:sz w:val="32"/>
        </w:rPr>
        <w:br w:type="page"/>
      </w:r>
    </w:p>
    <w:p w:rsidR="00D537A9" w:rsidRDefault="00D537A9" w:rsidP="00D537A9">
      <w:pPr>
        <w:pStyle w:val="H1"/>
      </w:pPr>
      <w:r>
        <w:t>COMMENTARY ON AMENDMENTS TO BILLS</w:t>
      </w:r>
    </w:p>
    <w:p w:rsidR="00D537A9" w:rsidRDefault="00D537A9" w:rsidP="00D537A9">
      <w:pPr>
        <w:rPr>
          <w:b/>
        </w:rPr>
      </w:pPr>
    </w:p>
    <w:p w:rsidR="00D537A9" w:rsidRDefault="00D537A9" w:rsidP="00D537A9">
      <w:pPr>
        <w:rPr>
          <w:b/>
        </w:rPr>
      </w:pPr>
      <w:r>
        <w:rPr>
          <w:b/>
        </w:rPr>
        <w:t>Building and Construction Industry Improvement Amendment (Transition to Fair Work) Bill 2012</w:t>
      </w:r>
    </w:p>
    <w:p w:rsidR="00D537A9" w:rsidRPr="004B3FF8" w:rsidRDefault="00D537A9" w:rsidP="00D537A9">
      <w:pPr>
        <w:rPr>
          <w:b/>
          <w:i/>
          <w:sz w:val="24"/>
          <w:szCs w:val="24"/>
        </w:rPr>
      </w:pPr>
      <w:r w:rsidRPr="009900B7">
        <w:rPr>
          <w:b/>
          <w:i/>
          <w:sz w:val="24"/>
          <w:szCs w:val="24"/>
        </w:rPr>
        <w:t>[Digest</w:t>
      </w:r>
      <w:r>
        <w:rPr>
          <w:b/>
          <w:i/>
          <w:sz w:val="24"/>
          <w:szCs w:val="24"/>
        </w:rPr>
        <w:t xml:space="preserve"> 14/11 – response in 1</w:t>
      </w:r>
      <w:r w:rsidRPr="0004782A">
        <w:rPr>
          <w:b/>
          <w:i/>
          <w:sz w:val="24"/>
          <w:szCs w:val="24"/>
          <w:vertAlign w:val="superscript"/>
        </w:rPr>
        <w:t>st</w:t>
      </w:r>
      <w:r>
        <w:rPr>
          <w:b/>
          <w:i/>
          <w:sz w:val="24"/>
          <w:szCs w:val="24"/>
        </w:rPr>
        <w:t xml:space="preserve"> Report</w:t>
      </w:r>
      <w:r w:rsidRPr="009900B7">
        <w:rPr>
          <w:b/>
          <w:i/>
          <w:sz w:val="24"/>
          <w:szCs w:val="24"/>
        </w:rPr>
        <w:t>]</w:t>
      </w:r>
    </w:p>
    <w:p w:rsidR="00D537A9" w:rsidRDefault="00D537A9" w:rsidP="00D537A9"/>
    <w:p w:rsidR="00D537A9" w:rsidRPr="0004782A" w:rsidRDefault="00D537A9" w:rsidP="00D537A9">
      <w:r>
        <w:t>On 28 February 2012 a revised explanatory memorandum was tabled in the Senate. The Committee has no comment on the additional material.</w:t>
      </w:r>
    </w:p>
    <w:p w:rsidR="00D537A9" w:rsidRPr="0004782A" w:rsidRDefault="00D537A9" w:rsidP="00D537A9"/>
    <w:p w:rsidR="00D537A9" w:rsidRPr="002F62F5" w:rsidRDefault="00D537A9" w:rsidP="00D537A9">
      <w:pPr>
        <w:rPr>
          <w:b/>
          <w:i/>
        </w:rPr>
      </w:pPr>
      <w:r w:rsidRPr="002F62F5">
        <w:rPr>
          <w:b/>
        </w:rPr>
        <w:t>Crimes Legislation</w:t>
      </w:r>
      <w:r>
        <w:rPr>
          <w:b/>
        </w:rPr>
        <w:t xml:space="preserve"> Amendment (Powers and Offences) Bill 2011</w:t>
      </w:r>
    </w:p>
    <w:p w:rsidR="00D537A9" w:rsidRPr="004B3FF8" w:rsidRDefault="00D537A9" w:rsidP="00D537A9">
      <w:pPr>
        <w:rPr>
          <w:b/>
          <w:i/>
          <w:sz w:val="24"/>
          <w:szCs w:val="24"/>
        </w:rPr>
      </w:pPr>
      <w:r w:rsidRPr="009900B7">
        <w:rPr>
          <w:b/>
          <w:i/>
          <w:sz w:val="24"/>
          <w:szCs w:val="24"/>
        </w:rPr>
        <w:t>[Digest</w:t>
      </w:r>
      <w:r>
        <w:rPr>
          <w:b/>
          <w:i/>
          <w:sz w:val="24"/>
          <w:szCs w:val="24"/>
        </w:rPr>
        <w:t xml:space="preserve"> 1 &amp; 2/12 – response in 3</w:t>
      </w:r>
      <w:r w:rsidRPr="002F62F5">
        <w:rPr>
          <w:b/>
          <w:i/>
          <w:sz w:val="24"/>
          <w:szCs w:val="24"/>
          <w:vertAlign w:val="superscript"/>
        </w:rPr>
        <w:t>rd</w:t>
      </w:r>
      <w:r>
        <w:rPr>
          <w:b/>
          <w:i/>
          <w:sz w:val="24"/>
          <w:szCs w:val="24"/>
        </w:rPr>
        <w:t xml:space="preserve"> Report</w:t>
      </w:r>
      <w:r w:rsidRPr="009900B7">
        <w:rPr>
          <w:b/>
          <w:i/>
          <w:sz w:val="24"/>
          <w:szCs w:val="24"/>
        </w:rPr>
        <w:t>]</w:t>
      </w:r>
    </w:p>
    <w:p w:rsidR="00D537A9" w:rsidRDefault="00D537A9" w:rsidP="00D537A9"/>
    <w:p w:rsidR="00D537A9" w:rsidRDefault="00D537A9" w:rsidP="00D537A9">
      <w:r>
        <w:t>On 1 March 2012 the House of Representatives agreed to five Government amendments and tabled two supplementary explanatory memoranda. The Committee notes the proposed additional safeguards relating to sharing personal information.</w:t>
      </w:r>
    </w:p>
    <w:p w:rsidR="00D537A9" w:rsidRDefault="00D537A9" w:rsidP="00D537A9"/>
    <w:p w:rsidR="00D537A9" w:rsidRPr="00252FF3" w:rsidRDefault="00D537A9" w:rsidP="00D537A9">
      <w:pPr>
        <w:rPr>
          <w:b/>
        </w:rPr>
      </w:pPr>
      <w:r>
        <w:rPr>
          <w:b/>
        </w:rPr>
        <w:t>Education Services for Overseas Students Legislation Amendment (Tuition Protection Service and Other Measures) Bill 2011</w:t>
      </w:r>
    </w:p>
    <w:p w:rsidR="00D537A9" w:rsidRPr="004B3FF8" w:rsidRDefault="00D537A9" w:rsidP="00D537A9">
      <w:pPr>
        <w:rPr>
          <w:b/>
          <w:i/>
          <w:sz w:val="24"/>
          <w:szCs w:val="24"/>
        </w:rPr>
      </w:pPr>
      <w:r w:rsidRPr="009900B7">
        <w:rPr>
          <w:b/>
          <w:i/>
          <w:sz w:val="24"/>
          <w:szCs w:val="24"/>
        </w:rPr>
        <w:t>[Digest</w:t>
      </w:r>
      <w:r>
        <w:rPr>
          <w:b/>
          <w:i/>
          <w:sz w:val="24"/>
          <w:szCs w:val="24"/>
        </w:rPr>
        <w:t xml:space="preserve"> 12/11 – no response required</w:t>
      </w:r>
      <w:r w:rsidRPr="009900B7">
        <w:rPr>
          <w:b/>
          <w:i/>
          <w:sz w:val="24"/>
          <w:szCs w:val="24"/>
        </w:rPr>
        <w:t>]</w:t>
      </w:r>
    </w:p>
    <w:p w:rsidR="00D537A9" w:rsidRPr="00252FF3" w:rsidRDefault="00D537A9" w:rsidP="00D537A9">
      <w:pPr>
        <w:rPr>
          <w:sz w:val="24"/>
          <w:szCs w:val="24"/>
        </w:rPr>
      </w:pPr>
    </w:p>
    <w:p w:rsidR="00D537A9" w:rsidRPr="00252FF3" w:rsidRDefault="00D537A9" w:rsidP="00D537A9">
      <w:r>
        <w:t>On 29 February 2012 the Senate agreed to five Government and four Australian Greens amendments and tabled a supplementary explanatory memorandum. On 1 March 2012 the House of Representatives agreed to the Senate amendments and the bill was passed. The Committee has no comment on the additional material.</w:t>
      </w:r>
    </w:p>
    <w:p w:rsidR="00D537A9" w:rsidRPr="00252FF3" w:rsidRDefault="00D537A9" w:rsidP="00D537A9">
      <w:pPr>
        <w:rPr>
          <w:sz w:val="24"/>
          <w:szCs w:val="24"/>
        </w:rPr>
      </w:pPr>
    </w:p>
    <w:p w:rsidR="00D537A9" w:rsidRPr="00461CEC" w:rsidRDefault="00D537A9" w:rsidP="00D537A9">
      <w:pPr>
        <w:rPr>
          <w:b/>
          <w:szCs w:val="26"/>
        </w:rPr>
      </w:pPr>
      <w:r w:rsidRPr="00461CEC">
        <w:rPr>
          <w:b/>
          <w:szCs w:val="26"/>
        </w:rPr>
        <w:t>Extradition and Mutual Assistance in Criminal Matters Legislation Amendment Bill 2011</w:t>
      </w:r>
    </w:p>
    <w:p w:rsidR="00D537A9" w:rsidRPr="004B3FF8" w:rsidRDefault="00D537A9" w:rsidP="00D537A9">
      <w:pPr>
        <w:rPr>
          <w:b/>
          <w:i/>
          <w:sz w:val="24"/>
          <w:szCs w:val="24"/>
        </w:rPr>
      </w:pPr>
      <w:r w:rsidRPr="009900B7">
        <w:rPr>
          <w:b/>
          <w:i/>
          <w:sz w:val="24"/>
          <w:szCs w:val="24"/>
        </w:rPr>
        <w:t>[Digest</w:t>
      </w:r>
      <w:r>
        <w:rPr>
          <w:b/>
          <w:i/>
          <w:sz w:val="24"/>
          <w:szCs w:val="24"/>
        </w:rPr>
        <w:t xml:space="preserve"> 8/11 – responses 12</w:t>
      </w:r>
      <w:r w:rsidRPr="00DC1226">
        <w:rPr>
          <w:b/>
          <w:i/>
          <w:sz w:val="24"/>
          <w:szCs w:val="24"/>
          <w:vertAlign w:val="superscript"/>
        </w:rPr>
        <w:t>th</w:t>
      </w:r>
      <w:r>
        <w:rPr>
          <w:b/>
          <w:i/>
          <w:sz w:val="24"/>
          <w:szCs w:val="24"/>
        </w:rPr>
        <w:t>/11 and 1</w:t>
      </w:r>
      <w:r w:rsidRPr="00DC1226">
        <w:rPr>
          <w:b/>
          <w:i/>
          <w:sz w:val="24"/>
          <w:szCs w:val="24"/>
          <w:vertAlign w:val="superscript"/>
        </w:rPr>
        <w:t>st</w:t>
      </w:r>
      <w:r>
        <w:rPr>
          <w:b/>
          <w:i/>
          <w:sz w:val="24"/>
          <w:szCs w:val="24"/>
        </w:rPr>
        <w:t xml:space="preserve"> &amp; 2</w:t>
      </w:r>
      <w:r w:rsidRPr="00DC1226">
        <w:rPr>
          <w:b/>
          <w:i/>
          <w:sz w:val="24"/>
          <w:szCs w:val="24"/>
          <w:vertAlign w:val="superscript"/>
        </w:rPr>
        <w:t>nd</w:t>
      </w:r>
      <w:r>
        <w:rPr>
          <w:b/>
          <w:i/>
          <w:sz w:val="24"/>
          <w:szCs w:val="24"/>
        </w:rPr>
        <w:t>/12 Report</w:t>
      </w:r>
      <w:r w:rsidRPr="009900B7">
        <w:rPr>
          <w:b/>
          <w:i/>
          <w:sz w:val="24"/>
          <w:szCs w:val="24"/>
        </w:rPr>
        <w:t>]</w:t>
      </w:r>
    </w:p>
    <w:p w:rsidR="00D537A9" w:rsidRPr="00DC1226" w:rsidRDefault="00D537A9" w:rsidP="00D537A9">
      <w:pPr>
        <w:rPr>
          <w:b/>
          <w:sz w:val="24"/>
          <w:szCs w:val="24"/>
        </w:rPr>
      </w:pPr>
    </w:p>
    <w:p w:rsidR="00D537A9" w:rsidRDefault="00D537A9" w:rsidP="00D537A9">
      <w:r>
        <w:t>On 27 February 2012 an addendum to the explanatory memorandum was tabled in the Senate. On 29 February 2012 the Senate agreed to the bill without amendment. In the circumstances the Committee has no comment on the additional material. The Committee has no comment on the additional material.</w:t>
      </w:r>
    </w:p>
    <w:p w:rsidR="00D537A9" w:rsidRDefault="00D537A9" w:rsidP="00D537A9">
      <w:pPr>
        <w:spacing w:line="240" w:lineRule="auto"/>
        <w:jc w:val="left"/>
        <w:rPr>
          <w:sz w:val="24"/>
          <w:szCs w:val="24"/>
        </w:rPr>
      </w:pPr>
      <w:r>
        <w:rPr>
          <w:sz w:val="24"/>
          <w:szCs w:val="24"/>
        </w:rPr>
        <w:br w:type="page"/>
      </w:r>
    </w:p>
    <w:p w:rsidR="00D537A9" w:rsidRPr="00702402" w:rsidRDefault="00D537A9" w:rsidP="00D537A9">
      <w:pPr>
        <w:rPr>
          <w:b/>
          <w:szCs w:val="26"/>
        </w:rPr>
      </w:pPr>
      <w:r w:rsidRPr="00702402">
        <w:rPr>
          <w:b/>
          <w:szCs w:val="26"/>
        </w:rPr>
        <w:t>Fairer Private Health Insurance Incentives Bill 2012</w:t>
      </w:r>
      <w:r>
        <w:rPr>
          <w:b/>
          <w:szCs w:val="26"/>
        </w:rPr>
        <w:t xml:space="preserve"> and related bills</w:t>
      </w:r>
    </w:p>
    <w:p w:rsidR="00D537A9" w:rsidRPr="004B3FF8" w:rsidRDefault="00D537A9" w:rsidP="00D537A9">
      <w:pPr>
        <w:rPr>
          <w:b/>
          <w:i/>
          <w:sz w:val="24"/>
          <w:szCs w:val="24"/>
        </w:rPr>
      </w:pPr>
      <w:r w:rsidRPr="009900B7">
        <w:rPr>
          <w:b/>
          <w:i/>
          <w:sz w:val="24"/>
          <w:szCs w:val="24"/>
        </w:rPr>
        <w:t>[Digest</w:t>
      </w:r>
      <w:r>
        <w:rPr>
          <w:b/>
          <w:i/>
          <w:sz w:val="24"/>
          <w:szCs w:val="24"/>
        </w:rPr>
        <w:t xml:space="preserve"> 8/11 – no comment</w:t>
      </w:r>
      <w:r w:rsidRPr="009900B7">
        <w:rPr>
          <w:b/>
          <w:i/>
          <w:sz w:val="24"/>
          <w:szCs w:val="24"/>
        </w:rPr>
        <w:t>]</w:t>
      </w:r>
    </w:p>
    <w:p w:rsidR="00D537A9" w:rsidRDefault="00D537A9" w:rsidP="00D537A9"/>
    <w:p w:rsidR="00D537A9" w:rsidRDefault="00D537A9" w:rsidP="00D537A9">
      <w:r>
        <w:t>On 27 February 2012 a revised explanatory memorandum was tabled in the Senate. The Committee has no comment on the additional material.</w:t>
      </w:r>
    </w:p>
    <w:p w:rsidR="00D537A9" w:rsidRDefault="00D537A9" w:rsidP="00D537A9">
      <w:pPr>
        <w:rPr>
          <w:sz w:val="24"/>
          <w:szCs w:val="24"/>
        </w:rPr>
      </w:pPr>
    </w:p>
    <w:p w:rsidR="00D537A9" w:rsidRPr="00B319EF" w:rsidRDefault="00D537A9" w:rsidP="00D537A9">
      <w:pPr>
        <w:rPr>
          <w:b/>
          <w:sz w:val="24"/>
          <w:szCs w:val="24"/>
        </w:rPr>
      </w:pPr>
      <w:r>
        <w:rPr>
          <w:b/>
          <w:sz w:val="24"/>
          <w:szCs w:val="24"/>
        </w:rPr>
        <w:t>National Health Amendment (Fifth Community Pharmacy Agreement Initiatives) Bill 2012</w:t>
      </w:r>
    </w:p>
    <w:p w:rsidR="00D537A9" w:rsidRPr="004B3FF8" w:rsidRDefault="00D537A9" w:rsidP="00D537A9">
      <w:pPr>
        <w:rPr>
          <w:b/>
          <w:i/>
          <w:sz w:val="24"/>
          <w:szCs w:val="24"/>
        </w:rPr>
      </w:pPr>
      <w:r w:rsidRPr="009900B7">
        <w:rPr>
          <w:b/>
          <w:i/>
          <w:sz w:val="24"/>
          <w:szCs w:val="24"/>
        </w:rPr>
        <w:t>[Digest</w:t>
      </w:r>
      <w:r>
        <w:rPr>
          <w:b/>
          <w:i/>
          <w:sz w:val="24"/>
          <w:szCs w:val="24"/>
        </w:rPr>
        <w:t xml:space="preserve"> 1/12 – no comment</w:t>
      </w:r>
      <w:r w:rsidRPr="009900B7">
        <w:rPr>
          <w:b/>
          <w:i/>
          <w:sz w:val="24"/>
          <w:szCs w:val="24"/>
        </w:rPr>
        <w:t>]</w:t>
      </w:r>
    </w:p>
    <w:p w:rsidR="00D537A9" w:rsidRDefault="00D537A9" w:rsidP="00D537A9">
      <w:pPr>
        <w:rPr>
          <w:sz w:val="24"/>
          <w:szCs w:val="24"/>
        </w:rPr>
      </w:pPr>
    </w:p>
    <w:p w:rsidR="00D537A9" w:rsidRDefault="00D537A9" w:rsidP="00D537A9">
      <w:r>
        <w:t>On 27 February 2012 a revised explanatory memorandum was tabled in the Senate. On 1 March 2012 the Senate agreed to the bill without amendment. The Committee has no comment on the additional material.</w:t>
      </w:r>
    </w:p>
    <w:p w:rsidR="00D537A9" w:rsidRDefault="00D537A9" w:rsidP="00D537A9">
      <w:pPr>
        <w:rPr>
          <w:b/>
          <w:sz w:val="24"/>
          <w:szCs w:val="24"/>
        </w:rPr>
      </w:pPr>
    </w:p>
    <w:p w:rsidR="00D537A9" w:rsidRDefault="00D537A9" w:rsidP="00D537A9">
      <w:pPr>
        <w:rPr>
          <w:b/>
          <w:sz w:val="24"/>
          <w:szCs w:val="24"/>
        </w:rPr>
      </w:pPr>
      <w:r>
        <w:rPr>
          <w:b/>
          <w:sz w:val="24"/>
          <w:szCs w:val="24"/>
        </w:rPr>
        <w:t>National Radioactive Waste Management Bill 2010</w:t>
      </w:r>
    </w:p>
    <w:p w:rsidR="00D537A9" w:rsidRPr="004B3FF8" w:rsidRDefault="00D537A9" w:rsidP="00D537A9">
      <w:pPr>
        <w:rPr>
          <w:b/>
          <w:i/>
          <w:sz w:val="24"/>
          <w:szCs w:val="24"/>
        </w:rPr>
      </w:pPr>
      <w:r w:rsidRPr="009900B7">
        <w:rPr>
          <w:b/>
          <w:i/>
          <w:sz w:val="24"/>
          <w:szCs w:val="24"/>
        </w:rPr>
        <w:t>[Digest</w:t>
      </w:r>
      <w:r>
        <w:rPr>
          <w:b/>
          <w:i/>
          <w:sz w:val="24"/>
          <w:szCs w:val="24"/>
        </w:rPr>
        <w:t xml:space="preserve"> 8/10 – no comment</w:t>
      </w:r>
      <w:r w:rsidRPr="009900B7">
        <w:rPr>
          <w:b/>
          <w:i/>
          <w:sz w:val="24"/>
          <w:szCs w:val="24"/>
        </w:rPr>
        <w:t>]</w:t>
      </w:r>
    </w:p>
    <w:p w:rsidR="00D537A9" w:rsidRDefault="00D537A9" w:rsidP="00D537A9">
      <w:pPr>
        <w:rPr>
          <w:b/>
          <w:sz w:val="24"/>
          <w:szCs w:val="24"/>
        </w:rPr>
      </w:pPr>
    </w:p>
    <w:p w:rsidR="00D537A9" w:rsidRPr="00E96904" w:rsidRDefault="00D537A9" w:rsidP="00D537A9">
      <w:r>
        <w:t>On 27 February 2012 a supplementary explanatory memorandum was tabled in the Senate. The Committee has no comment on the additional material.</w:t>
      </w:r>
    </w:p>
    <w:p w:rsidR="00D537A9" w:rsidRDefault="00D537A9" w:rsidP="00D537A9">
      <w:pPr>
        <w:rPr>
          <w:b/>
          <w:sz w:val="24"/>
          <w:szCs w:val="24"/>
        </w:rPr>
      </w:pPr>
    </w:p>
    <w:p w:rsidR="00D537A9" w:rsidRPr="00984EF1" w:rsidRDefault="00D537A9" w:rsidP="00D537A9">
      <w:pPr>
        <w:rPr>
          <w:b/>
          <w:sz w:val="24"/>
          <w:szCs w:val="24"/>
        </w:rPr>
      </w:pPr>
      <w:r>
        <w:rPr>
          <w:b/>
          <w:sz w:val="24"/>
          <w:szCs w:val="24"/>
        </w:rPr>
        <w:t>Stronger Futures in the Northern Territory Bill 2011</w:t>
      </w:r>
    </w:p>
    <w:p w:rsidR="00D537A9" w:rsidRPr="004B3FF8" w:rsidRDefault="00D537A9" w:rsidP="00D537A9">
      <w:pPr>
        <w:rPr>
          <w:b/>
          <w:i/>
          <w:sz w:val="24"/>
          <w:szCs w:val="24"/>
        </w:rPr>
      </w:pPr>
      <w:r w:rsidRPr="009900B7">
        <w:rPr>
          <w:b/>
          <w:i/>
          <w:sz w:val="24"/>
          <w:szCs w:val="24"/>
        </w:rPr>
        <w:t>[Digest</w:t>
      </w:r>
      <w:r>
        <w:rPr>
          <w:b/>
          <w:i/>
          <w:sz w:val="24"/>
          <w:szCs w:val="24"/>
        </w:rPr>
        <w:t xml:space="preserve"> 1/12 – response in 1</w:t>
      </w:r>
      <w:r w:rsidRPr="0004782A">
        <w:rPr>
          <w:b/>
          <w:i/>
          <w:sz w:val="24"/>
          <w:szCs w:val="24"/>
          <w:vertAlign w:val="superscript"/>
        </w:rPr>
        <w:t>st</w:t>
      </w:r>
      <w:r>
        <w:rPr>
          <w:b/>
          <w:i/>
          <w:sz w:val="24"/>
          <w:szCs w:val="24"/>
        </w:rPr>
        <w:t xml:space="preserve"> Report</w:t>
      </w:r>
      <w:r w:rsidRPr="009900B7">
        <w:rPr>
          <w:b/>
          <w:i/>
          <w:sz w:val="24"/>
          <w:szCs w:val="24"/>
        </w:rPr>
        <w:t>]</w:t>
      </w:r>
    </w:p>
    <w:p w:rsidR="00D537A9" w:rsidRDefault="00D537A9" w:rsidP="00D537A9">
      <w:pPr>
        <w:rPr>
          <w:sz w:val="24"/>
          <w:szCs w:val="24"/>
        </w:rPr>
      </w:pPr>
    </w:p>
    <w:p w:rsidR="00D537A9" w:rsidRPr="00252FF3" w:rsidRDefault="00D537A9" w:rsidP="00D537A9">
      <w:r>
        <w:t>On 27 February 2012 the House of Representatives agreed to two Governments and five Opposition amendments and tabled a supplementary explanatory memorandum. On 29 February 2012 a revised explanatory memorandum was tabled in the Senate. The Committee has no comment on the additional material.</w:t>
      </w:r>
    </w:p>
    <w:p w:rsidR="00D537A9" w:rsidRDefault="00D537A9" w:rsidP="00D537A9">
      <w:pPr>
        <w:pStyle w:val="H1"/>
        <w:jc w:val="center"/>
        <w:rPr>
          <w:b w:val="0"/>
          <w:sz w:val="32"/>
          <w:szCs w:val="32"/>
        </w:rPr>
      </w:pPr>
      <w:r>
        <w:br w:type="page"/>
      </w:r>
      <w:r w:rsidRPr="003B474B">
        <w:rPr>
          <w:sz w:val="32"/>
          <w:szCs w:val="32"/>
        </w:rPr>
        <w:lastRenderedPageBreak/>
        <w:t>SCRUTINY OF STANDING APPROPRIATIONS</w:t>
      </w:r>
    </w:p>
    <w:p w:rsidR="00D537A9" w:rsidRPr="003B474B" w:rsidRDefault="00D537A9" w:rsidP="00D537A9">
      <w:pPr>
        <w:jc w:val="center"/>
        <w:rPr>
          <w:b/>
          <w:sz w:val="32"/>
          <w:szCs w:val="32"/>
        </w:rPr>
      </w:pPr>
    </w:p>
    <w:p w:rsidR="00D537A9" w:rsidRDefault="00D537A9" w:rsidP="00D537A9">
      <w:r>
        <w:t>The Committee has determined that, as part of its standard procedures for reporting on bills, it should draw senators’ attention to the presence in bills of standing appropriations. It will do so under provisions 1(a</w:t>
      </w:r>
      <w:proofErr w:type="gramStart"/>
      <w:r>
        <w:t>)(</w:t>
      </w:r>
      <w:proofErr w:type="gramEnd"/>
      <w:r>
        <w:t>iv) and (v) of its terms of reference, which require the Committee to report on whether bills:</w:t>
      </w:r>
    </w:p>
    <w:p w:rsidR="00D537A9" w:rsidRDefault="00D537A9" w:rsidP="00D537A9"/>
    <w:p w:rsidR="00D537A9" w:rsidRDefault="00D537A9" w:rsidP="00D537A9">
      <w:pPr>
        <w:numPr>
          <w:ilvl w:val="0"/>
          <w:numId w:val="31"/>
        </w:numPr>
        <w:spacing w:after="120"/>
        <w:ind w:left="1077"/>
      </w:pPr>
      <w:r>
        <w:t>inappropriately delegate legislative powers; or</w:t>
      </w:r>
    </w:p>
    <w:p w:rsidR="00D537A9" w:rsidRDefault="00D537A9" w:rsidP="00D537A9">
      <w:pPr>
        <w:numPr>
          <w:ilvl w:val="0"/>
          <w:numId w:val="31"/>
        </w:numPr>
      </w:pPr>
      <w:proofErr w:type="gramStart"/>
      <w:r>
        <w:t>insufficiently</w:t>
      </w:r>
      <w:proofErr w:type="gramEnd"/>
      <w:r>
        <w:t xml:space="preserve"> subject the exercise of legislative power to parliamentary scrutiny.</w:t>
      </w:r>
    </w:p>
    <w:p w:rsidR="00D537A9" w:rsidRDefault="00D537A9" w:rsidP="00D537A9"/>
    <w:p w:rsidR="00D537A9" w:rsidRDefault="00D537A9" w:rsidP="00D537A9">
      <w:r>
        <w:t xml:space="preserve">Further details of the Committee’s approach to scrutiny of standing appropriations are set out in the Committee’s </w:t>
      </w:r>
      <w:r w:rsidRPr="003B474B">
        <w:rPr>
          <w:i/>
        </w:rPr>
        <w:t>F</w:t>
      </w:r>
      <w:r>
        <w:rPr>
          <w:i/>
        </w:rPr>
        <w:t>ourteenth R</w:t>
      </w:r>
      <w:r w:rsidRPr="003B474B">
        <w:rPr>
          <w:i/>
        </w:rPr>
        <w:t>eport of 2005</w:t>
      </w:r>
      <w:r>
        <w:t>. The following is a list of the bills containing standing appropriations that have been introduced since the beginning of the 42</w:t>
      </w:r>
      <w:r w:rsidRPr="00CC7EAC">
        <w:rPr>
          <w:vertAlign w:val="superscript"/>
        </w:rPr>
        <w:t>nd</w:t>
      </w:r>
      <w:r>
        <w:t xml:space="preserve"> Parliament.</w:t>
      </w:r>
    </w:p>
    <w:p w:rsidR="00D537A9" w:rsidRDefault="00D537A9" w:rsidP="00D537A9"/>
    <w:p w:rsidR="00D537A9" w:rsidRPr="00AD332A" w:rsidRDefault="00D537A9" w:rsidP="00D537A9"/>
    <w:p w:rsidR="00D537A9" w:rsidRPr="002A76AA" w:rsidRDefault="00D537A9" w:rsidP="00D537A9">
      <w:pPr>
        <w:jc w:val="left"/>
        <w:outlineLvl w:val="0"/>
        <w:rPr>
          <w:b/>
          <w:szCs w:val="26"/>
        </w:rPr>
      </w:pPr>
      <w:r w:rsidRPr="002A76AA">
        <w:rPr>
          <w:b/>
          <w:szCs w:val="26"/>
        </w:rPr>
        <w:t xml:space="preserve">Bills introduced with standing appropriation clauses in the 43rd Parliament </w:t>
      </w:r>
      <w:r>
        <w:rPr>
          <w:b/>
          <w:szCs w:val="26"/>
        </w:rPr>
        <w:t>since</w:t>
      </w:r>
      <w:r w:rsidRPr="002A76AA">
        <w:rPr>
          <w:b/>
          <w:szCs w:val="26"/>
        </w:rPr>
        <w:t xml:space="preserve"> the previous </w:t>
      </w:r>
      <w:r w:rsidRPr="002A76AA">
        <w:rPr>
          <w:b/>
          <w:i/>
          <w:szCs w:val="26"/>
        </w:rPr>
        <w:t>Alert Digest</w:t>
      </w:r>
    </w:p>
    <w:p w:rsidR="00D537A9" w:rsidRDefault="00D537A9" w:rsidP="00D537A9">
      <w:pPr>
        <w:rPr>
          <w:sz w:val="24"/>
          <w:szCs w:val="24"/>
        </w:rPr>
      </w:pPr>
    </w:p>
    <w:p w:rsidR="00D537A9" w:rsidRDefault="00D537A9" w:rsidP="00D537A9">
      <w:r>
        <w:tab/>
        <w:t>Nil</w:t>
      </w:r>
    </w:p>
    <w:p w:rsidR="00D537A9" w:rsidRDefault="00D537A9" w:rsidP="00D537A9"/>
    <w:p w:rsidR="00D537A9" w:rsidRPr="00FE269E" w:rsidRDefault="00D537A9" w:rsidP="00D537A9">
      <w:pPr>
        <w:rPr>
          <w:b/>
        </w:rPr>
      </w:pPr>
      <w:r w:rsidRPr="00FE269E">
        <w:rPr>
          <w:b/>
        </w:rPr>
        <w:t>Other relevant appropriation clauses in bills</w:t>
      </w:r>
    </w:p>
    <w:p w:rsidR="00D537A9" w:rsidRDefault="00D537A9" w:rsidP="00D537A9"/>
    <w:p w:rsidR="00D537A9" w:rsidRDefault="00D537A9" w:rsidP="00D537A9">
      <w:r>
        <w:tab/>
        <w:t>Nil</w:t>
      </w:r>
    </w:p>
    <w:p w:rsidR="00D537A9" w:rsidRDefault="00D537A9" w:rsidP="00D537A9"/>
    <w:p w:rsidR="007469BF" w:rsidRDefault="007469BF" w:rsidP="00D537A9">
      <w:pPr>
        <w:tabs>
          <w:tab w:val="left" w:pos="426"/>
          <w:tab w:val="left" w:pos="1134"/>
          <w:tab w:val="left" w:pos="1701"/>
        </w:tabs>
        <w:spacing w:after="180" w:line="240" w:lineRule="auto"/>
      </w:pPr>
    </w:p>
    <w:sectPr w:rsidR="007469BF" w:rsidSect="00A178C2">
      <w:pgSz w:w="11906" w:h="16838"/>
      <w:pgMar w:top="1701" w:right="1701" w:bottom="1701" w:left="1843" w:header="720" w:footer="720" w:gutter="170"/>
      <w:pgNumType w:start="1"/>
      <w:cols w:space="720"/>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1D6" w:rsidRDefault="000E31D6">
      <w:pPr>
        <w:spacing w:line="240" w:lineRule="auto"/>
      </w:pPr>
      <w:r>
        <w:separator/>
      </w:r>
    </w:p>
  </w:endnote>
  <w:endnote w:type="continuationSeparator" w:id="0">
    <w:p w:rsidR="000E31D6" w:rsidRDefault="000E31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7A9" w:rsidRDefault="00D537A9" w:rsidP="00D537A9">
    <w:pPr>
      <w:numPr>
        <w:ilvl w:val="0"/>
        <w:numId w:val="26"/>
      </w:numPr>
      <w:spacing w:line="240" w:lineRule="auto"/>
      <w:jc w:val="center"/>
      <w:rPr>
        <w:b/>
        <w:sz w:val="22"/>
      </w:rPr>
    </w:pPr>
    <w:r>
      <w:rPr>
        <w:b/>
        <w:sz w:val="22"/>
      </w:rPr>
      <w:t>The Committee has commented on these bills</w:t>
    </w:r>
  </w:p>
  <w:p w:rsidR="00D537A9" w:rsidRDefault="00D537A9" w:rsidP="00A13C47">
    <w:pPr>
      <w:spacing w:line="240" w:lineRule="auto"/>
      <w:jc w:val="center"/>
    </w:pPr>
  </w:p>
  <w:p w:rsidR="00D537A9" w:rsidRDefault="00D537A9" w:rsidP="00A13C47">
    <w:pPr>
      <w:spacing w:line="240" w:lineRule="auto"/>
      <w:jc w:val="center"/>
      <w:rPr>
        <w:sz w:val="22"/>
      </w:rPr>
    </w:pPr>
    <w:r>
      <w:rPr>
        <w:sz w:val="22"/>
      </w:rPr>
      <w:t>This Digest is circulated to all Honourable Senators.</w:t>
    </w:r>
  </w:p>
  <w:p w:rsidR="00D537A9" w:rsidRDefault="00D537A9" w:rsidP="00A13C47">
    <w:pPr>
      <w:spacing w:line="240" w:lineRule="auto"/>
      <w:jc w:val="center"/>
      <w:rPr>
        <w:sz w:val="22"/>
      </w:rPr>
    </w:pPr>
    <w:r>
      <w:rPr>
        <w:sz w:val="22"/>
      </w:rPr>
      <w:t>Any Senator who wishes to draw matters to the attention of the</w:t>
    </w:r>
  </w:p>
  <w:p w:rsidR="00D537A9" w:rsidRDefault="00D537A9" w:rsidP="00A13C47">
    <w:pPr>
      <w:spacing w:line="240" w:lineRule="auto"/>
      <w:jc w:val="center"/>
      <w:rPr>
        <w:sz w:val="22"/>
      </w:rPr>
    </w:pPr>
    <w:r>
      <w:rPr>
        <w:sz w:val="22"/>
      </w:rPr>
      <w:t>Committee under its terms of reference is invited to do so.</w:t>
    </w:r>
  </w:p>
  <w:p w:rsidR="00D537A9" w:rsidRDefault="00D537A9" w:rsidP="00A13C47">
    <w:pPr>
      <w:pStyle w:val="Footer"/>
      <w:tabs>
        <w:tab w:val="left" w:pos="7371"/>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7A9" w:rsidRDefault="00D537A9" w:rsidP="00D537A9">
    <w:pPr>
      <w:numPr>
        <w:ilvl w:val="0"/>
        <w:numId w:val="26"/>
      </w:numPr>
      <w:spacing w:line="240" w:lineRule="auto"/>
      <w:jc w:val="center"/>
      <w:rPr>
        <w:b/>
        <w:sz w:val="22"/>
      </w:rPr>
    </w:pPr>
    <w:r>
      <w:rPr>
        <w:b/>
        <w:sz w:val="22"/>
      </w:rPr>
      <w:t>The Committee has commented on these bills</w:t>
    </w:r>
  </w:p>
  <w:p w:rsidR="00D537A9" w:rsidRDefault="00D537A9" w:rsidP="004734F3">
    <w:pPr>
      <w:spacing w:line="240" w:lineRule="auto"/>
      <w:jc w:val="center"/>
    </w:pPr>
  </w:p>
  <w:p w:rsidR="00D537A9" w:rsidRDefault="00D537A9" w:rsidP="004734F3">
    <w:pPr>
      <w:spacing w:line="240" w:lineRule="auto"/>
      <w:jc w:val="center"/>
      <w:rPr>
        <w:sz w:val="22"/>
      </w:rPr>
    </w:pPr>
    <w:r>
      <w:rPr>
        <w:sz w:val="22"/>
      </w:rPr>
      <w:t>This Digest is circulated to all Honourable Senators.</w:t>
    </w:r>
  </w:p>
  <w:p w:rsidR="00D537A9" w:rsidRDefault="00D537A9" w:rsidP="004734F3">
    <w:pPr>
      <w:spacing w:line="240" w:lineRule="auto"/>
      <w:jc w:val="center"/>
      <w:rPr>
        <w:sz w:val="22"/>
      </w:rPr>
    </w:pPr>
    <w:r>
      <w:rPr>
        <w:sz w:val="22"/>
      </w:rPr>
      <w:t>Any Senator who wishes to draw matters to the attention of the</w:t>
    </w:r>
  </w:p>
  <w:p w:rsidR="00D537A9" w:rsidRPr="004734F3" w:rsidRDefault="00D537A9" w:rsidP="004734F3">
    <w:pPr>
      <w:spacing w:line="240" w:lineRule="auto"/>
      <w:jc w:val="center"/>
      <w:rPr>
        <w:sz w:val="22"/>
      </w:rPr>
    </w:pPr>
    <w:r>
      <w:rPr>
        <w:sz w:val="22"/>
      </w:rPr>
      <w:t>Committee under its terms of reference is invited to do so.</w:t>
    </w:r>
  </w:p>
  <w:p w:rsidR="00D537A9" w:rsidRDefault="00D537A9">
    <w:pPr>
      <w:pStyle w:val="Footer"/>
      <w:jc w:val="center"/>
    </w:pPr>
    <w:fldSimple w:instr=" PAGE   \* MERGEFORMAT ">
      <w:r>
        <w:rPr>
          <w:noProof/>
        </w:rPr>
        <w:t>vii</w:t>
      </w:r>
    </w:fldSimple>
  </w:p>
  <w:p w:rsidR="00D537A9" w:rsidRDefault="00D537A9">
    <w:pPr>
      <w:pStyle w:val="Footer"/>
      <w:jc w:val="center"/>
      <w:rPr>
        <w:sz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CEC" w:rsidRDefault="00D537A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461CEC" w:rsidRDefault="00D537A9">
    <w:pPr>
      <w:pStyle w:val="Footer"/>
      <w:tabs>
        <w:tab w:val="left" w:pos="7371"/>
      </w:tabs>
      <w:ind w:right="360" w:firstLine="360"/>
      <w:jc w:val="center"/>
      <w:rPr>
        <w:sz w:val="22"/>
      </w:rPr>
    </w:pPr>
    <w:r>
      <w:rPr>
        <w:sz w:val="22"/>
      </w:rPr>
      <w:t>Any Senator who wishes to draw matters to the attention of the</w:t>
    </w:r>
  </w:p>
  <w:p w:rsidR="00461CEC" w:rsidRDefault="00D537A9">
    <w:pPr>
      <w:pStyle w:val="Footer"/>
      <w:jc w:val="center"/>
    </w:pPr>
    <w:r>
      <w:rPr>
        <w:sz w:val="22"/>
      </w:rPr>
      <w:t>Committee under its terms of reference is invited to do so.</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CEC" w:rsidRDefault="00D537A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461CEC" w:rsidRDefault="00D537A9">
    <w:pPr>
      <w:pStyle w:val="Footer"/>
      <w:tabs>
        <w:tab w:val="left" w:pos="7371"/>
      </w:tabs>
      <w:ind w:right="360" w:firstLine="360"/>
      <w:jc w:val="center"/>
      <w:rPr>
        <w:sz w:val="22"/>
      </w:rPr>
    </w:pPr>
    <w:r>
      <w:rPr>
        <w:sz w:val="22"/>
      </w:rPr>
      <w:t xml:space="preserve">Any Senator who wishes to draw matters to the </w:t>
    </w:r>
    <w:r>
      <w:rPr>
        <w:sz w:val="22"/>
      </w:rPr>
      <w:t>attention of the</w:t>
    </w:r>
  </w:p>
  <w:p w:rsidR="00461CEC" w:rsidRDefault="00D537A9">
    <w:pPr>
      <w:pStyle w:val="Footer"/>
      <w:jc w:val="center"/>
      <w:rPr>
        <w:sz w:val="22"/>
      </w:rPr>
    </w:pPr>
    <w:r>
      <w:rPr>
        <w:sz w:val="22"/>
      </w:rPr>
      <w:t>Committee under its terms of reference is invited to do so.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1D6" w:rsidRDefault="000E31D6">
      <w:pPr>
        <w:spacing w:line="240" w:lineRule="auto"/>
      </w:pPr>
      <w:r>
        <w:separator/>
      </w:r>
    </w:p>
  </w:footnote>
  <w:footnote w:type="continuationSeparator" w:id="0">
    <w:p w:rsidR="000E31D6" w:rsidRDefault="000E31D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7A9" w:rsidRDefault="00D537A9" w:rsidP="008E7CC4">
    <w:pPr>
      <w:pStyle w:val="Header"/>
      <w:pBdr>
        <w:bottom w:val="single" w:sz="4"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CEC" w:rsidRDefault="00D537A9">
    <w:pPr>
      <w:pStyle w:val="Header"/>
      <w:pBdr>
        <w:bottom w:val="single" w:sz="4" w:space="1" w:color="auto"/>
      </w:pBdr>
      <w:rPr>
        <w:b/>
      </w:rPr>
    </w:pPr>
    <w:r>
      <w:rPr>
        <w:b/>
      </w:rPr>
      <w:t>Alert Digest 3/12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CEC" w:rsidRDefault="00D537A9">
    <w:pPr>
      <w:pStyle w:val="Header"/>
      <w:pBdr>
        <w:bottom w:val="single" w:sz="4" w:space="1" w:color="auto"/>
      </w:pBdr>
      <w:jc w:val="right"/>
      <w:rPr>
        <w:b/>
      </w:rPr>
    </w:pPr>
    <w:r>
      <w:rPr>
        <w:b/>
      </w:rPr>
      <w:t>Alert Digest 3/12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08D"/>
    <w:multiLevelType w:val="singleLevel"/>
    <w:tmpl w:val="5C3A7AD4"/>
    <w:lvl w:ilvl="0">
      <w:start w:val="1"/>
      <w:numFmt w:val="bullet"/>
      <w:pStyle w:val="B2"/>
      <w:lvlText w:val=""/>
      <w:lvlJc w:val="left"/>
      <w:pPr>
        <w:tabs>
          <w:tab w:val="num" w:pos="510"/>
        </w:tabs>
        <w:ind w:left="510" w:hanging="510"/>
      </w:pPr>
      <w:rPr>
        <w:rFonts w:ascii="Symbol" w:hAnsi="Symbol" w:hint="default"/>
        <w:sz w:val="20"/>
        <w:szCs w:val="20"/>
      </w:rPr>
    </w:lvl>
  </w:abstractNum>
  <w:abstractNum w:abstractNumId="1">
    <w:nsid w:val="07B31926"/>
    <w:multiLevelType w:val="singleLevel"/>
    <w:tmpl w:val="459E477C"/>
    <w:lvl w:ilvl="0">
      <w:start w:val="1"/>
      <w:numFmt w:val="bullet"/>
      <w:lvlText w:val=""/>
      <w:lvlJc w:val="left"/>
      <w:pPr>
        <w:tabs>
          <w:tab w:val="num" w:pos="360"/>
        </w:tabs>
        <w:ind w:left="360" w:hanging="360"/>
      </w:pPr>
      <w:rPr>
        <w:rFonts w:ascii="Symbol" w:hAnsi="Symbol" w:hint="default"/>
        <w:sz w:val="16"/>
      </w:rPr>
    </w:lvl>
  </w:abstractNum>
  <w:abstractNum w:abstractNumId="2">
    <w:nsid w:val="086E1443"/>
    <w:multiLevelType w:val="singleLevel"/>
    <w:tmpl w:val="FA72A07A"/>
    <w:lvl w:ilvl="0">
      <w:start w:val="1"/>
      <w:numFmt w:val="bullet"/>
      <w:lvlText w:val=""/>
      <w:lvlJc w:val="left"/>
      <w:pPr>
        <w:tabs>
          <w:tab w:val="num" w:pos="397"/>
        </w:tabs>
        <w:ind w:left="397" w:hanging="397"/>
      </w:pPr>
      <w:rPr>
        <w:rFonts w:ascii="Symbol" w:hAnsi="Symbol" w:hint="default"/>
        <w:sz w:val="26"/>
      </w:rPr>
    </w:lvl>
  </w:abstractNum>
  <w:abstractNum w:abstractNumId="3">
    <w:nsid w:val="09D55CEA"/>
    <w:multiLevelType w:val="singleLevel"/>
    <w:tmpl w:val="A0E4D990"/>
    <w:lvl w:ilvl="0">
      <w:start w:val="1"/>
      <w:numFmt w:val="bullet"/>
      <w:lvlText w:val=""/>
      <w:lvlJc w:val="left"/>
      <w:pPr>
        <w:tabs>
          <w:tab w:val="num" w:pos="360"/>
        </w:tabs>
        <w:ind w:left="360" w:hanging="360"/>
      </w:pPr>
      <w:rPr>
        <w:rFonts w:ascii="Symbol" w:hAnsi="Symbol" w:hint="default"/>
        <w:sz w:val="16"/>
      </w:rPr>
    </w:lvl>
  </w:abstractNum>
  <w:abstractNum w:abstractNumId="4">
    <w:nsid w:val="16515CF8"/>
    <w:multiLevelType w:val="singleLevel"/>
    <w:tmpl w:val="951249CA"/>
    <w:lvl w:ilvl="0">
      <w:start w:val="1"/>
      <w:numFmt w:val="bullet"/>
      <w:lvlText w:val=""/>
      <w:lvlJc w:val="left"/>
      <w:pPr>
        <w:tabs>
          <w:tab w:val="num" w:pos="510"/>
        </w:tabs>
        <w:ind w:left="510" w:hanging="510"/>
      </w:pPr>
      <w:rPr>
        <w:rFonts w:ascii="Symbol" w:hAnsi="Symbol" w:hint="default"/>
        <w:sz w:val="26"/>
      </w:rPr>
    </w:lvl>
  </w:abstractNum>
  <w:abstractNum w:abstractNumId="5">
    <w:nsid w:val="16CB22A1"/>
    <w:multiLevelType w:val="singleLevel"/>
    <w:tmpl w:val="B47C8A46"/>
    <w:lvl w:ilvl="0">
      <w:start w:val="1"/>
      <w:numFmt w:val="bullet"/>
      <w:lvlText w:val=""/>
      <w:lvlJc w:val="left"/>
      <w:pPr>
        <w:tabs>
          <w:tab w:val="num" w:pos="510"/>
        </w:tabs>
        <w:ind w:left="510" w:hanging="510"/>
      </w:pPr>
      <w:rPr>
        <w:rFonts w:ascii="Symbol" w:hAnsi="Symbol" w:hint="default"/>
        <w:sz w:val="16"/>
      </w:rPr>
    </w:lvl>
  </w:abstractNum>
  <w:abstractNum w:abstractNumId="6">
    <w:nsid w:val="1EFD0CAC"/>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7">
    <w:nsid w:val="22A8415E"/>
    <w:multiLevelType w:val="singleLevel"/>
    <w:tmpl w:val="07242A26"/>
    <w:lvl w:ilvl="0">
      <w:start w:val="1"/>
      <w:numFmt w:val="bullet"/>
      <w:pStyle w:val="Bull1"/>
      <w:lvlText w:val=""/>
      <w:lvlJc w:val="left"/>
      <w:pPr>
        <w:tabs>
          <w:tab w:val="num" w:pos="397"/>
        </w:tabs>
        <w:ind w:left="397" w:hanging="397"/>
      </w:pPr>
      <w:rPr>
        <w:rFonts w:ascii="Symbol" w:hAnsi="Symbol" w:hint="default"/>
        <w:sz w:val="26"/>
      </w:rPr>
    </w:lvl>
  </w:abstractNum>
  <w:abstractNum w:abstractNumId="8">
    <w:nsid w:val="2530556A"/>
    <w:multiLevelType w:val="hybridMultilevel"/>
    <w:tmpl w:val="6D84FFB6"/>
    <w:lvl w:ilvl="0" w:tplc="99F27244">
      <w:start w:val="1"/>
      <w:numFmt w:val="bullet"/>
      <w:pStyle w:val="TOCBullet"/>
      <w:lvlText w:val=""/>
      <w:lvlJc w:val="left"/>
      <w:pPr>
        <w:ind w:left="1230" w:hanging="360"/>
      </w:pPr>
      <w:rPr>
        <w:rFonts w:ascii="Symbol" w:hAnsi="Symbol" w:hint="default"/>
      </w:rPr>
    </w:lvl>
    <w:lvl w:ilvl="1" w:tplc="0C090003" w:tentative="1">
      <w:start w:val="1"/>
      <w:numFmt w:val="bullet"/>
      <w:lvlText w:val="o"/>
      <w:lvlJc w:val="left"/>
      <w:pPr>
        <w:ind w:left="1950" w:hanging="360"/>
      </w:pPr>
      <w:rPr>
        <w:rFonts w:ascii="Courier New" w:hAnsi="Courier New" w:cs="Courier New" w:hint="default"/>
      </w:rPr>
    </w:lvl>
    <w:lvl w:ilvl="2" w:tplc="0C090005" w:tentative="1">
      <w:start w:val="1"/>
      <w:numFmt w:val="bullet"/>
      <w:lvlText w:val=""/>
      <w:lvlJc w:val="left"/>
      <w:pPr>
        <w:ind w:left="2670" w:hanging="360"/>
      </w:pPr>
      <w:rPr>
        <w:rFonts w:ascii="Wingdings" w:hAnsi="Wingdings" w:hint="default"/>
      </w:rPr>
    </w:lvl>
    <w:lvl w:ilvl="3" w:tplc="0C090001" w:tentative="1">
      <w:start w:val="1"/>
      <w:numFmt w:val="bullet"/>
      <w:lvlText w:val=""/>
      <w:lvlJc w:val="left"/>
      <w:pPr>
        <w:ind w:left="3390" w:hanging="360"/>
      </w:pPr>
      <w:rPr>
        <w:rFonts w:ascii="Symbol" w:hAnsi="Symbol" w:hint="default"/>
      </w:rPr>
    </w:lvl>
    <w:lvl w:ilvl="4" w:tplc="0C090003" w:tentative="1">
      <w:start w:val="1"/>
      <w:numFmt w:val="bullet"/>
      <w:lvlText w:val="o"/>
      <w:lvlJc w:val="left"/>
      <w:pPr>
        <w:ind w:left="4110" w:hanging="360"/>
      </w:pPr>
      <w:rPr>
        <w:rFonts w:ascii="Courier New" w:hAnsi="Courier New" w:cs="Courier New" w:hint="default"/>
      </w:rPr>
    </w:lvl>
    <w:lvl w:ilvl="5" w:tplc="0C090005" w:tentative="1">
      <w:start w:val="1"/>
      <w:numFmt w:val="bullet"/>
      <w:lvlText w:val=""/>
      <w:lvlJc w:val="left"/>
      <w:pPr>
        <w:ind w:left="4830" w:hanging="360"/>
      </w:pPr>
      <w:rPr>
        <w:rFonts w:ascii="Wingdings" w:hAnsi="Wingdings" w:hint="default"/>
      </w:rPr>
    </w:lvl>
    <w:lvl w:ilvl="6" w:tplc="0C090001" w:tentative="1">
      <w:start w:val="1"/>
      <w:numFmt w:val="bullet"/>
      <w:lvlText w:val=""/>
      <w:lvlJc w:val="left"/>
      <w:pPr>
        <w:ind w:left="5550" w:hanging="360"/>
      </w:pPr>
      <w:rPr>
        <w:rFonts w:ascii="Symbol" w:hAnsi="Symbol" w:hint="default"/>
      </w:rPr>
    </w:lvl>
    <w:lvl w:ilvl="7" w:tplc="0C090003" w:tentative="1">
      <w:start w:val="1"/>
      <w:numFmt w:val="bullet"/>
      <w:lvlText w:val="o"/>
      <w:lvlJc w:val="left"/>
      <w:pPr>
        <w:ind w:left="6270" w:hanging="360"/>
      </w:pPr>
      <w:rPr>
        <w:rFonts w:ascii="Courier New" w:hAnsi="Courier New" w:cs="Courier New" w:hint="default"/>
      </w:rPr>
    </w:lvl>
    <w:lvl w:ilvl="8" w:tplc="0C090005" w:tentative="1">
      <w:start w:val="1"/>
      <w:numFmt w:val="bullet"/>
      <w:lvlText w:val=""/>
      <w:lvlJc w:val="left"/>
      <w:pPr>
        <w:ind w:left="6990" w:hanging="360"/>
      </w:pPr>
      <w:rPr>
        <w:rFonts w:ascii="Wingdings" w:hAnsi="Wingdings" w:hint="default"/>
      </w:rPr>
    </w:lvl>
  </w:abstractNum>
  <w:abstractNum w:abstractNumId="9">
    <w:nsid w:val="27E81B92"/>
    <w:multiLevelType w:val="singleLevel"/>
    <w:tmpl w:val="F14E0332"/>
    <w:lvl w:ilvl="0">
      <w:start w:val="1"/>
      <w:numFmt w:val="bullet"/>
      <w:lvlText w:val=""/>
      <w:lvlJc w:val="left"/>
      <w:pPr>
        <w:tabs>
          <w:tab w:val="num" w:pos="510"/>
        </w:tabs>
        <w:ind w:left="510" w:hanging="510"/>
      </w:pPr>
      <w:rPr>
        <w:rFonts w:ascii="Symbol" w:hAnsi="Symbol" w:hint="default"/>
        <w:sz w:val="16"/>
      </w:rPr>
    </w:lvl>
  </w:abstractNum>
  <w:abstractNum w:abstractNumId="10">
    <w:nsid w:val="2C796A77"/>
    <w:multiLevelType w:val="singleLevel"/>
    <w:tmpl w:val="C3FE61A4"/>
    <w:lvl w:ilvl="0">
      <w:start w:val="1"/>
      <w:numFmt w:val="bullet"/>
      <w:lvlText w:val=""/>
      <w:lvlJc w:val="left"/>
      <w:pPr>
        <w:tabs>
          <w:tab w:val="num" w:pos="510"/>
        </w:tabs>
        <w:ind w:left="510" w:hanging="510"/>
      </w:pPr>
      <w:rPr>
        <w:rFonts w:ascii="Symbol" w:hAnsi="Symbol" w:hint="default"/>
        <w:sz w:val="16"/>
      </w:rPr>
    </w:lvl>
  </w:abstractNum>
  <w:abstractNum w:abstractNumId="11">
    <w:nsid w:val="2CA907E0"/>
    <w:multiLevelType w:val="singleLevel"/>
    <w:tmpl w:val="5F3E51CA"/>
    <w:lvl w:ilvl="0">
      <w:start w:val="1"/>
      <w:numFmt w:val="bullet"/>
      <w:pStyle w:val="B1"/>
      <w:lvlText w:val=""/>
      <w:lvlJc w:val="left"/>
      <w:pPr>
        <w:tabs>
          <w:tab w:val="num" w:pos="510"/>
        </w:tabs>
        <w:ind w:left="510" w:hanging="510"/>
      </w:pPr>
      <w:rPr>
        <w:rFonts w:ascii="Symbol" w:hAnsi="Symbol" w:hint="default"/>
        <w:sz w:val="20"/>
        <w:szCs w:val="20"/>
      </w:rPr>
    </w:lvl>
  </w:abstractNum>
  <w:abstractNum w:abstractNumId="12">
    <w:nsid w:val="2D2C2CF9"/>
    <w:multiLevelType w:val="singleLevel"/>
    <w:tmpl w:val="62E67892"/>
    <w:lvl w:ilvl="0">
      <w:start w:val="1"/>
      <w:numFmt w:val="bullet"/>
      <w:lvlText w:val=""/>
      <w:lvlJc w:val="left"/>
      <w:pPr>
        <w:tabs>
          <w:tab w:val="num" w:pos="510"/>
        </w:tabs>
        <w:ind w:left="510" w:hanging="510"/>
      </w:pPr>
      <w:rPr>
        <w:rFonts w:ascii="Symbol" w:hAnsi="Symbol" w:hint="default"/>
        <w:sz w:val="16"/>
      </w:rPr>
    </w:lvl>
  </w:abstractNum>
  <w:abstractNum w:abstractNumId="13">
    <w:nsid w:val="35B63BA9"/>
    <w:multiLevelType w:val="singleLevel"/>
    <w:tmpl w:val="09BA8D20"/>
    <w:lvl w:ilvl="0">
      <w:start w:val="1"/>
      <w:numFmt w:val="bullet"/>
      <w:lvlText w:val=""/>
      <w:lvlJc w:val="left"/>
      <w:pPr>
        <w:tabs>
          <w:tab w:val="num" w:pos="360"/>
        </w:tabs>
        <w:ind w:left="357" w:hanging="357"/>
      </w:pPr>
      <w:rPr>
        <w:rFonts w:ascii="Symbol" w:hAnsi="Symbol" w:hint="default"/>
        <w:sz w:val="26"/>
      </w:rPr>
    </w:lvl>
  </w:abstractNum>
  <w:abstractNum w:abstractNumId="14">
    <w:nsid w:val="3B9B6FC9"/>
    <w:multiLevelType w:val="singleLevel"/>
    <w:tmpl w:val="E6480B14"/>
    <w:lvl w:ilvl="0">
      <w:start w:val="1"/>
      <w:numFmt w:val="bullet"/>
      <w:lvlText w:val=""/>
      <w:lvlJc w:val="left"/>
      <w:pPr>
        <w:tabs>
          <w:tab w:val="num" w:pos="510"/>
        </w:tabs>
        <w:ind w:left="510" w:hanging="510"/>
      </w:pPr>
      <w:rPr>
        <w:rFonts w:ascii="Symbol" w:hAnsi="Symbol" w:hint="default"/>
        <w:sz w:val="26"/>
      </w:rPr>
    </w:lvl>
  </w:abstractNum>
  <w:abstractNum w:abstractNumId="15">
    <w:nsid w:val="3BC538D8"/>
    <w:multiLevelType w:val="singleLevel"/>
    <w:tmpl w:val="DC041F66"/>
    <w:lvl w:ilvl="0">
      <w:start w:val="1"/>
      <w:numFmt w:val="lowerRoman"/>
      <w:lvlText w:val="(%1)"/>
      <w:lvlJc w:val="left"/>
      <w:pPr>
        <w:tabs>
          <w:tab w:val="num" w:pos="1290"/>
        </w:tabs>
        <w:ind w:left="1290" w:hanging="720"/>
      </w:pPr>
      <w:rPr>
        <w:rFonts w:hint="default"/>
      </w:rPr>
    </w:lvl>
  </w:abstractNum>
  <w:abstractNum w:abstractNumId="16">
    <w:nsid w:val="3D912DCA"/>
    <w:multiLevelType w:val="singleLevel"/>
    <w:tmpl w:val="B5FC23BE"/>
    <w:lvl w:ilvl="0">
      <w:start w:val="1"/>
      <w:numFmt w:val="bullet"/>
      <w:lvlText w:val=""/>
      <w:lvlJc w:val="left"/>
      <w:pPr>
        <w:tabs>
          <w:tab w:val="num" w:pos="510"/>
        </w:tabs>
        <w:ind w:left="510" w:hanging="510"/>
      </w:pPr>
      <w:rPr>
        <w:rFonts w:ascii="Symbol" w:hAnsi="Symbol" w:hint="default"/>
        <w:sz w:val="16"/>
      </w:rPr>
    </w:lvl>
  </w:abstractNum>
  <w:abstractNum w:abstractNumId="17">
    <w:nsid w:val="42654DC3"/>
    <w:multiLevelType w:val="hybridMultilevel"/>
    <w:tmpl w:val="643A6B66"/>
    <w:lvl w:ilvl="0" w:tplc="8EACDBA4">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18">
    <w:nsid w:val="42DC386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19">
    <w:nsid w:val="54EE71B1"/>
    <w:multiLevelType w:val="singleLevel"/>
    <w:tmpl w:val="77D8006C"/>
    <w:lvl w:ilvl="0">
      <w:start w:val="1"/>
      <w:numFmt w:val="bullet"/>
      <w:lvlText w:val=""/>
      <w:lvlJc w:val="left"/>
      <w:pPr>
        <w:tabs>
          <w:tab w:val="num" w:pos="510"/>
        </w:tabs>
        <w:ind w:left="510" w:hanging="510"/>
      </w:pPr>
      <w:rPr>
        <w:rFonts w:ascii="Symbol" w:hAnsi="Symbol" w:hint="default"/>
        <w:sz w:val="16"/>
      </w:rPr>
    </w:lvl>
  </w:abstractNum>
  <w:abstractNum w:abstractNumId="20">
    <w:nsid w:val="56FD645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1">
    <w:nsid w:val="5A4A05D7"/>
    <w:multiLevelType w:val="singleLevel"/>
    <w:tmpl w:val="6AAA59B6"/>
    <w:lvl w:ilvl="0">
      <w:start w:val="1"/>
      <w:numFmt w:val="bullet"/>
      <w:lvlText w:val=""/>
      <w:lvlJc w:val="left"/>
      <w:pPr>
        <w:tabs>
          <w:tab w:val="num" w:pos="510"/>
        </w:tabs>
        <w:ind w:left="510" w:hanging="510"/>
      </w:pPr>
      <w:rPr>
        <w:rFonts w:ascii="Symbol" w:hAnsi="Symbol" w:hint="default"/>
        <w:sz w:val="16"/>
      </w:rPr>
    </w:lvl>
  </w:abstractNum>
  <w:abstractNum w:abstractNumId="22">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23">
    <w:nsid w:val="5C48019B"/>
    <w:multiLevelType w:val="hybridMultilevel"/>
    <w:tmpl w:val="C114989A"/>
    <w:lvl w:ilvl="0" w:tplc="77542FC4">
      <w:start w:val="4"/>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5CB00DDB"/>
    <w:multiLevelType w:val="singleLevel"/>
    <w:tmpl w:val="D874883A"/>
    <w:lvl w:ilvl="0">
      <w:start w:val="1"/>
      <w:numFmt w:val="bullet"/>
      <w:lvlText w:val=""/>
      <w:lvlJc w:val="left"/>
      <w:pPr>
        <w:tabs>
          <w:tab w:val="num" w:pos="360"/>
        </w:tabs>
        <w:ind w:left="357" w:hanging="357"/>
      </w:pPr>
      <w:rPr>
        <w:rFonts w:ascii="Symbol" w:hAnsi="Symbol" w:hint="default"/>
        <w:sz w:val="16"/>
      </w:rPr>
    </w:lvl>
  </w:abstractNum>
  <w:abstractNum w:abstractNumId="25">
    <w:nsid w:val="5E1D4AD9"/>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6">
    <w:nsid w:val="647519F7"/>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7">
    <w:nsid w:val="68CF18A3"/>
    <w:multiLevelType w:val="singleLevel"/>
    <w:tmpl w:val="34809E7E"/>
    <w:lvl w:ilvl="0">
      <w:start w:val="1"/>
      <w:numFmt w:val="bullet"/>
      <w:lvlText w:val=""/>
      <w:lvlJc w:val="left"/>
      <w:pPr>
        <w:tabs>
          <w:tab w:val="num" w:pos="510"/>
        </w:tabs>
        <w:ind w:left="510" w:hanging="510"/>
      </w:pPr>
      <w:rPr>
        <w:rFonts w:ascii="Symbol" w:hAnsi="Symbol" w:hint="default"/>
        <w:sz w:val="26"/>
      </w:rPr>
    </w:lvl>
  </w:abstractNum>
  <w:abstractNum w:abstractNumId="28">
    <w:nsid w:val="72834973"/>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9">
    <w:nsid w:val="73B8284F"/>
    <w:multiLevelType w:val="singleLevel"/>
    <w:tmpl w:val="CCA20EE0"/>
    <w:lvl w:ilvl="0">
      <w:start w:val="1"/>
      <w:numFmt w:val="bullet"/>
      <w:lvlText w:val=""/>
      <w:lvlJc w:val="left"/>
      <w:pPr>
        <w:tabs>
          <w:tab w:val="num" w:pos="510"/>
        </w:tabs>
        <w:ind w:left="510" w:hanging="510"/>
      </w:pPr>
      <w:rPr>
        <w:rFonts w:ascii="Symbol" w:hAnsi="Symbol" w:hint="default"/>
        <w:sz w:val="26"/>
      </w:rPr>
    </w:lvl>
  </w:abstractNum>
  <w:abstractNum w:abstractNumId="30">
    <w:nsid w:val="78D00691"/>
    <w:multiLevelType w:val="singleLevel"/>
    <w:tmpl w:val="7E12EC54"/>
    <w:lvl w:ilvl="0">
      <w:start w:val="1"/>
      <w:numFmt w:val="bullet"/>
      <w:lvlText w:val=""/>
      <w:lvlJc w:val="left"/>
      <w:pPr>
        <w:tabs>
          <w:tab w:val="num" w:pos="360"/>
        </w:tabs>
        <w:ind w:left="340" w:hanging="340"/>
      </w:pPr>
      <w:rPr>
        <w:rFonts w:ascii="Symbol" w:hAnsi="Symbol" w:hint="default"/>
        <w:sz w:val="26"/>
      </w:rPr>
    </w:lvl>
  </w:abstractNum>
  <w:abstractNum w:abstractNumId="31">
    <w:nsid w:val="7E846DE3"/>
    <w:multiLevelType w:val="singleLevel"/>
    <w:tmpl w:val="F3187A5E"/>
    <w:lvl w:ilvl="0">
      <w:start w:val="1"/>
      <w:numFmt w:val="bullet"/>
      <w:lvlText w:val=""/>
      <w:lvlJc w:val="left"/>
      <w:pPr>
        <w:tabs>
          <w:tab w:val="num" w:pos="510"/>
        </w:tabs>
        <w:ind w:left="510" w:hanging="510"/>
      </w:pPr>
      <w:rPr>
        <w:rFonts w:ascii="Symbol" w:hAnsi="Symbol" w:hint="default"/>
        <w:sz w:val="22"/>
      </w:rPr>
    </w:lvl>
  </w:abstractNum>
  <w:num w:numId="1">
    <w:abstractNumId w:val="15"/>
  </w:num>
  <w:num w:numId="2">
    <w:abstractNumId w:val="13"/>
  </w:num>
  <w:num w:numId="3">
    <w:abstractNumId w:val="18"/>
  </w:num>
  <w:num w:numId="4">
    <w:abstractNumId w:val="20"/>
  </w:num>
  <w:num w:numId="5">
    <w:abstractNumId w:val="25"/>
  </w:num>
  <w:num w:numId="6">
    <w:abstractNumId w:val="1"/>
  </w:num>
  <w:num w:numId="7">
    <w:abstractNumId w:val="28"/>
  </w:num>
  <w:num w:numId="8">
    <w:abstractNumId w:val="14"/>
  </w:num>
  <w:num w:numId="9">
    <w:abstractNumId w:val="5"/>
  </w:num>
  <w:num w:numId="10">
    <w:abstractNumId w:val="6"/>
  </w:num>
  <w:num w:numId="11">
    <w:abstractNumId w:val="26"/>
  </w:num>
  <w:num w:numId="12">
    <w:abstractNumId w:val="3"/>
  </w:num>
  <w:num w:numId="13">
    <w:abstractNumId w:val="30"/>
  </w:num>
  <w:num w:numId="14">
    <w:abstractNumId w:val="27"/>
  </w:num>
  <w:num w:numId="15">
    <w:abstractNumId w:val="29"/>
  </w:num>
  <w:num w:numId="16">
    <w:abstractNumId w:val="4"/>
  </w:num>
  <w:num w:numId="17">
    <w:abstractNumId w:val="24"/>
  </w:num>
  <w:num w:numId="18">
    <w:abstractNumId w:val="11"/>
  </w:num>
  <w:num w:numId="19">
    <w:abstractNumId w:val="19"/>
  </w:num>
  <w:num w:numId="20">
    <w:abstractNumId w:val="16"/>
  </w:num>
  <w:num w:numId="21">
    <w:abstractNumId w:val="21"/>
  </w:num>
  <w:num w:numId="22">
    <w:abstractNumId w:val="10"/>
  </w:num>
  <w:num w:numId="23">
    <w:abstractNumId w:val="9"/>
  </w:num>
  <w:num w:numId="24">
    <w:abstractNumId w:val="12"/>
  </w:num>
  <w:num w:numId="25">
    <w:abstractNumId w:val="0"/>
  </w:num>
  <w:num w:numId="26">
    <w:abstractNumId w:val="31"/>
  </w:num>
  <w:num w:numId="27">
    <w:abstractNumId w:val="22"/>
  </w:num>
  <w:num w:numId="28">
    <w:abstractNumId w:val="2"/>
  </w:num>
  <w:num w:numId="29">
    <w:abstractNumId w:val="7"/>
  </w:num>
  <w:num w:numId="30">
    <w:abstractNumId w:val="11"/>
  </w:num>
  <w:num w:numId="31">
    <w:abstractNumId w:val="23"/>
  </w:num>
  <w:num w:numId="32">
    <w:abstractNumId w:val="11"/>
    <w:lvlOverride w:ilvl="0">
      <w:startOverride w:val="1"/>
    </w:lvlOverride>
  </w:num>
  <w:num w:numId="33">
    <w:abstractNumId w:val="17"/>
  </w:num>
  <w:num w:numId="3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linkStyles/>
  <w:stylePaneFormatFilter w:val="3F01"/>
  <w:defaultTabStop w:val="720"/>
  <w:evenAndOddHeaders/>
  <w:drawingGridHorizontalSpacing w:val="130"/>
  <w:drawingGridVerticalSpacing w:val="177"/>
  <w:displayHorizontalDrawingGridEvery w:val="0"/>
  <w:displayVerticalDrawingGridEvery w:val="2"/>
  <w:noPunctuationKerning/>
  <w:characterSpacingControl w:val="doNotCompress"/>
  <w:hdrShapeDefaults>
    <o:shapedefaults v:ext="edit" spidmax="71681"/>
  </w:hdrShapeDefaults>
  <w:footnotePr>
    <w:footnote w:id="-1"/>
    <w:footnote w:id="0"/>
  </w:footnotePr>
  <w:endnotePr>
    <w:endnote w:id="-1"/>
    <w:endnote w:id="0"/>
  </w:endnotePr>
  <w:compat/>
  <w:rsids>
    <w:rsidRoot w:val="00653094"/>
    <w:rsid w:val="00014FD3"/>
    <w:rsid w:val="000244F7"/>
    <w:rsid w:val="00071F55"/>
    <w:rsid w:val="000725D5"/>
    <w:rsid w:val="000E31D6"/>
    <w:rsid w:val="00100E04"/>
    <w:rsid w:val="00104D9B"/>
    <w:rsid w:val="0011503D"/>
    <w:rsid w:val="001238FD"/>
    <w:rsid w:val="001558D8"/>
    <w:rsid w:val="0017616D"/>
    <w:rsid w:val="00185537"/>
    <w:rsid w:val="001A3AFD"/>
    <w:rsid w:val="001A49D1"/>
    <w:rsid w:val="001C72DC"/>
    <w:rsid w:val="001F329A"/>
    <w:rsid w:val="00224B80"/>
    <w:rsid w:val="002310B6"/>
    <w:rsid w:val="00246C7D"/>
    <w:rsid w:val="00257B95"/>
    <w:rsid w:val="00260472"/>
    <w:rsid w:val="002635E3"/>
    <w:rsid w:val="00265821"/>
    <w:rsid w:val="00281F14"/>
    <w:rsid w:val="00287E88"/>
    <w:rsid w:val="002948F2"/>
    <w:rsid w:val="002A38FA"/>
    <w:rsid w:val="002A6286"/>
    <w:rsid w:val="002E3B2D"/>
    <w:rsid w:val="0034171B"/>
    <w:rsid w:val="00353A30"/>
    <w:rsid w:val="00357A07"/>
    <w:rsid w:val="003618A1"/>
    <w:rsid w:val="00365525"/>
    <w:rsid w:val="00374FCC"/>
    <w:rsid w:val="003805D1"/>
    <w:rsid w:val="003854D1"/>
    <w:rsid w:val="003A4F94"/>
    <w:rsid w:val="003B2DB9"/>
    <w:rsid w:val="003C5934"/>
    <w:rsid w:val="003C6D38"/>
    <w:rsid w:val="003E4113"/>
    <w:rsid w:val="003F1721"/>
    <w:rsid w:val="004102E0"/>
    <w:rsid w:val="00411B64"/>
    <w:rsid w:val="00427C68"/>
    <w:rsid w:val="00477288"/>
    <w:rsid w:val="004814C1"/>
    <w:rsid w:val="0048407F"/>
    <w:rsid w:val="00493BD4"/>
    <w:rsid w:val="004B07C4"/>
    <w:rsid w:val="004B2771"/>
    <w:rsid w:val="004D2084"/>
    <w:rsid w:val="004D4608"/>
    <w:rsid w:val="004E289B"/>
    <w:rsid w:val="00511AD6"/>
    <w:rsid w:val="00513460"/>
    <w:rsid w:val="0052379E"/>
    <w:rsid w:val="00527454"/>
    <w:rsid w:val="00537313"/>
    <w:rsid w:val="005659E4"/>
    <w:rsid w:val="005A2B38"/>
    <w:rsid w:val="005F1099"/>
    <w:rsid w:val="005F5EE3"/>
    <w:rsid w:val="00603CDB"/>
    <w:rsid w:val="00610700"/>
    <w:rsid w:val="00623449"/>
    <w:rsid w:val="00626349"/>
    <w:rsid w:val="00653094"/>
    <w:rsid w:val="0066197C"/>
    <w:rsid w:val="00667E39"/>
    <w:rsid w:val="006B1C85"/>
    <w:rsid w:val="006B4775"/>
    <w:rsid w:val="006E0D57"/>
    <w:rsid w:val="006E70EC"/>
    <w:rsid w:val="006F3BC1"/>
    <w:rsid w:val="00706C70"/>
    <w:rsid w:val="00714F86"/>
    <w:rsid w:val="0072495E"/>
    <w:rsid w:val="007326F8"/>
    <w:rsid w:val="0073289B"/>
    <w:rsid w:val="007469BF"/>
    <w:rsid w:val="00752447"/>
    <w:rsid w:val="0076328C"/>
    <w:rsid w:val="00766348"/>
    <w:rsid w:val="007723C0"/>
    <w:rsid w:val="007835A2"/>
    <w:rsid w:val="007838CB"/>
    <w:rsid w:val="007A0141"/>
    <w:rsid w:val="007B0408"/>
    <w:rsid w:val="007B2A4C"/>
    <w:rsid w:val="007B4EE6"/>
    <w:rsid w:val="007F7575"/>
    <w:rsid w:val="00830E0C"/>
    <w:rsid w:val="00831D2F"/>
    <w:rsid w:val="0085163F"/>
    <w:rsid w:val="008666D8"/>
    <w:rsid w:val="00867921"/>
    <w:rsid w:val="00876A41"/>
    <w:rsid w:val="008826A9"/>
    <w:rsid w:val="00896067"/>
    <w:rsid w:val="00897DF8"/>
    <w:rsid w:val="00897DFC"/>
    <w:rsid w:val="008C6AE1"/>
    <w:rsid w:val="008F5CCE"/>
    <w:rsid w:val="0090113A"/>
    <w:rsid w:val="0091482F"/>
    <w:rsid w:val="00914B18"/>
    <w:rsid w:val="009166FB"/>
    <w:rsid w:val="0093225A"/>
    <w:rsid w:val="009569F3"/>
    <w:rsid w:val="00966848"/>
    <w:rsid w:val="00967C2E"/>
    <w:rsid w:val="00971976"/>
    <w:rsid w:val="00971F89"/>
    <w:rsid w:val="00972C2F"/>
    <w:rsid w:val="009841C2"/>
    <w:rsid w:val="009931CB"/>
    <w:rsid w:val="009A3B79"/>
    <w:rsid w:val="009A4D45"/>
    <w:rsid w:val="009B0139"/>
    <w:rsid w:val="009C6213"/>
    <w:rsid w:val="009E3DF8"/>
    <w:rsid w:val="00A05CAD"/>
    <w:rsid w:val="00A14DCE"/>
    <w:rsid w:val="00AB6FF9"/>
    <w:rsid w:val="00AD332A"/>
    <w:rsid w:val="00B11410"/>
    <w:rsid w:val="00B27DD3"/>
    <w:rsid w:val="00B640AE"/>
    <w:rsid w:val="00B71A9B"/>
    <w:rsid w:val="00B940FF"/>
    <w:rsid w:val="00BA1CDD"/>
    <w:rsid w:val="00BA34F0"/>
    <w:rsid w:val="00BC4FC8"/>
    <w:rsid w:val="00BD4698"/>
    <w:rsid w:val="00BD4B5E"/>
    <w:rsid w:val="00BE5FCE"/>
    <w:rsid w:val="00BF7163"/>
    <w:rsid w:val="00C177C1"/>
    <w:rsid w:val="00C23EB9"/>
    <w:rsid w:val="00C4419B"/>
    <w:rsid w:val="00C55CB1"/>
    <w:rsid w:val="00C747D3"/>
    <w:rsid w:val="00C9650A"/>
    <w:rsid w:val="00CB3793"/>
    <w:rsid w:val="00CB4093"/>
    <w:rsid w:val="00CC7EAC"/>
    <w:rsid w:val="00CD0C58"/>
    <w:rsid w:val="00CE1D12"/>
    <w:rsid w:val="00CE487C"/>
    <w:rsid w:val="00CF20C0"/>
    <w:rsid w:val="00D00890"/>
    <w:rsid w:val="00D02B1C"/>
    <w:rsid w:val="00D277AA"/>
    <w:rsid w:val="00D33EB6"/>
    <w:rsid w:val="00D537A9"/>
    <w:rsid w:val="00D868C4"/>
    <w:rsid w:val="00DB189F"/>
    <w:rsid w:val="00E1150D"/>
    <w:rsid w:val="00E236D7"/>
    <w:rsid w:val="00E52F35"/>
    <w:rsid w:val="00E62BBA"/>
    <w:rsid w:val="00E75649"/>
    <w:rsid w:val="00EA72DC"/>
    <w:rsid w:val="00EB57E6"/>
    <w:rsid w:val="00EC5DC3"/>
    <w:rsid w:val="00ED31FB"/>
    <w:rsid w:val="00EE2E99"/>
    <w:rsid w:val="00F15A0E"/>
    <w:rsid w:val="00F2009D"/>
    <w:rsid w:val="00F422B9"/>
    <w:rsid w:val="00F50B71"/>
    <w:rsid w:val="00F523E6"/>
    <w:rsid w:val="00F54F24"/>
    <w:rsid w:val="00F66982"/>
    <w:rsid w:val="00F7194C"/>
    <w:rsid w:val="00F74852"/>
    <w:rsid w:val="00F91DB2"/>
    <w:rsid w:val="00FC793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7A9"/>
    <w:pPr>
      <w:spacing w:line="264" w:lineRule="auto"/>
      <w:jc w:val="both"/>
    </w:pPr>
    <w:rPr>
      <w:sz w:val="26"/>
    </w:rPr>
  </w:style>
  <w:style w:type="character" w:default="1" w:styleId="DefaultParagraphFont">
    <w:name w:val="Default Paragraph Font"/>
    <w:uiPriority w:val="1"/>
    <w:semiHidden/>
    <w:unhideWhenUsed/>
    <w:rsid w:val="00D537A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D537A9"/>
  </w:style>
  <w:style w:type="paragraph" w:styleId="EnvelopeAddress">
    <w:name w:val="envelope address"/>
    <w:basedOn w:val="Normal"/>
    <w:rsid w:val="00D537A9"/>
    <w:pPr>
      <w:framePr w:w="7920" w:h="1980" w:hRule="exact" w:hSpace="180" w:wrap="auto" w:hAnchor="page" w:xAlign="center" w:yAlign="bottom"/>
      <w:ind w:left="2880"/>
    </w:pPr>
    <w:rPr>
      <w:rFonts w:ascii="Arial" w:hAnsi="Arial"/>
    </w:rPr>
  </w:style>
  <w:style w:type="paragraph" w:styleId="EnvelopeReturn">
    <w:name w:val="envelope return"/>
    <w:basedOn w:val="Normal"/>
    <w:rsid w:val="00D537A9"/>
    <w:rPr>
      <w:rFonts w:ascii="Arial" w:hAnsi="Arial"/>
      <w:sz w:val="20"/>
    </w:rPr>
  </w:style>
  <w:style w:type="paragraph" w:styleId="Header">
    <w:name w:val="header"/>
    <w:basedOn w:val="Normal"/>
    <w:link w:val="HeaderChar"/>
    <w:rsid w:val="00D537A9"/>
    <w:pPr>
      <w:tabs>
        <w:tab w:val="center" w:pos="4153"/>
        <w:tab w:val="right" w:pos="8306"/>
      </w:tabs>
    </w:pPr>
  </w:style>
  <w:style w:type="paragraph" w:customStyle="1" w:styleId="I1">
    <w:name w:val="I1"/>
    <w:basedOn w:val="Normal"/>
    <w:rsid w:val="00D537A9"/>
    <w:pPr>
      <w:ind w:left="567" w:right="709"/>
    </w:pPr>
    <w:rPr>
      <w:sz w:val="22"/>
    </w:rPr>
  </w:style>
  <w:style w:type="paragraph" w:customStyle="1" w:styleId="I2">
    <w:name w:val="I2"/>
    <w:basedOn w:val="Normal"/>
    <w:rsid w:val="00D537A9"/>
    <w:pPr>
      <w:ind w:left="851" w:right="1134"/>
    </w:pPr>
    <w:rPr>
      <w:sz w:val="22"/>
    </w:rPr>
  </w:style>
  <w:style w:type="paragraph" w:customStyle="1" w:styleId="H1">
    <w:name w:val="H1"/>
    <w:basedOn w:val="Normal"/>
    <w:link w:val="H1Char"/>
    <w:rsid w:val="00D537A9"/>
    <w:pPr>
      <w:spacing w:after="480"/>
    </w:pPr>
    <w:rPr>
      <w:b/>
      <w:sz w:val="36"/>
    </w:rPr>
  </w:style>
  <w:style w:type="paragraph" w:customStyle="1" w:styleId="H2">
    <w:name w:val="H2"/>
    <w:basedOn w:val="Normal"/>
    <w:link w:val="H2Char"/>
    <w:rsid w:val="00D537A9"/>
    <w:rPr>
      <w:b/>
      <w:sz w:val="28"/>
    </w:rPr>
  </w:style>
  <w:style w:type="paragraph" w:customStyle="1" w:styleId="B1">
    <w:name w:val="B1"/>
    <w:basedOn w:val="Normal"/>
    <w:link w:val="B1Char"/>
    <w:rsid w:val="00D537A9"/>
    <w:pPr>
      <w:numPr>
        <w:numId w:val="32"/>
      </w:numPr>
      <w:spacing w:after="240"/>
    </w:pPr>
  </w:style>
  <w:style w:type="paragraph" w:customStyle="1" w:styleId="B2">
    <w:name w:val="B2"/>
    <w:basedOn w:val="Normal"/>
    <w:rsid w:val="00D537A9"/>
    <w:pPr>
      <w:numPr>
        <w:numId w:val="25"/>
      </w:numPr>
      <w:tabs>
        <w:tab w:val="left" w:pos="992"/>
      </w:tabs>
      <w:spacing w:after="240"/>
      <w:ind w:left="1020"/>
    </w:pPr>
  </w:style>
  <w:style w:type="paragraph" w:styleId="Footer">
    <w:name w:val="footer"/>
    <w:basedOn w:val="Normal"/>
    <w:link w:val="FooterChar"/>
    <w:rsid w:val="00D537A9"/>
    <w:pPr>
      <w:tabs>
        <w:tab w:val="center" w:pos="4153"/>
        <w:tab w:val="right" w:pos="8306"/>
      </w:tabs>
    </w:pPr>
  </w:style>
  <w:style w:type="character" w:styleId="PageNumber">
    <w:name w:val="page number"/>
    <w:basedOn w:val="DefaultParagraphFont"/>
    <w:rsid w:val="00D537A9"/>
  </w:style>
  <w:style w:type="character" w:customStyle="1" w:styleId="B1Char">
    <w:name w:val="B1 Char"/>
    <w:basedOn w:val="DefaultParagraphFont"/>
    <w:link w:val="B1"/>
    <w:rsid w:val="00D537A9"/>
    <w:rPr>
      <w:sz w:val="26"/>
    </w:rPr>
  </w:style>
  <w:style w:type="paragraph" w:customStyle="1" w:styleId="TOCNormal">
    <w:name w:val="TOCNormal"/>
    <w:basedOn w:val="Normal"/>
    <w:rsid w:val="00D537A9"/>
    <w:pPr>
      <w:spacing w:before="120" w:after="120"/>
      <w:ind w:left="510"/>
      <w:jc w:val="left"/>
    </w:pPr>
  </w:style>
  <w:style w:type="paragraph" w:customStyle="1" w:styleId="TOCBullet">
    <w:name w:val="TOCBullet"/>
    <w:basedOn w:val="TOC1"/>
    <w:rsid w:val="00D537A9"/>
    <w:pPr>
      <w:numPr>
        <w:numId w:val="34"/>
      </w:numPr>
      <w:ind w:left="504" w:hanging="504"/>
    </w:pPr>
  </w:style>
  <w:style w:type="paragraph" w:customStyle="1" w:styleId="Bull">
    <w:name w:val="Bull"/>
    <w:basedOn w:val="Normal"/>
    <w:rsid w:val="00D537A9"/>
    <w:pPr>
      <w:numPr>
        <w:numId w:val="27"/>
      </w:numPr>
    </w:pPr>
  </w:style>
  <w:style w:type="paragraph" w:customStyle="1" w:styleId="Bull1">
    <w:name w:val="Bull1"/>
    <w:basedOn w:val="Normal"/>
    <w:rsid w:val="00D537A9"/>
    <w:pPr>
      <w:numPr>
        <w:numId w:val="29"/>
      </w:numPr>
      <w:ind w:right="397"/>
    </w:pPr>
  </w:style>
  <w:style w:type="paragraph" w:customStyle="1" w:styleId="TableTextBill">
    <w:name w:val="Table Text Bill"/>
    <w:link w:val="TableTextBillChar"/>
    <w:qFormat/>
    <w:rsid w:val="00D537A9"/>
    <w:rPr>
      <w:b/>
      <w:sz w:val="22"/>
      <w:szCs w:val="22"/>
    </w:rPr>
  </w:style>
  <w:style w:type="paragraph" w:customStyle="1" w:styleId="TableText">
    <w:name w:val="Table Text"/>
    <w:next w:val="TableTextBill"/>
    <w:link w:val="TableTextChar"/>
    <w:qFormat/>
    <w:rsid w:val="00D537A9"/>
    <w:rPr>
      <w:sz w:val="22"/>
      <w:szCs w:val="22"/>
    </w:rPr>
  </w:style>
  <w:style w:type="character" w:customStyle="1" w:styleId="TableTextBillChar">
    <w:name w:val="Table Text Bill Char"/>
    <w:basedOn w:val="B1Char"/>
    <w:link w:val="TableTextBill"/>
    <w:rsid w:val="00D537A9"/>
    <w:rPr>
      <w:b/>
      <w:sz w:val="22"/>
      <w:szCs w:val="22"/>
    </w:rPr>
  </w:style>
  <w:style w:type="paragraph" w:styleId="TOC1">
    <w:name w:val="toc 1"/>
    <w:basedOn w:val="TOCNormal"/>
    <w:next w:val="Normal"/>
    <w:autoRedefine/>
    <w:uiPriority w:val="39"/>
    <w:unhideWhenUsed/>
    <w:rsid w:val="00D537A9"/>
    <w:pPr>
      <w:tabs>
        <w:tab w:val="left" w:pos="7655"/>
        <w:tab w:val="right" w:pos="8182"/>
      </w:tabs>
      <w:ind w:right="1813"/>
    </w:pPr>
    <w:rPr>
      <w:noProof/>
    </w:rPr>
  </w:style>
  <w:style w:type="character" w:customStyle="1" w:styleId="TableTextChar">
    <w:name w:val="Table Text Char"/>
    <w:basedOn w:val="TableTextBillChar"/>
    <w:link w:val="TableText"/>
    <w:rsid w:val="00D537A9"/>
  </w:style>
  <w:style w:type="character" w:customStyle="1" w:styleId="HeaderChar">
    <w:name w:val="Header Char"/>
    <w:basedOn w:val="DefaultParagraphFont"/>
    <w:link w:val="Header"/>
    <w:rsid w:val="00D537A9"/>
    <w:rPr>
      <w:sz w:val="26"/>
    </w:rPr>
  </w:style>
  <w:style w:type="character" w:customStyle="1" w:styleId="FooterChar">
    <w:name w:val="Footer Char"/>
    <w:basedOn w:val="DefaultParagraphFont"/>
    <w:link w:val="Footer"/>
    <w:rsid w:val="00D537A9"/>
    <w:rPr>
      <w:sz w:val="26"/>
    </w:rPr>
  </w:style>
  <w:style w:type="paragraph" w:styleId="TOC3">
    <w:name w:val="toc 3"/>
    <w:basedOn w:val="Normal"/>
    <w:next w:val="Normal"/>
    <w:autoRedefine/>
    <w:uiPriority w:val="39"/>
    <w:unhideWhenUsed/>
    <w:rsid w:val="00D537A9"/>
    <w:pPr>
      <w:tabs>
        <w:tab w:val="right" w:pos="8182"/>
        <w:tab w:val="right" w:pos="8222"/>
      </w:tabs>
      <w:spacing w:after="100"/>
      <w:ind w:left="567" w:right="1105"/>
    </w:pPr>
  </w:style>
  <w:style w:type="character" w:customStyle="1" w:styleId="H2Char">
    <w:name w:val="H2 Char"/>
    <w:basedOn w:val="DefaultParagraphFont"/>
    <w:link w:val="H2"/>
    <w:rsid w:val="00D537A9"/>
    <w:rPr>
      <w:b/>
      <w:sz w:val="28"/>
    </w:rPr>
  </w:style>
  <w:style w:type="character" w:customStyle="1" w:styleId="H1Char">
    <w:name w:val="H1 Char"/>
    <w:basedOn w:val="DefaultParagraphFont"/>
    <w:link w:val="H1"/>
    <w:rsid w:val="00D537A9"/>
    <w:rPr>
      <w:b/>
      <w:sz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Digest\digest2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digest2a.dotx</Template>
  <TotalTime>3</TotalTime>
  <Pages>23</Pages>
  <Words>3949</Words>
  <Characters>22513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Senate Standing Committee</vt:lpstr>
    </vt:vector>
  </TitlesOfParts>
  <Company>PISO</Company>
  <LinksUpToDate>false</LinksUpToDate>
  <CharactersWithSpaces>26410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Senate Standing Committee</dc:title>
  <dc:creator>John Baczynski</dc:creator>
  <cp:lastModifiedBy>Ingrid Zappe</cp:lastModifiedBy>
  <cp:revision>2</cp:revision>
  <cp:lastPrinted>2008-04-24T00:14:00Z</cp:lastPrinted>
  <dcterms:created xsi:type="dcterms:W3CDTF">2012-03-14T01:40:00Z</dcterms:created>
  <dcterms:modified xsi:type="dcterms:W3CDTF">2012-03-14T01:40:00Z</dcterms:modified>
</cp:coreProperties>
</file>