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104D9B">
      <w:pPr>
        <w:spacing w:after="480" w:line="240" w:lineRule="auto"/>
        <w:jc w:val="center"/>
        <w:rPr>
          <w:b/>
          <w:sz w:val="52"/>
        </w:rPr>
      </w:pPr>
      <w:r>
        <w:rPr>
          <w:b/>
          <w:sz w:val="52"/>
        </w:rPr>
        <w:t>Senate Standing Committee</w:t>
      </w:r>
    </w:p>
    <w:p w:rsidR="00104D9B">
      <w:pPr>
        <w:spacing w:after="480" w:line="240" w:lineRule="auto"/>
        <w:jc w:val="center"/>
        <w:rPr>
          <w:b/>
          <w:sz w:val="52"/>
        </w:rPr>
      </w:pPr>
      <w:r>
        <w:rPr>
          <w:b/>
          <w:sz w:val="52"/>
        </w:rPr>
        <w:t>for</w:t>
      </w:r>
      <w:r>
        <w:rPr>
          <w:b/>
          <w:sz w:val="52"/>
        </w:rPr>
        <w:t xml:space="preserve"> the</w:t>
      </w:r>
    </w:p>
    <w:p w:rsidR="00104D9B">
      <w:pPr>
        <w:spacing w:after="480" w:line="240" w:lineRule="auto"/>
        <w:jc w:val="center"/>
        <w:rPr>
          <w:b/>
          <w:sz w:val="52"/>
        </w:rPr>
      </w:pPr>
      <w:r>
        <w:rPr>
          <w:b/>
          <w:sz w:val="52"/>
        </w:rPr>
        <w:t>Scrutiny of Bills</w:t>
      </w: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48"/>
        </w:rPr>
      </w:pPr>
      <w:r>
        <w:rPr>
          <w:b/>
          <w:sz w:val="48"/>
        </w:rPr>
        <w:t xml:space="preserve">Alert Digest No. </w:t>
      </w:r>
      <w:r w:rsidR="00D50961">
        <w:rPr>
          <w:b/>
          <w:sz w:val="48"/>
        </w:rPr>
        <w:t>14</w:t>
      </w:r>
      <w:r>
        <w:rPr>
          <w:b/>
          <w:sz w:val="48"/>
        </w:rPr>
        <w:t xml:space="preserve"> of 2009</w:t>
      </w: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32"/>
        </w:rPr>
      </w:pPr>
      <w:r>
        <w:rPr>
          <w:b/>
          <w:sz w:val="32"/>
        </w:rPr>
        <w:t xml:space="preserve">18 November </w:t>
      </w:r>
      <w:r w:rsidR="00EC5DC3">
        <w:rPr>
          <w:b/>
          <w:sz w:val="32"/>
        </w:rPr>
        <w:t>200</w:t>
      </w:r>
      <w:r w:rsidR="004B2771">
        <w:rPr>
          <w:b/>
          <w:sz w:val="32"/>
        </w:rPr>
        <w:t>9</w:t>
      </w:r>
    </w:p>
    <w:p w:rsidR="00104D9B">
      <w:pPr>
        <w:spacing w:line="240" w:lineRule="auto"/>
        <w:jc w:val="center"/>
        <w:rPr>
          <w:b/>
          <w:sz w:val="32"/>
        </w:rPr>
      </w:pPr>
    </w:p>
    <w:p w:rsidR="00104D9B">
      <w:pPr>
        <w:spacing w:line="240" w:lineRule="auto"/>
        <w:jc w:val="center"/>
        <w:rPr>
          <w:b/>
          <w:sz w:val="32"/>
        </w:rPr>
      </w:pPr>
    </w:p>
    <w:p w:rsidR="00104D9B">
      <w:pPr>
        <w:spacing w:line="240" w:lineRule="auto"/>
        <w:jc w:val="center"/>
        <w:rPr>
          <w:b/>
        </w:rPr>
      </w:pPr>
      <w:r>
        <w:rPr>
          <w:b/>
        </w:rPr>
        <w:t>ISSN 1329-668X</w:t>
      </w:r>
    </w:p>
    <w:p w:rsidR="00104D9B">
      <w:pPr>
        <w:spacing w:after="240" w:line="240" w:lineRule="auto"/>
        <w:jc w:val="center"/>
        <w:rPr>
          <w:b/>
          <w:sz w:val="37"/>
        </w:rPr>
      </w:pPr>
      <w:r>
        <w:rPr>
          <w:b/>
        </w:rPr>
        <w:br w:type="page"/>
      </w:r>
      <w:r>
        <w:rPr>
          <w:b/>
        </w:rPr>
        <w:br w:type="page"/>
      </w:r>
      <w:r>
        <w:rPr>
          <w:b/>
          <w:sz w:val="37"/>
        </w:rPr>
        <w:t>Senate Standing Committee for the Scrutiny of Bills</w:t>
      </w:r>
    </w:p>
    <w:p w:rsidR="00104D9B">
      <w:pPr>
        <w:spacing w:after="240" w:line="240" w:lineRule="auto"/>
        <w:jc w:val="center"/>
        <w:rPr>
          <w:b/>
          <w:sz w:val="37"/>
        </w:rPr>
      </w:pPr>
    </w:p>
    <w:p w:rsidR="00104D9B">
      <w:pPr>
        <w:spacing w:before="120" w:after="120" w:line="240" w:lineRule="auto"/>
        <w:jc w:val="center"/>
        <w:rPr>
          <w:b/>
          <w:sz w:val="32"/>
        </w:rPr>
      </w:pPr>
      <w:r>
        <w:rPr>
          <w:b/>
          <w:sz w:val="32"/>
        </w:rPr>
        <w:t>Members of the Committee</w:t>
      </w:r>
    </w:p>
    <w:p w:rsidR="00967C2E">
      <w:pPr>
        <w:jc w:val="center"/>
      </w:pPr>
    </w:p>
    <w:p w:rsidR="00104D9B">
      <w:pPr>
        <w:jc w:val="center"/>
      </w:pPr>
      <w:r>
        <w:t xml:space="preserve">Senator </w:t>
      </w:r>
      <w:r w:rsidR="00967C2E">
        <w:t xml:space="preserve">the </w:t>
      </w:r>
      <w:smartTag w:uri="urn:schemas-microsoft-com:office:smarttags" w:element="PersonName">
        <w:smartTag w:uri="urn:schemas:contacts" w:element="GivenName">
          <w:r w:rsidR="00967C2E">
            <w:t>Hon</w:t>
          </w:r>
        </w:smartTag>
        <w:r w:rsidR="00967C2E">
          <w:t xml:space="preserve"> </w:t>
        </w:r>
        <w:smartTag w:uri="urn:schemas:contacts" w:element="middlename">
          <w:r w:rsidR="009B0139">
            <w:t>H</w:t>
          </w:r>
        </w:smartTag>
        <w:r w:rsidR="009B0139">
          <w:t xml:space="preserve"> </w:t>
        </w:r>
        <w:smartTag w:uri="urn:schemas:contacts" w:element="Sn">
          <w:r w:rsidR="009B0139">
            <w:t>Coonan</w:t>
          </w:r>
        </w:smartTag>
      </w:smartTag>
      <w:r w:rsidR="00D00890">
        <w:t xml:space="preserve"> (Chair)</w:t>
      </w:r>
    </w:p>
    <w:p w:rsidR="00D00890" w:rsidP="00D00890">
      <w:pPr>
        <w:jc w:val="center"/>
      </w:pPr>
      <w:r>
        <w:t>Senator M Bishop</w:t>
      </w:r>
      <w:r>
        <w:t xml:space="preserve"> (Deputy Chair)</w:t>
      </w:r>
    </w:p>
    <w:p w:rsidR="003C6D38">
      <w:pPr>
        <w:jc w:val="center"/>
      </w:pPr>
      <w:smartTag w:uri="urn:schemas-microsoft-com:office:smarttags" w:element="PersonName">
        <w:r>
          <w:t xml:space="preserve">Senator </w:t>
        </w:r>
        <w:smartTag w:uri="urn:schemas:contacts" w:element="GivenName">
          <w:r>
            <w:t>D</w:t>
          </w:r>
        </w:smartTag>
        <w:r>
          <w:t xml:space="preserve"> </w:t>
        </w:r>
        <w:smartTag w:uri="urn:schemas:contacts" w:element="Sn">
          <w:r>
            <w:t>Cameron</w:t>
          </w:r>
        </w:smartTag>
      </w:smartTag>
    </w:p>
    <w:p w:rsidR="004102E0">
      <w:pPr>
        <w:jc w:val="center"/>
      </w:pPr>
      <w:smartTag w:uri="urn:schemas-microsoft-com:office:smarttags" w:element="PersonName">
        <w:r>
          <w:t xml:space="preserve">Senator </w:t>
        </w:r>
        <w:smartTag w:uri="urn:schemas:contacts" w:element="GivenName">
          <w:r>
            <w:t>J</w:t>
          </w:r>
        </w:smartTag>
        <w:r>
          <w:t xml:space="preserve"> </w:t>
        </w:r>
        <w:smartTag w:uri="urn:schemas:contacts" w:element="Sn">
          <w:r>
            <w:t>Collins</w:t>
          </w:r>
        </w:smartTag>
      </w:smartTag>
    </w:p>
    <w:p w:rsidR="002E3B2D">
      <w:pPr>
        <w:jc w:val="center"/>
      </w:pPr>
      <w:r>
        <w:t>Senator R Siewert</w:t>
      </w:r>
    </w:p>
    <w:p w:rsidR="00104D9B" w:rsidP="005659E4">
      <w:pPr>
        <w:spacing w:line="240" w:lineRule="auto"/>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J</w:t>
          </w:r>
        </w:smartTag>
        <w:r>
          <w:t xml:space="preserve"> </w:t>
        </w:r>
        <w:smartTag w:uri="urn:schemas:contacts" w:element="Sn">
          <w:r>
            <w:t>Troeth</w:t>
          </w:r>
        </w:smartTag>
      </w:smartTag>
    </w:p>
    <w:p w:rsidR="005659E4" w:rsidP="009B0139">
      <w:pPr>
        <w:spacing w:after="480" w:line="240" w:lineRule="auto"/>
        <w:jc w:val="center"/>
      </w:pPr>
    </w:p>
    <w:p w:rsidR="00104D9B">
      <w:pPr>
        <w:spacing w:before="240" w:after="240" w:line="240" w:lineRule="auto"/>
        <w:jc w:val="center"/>
        <w:rPr>
          <w:b/>
          <w:sz w:val="32"/>
        </w:rPr>
      </w:pPr>
      <w:r>
        <w:rPr>
          <w:b/>
          <w:sz w:val="32"/>
        </w:rPr>
        <w:t>Terms of Reference</w:t>
      </w:r>
    </w:p>
    <w:p w:rsidR="00104D9B">
      <w:pPr>
        <w:spacing w:after="360" w:line="240" w:lineRule="auto"/>
        <w:jc w:val="center"/>
      </w:pPr>
      <w:r>
        <w:t xml:space="preserve">Extract from </w:t>
      </w:r>
      <w:r>
        <w:rPr>
          <w:b/>
        </w:rPr>
        <w:t>Standing Order 24</w:t>
      </w:r>
    </w:p>
    <w:p w:rsidR="00104D9B">
      <w:pPr>
        <w:tabs>
          <w:tab w:val="left" w:pos="426"/>
        </w:tabs>
        <w:spacing w:after="240" w:line="240" w:lineRule="auto"/>
        <w:ind w:left="1134" w:hanging="1134"/>
      </w:pPr>
      <w:r>
        <w:t>(1)</w:t>
      </w:r>
      <w:r>
        <w:tab/>
        <w:t>(</w:t>
      </w:r>
      <w:r w:rsidR="009841C2">
        <w:t>a)</w:t>
      </w:r>
      <w:r w:rsidR="009841C2">
        <w:tab/>
        <w:t>At the commencement of each P</w:t>
      </w:r>
      <w:r>
        <w:t>arliament, a Standing Committee for the Scrutiny of Bills shall be appointed to report, in respect of the clauses of bills introduced into the Senate, and in respect of Acts of the Parliament, whether such bills or Acts, by express words or otherwise:</w:t>
      </w:r>
    </w:p>
    <w:p w:rsidR="00104D9B">
      <w:pPr>
        <w:tabs>
          <w:tab w:val="left" w:pos="8576"/>
        </w:tabs>
        <w:spacing w:before="120"/>
        <w:ind w:left="1701" w:hanging="567"/>
      </w:pPr>
      <w:r>
        <w:t>(</w:t>
      </w:r>
      <w:r>
        <w:t>i</w:t>
      </w:r>
      <w:r>
        <w:t>)</w:t>
      </w:r>
      <w:r>
        <w:tab/>
        <w:t>trespass unduly on personal rights and liberties;</w:t>
      </w:r>
    </w:p>
    <w:p w:rsidR="00104D9B">
      <w:pPr>
        <w:tabs>
          <w:tab w:val="left" w:pos="8576"/>
        </w:tabs>
        <w:spacing w:before="120"/>
        <w:ind w:left="1701" w:hanging="567"/>
      </w:pPr>
      <w:r>
        <w:t>(ii)</w:t>
      </w:r>
      <w:r>
        <w:tab/>
      </w:r>
      <w:r>
        <w:t>make</w:t>
      </w:r>
      <w:r>
        <w:t xml:space="preserve"> rights, liberties or obligations unduly dependent upon insufficiently defined administrative powers;</w:t>
      </w:r>
    </w:p>
    <w:p w:rsidR="00104D9B">
      <w:pPr>
        <w:tabs>
          <w:tab w:val="left" w:pos="8576"/>
        </w:tabs>
        <w:spacing w:before="120"/>
        <w:ind w:left="1701" w:hanging="567"/>
      </w:pPr>
      <w:r>
        <w:t>(iii)</w:t>
      </w:r>
      <w:r>
        <w:tab/>
      </w:r>
      <w:r>
        <w:t>make</w:t>
      </w:r>
      <w:r>
        <w:t xml:space="preserve"> rights, liberties or obligations unduly dependent upon non-reviewable decisions;</w:t>
      </w:r>
    </w:p>
    <w:p w:rsidR="00104D9B">
      <w:pPr>
        <w:tabs>
          <w:tab w:val="left" w:pos="8576"/>
        </w:tabs>
        <w:spacing w:before="120"/>
        <w:ind w:left="1701" w:hanging="567"/>
      </w:pPr>
      <w:r>
        <w:t>(iv)</w:t>
      </w:r>
      <w:r>
        <w:tab/>
      </w:r>
      <w:r>
        <w:t>inappropriately</w:t>
      </w:r>
      <w:r>
        <w:t xml:space="preserve"> delegate legislative powers; or</w:t>
      </w:r>
    </w:p>
    <w:p w:rsidR="00104D9B">
      <w:pPr>
        <w:tabs>
          <w:tab w:val="left" w:pos="8576"/>
        </w:tabs>
        <w:spacing w:before="120"/>
        <w:ind w:left="1701" w:hanging="567"/>
      </w:pPr>
      <w:r>
        <w:t>(v)</w:t>
      </w:r>
      <w:r>
        <w:tab/>
      </w:r>
      <w:r>
        <w:t>insufficiently</w:t>
      </w:r>
      <w:r>
        <w:t xml:space="preserve"> subject the exercise of legislative power to parliamentary scrutiny.</w:t>
      </w:r>
    </w:p>
    <w:p w:rsidR="00104D9B">
      <w:pPr>
        <w:tabs>
          <w:tab w:val="left" w:pos="8576"/>
        </w:tabs>
        <w:spacing w:before="120"/>
        <w:ind w:left="1701" w:hanging="567"/>
      </w:pPr>
    </w:p>
    <w:p w:rsidR="00104D9B">
      <w:pPr>
        <w:tabs>
          <w:tab w:val="left" w:pos="426"/>
          <w:tab w:val="left" w:pos="1134"/>
          <w:tab w:val="left" w:pos="1701"/>
        </w:tabs>
        <w:spacing w:after="180" w:line="240" w:lineRule="auto"/>
        <w:ind w:left="1134" w:hanging="1134"/>
      </w:pPr>
      <w:r>
        <w:tab/>
        <w:t>(</w:t>
      </w:r>
      <w:r>
        <w:t>b</w:t>
      </w:r>
      <w:r>
        <w:t>)</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081380">
      <w:pPr>
        <w:spacing w:line="240" w:lineRule="auto"/>
        <w:jc w:val="left"/>
      </w:pPr>
      <w:r>
        <w:br w:type="page"/>
      </w:r>
    </w:p>
    <w:p w:rsidR="00104D9B">
      <w:pPr>
        <w:tabs>
          <w:tab w:val="left" w:pos="426"/>
          <w:tab w:val="left" w:pos="1134"/>
          <w:tab w:val="left" w:pos="1701"/>
        </w:tabs>
        <w:spacing w:after="180" w:line="240" w:lineRule="auto"/>
        <w:ind w:left="1134" w:hanging="1134"/>
        <w:sectPr w:rsidSect="0091482F">
          <w:headerReference w:type="even" r:id="rId4"/>
          <w:headerReference w:type="default" r:id="rId5"/>
          <w:headerReference w:type="first" r:id="rId6"/>
          <w:pgSz w:w="11906" w:h="16838"/>
          <w:pgMar w:top="1701" w:right="1701" w:bottom="1701" w:left="1843" w:header="720" w:footer="720" w:gutter="170"/>
          <w:cols w:space="720"/>
          <w:docGrid w:linePitch="354"/>
        </w:sectPr>
      </w:pPr>
      <w:r>
        <w:br w:type="page"/>
      </w:r>
    </w:p>
    <w:p w:rsidR="00104D9B">
      <w:pPr>
        <w:pBdr>
          <w:bottom w:val="single" w:sz="4" w:space="1" w:color="auto"/>
        </w:pBdr>
        <w:spacing w:after="480"/>
        <w:jc w:val="center"/>
        <w:rPr>
          <w:b/>
          <w:sz w:val="32"/>
        </w:rPr>
      </w:pPr>
      <w:r>
        <w:rPr>
          <w:b/>
          <w:sz w:val="32"/>
        </w:rPr>
        <w:t>TABLE OF CONTENTS</w:t>
      </w:r>
    </w:p>
    <w:tbl>
      <w:tblPr>
        <w:tblW w:w="0" w:type="auto"/>
        <w:tblInd w:w="108" w:type="dxa"/>
        <w:tblLayout w:type="fixed"/>
        <w:tblCellMar>
          <w:top w:w="0" w:type="dxa"/>
          <w:left w:w="108" w:type="dxa"/>
          <w:bottom w:w="0" w:type="dxa"/>
          <w:right w:w="108" w:type="dxa"/>
        </w:tblCellMar>
        <w:tblLook w:val="0000"/>
      </w:tblPr>
      <w:tblGrid>
        <w:gridCol w:w="6663"/>
        <w:gridCol w:w="1275"/>
      </w:tblGrid>
      <w:tr>
        <w:tblPrEx>
          <w:tblW w:w="0" w:type="auto"/>
          <w:tblInd w:w="108" w:type="dxa"/>
          <w:tblLayout w:type="fixed"/>
          <w:tblCellMar>
            <w:top w:w="0" w:type="dxa"/>
            <w:left w:w="108" w:type="dxa"/>
            <w:bottom w:w="0" w:type="dxa"/>
            <w:right w:w="108" w:type="dxa"/>
          </w:tblCellMar>
          <w:tblLook w:val="0000"/>
        </w:tblPrEx>
        <w:tc>
          <w:tcPr>
            <w:tcW w:w="6663" w:type="dxa"/>
          </w:tcPr>
          <w:p w:rsidR="004D4608" w:rsidRPr="004D4608" w:rsidP="004D4608">
            <w:pPr>
              <w:spacing w:before="120" w:after="120"/>
              <w:ind w:left="34"/>
              <w:jc w:val="left"/>
              <w:rPr>
                <w:b/>
              </w:rPr>
            </w:pPr>
            <w:r>
              <w:rPr>
                <w:b/>
              </w:rPr>
              <w:t>Commentary on bills</w:t>
            </w:r>
          </w:p>
        </w:tc>
        <w:tc>
          <w:tcPr>
            <w:tcW w:w="1275" w:type="dxa"/>
            <w:vAlign w:val="bottom"/>
          </w:tcPr>
          <w:p w:rsidR="004D4608">
            <w:pPr>
              <w:spacing w:after="120"/>
              <w:jc w:val="right"/>
            </w:pP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pPr>
              <w:spacing w:before="120" w:after="120"/>
              <w:ind w:left="510"/>
              <w:jc w:val="left"/>
            </w:pPr>
            <w:r>
              <w:t>Aviation Transport Security Amendment (2009 Measures No. 2) Bill 2009</w:t>
            </w:r>
          </w:p>
        </w:tc>
        <w:tc>
          <w:tcPr>
            <w:tcW w:w="1275" w:type="dxa"/>
            <w:vAlign w:val="bottom"/>
          </w:tcPr>
          <w:p w:rsidR="00104D9B">
            <w:pPr>
              <w:spacing w:after="120"/>
              <w:jc w:val="right"/>
            </w:pPr>
            <w:r>
              <w:t>5</w:t>
            </w:r>
          </w:p>
        </w:tc>
      </w:tr>
      <w:tr>
        <w:tblPrEx>
          <w:tblW w:w="0" w:type="auto"/>
          <w:tblInd w:w="108" w:type="dxa"/>
          <w:tblLayout w:type="fixed"/>
          <w:tblCellMar>
            <w:top w:w="0" w:type="dxa"/>
            <w:left w:w="108" w:type="dxa"/>
            <w:bottom w:w="0" w:type="dxa"/>
            <w:right w:w="108" w:type="dxa"/>
          </w:tblCellMar>
          <w:tblLook w:val="0000"/>
        </w:tblPrEx>
        <w:tc>
          <w:tcPr>
            <w:tcW w:w="6663" w:type="dxa"/>
          </w:tcPr>
          <w:p w:rsidR="00C177C1" w:rsidP="007755BB">
            <w:pPr>
              <w:pStyle w:val="TOCBullet"/>
            </w:pPr>
            <w:r>
              <w:t>Bankruptcy Legislation Amendment Bill 2009</w:t>
            </w:r>
          </w:p>
        </w:tc>
        <w:tc>
          <w:tcPr>
            <w:tcW w:w="1275" w:type="dxa"/>
            <w:vAlign w:val="bottom"/>
          </w:tcPr>
          <w:p w:rsidR="00C177C1">
            <w:pPr>
              <w:spacing w:after="120"/>
              <w:jc w:val="right"/>
            </w:pPr>
            <w:r>
              <w:t>6</w:t>
            </w:r>
          </w:p>
        </w:tc>
      </w:tr>
      <w:tr>
        <w:tblPrEx>
          <w:tblW w:w="0" w:type="auto"/>
          <w:tblInd w:w="108" w:type="dxa"/>
          <w:tblLayout w:type="fixed"/>
          <w:tblCellMar>
            <w:top w:w="0" w:type="dxa"/>
            <w:left w:w="108" w:type="dxa"/>
            <w:bottom w:w="0" w:type="dxa"/>
            <w:right w:w="108" w:type="dxa"/>
          </w:tblCellMar>
          <w:tblLook w:val="0000"/>
        </w:tblPrEx>
        <w:tc>
          <w:tcPr>
            <w:tcW w:w="6663" w:type="dxa"/>
          </w:tcPr>
          <w:p w:rsidR="00B71A9B" w:rsidP="007755BB">
            <w:pPr>
              <w:pStyle w:val="TOCBullet"/>
            </w:pPr>
            <w:r>
              <w:t xml:space="preserve">Families, Housing, Community Services and Indigenous Affairs and Other Legislation </w:t>
            </w:r>
            <w:r w:rsidR="00EB6412">
              <w:t xml:space="preserve">Amendment </w:t>
            </w:r>
            <w:r>
              <w:t>(Restoration of Racial Discrimination Act) Bill 2009</w:t>
            </w:r>
          </w:p>
        </w:tc>
        <w:tc>
          <w:tcPr>
            <w:tcW w:w="1275" w:type="dxa"/>
            <w:vAlign w:val="bottom"/>
          </w:tcPr>
          <w:p w:rsidR="00B71A9B">
            <w:pPr>
              <w:spacing w:after="120"/>
              <w:jc w:val="right"/>
            </w:pPr>
            <w:r>
              <w:t>11</w:t>
            </w:r>
          </w:p>
        </w:tc>
      </w:tr>
      <w:tr>
        <w:tblPrEx>
          <w:tblW w:w="0" w:type="auto"/>
          <w:tblInd w:w="108" w:type="dxa"/>
          <w:tblLayout w:type="fixed"/>
          <w:tblCellMar>
            <w:top w:w="0" w:type="dxa"/>
            <w:left w:w="108" w:type="dxa"/>
            <w:bottom w:w="0" w:type="dxa"/>
            <w:right w:w="108" w:type="dxa"/>
          </w:tblCellMar>
          <w:tblLook w:val="0000"/>
        </w:tblPrEx>
        <w:tc>
          <w:tcPr>
            <w:tcW w:w="6663" w:type="dxa"/>
          </w:tcPr>
          <w:p w:rsidR="00D50961" w:rsidP="007755BB">
            <w:pPr>
              <w:pStyle w:val="TOCBullet"/>
            </w:pPr>
            <w:r>
              <w:t xml:space="preserve">Health Insurance Amendment (Revival of Table Items) Bill 2009 </w:t>
            </w:r>
          </w:p>
        </w:tc>
        <w:tc>
          <w:tcPr>
            <w:tcW w:w="1275" w:type="dxa"/>
            <w:vAlign w:val="bottom"/>
          </w:tcPr>
          <w:p w:rsidR="00D50961">
            <w:pPr>
              <w:spacing w:after="120"/>
              <w:jc w:val="right"/>
            </w:pPr>
            <w:r>
              <w:t>13</w:t>
            </w:r>
          </w:p>
        </w:tc>
      </w:tr>
      <w:tr>
        <w:tblPrEx>
          <w:tblW w:w="0" w:type="auto"/>
          <w:tblInd w:w="108" w:type="dxa"/>
          <w:tblLayout w:type="fixed"/>
          <w:tblCellMar>
            <w:top w:w="0" w:type="dxa"/>
            <w:left w:w="108" w:type="dxa"/>
            <w:bottom w:w="0" w:type="dxa"/>
            <w:right w:w="108" w:type="dxa"/>
          </w:tblCellMar>
          <w:tblLook w:val="0000"/>
        </w:tblPrEx>
        <w:tc>
          <w:tcPr>
            <w:tcW w:w="6663" w:type="dxa"/>
          </w:tcPr>
          <w:p w:rsidR="00D50961" w:rsidP="007755BB">
            <w:pPr>
              <w:pStyle w:val="TOCBullet"/>
            </w:pPr>
            <w:r>
              <w:t>Keeping Jobs from Going Offshore (Protection of Personal Information) Bill 2009</w:t>
            </w:r>
          </w:p>
        </w:tc>
        <w:tc>
          <w:tcPr>
            <w:tcW w:w="1275" w:type="dxa"/>
            <w:vAlign w:val="bottom"/>
          </w:tcPr>
          <w:p w:rsidR="00D50961">
            <w:pPr>
              <w:spacing w:after="120"/>
              <w:jc w:val="right"/>
            </w:pPr>
            <w:r>
              <w:t>14</w:t>
            </w:r>
          </w:p>
        </w:tc>
      </w:tr>
      <w:tr>
        <w:tblPrEx>
          <w:tblW w:w="0" w:type="auto"/>
          <w:tblInd w:w="108" w:type="dxa"/>
          <w:tblLayout w:type="fixed"/>
          <w:tblCellMar>
            <w:top w:w="0" w:type="dxa"/>
            <w:left w:w="108" w:type="dxa"/>
            <w:bottom w:w="0" w:type="dxa"/>
            <w:right w:w="108" w:type="dxa"/>
          </w:tblCellMar>
          <w:tblLook w:val="0000"/>
        </w:tblPrEx>
        <w:tc>
          <w:tcPr>
            <w:tcW w:w="6663" w:type="dxa"/>
          </w:tcPr>
          <w:p w:rsidR="00D50961" w:rsidP="007755BB">
            <w:pPr>
              <w:pStyle w:val="TOCBullet"/>
            </w:pPr>
            <w:r>
              <w:t>National Broadcasting Legislation Amendment Bill 2009</w:t>
            </w:r>
          </w:p>
        </w:tc>
        <w:tc>
          <w:tcPr>
            <w:tcW w:w="1275" w:type="dxa"/>
            <w:vAlign w:val="bottom"/>
          </w:tcPr>
          <w:p w:rsidR="00D50961">
            <w:pPr>
              <w:spacing w:after="120"/>
              <w:jc w:val="right"/>
            </w:pPr>
            <w:r>
              <w:t>15</w:t>
            </w:r>
          </w:p>
        </w:tc>
      </w:tr>
      <w:tr>
        <w:tblPrEx>
          <w:tblW w:w="0" w:type="auto"/>
          <w:tblInd w:w="108" w:type="dxa"/>
          <w:tblLayout w:type="fixed"/>
          <w:tblCellMar>
            <w:top w:w="0" w:type="dxa"/>
            <w:left w:w="108" w:type="dxa"/>
            <w:bottom w:w="0" w:type="dxa"/>
            <w:right w:w="108" w:type="dxa"/>
          </w:tblCellMar>
          <w:tblLook w:val="0000"/>
        </w:tblPrEx>
        <w:tc>
          <w:tcPr>
            <w:tcW w:w="6663" w:type="dxa"/>
          </w:tcPr>
          <w:p w:rsidR="00B90D02" w:rsidP="00EF204C">
            <w:pPr>
              <w:pStyle w:val="TOCNormal"/>
            </w:pPr>
            <w:r>
              <w:t xml:space="preserve">Poker Machine (Reduced </w:t>
            </w:r>
            <w:r w:rsidR="005125CF">
              <w:t>Losses—</w:t>
            </w:r>
            <w:r>
              <w:t>Interim Measures) Bill 2009</w:t>
            </w:r>
          </w:p>
        </w:tc>
        <w:tc>
          <w:tcPr>
            <w:tcW w:w="1275" w:type="dxa"/>
            <w:vAlign w:val="bottom"/>
          </w:tcPr>
          <w:p w:rsidR="00B90D02">
            <w:pPr>
              <w:spacing w:after="120"/>
              <w:jc w:val="right"/>
            </w:pPr>
            <w:r>
              <w:t>19</w:t>
            </w:r>
          </w:p>
        </w:tc>
      </w:tr>
      <w:tr>
        <w:tblPrEx>
          <w:tblW w:w="0" w:type="auto"/>
          <w:tblInd w:w="108" w:type="dxa"/>
          <w:tblLayout w:type="fixed"/>
          <w:tblCellMar>
            <w:top w:w="0" w:type="dxa"/>
            <w:left w:w="108" w:type="dxa"/>
            <w:bottom w:w="0" w:type="dxa"/>
            <w:right w:w="108" w:type="dxa"/>
          </w:tblCellMar>
          <w:tblLook w:val="0000"/>
        </w:tblPrEx>
        <w:tc>
          <w:tcPr>
            <w:tcW w:w="6663" w:type="dxa"/>
          </w:tcPr>
          <w:p w:rsidR="00D50961" w:rsidP="007755BB">
            <w:pPr>
              <w:pStyle w:val="TOCBullet"/>
            </w:pPr>
            <w:r>
              <w:t>Protec</w:t>
            </w:r>
            <w:r w:rsidR="009354F2">
              <w:t>ting Problem Gamblers Bill 2009</w:t>
            </w:r>
          </w:p>
        </w:tc>
        <w:tc>
          <w:tcPr>
            <w:tcW w:w="1275" w:type="dxa"/>
            <w:vAlign w:val="bottom"/>
          </w:tcPr>
          <w:p w:rsidR="00D50961">
            <w:pPr>
              <w:spacing w:after="120"/>
              <w:jc w:val="right"/>
            </w:pPr>
            <w:r>
              <w:t>20</w:t>
            </w:r>
          </w:p>
        </w:tc>
      </w:tr>
      <w:tr>
        <w:tblPrEx>
          <w:tblW w:w="0" w:type="auto"/>
          <w:tblInd w:w="108" w:type="dxa"/>
          <w:tblLayout w:type="fixed"/>
          <w:tblCellMar>
            <w:top w:w="0" w:type="dxa"/>
            <w:left w:w="108" w:type="dxa"/>
            <w:bottom w:w="0" w:type="dxa"/>
            <w:right w:w="108" w:type="dxa"/>
          </w:tblCellMar>
          <w:tblLook w:val="0000"/>
        </w:tblPrEx>
        <w:tc>
          <w:tcPr>
            <w:tcW w:w="6663" w:type="dxa"/>
          </w:tcPr>
          <w:p w:rsidR="00D50961" w:rsidP="007755BB">
            <w:pPr>
              <w:pStyle w:val="TOCBullet"/>
            </w:pPr>
            <w:r>
              <w:t xml:space="preserve">Statute Law Revision Bill 2009 </w:t>
            </w:r>
          </w:p>
        </w:tc>
        <w:tc>
          <w:tcPr>
            <w:tcW w:w="1275" w:type="dxa"/>
            <w:vAlign w:val="bottom"/>
          </w:tcPr>
          <w:p w:rsidR="00D50961">
            <w:pPr>
              <w:spacing w:after="120"/>
              <w:jc w:val="right"/>
            </w:pPr>
            <w:r>
              <w:t>21</w:t>
            </w:r>
          </w:p>
        </w:tc>
      </w:tr>
      <w:tr>
        <w:tblPrEx>
          <w:tblW w:w="0" w:type="auto"/>
          <w:tblInd w:w="108" w:type="dxa"/>
          <w:tblLayout w:type="fixed"/>
          <w:tblCellMar>
            <w:top w:w="0" w:type="dxa"/>
            <w:left w:w="108" w:type="dxa"/>
            <w:bottom w:w="0" w:type="dxa"/>
            <w:right w:w="108" w:type="dxa"/>
          </w:tblCellMar>
          <w:tblLook w:val="0000"/>
        </w:tblPrEx>
        <w:tc>
          <w:tcPr>
            <w:tcW w:w="6663" w:type="dxa"/>
          </w:tcPr>
          <w:p w:rsidR="00D50961" w:rsidP="007755BB">
            <w:pPr>
              <w:pStyle w:val="TOCBullet"/>
            </w:pPr>
            <w:r>
              <w:t xml:space="preserve">Trade Practices Amendment (Infrastructure Access) Bill 2009 </w:t>
            </w:r>
          </w:p>
        </w:tc>
        <w:tc>
          <w:tcPr>
            <w:tcW w:w="1275" w:type="dxa"/>
            <w:vAlign w:val="bottom"/>
          </w:tcPr>
          <w:p w:rsidR="00D50961">
            <w:pPr>
              <w:spacing w:after="120"/>
              <w:jc w:val="right"/>
            </w:pPr>
            <w:r>
              <w:t>22</w:t>
            </w:r>
          </w:p>
        </w:tc>
      </w:tr>
      <w:tr>
        <w:tblPrEx>
          <w:tblW w:w="0" w:type="auto"/>
          <w:tblInd w:w="108" w:type="dxa"/>
          <w:tblLayout w:type="fixed"/>
          <w:tblCellMar>
            <w:top w:w="0" w:type="dxa"/>
            <w:left w:w="108" w:type="dxa"/>
            <w:bottom w:w="0" w:type="dxa"/>
            <w:right w:w="108" w:type="dxa"/>
          </w:tblCellMar>
          <w:tblLook w:val="0000"/>
        </w:tblPrEx>
        <w:tc>
          <w:tcPr>
            <w:tcW w:w="6663" w:type="dxa"/>
          </w:tcPr>
          <w:p w:rsidR="006E0D57" w:rsidRPr="006E0D57" w:rsidP="004D4608">
            <w:pPr>
              <w:pStyle w:val="TOCNormal"/>
              <w:ind w:left="34"/>
              <w:rPr>
                <w:b/>
              </w:rPr>
            </w:pPr>
            <w:r>
              <w:rPr>
                <w:b/>
              </w:rPr>
              <w:t>Commentary on amendments to bills</w:t>
            </w:r>
          </w:p>
        </w:tc>
        <w:tc>
          <w:tcPr>
            <w:tcW w:w="1275" w:type="dxa"/>
            <w:vAlign w:val="bottom"/>
          </w:tcPr>
          <w:p w:rsidR="006E0D57">
            <w:pPr>
              <w:spacing w:after="120"/>
              <w:jc w:val="right"/>
            </w:pPr>
            <w:r>
              <w:t>23</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Provisions of bills which impose criminal sanctions for a failure to provide information</w:t>
            </w:r>
          </w:p>
        </w:tc>
        <w:tc>
          <w:tcPr>
            <w:tcW w:w="1275" w:type="dxa"/>
            <w:vAlign w:val="bottom"/>
          </w:tcPr>
          <w:p w:rsidR="00104D9B">
            <w:pPr>
              <w:spacing w:after="120"/>
              <w:jc w:val="right"/>
            </w:pPr>
            <w:r>
              <w:t>25</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Bills giving effect to National Schemes of Legislation</w:t>
            </w:r>
          </w:p>
        </w:tc>
        <w:tc>
          <w:tcPr>
            <w:tcW w:w="1275" w:type="dxa"/>
            <w:vAlign w:val="bottom"/>
          </w:tcPr>
          <w:p w:rsidR="00104D9B">
            <w:pPr>
              <w:spacing w:after="120"/>
              <w:jc w:val="right"/>
            </w:pPr>
            <w:r>
              <w:t>26</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Scrutiny of standing appropriations</w:t>
            </w:r>
          </w:p>
        </w:tc>
        <w:tc>
          <w:tcPr>
            <w:tcW w:w="1275" w:type="dxa"/>
            <w:vAlign w:val="bottom"/>
          </w:tcPr>
          <w:p w:rsidR="00104D9B">
            <w:pPr>
              <w:spacing w:after="120"/>
              <w:jc w:val="right"/>
            </w:pPr>
            <w:r>
              <w:t>27</w:t>
            </w:r>
          </w:p>
        </w:tc>
      </w:tr>
    </w:tbl>
    <w:p w:rsidR="00104D9B"/>
    <w:p w:rsidR="00104D9B"/>
    <w:p w:rsidR="00104D9B"/>
    <w:p w:rsidR="00104D9B">
      <w:pPr>
        <w:sectPr w:rsidSect="0091482F">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843" w:header="720" w:footer="720" w:gutter="170"/>
          <w:cols w:space="720"/>
          <w:docGrid w:linePitch="354"/>
        </w:sectPr>
      </w:pPr>
    </w:p>
    <w:p w:rsidR="0097734F" w:rsidP="0097734F">
      <w:pPr>
        <w:pStyle w:val="H1"/>
      </w:pPr>
      <w:r>
        <w:t>Aviation Transport Security Amendment (2009 Measures No. 2) Bill 2009</w:t>
      </w:r>
    </w:p>
    <w:p w:rsidR="00E437F8" w:rsidP="00E437F8">
      <w:r>
        <w:t>Introduced into the House of Representatives on 29 October 2009</w:t>
      </w:r>
    </w:p>
    <w:p w:rsidR="00E437F8" w:rsidP="00E437F8">
      <w:r>
        <w:t>Portfolio: Infrastructure, Transport, Regional Development and Local Government</w:t>
      </w:r>
    </w:p>
    <w:p w:rsidR="00E437F8" w:rsidP="00E437F8"/>
    <w:p w:rsidR="00E437F8" w:rsidP="00E437F8"/>
    <w:p w:rsidR="00E437F8" w:rsidP="00E437F8">
      <w:pPr>
        <w:pStyle w:val="H2"/>
      </w:pPr>
      <w:r>
        <w:t>Background</w:t>
      </w:r>
    </w:p>
    <w:p w:rsidR="00E437F8" w:rsidP="00E437F8"/>
    <w:p w:rsidR="00BA6551" w:rsidP="00A36C73">
      <w:r>
        <w:t xml:space="preserve">This bill amends the </w:t>
      </w:r>
      <w:r>
        <w:rPr>
          <w:i/>
        </w:rPr>
        <w:t>Aviation Transport Security Act 2004</w:t>
      </w:r>
      <w:r>
        <w:t xml:space="preserve"> </w:t>
      </w:r>
      <w:r w:rsidR="00DA2218">
        <w:t>to expand the regulatory scope for air cargo supply chain security</w:t>
      </w:r>
      <w:r>
        <w:t>.</w:t>
      </w:r>
    </w:p>
    <w:p w:rsidR="00BA6551" w:rsidP="00A36C73"/>
    <w:p w:rsidR="000E6E89" w:rsidP="00A36C73">
      <w:r>
        <w:t>Specifically, t</w:t>
      </w:r>
      <w:r>
        <w:t>he bill:</w:t>
      </w:r>
    </w:p>
    <w:p w:rsidR="000E6E89" w:rsidP="00A36C73"/>
    <w:p w:rsidR="008B061B" w:rsidP="007F69E5">
      <w:pPr>
        <w:pStyle w:val="ListParagraph"/>
        <w:numPr>
          <w:ilvl w:val="0"/>
          <w:numId w:val="36"/>
        </w:numPr>
        <w:ind w:left="426" w:hanging="426"/>
      </w:pPr>
      <w:r>
        <w:t>broadens</w:t>
      </w:r>
      <w:r w:rsidR="00DF18EB">
        <w:t xml:space="preserve"> the definition of ‘cargo’ to include </w:t>
      </w:r>
      <w:r>
        <w:t>goods that are</w:t>
      </w:r>
      <w:r w:rsidR="00DF18EB">
        <w:t xml:space="preserve"> </w:t>
      </w:r>
      <w:r>
        <w:t>‘</w:t>
      </w:r>
      <w:r w:rsidR="00DF18EB">
        <w:t>reasonably likel</w:t>
      </w:r>
      <w:r w:rsidR="007F69E5">
        <w:t>y</w:t>
      </w:r>
      <w:r>
        <w:t>’</w:t>
      </w:r>
      <w:r w:rsidR="007F69E5">
        <w:t xml:space="preserve"> to be transported by aircraft</w:t>
      </w:r>
      <w:r w:rsidR="00310AE3">
        <w:t xml:space="preserve"> </w:t>
      </w:r>
      <w:r>
        <w:t xml:space="preserve">in order to </w:t>
      </w:r>
      <w:r w:rsidR="00310AE3">
        <w:t>ensure a secure supply chain from consignment to uplift</w:t>
      </w:r>
      <w:r w:rsidR="007F69E5">
        <w:t>;</w:t>
      </w:r>
    </w:p>
    <w:p w:rsidR="008B061B" w:rsidP="007F69E5">
      <w:pPr>
        <w:ind w:left="426" w:hanging="426"/>
      </w:pPr>
    </w:p>
    <w:p w:rsidR="008B061B" w:rsidP="007F69E5">
      <w:pPr>
        <w:pStyle w:val="ListParagraph"/>
        <w:numPr>
          <w:ilvl w:val="0"/>
          <w:numId w:val="36"/>
        </w:numPr>
        <w:ind w:left="426" w:hanging="426"/>
      </w:pPr>
      <w:r>
        <w:t xml:space="preserve">expands the scope of industry participants </w:t>
      </w:r>
      <w:r w:rsidR="00DA2218">
        <w:t xml:space="preserve">who may certify cargo, </w:t>
      </w:r>
      <w:r>
        <w:t>through a revised definition of the term ‘certified’</w:t>
      </w:r>
      <w:r w:rsidR="00DA2218">
        <w:t xml:space="preserve"> </w:t>
      </w:r>
      <w:r w:rsidR="00C77DC4">
        <w:t>which includes</w:t>
      </w:r>
      <w:r w:rsidR="00DA2218">
        <w:t xml:space="preserve"> Regulated Air Cargo Agents (</w:t>
      </w:r>
      <w:r w:rsidR="00DA2218">
        <w:t>RACAs</w:t>
      </w:r>
      <w:r w:rsidR="00DA2218">
        <w:t>) and Accredited Air Cargo Agents (</w:t>
      </w:r>
      <w:r w:rsidR="00DA2218">
        <w:t>AACAs</w:t>
      </w:r>
      <w:r w:rsidR="00DA2218">
        <w:t>)</w:t>
      </w:r>
      <w:r w:rsidR="00310AE3">
        <w:t>;</w:t>
      </w:r>
    </w:p>
    <w:p w:rsidR="008B061B" w:rsidP="007F69E5">
      <w:pPr>
        <w:ind w:left="426" w:hanging="426"/>
      </w:pPr>
    </w:p>
    <w:p w:rsidR="008B061B" w:rsidP="007F69E5">
      <w:pPr>
        <w:pStyle w:val="ListParagraph"/>
        <w:numPr>
          <w:ilvl w:val="0"/>
          <w:numId w:val="36"/>
        </w:numPr>
        <w:ind w:left="426" w:hanging="426"/>
      </w:pPr>
      <w:r>
        <w:t>aligns certification processes with examination processes which will allow certification of cargo by a RACA, AACA or aircraft operator</w:t>
      </w:r>
      <w:r>
        <w:t>;</w:t>
      </w:r>
    </w:p>
    <w:p w:rsidR="008B061B" w:rsidP="007F69E5">
      <w:pPr>
        <w:ind w:left="426" w:hanging="426"/>
      </w:pPr>
    </w:p>
    <w:p w:rsidR="00501CBB" w:rsidP="007F69E5">
      <w:pPr>
        <w:pStyle w:val="ListParagraph"/>
        <w:numPr>
          <w:ilvl w:val="0"/>
          <w:numId w:val="36"/>
        </w:numPr>
        <w:ind w:left="426" w:hanging="426"/>
      </w:pPr>
      <w:r>
        <w:t xml:space="preserve">allows regulations </w:t>
      </w:r>
      <w:r w:rsidR="007F69E5">
        <w:t>to</w:t>
      </w:r>
      <w:r w:rsidR="00FA16A2">
        <w:t xml:space="preserve"> be made which provide </w:t>
      </w:r>
      <w:r w:rsidR="007F69E5">
        <w:t xml:space="preserve">the </w:t>
      </w:r>
      <w:r>
        <w:t xml:space="preserve">Secretary </w:t>
      </w:r>
      <w:r w:rsidR="007F69E5">
        <w:t xml:space="preserve">with the power </w:t>
      </w:r>
      <w:r>
        <w:t xml:space="preserve">to issue a </w:t>
      </w:r>
      <w:r w:rsidR="007F69E5">
        <w:t xml:space="preserve">written </w:t>
      </w:r>
      <w:r>
        <w:t xml:space="preserve">notice </w:t>
      </w:r>
      <w:r w:rsidR="007F69E5">
        <w:t>specifying</w:t>
      </w:r>
      <w:r>
        <w:t xml:space="preserve"> the circumstances in which cargo may be certified by </w:t>
      </w:r>
      <w:r>
        <w:t>R</w:t>
      </w:r>
      <w:r w:rsidR="007F69E5">
        <w:t>ACAs</w:t>
      </w:r>
      <w:r w:rsidR="007F69E5">
        <w:t>,</w:t>
      </w:r>
      <w:r>
        <w:t xml:space="preserve"> </w:t>
      </w:r>
      <w:r>
        <w:t>A</w:t>
      </w:r>
      <w:r w:rsidR="007F69E5">
        <w:t>ACAs</w:t>
      </w:r>
      <w:r w:rsidR="007F69E5">
        <w:t xml:space="preserve"> or aircraft operators;</w:t>
      </w:r>
      <w:r w:rsidR="00FA16A2">
        <w:t xml:space="preserve"> </w:t>
      </w:r>
    </w:p>
    <w:p w:rsidR="00501CBB" w:rsidP="007F69E5">
      <w:pPr>
        <w:ind w:left="426" w:hanging="426"/>
      </w:pPr>
    </w:p>
    <w:p w:rsidR="007F69E5" w:rsidP="007F69E5">
      <w:pPr>
        <w:pStyle w:val="ListParagraph"/>
        <w:numPr>
          <w:ilvl w:val="0"/>
          <w:numId w:val="36"/>
        </w:numPr>
        <w:ind w:left="426" w:hanging="426"/>
      </w:pPr>
      <w:r>
        <w:t>i</w:t>
      </w:r>
      <w:r w:rsidR="00E90E7D">
        <w:t>nt</w:t>
      </w:r>
      <w:r w:rsidR="0098455E">
        <w:t>roduces</w:t>
      </w:r>
      <w:r w:rsidR="00E90E7D">
        <w:t xml:space="preserve"> transition</w:t>
      </w:r>
      <w:r w:rsidR="0098455E">
        <w:t>al</w:t>
      </w:r>
      <w:r w:rsidR="00E90E7D">
        <w:t xml:space="preserve"> provisions for Transport Security Programs</w:t>
      </w:r>
      <w:r>
        <w:t xml:space="preserve"> </w:t>
      </w:r>
      <w:r w:rsidR="00E90E7D">
        <w:t xml:space="preserve">to ensure </w:t>
      </w:r>
      <w:r>
        <w:t xml:space="preserve">a consistent application of measures in line with the amended definition of </w:t>
      </w:r>
      <w:r w:rsidR="00FA16A2">
        <w:t>‘</w:t>
      </w:r>
      <w:r>
        <w:t>cargo</w:t>
      </w:r>
      <w:r w:rsidR="00FA16A2">
        <w:t>’; and</w:t>
      </w:r>
    </w:p>
    <w:p w:rsidR="00FA16A2" w:rsidP="00FA16A2">
      <w:pPr>
        <w:pStyle w:val="ListParagraph"/>
      </w:pPr>
    </w:p>
    <w:p w:rsidR="00FA16A2" w:rsidP="00A36C73">
      <w:pPr>
        <w:pStyle w:val="ListParagraph"/>
        <w:numPr>
          <w:ilvl w:val="0"/>
          <w:numId w:val="36"/>
        </w:numPr>
        <w:ind w:left="426" w:hanging="426"/>
      </w:pPr>
      <w:r>
        <w:t>includes</w:t>
      </w:r>
      <w:r>
        <w:t xml:space="preserve"> </w:t>
      </w:r>
      <w:r w:rsidR="00E90E7D">
        <w:t xml:space="preserve">a </w:t>
      </w:r>
      <w:r w:rsidR="00A36C73">
        <w:t>saving provision</w:t>
      </w:r>
      <w:r w:rsidR="00E90E7D">
        <w:t xml:space="preserve"> to </w:t>
      </w:r>
      <w:r w:rsidR="00C77DC4">
        <w:t>preserve</w:t>
      </w:r>
      <w:r w:rsidR="00E90E7D">
        <w:t xml:space="preserve"> the application of existing regulations</w:t>
      </w:r>
      <w:r w:rsidR="00081380">
        <w:t> </w:t>
      </w:r>
      <w:r w:rsidR="00E90E7D">
        <w:t>made</w:t>
      </w:r>
      <w:r w:rsidR="00081380">
        <w:t> </w:t>
      </w:r>
      <w:r w:rsidR="00E90E7D">
        <w:t>under</w:t>
      </w:r>
      <w:r w:rsidR="00081380">
        <w:t> </w:t>
      </w:r>
      <w:r w:rsidR="00E90E7D">
        <w:t>section</w:t>
      </w:r>
      <w:r w:rsidR="00081380">
        <w:t> </w:t>
      </w:r>
      <w:r w:rsidR="00E90E7D">
        <w:t>44C</w:t>
      </w:r>
      <w:r w:rsidR="00081380">
        <w:t> </w:t>
      </w:r>
      <w:r w:rsidR="00E90E7D">
        <w:t>of</w:t>
      </w:r>
      <w:r w:rsidR="00081380">
        <w:t> </w:t>
      </w:r>
      <w:r w:rsidR="00E90E7D">
        <w:t>the</w:t>
      </w:r>
      <w:r w:rsidR="00081380">
        <w:t> </w:t>
      </w:r>
      <w:r w:rsidR="00E90E7D">
        <w:t>A</w:t>
      </w:r>
      <w:r>
        <w:t>ct</w:t>
      </w:r>
      <w:r w:rsidR="00E90E7D">
        <w:t>.</w:t>
      </w:r>
    </w:p>
    <w:p w:rsidR="00FA16A2" w:rsidP="00FA16A2">
      <w:pPr>
        <w:pStyle w:val="ListParagraph"/>
      </w:pPr>
    </w:p>
    <w:p w:rsidR="002C16DA" w:rsidP="00FA16A2">
      <w:pPr>
        <w:pStyle w:val="ListParagraph"/>
      </w:pPr>
    </w:p>
    <w:p w:rsidR="0097734F" w:rsidP="00FA16A2">
      <w:pPr>
        <w:jc w:val="center"/>
        <w:rPr>
          <w:b/>
          <w:sz w:val="36"/>
        </w:rPr>
      </w:pPr>
      <w:r>
        <w:rPr>
          <w:i/>
        </w:rPr>
        <w:t>The Committee has no comment on this bill.</w:t>
      </w:r>
      <w:r>
        <w:br w:type="page"/>
      </w:r>
    </w:p>
    <w:p w:rsidR="0097734F" w:rsidP="0097734F">
      <w:pPr>
        <w:pStyle w:val="H1"/>
      </w:pPr>
      <w:r>
        <w:t>Bankruptcy Legislation Amendment Bill 2009</w:t>
      </w:r>
    </w:p>
    <w:p w:rsidR="007631B6" w:rsidP="007631B6">
      <w:r>
        <w:t>Introduced into the House of Representatives on 28</w:t>
      </w:r>
      <w:r w:rsidR="00FA16A2">
        <w:t xml:space="preserve"> </w:t>
      </w:r>
      <w:r>
        <w:t>October 2009</w:t>
      </w:r>
    </w:p>
    <w:p w:rsidR="007631B6" w:rsidP="007631B6">
      <w:r>
        <w:t>Portfolio: Attorney-General</w:t>
      </w:r>
    </w:p>
    <w:p w:rsidR="007631B6" w:rsidP="007631B6"/>
    <w:p w:rsidR="007631B6" w:rsidP="007631B6"/>
    <w:p w:rsidR="007631B6" w:rsidP="007631B6">
      <w:pPr>
        <w:pStyle w:val="H2"/>
      </w:pPr>
      <w:r>
        <w:t>Background</w:t>
      </w:r>
    </w:p>
    <w:p w:rsidR="007631B6" w:rsidP="007631B6"/>
    <w:p w:rsidR="0097734F" w:rsidP="0098455E">
      <w:r>
        <w:t xml:space="preserve">This bill amends the </w:t>
      </w:r>
      <w:r>
        <w:rPr>
          <w:i/>
        </w:rPr>
        <w:t>Bankruptcy Act 1966</w:t>
      </w:r>
      <w:r w:rsidR="00FA16A2">
        <w:t xml:space="preserve"> to modernis</w:t>
      </w:r>
      <w:r>
        <w:t>e the national personal insolvency scheme.</w:t>
      </w:r>
    </w:p>
    <w:p w:rsidR="0098455E" w:rsidP="0098455E"/>
    <w:p w:rsidR="0098455E" w:rsidP="0098455E">
      <w:r>
        <w:t>In particular, t</w:t>
      </w:r>
      <w:r>
        <w:t>he bill:</w:t>
      </w:r>
    </w:p>
    <w:p w:rsidR="0098455E" w:rsidP="0098455E"/>
    <w:p w:rsidR="0098455E" w:rsidP="00085533">
      <w:pPr>
        <w:pStyle w:val="ListParagraph"/>
        <w:numPr>
          <w:ilvl w:val="0"/>
          <w:numId w:val="37"/>
        </w:numPr>
        <w:ind w:left="426" w:hanging="426"/>
      </w:pPr>
      <w:r>
        <w:t>p</w:t>
      </w:r>
      <w:r>
        <w:t>rovides a more streamlined process for fixing trustee remuneration and a more transparent process for reviewing that remuneration;</w:t>
      </w:r>
    </w:p>
    <w:p w:rsidR="0098455E" w:rsidP="00085533">
      <w:pPr>
        <w:ind w:left="426" w:hanging="426"/>
      </w:pPr>
    </w:p>
    <w:p w:rsidR="0098455E" w:rsidP="00085533">
      <w:pPr>
        <w:pStyle w:val="ListParagraph"/>
        <w:numPr>
          <w:ilvl w:val="0"/>
          <w:numId w:val="37"/>
        </w:numPr>
        <w:ind w:left="426" w:hanging="426"/>
      </w:pPr>
      <w:r>
        <w:t>s</w:t>
      </w:r>
      <w:r>
        <w:t xml:space="preserve">trengthens the penalties for some offences and ensures </w:t>
      </w:r>
      <w:r w:rsidR="00FA16A2">
        <w:t xml:space="preserve">that </w:t>
      </w:r>
      <w:r>
        <w:t>these are in line with the penalties for other similar offences;</w:t>
      </w:r>
    </w:p>
    <w:p w:rsidR="0098455E" w:rsidP="00085533">
      <w:pPr>
        <w:ind w:left="426" w:hanging="426"/>
      </w:pPr>
    </w:p>
    <w:p w:rsidR="0098455E" w:rsidP="00085533">
      <w:pPr>
        <w:pStyle w:val="ListParagraph"/>
        <w:numPr>
          <w:ilvl w:val="0"/>
          <w:numId w:val="37"/>
        </w:numPr>
        <w:ind w:left="426" w:hanging="426"/>
      </w:pPr>
      <w:r>
        <w:t>r</w:t>
      </w:r>
      <w:r>
        <w:t xml:space="preserve">emoves the concept of </w:t>
      </w:r>
      <w:r w:rsidR="00C77DC4">
        <w:t>‘</w:t>
      </w:r>
      <w:r>
        <w:t>Bankruptcy Districts</w:t>
      </w:r>
      <w:r w:rsidR="00C77DC4">
        <w:t>’</w:t>
      </w:r>
      <w:r>
        <w:t xml:space="preserve"> in order to provide more flexibility in personal insolvency administration;</w:t>
      </w:r>
    </w:p>
    <w:p w:rsidR="0098455E" w:rsidP="00085533">
      <w:pPr>
        <w:ind w:left="426" w:hanging="426"/>
      </w:pPr>
    </w:p>
    <w:p w:rsidR="0098455E" w:rsidP="00085533">
      <w:pPr>
        <w:pStyle w:val="ListParagraph"/>
        <w:numPr>
          <w:ilvl w:val="0"/>
          <w:numId w:val="37"/>
        </w:numPr>
        <w:ind w:left="426" w:hanging="426"/>
      </w:pPr>
      <w:r>
        <w:t>i</w:t>
      </w:r>
      <w:r>
        <w:t>ncreases the minimum debt</w:t>
      </w:r>
      <w:r w:rsidR="00085533">
        <w:t xml:space="preserve"> to $10,000</w:t>
      </w:r>
      <w:r>
        <w:t xml:space="preserve"> for a creditor’s petition to reflect chan</w:t>
      </w:r>
      <w:r w:rsidR="00FA16A2">
        <w:t>ges in the economic environment;</w:t>
      </w:r>
    </w:p>
    <w:p w:rsidR="0098455E" w:rsidP="00085533">
      <w:pPr>
        <w:ind w:left="426" w:hanging="426"/>
      </w:pPr>
    </w:p>
    <w:p w:rsidR="0098455E" w:rsidP="00085533">
      <w:pPr>
        <w:pStyle w:val="ListParagraph"/>
        <w:numPr>
          <w:ilvl w:val="0"/>
          <w:numId w:val="37"/>
        </w:numPr>
        <w:ind w:left="426" w:hanging="426"/>
      </w:pPr>
      <w:r>
        <w:t>i</w:t>
      </w:r>
      <w:r>
        <w:t xml:space="preserve">ncreases the stay period that </w:t>
      </w:r>
      <w:r w:rsidR="00085533">
        <w:t xml:space="preserve">follows a declaration of intent (from seven </w:t>
      </w:r>
      <w:r w:rsidR="00FA16A2">
        <w:t xml:space="preserve">days </w:t>
      </w:r>
      <w:r w:rsidR="00085533">
        <w:t xml:space="preserve">to 28 days) </w:t>
      </w:r>
      <w:r>
        <w:t xml:space="preserve">to file a debtor’s petition </w:t>
      </w:r>
      <w:r w:rsidR="00C77DC4">
        <w:t>(</w:t>
      </w:r>
      <w:r>
        <w:t>to allow debtors to better assess their options</w:t>
      </w:r>
      <w:r w:rsidR="00C77DC4">
        <w:t>)</w:t>
      </w:r>
      <w:r>
        <w:t>; and</w:t>
      </w:r>
    </w:p>
    <w:p w:rsidR="0098455E" w:rsidP="00085533">
      <w:pPr>
        <w:ind w:left="426" w:hanging="426"/>
      </w:pPr>
    </w:p>
    <w:p w:rsidR="003E37DA" w:rsidP="00085533">
      <w:pPr>
        <w:pStyle w:val="ListParagraph"/>
        <w:numPr>
          <w:ilvl w:val="0"/>
          <w:numId w:val="37"/>
        </w:numPr>
        <w:ind w:left="426" w:hanging="426"/>
      </w:pPr>
      <w:r>
        <w:t>i</w:t>
      </w:r>
      <w:r w:rsidR="0098455E">
        <w:t>ncreases</w:t>
      </w:r>
      <w:r w:rsidR="0098455E">
        <w:t xml:space="preserve"> the debt, income and asset tests thresholds for debt agreements </w:t>
      </w:r>
      <w:r w:rsidR="00085533">
        <w:t xml:space="preserve">by 20% </w:t>
      </w:r>
      <w:r w:rsidR="0098455E">
        <w:t xml:space="preserve">to ensure </w:t>
      </w:r>
      <w:r>
        <w:t xml:space="preserve">that </w:t>
      </w:r>
      <w:r w:rsidR="0098455E">
        <w:t>the thresholds keep pace with increasing wages and the in</w:t>
      </w:r>
      <w:r>
        <w:t>creasing availability of credit.</w:t>
      </w:r>
    </w:p>
    <w:p w:rsidR="00DB5C4C" w:rsidP="003E37DA">
      <w:pPr>
        <w:pStyle w:val="ListParagraph"/>
        <w:ind w:left="426"/>
      </w:pPr>
    </w:p>
    <w:p w:rsidR="00C77DC4">
      <w:pPr>
        <w:spacing w:line="240" w:lineRule="auto"/>
        <w:jc w:val="left"/>
      </w:pPr>
      <w:r>
        <w:br w:type="page"/>
      </w:r>
    </w:p>
    <w:p w:rsidR="00DB5C4C" w:rsidRPr="00DB1F8D" w:rsidP="00DB5C4C">
      <w:pPr>
        <w:pStyle w:val="H2"/>
      </w:pPr>
      <w:r w:rsidRPr="00DB1F8D">
        <w:t>Determination of important matters by regulation</w:t>
      </w:r>
    </w:p>
    <w:p w:rsidR="00DB5C4C" w:rsidP="00DB5C4C">
      <w:pPr>
        <w:pStyle w:val="H2"/>
      </w:pPr>
      <w:r>
        <w:t>Schedule 1, item 12</w:t>
      </w:r>
      <w:r w:rsidR="00D875AE">
        <w:t>, new subsection</w:t>
      </w:r>
      <w:r w:rsidR="00396550">
        <w:t>s</w:t>
      </w:r>
      <w:r w:rsidR="00D875AE">
        <w:t xml:space="preserve"> 162(4)</w:t>
      </w:r>
      <w:r w:rsidR="00396550">
        <w:t xml:space="preserve"> and 162(4A)</w:t>
      </w:r>
    </w:p>
    <w:p w:rsidR="00DB5C4C" w:rsidP="00DB5C4C">
      <w:pPr>
        <w:pStyle w:val="H2"/>
      </w:pPr>
    </w:p>
    <w:p w:rsidR="00D875AE" w:rsidP="00DB5C4C">
      <w:r>
        <w:t xml:space="preserve">Schedule 1 amends provisions of the </w:t>
      </w:r>
      <w:r>
        <w:t>Bankruptcy Act</w:t>
      </w:r>
      <w:r>
        <w:t xml:space="preserve"> for setting and reviewing remuneration of trustees. </w:t>
      </w:r>
      <w:r>
        <w:t>Proposed new subsection 162(4), to be inserted by item 12 of Schedule 1</w:t>
      </w:r>
      <w:r>
        <w:t>, replac</w:t>
      </w:r>
      <w:r>
        <w:t xml:space="preserve">es </w:t>
      </w:r>
      <w:r>
        <w:t>existing subsection</w:t>
      </w:r>
      <w:r>
        <w:t xml:space="preserve"> 162(4)</w:t>
      </w:r>
      <w:r>
        <w:t xml:space="preserve"> which provides for a trustee’s remuneration to</w:t>
      </w:r>
      <w:r>
        <w:t xml:space="preserve"> be prescribed by regulations. Proposed new subsection 162(4)</w:t>
      </w:r>
      <w:r>
        <w:t xml:space="preserve"> provides</w:t>
      </w:r>
      <w:r>
        <w:t xml:space="preserve"> that, if the remuneration of the trustee is not fixed by the creditors or the committee of inspection, the trustee may, in the circumstances prescribed by the regulations, make an application in accordance with the regulations, to the Inspector-General in Bankruptcy for the</w:t>
      </w:r>
      <w:r>
        <w:t xml:space="preserve"> Inspector-General</w:t>
      </w:r>
      <w:r>
        <w:t xml:space="preserve"> to decide </w:t>
      </w:r>
      <w:r>
        <w:t>the trustee’s remuneration.</w:t>
      </w:r>
      <w:r w:rsidR="00396550">
        <w:t xml:space="preserve"> Under proposed new subsection 162(4A), the Inspector-General must decide the trustee’s remuneration having regard to the matters prescribed by the regulations.</w:t>
      </w:r>
    </w:p>
    <w:p w:rsidR="00D875AE" w:rsidP="00DB5C4C"/>
    <w:p w:rsidR="00396550" w:rsidP="00DB5C4C">
      <w:r>
        <w:t xml:space="preserve">This is a broad delegation of legislative power but the explanatory memorandum </w:t>
      </w:r>
      <w:r w:rsidR="00D875AE">
        <w:t>provides</w:t>
      </w:r>
      <w:r>
        <w:t xml:space="preserve"> (at pages 5-6)</w:t>
      </w:r>
      <w:r w:rsidR="00D875AE">
        <w:t xml:space="preserve"> </w:t>
      </w:r>
      <w:r>
        <w:t xml:space="preserve">a clear explanation of why such a process is considered appropriate (it will deal with circumstances in which it is not practical or cost effective to seek creditor approval for remuneration); </w:t>
      </w:r>
      <w:r w:rsidR="00D875AE">
        <w:t xml:space="preserve">examples </w:t>
      </w:r>
      <w:r>
        <w:t xml:space="preserve">of the matters the Inspector-General may consider </w:t>
      </w:r>
      <w:r>
        <w:t xml:space="preserve">(the trustee must have followed certain processes and done certain things); </w:t>
      </w:r>
      <w:r>
        <w:t>and the options available to the trustee if they are dissatisfied with the Inspector-General’s decision</w:t>
      </w:r>
      <w:r>
        <w:t xml:space="preserve"> (the trustee may vacate the office by a prescribed method or put a revised remuneration proposal to the creditors)</w:t>
      </w:r>
      <w:r>
        <w:t xml:space="preserve">. </w:t>
      </w:r>
      <w:r w:rsidR="00C77DC4">
        <w:t>The Committee notes that the</w:t>
      </w:r>
      <w:r>
        <w:t xml:space="preserve"> regulations would also be subject to the usual scrutiny and disallowance regime under the </w:t>
      </w:r>
      <w:r>
        <w:rPr>
          <w:i/>
        </w:rPr>
        <w:t>Legislative Instruments Act 2003</w:t>
      </w:r>
      <w:r>
        <w:t>.</w:t>
      </w:r>
    </w:p>
    <w:p w:rsidR="00396550" w:rsidP="00DB5C4C"/>
    <w:p w:rsidR="00396550" w:rsidP="00DB5C4C"/>
    <w:p w:rsidR="00396550">
      <w:pPr>
        <w:ind w:left="737" w:right="680"/>
        <w:rPr>
          <w:i/>
        </w:rPr>
      </w:pPr>
      <w:r>
        <w:rPr>
          <w:i/>
        </w:rPr>
        <w:t>In the circumstances, the Committee makes no further comment on these provisions.</w:t>
      </w:r>
    </w:p>
    <w:p w:rsidR="00396550">
      <w:pPr>
        <w:pStyle w:val="Bull"/>
        <w:numPr>
          <w:ilvl w:val="0"/>
          <w:numId w:val="0"/>
        </w:numPr>
      </w:pPr>
    </w:p>
    <w:p w:rsidR="005A4B67">
      <w:pPr>
        <w:pStyle w:val="Bull"/>
        <w:numPr>
          <w:ilvl w:val="0"/>
          <w:numId w:val="0"/>
        </w:numPr>
      </w:pPr>
    </w:p>
    <w:p w:rsidR="00DB5C4C" w:rsidP="00DB5C4C"/>
    <w:p w:rsidR="00396550" w:rsidRPr="00DB1F8D" w:rsidP="00396550">
      <w:pPr>
        <w:pStyle w:val="H2"/>
      </w:pPr>
      <w:r w:rsidRPr="00DB1F8D">
        <w:t>Determination of important matters by regulation</w:t>
      </w:r>
    </w:p>
    <w:p w:rsidR="00396550" w:rsidP="00EC0671">
      <w:pPr>
        <w:pStyle w:val="H2"/>
      </w:pPr>
      <w:r>
        <w:t>Sch</w:t>
      </w:r>
      <w:r w:rsidR="00EC0671">
        <w:t>edule 1, item 13, new section 167</w:t>
      </w:r>
    </w:p>
    <w:p w:rsidR="00396550" w:rsidP="00DB5C4C"/>
    <w:p w:rsidR="00043E48" w:rsidP="00DB5C4C">
      <w:r>
        <w:t xml:space="preserve">Similarly, </w:t>
      </w:r>
      <w:r w:rsidR="00EC0671">
        <w:t>proposed new section</w:t>
      </w:r>
      <w:r>
        <w:t xml:space="preserve"> 167</w:t>
      </w:r>
      <w:r w:rsidR="00EC0671">
        <w:t>, to be inserted by item 13 of Schedule 1, replaces</w:t>
      </w:r>
      <w:r>
        <w:t xml:space="preserve"> existing section 167. Proposed</w:t>
      </w:r>
      <w:r w:rsidR="00EC0671">
        <w:t xml:space="preserve"> new</w:t>
      </w:r>
      <w:r>
        <w:t xml:space="preserve"> section 167 provides a power to make regulations for </w:t>
      </w:r>
      <w:r w:rsidR="005A4B67">
        <w:t xml:space="preserve">the process of </w:t>
      </w:r>
      <w:r>
        <w:t>reviewing remuneration and costs</w:t>
      </w:r>
      <w:r w:rsidR="00DD5968">
        <w:t>,</w:t>
      </w:r>
      <w:r>
        <w:t xml:space="preserve"> including: reviewing decisions relating to</w:t>
      </w:r>
      <w:r w:rsidR="00DD5968">
        <w:t xml:space="preserve"> a</w:t>
      </w:r>
      <w:r>
        <w:t xml:space="preserve"> trustee’s remuneration </w:t>
      </w:r>
      <w:r>
        <w:t>(subsection</w:t>
      </w:r>
      <w:r w:rsidR="006E2D53">
        <w:t> </w:t>
      </w:r>
      <w:r>
        <w:t>167(1)); reviewing a bill of costs for services provided by a third party (subsection 167(2)); powers in relation to a review</w:t>
      </w:r>
      <w:r>
        <w:t xml:space="preserve"> by the Inspector-General</w:t>
      </w:r>
      <w:r>
        <w:t xml:space="preserve"> (</w:t>
      </w:r>
      <w:r>
        <w:t xml:space="preserve">paragraph </w:t>
      </w:r>
      <w:r>
        <w:t>167(3)(a)); and decisions that may be made by the Inspector-General in relation to the review (</w:t>
      </w:r>
      <w:r>
        <w:t>paragraph 167(3)(</w:t>
      </w:r>
      <w:r>
        <w:t>c</w:t>
      </w:r>
      <w:r>
        <w:t xml:space="preserve">)). </w:t>
      </w:r>
    </w:p>
    <w:p w:rsidR="00043E48" w:rsidP="00DB5C4C"/>
    <w:p w:rsidR="005A4B67" w:rsidP="00DB5C4C">
      <w:r>
        <w:t>The Committee notes that, while details of the p</w:t>
      </w:r>
      <w:r w:rsidR="00B70552">
        <w:t xml:space="preserve">rocess will be prescribed in </w:t>
      </w:r>
      <w:r>
        <w:t xml:space="preserve">regulations, proposed new </w:t>
      </w:r>
      <w:r>
        <w:t>section 167 sets out general principles and a broad framework</w:t>
      </w:r>
      <w:r w:rsidR="00B70552">
        <w:t xml:space="preserve"> within which the regulations will be made</w:t>
      </w:r>
      <w:r>
        <w:t>. T</w:t>
      </w:r>
      <w:r w:rsidR="00DB5C4C">
        <w:t>he explanatory memorandum</w:t>
      </w:r>
      <w:r>
        <w:t xml:space="preserve"> also contains</w:t>
      </w:r>
      <w:r w:rsidR="00DB5C4C">
        <w:t xml:space="preserve"> (</w:t>
      </w:r>
      <w:r>
        <w:t xml:space="preserve">at </w:t>
      </w:r>
      <w:r w:rsidR="00DB5C4C">
        <w:t>page 6)</w:t>
      </w:r>
      <w:r>
        <w:t xml:space="preserve"> an explanation of</w:t>
      </w:r>
      <w:r w:rsidR="00DB5C4C">
        <w:t xml:space="preserve"> </w:t>
      </w:r>
      <w:r>
        <w:t>how the process will work; and the regulations will</w:t>
      </w:r>
      <w:r w:rsidR="00DB5C4C">
        <w:t xml:space="preserve"> be subject to the usual scrutiny and disallowance regime under the </w:t>
      </w:r>
      <w:r w:rsidR="00DB5C4C">
        <w:rPr>
          <w:i/>
        </w:rPr>
        <w:t>Legislative Instruments Act 2003</w:t>
      </w:r>
      <w:r>
        <w:t>.</w:t>
      </w:r>
    </w:p>
    <w:p w:rsidR="005A4B67" w:rsidP="00DB5C4C"/>
    <w:p w:rsidR="005A4B67">
      <w:pPr>
        <w:ind w:left="737" w:right="680"/>
        <w:rPr>
          <w:i/>
        </w:rPr>
      </w:pPr>
    </w:p>
    <w:p w:rsidR="005A4B67">
      <w:pPr>
        <w:ind w:left="737" w:right="680"/>
        <w:rPr>
          <w:i/>
        </w:rPr>
      </w:pPr>
      <w:r>
        <w:rPr>
          <w:i/>
        </w:rPr>
        <w:t>In the circumstances, the Committee makes no further comment on these provisions.</w:t>
      </w:r>
    </w:p>
    <w:p w:rsidR="005A4B67">
      <w:pPr>
        <w:pStyle w:val="Bull"/>
        <w:numPr>
          <w:ilvl w:val="0"/>
          <w:numId w:val="0"/>
        </w:numPr>
      </w:pPr>
    </w:p>
    <w:p w:rsidR="00DB5C4C" w:rsidP="00DB5C4C"/>
    <w:p w:rsidR="005A4B67" w:rsidP="00DB5C4C"/>
    <w:p w:rsidR="00B70552" w:rsidP="00B70552">
      <w:pPr>
        <w:pStyle w:val="H2"/>
      </w:pPr>
      <w:r>
        <w:t>Strict liability</w:t>
      </w:r>
    </w:p>
    <w:p w:rsidR="00B70552" w:rsidP="00B70552">
      <w:pPr>
        <w:pStyle w:val="H2"/>
      </w:pPr>
      <w:r>
        <w:t>Schedule 2, items</w:t>
      </w:r>
      <w:r w:rsidR="00F04936">
        <w:t xml:space="preserve"> 7, 11, 14, 22, 23, 27, 33, 46, 56, 59, 62, 64</w:t>
      </w:r>
      <w:r w:rsidR="00EF710B">
        <w:t>,</w:t>
      </w:r>
      <w:r w:rsidR="00F04936">
        <w:t xml:space="preserve"> 67</w:t>
      </w:r>
      <w:r w:rsidR="0002045C">
        <w:t xml:space="preserve"> and 82</w:t>
      </w:r>
    </w:p>
    <w:p w:rsidR="00B70552" w:rsidP="00B70552">
      <w:pPr>
        <w:pStyle w:val="H2"/>
      </w:pPr>
    </w:p>
    <w:p w:rsidR="00B70552" w:rsidP="00B70552">
      <w:r>
        <w:t xml:space="preserve">In February 2004, the Minister for Justice and Customs published a </w:t>
      </w:r>
      <w:r>
        <w:rPr>
          <w:i/>
        </w:rPr>
        <w:t xml:space="preserve">Guide to the Framing of Commonwealth Offences, Civil Penalties and Enforcement Powers, </w:t>
      </w:r>
      <w:r>
        <w:t xml:space="preserve">which draws together the principles of the criminal law policy of the Commonwealth. Part 4.5 of the </w:t>
      </w:r>
      <w:r>
        <w:rPr>
          <w:i/>
        </w:rPr>
        <w:t>Guide</w:t>
      </w:r>
      <w:r>
        <w:t xml:space="preserve"> contains a statement of the matters which should be considered in framing strict and absolute liability offences. The Committee will gener</w:t>
      </w:r>
      <w:r w:rsidR="00F04936">
        <w:t>ally draw to the attention of Senators any</w:t>
      </w:r>
      <w:r>
        <w:t xml:space="preserve"> provisions </w:t>
      </w:r>
      <w:r w:rsidR="00F04936">
        <w:t xml:space="preserve">in bills </w:t>
      </w:r>
      <w:r>
        <w:t>which create strict and absolute liability offences</w:t>
      </w:r>
      <w:r w:rsidR="00C77DC4">
        <w:t xml:space="preserve">. The Committee </w:t>
      </w:r>
      <w:r>
        <w:t xml:space="preserve">considers that the reasons for </w:t>
      </w:r>
      <w:r w:rsidR="00F04936">
        <w:t>the</w:t>
      </w:r>
      <w:r>
        <w:t xml:space="preserve"> imposition</w:t>
      </w:r>
      <w:r w:rsidR="00C77DC4">
        <w:t xml:space="preserve"> of strict and absolute liability</w:t>
      </w:r>
      <w:r>
        <w:t xml:space="preserve"> should be set out in</w:t>
      </w:r>
      <w:r w:rsidR="00C77DC4">
        <w:t xml:space="preserve"> the relevant explanatory memorandum</w:t>
      </w:r>
      <w:r>
        <w:t>.</w:t>
      </w:r>
    </w:p>
    <w:p w:rsidR="00F04936" w:rsidP="00B70552"/>
    <w:p w:rsidR="00B70552" w:rsidP="00B70552">
      <w:r>
        <w:t>Schedule 2 of the bill contains offence provisions. Several of these provisions impose strict liability for failure by a trustee</w:t>
      </w:r>
      <w:r w:rsidR="00137D03">
        <w:t>, debt agreement administrator or creditor</w:t>
      </w:r>
      <w:r>
        <w:t xml:space="preserve"> to comply with certain requirements</w:t>
      </w:r>
      <w:r w:rsidR="006B4E3D">
        <w:t xml:space="preserve"> (for example, provide certain information to the Official Receiver)</w:t>
      </w:r>
      <w:r>
        <w:t xml:space="preserve">: items 7, </w:t>
      </w:r>
      <w:r w:rsidRPr="00D3288C">
        <w:t>11, 14, 22, 23</w:t>
      </w:r>
      <w:r>
        <w:t xml:space="preserve">, 27, 33, </w:t>
      </w:r>
      <w:r w:rsidRPr="00D3288C">
        <w:t>46</w:t>
      </w:r>
      <w:r>
        <w:t xml:space="preserve">, </w:t>
      </w:r>
      <w:r w:rsidRPr="00D3288C">
        <w:t>56</w:t>
      </w:r>
      <w:r>
        <w:t xml:space="preserve">, </w:t>
      </w:r>
      <w:r w:rsidRPr="00D3288C">
        <w:t>59</w:t>
      </w:r>
      <w:r>
        <w:t xml:space="preserve">, 62, </w:t>
      </w:r>
      <w:r w:rsidRPr="00D3288C">
        <w:t>64 and 67</w:t>
      </w:r>
      <w:r>
        <w:t>.</w:t>
      </w:r>
    </w:p>
    <w:p w:rsidR="00B70552" w:rsidP="00B70552">
      <w:pPr>
        <w:rPr>
          <w:b/>
        </w:rPr>
      </w:pPr>
    </w:p>
    <w:p w:rsidR="006B4E3D" w:rsidP="00B70552">
      <w:r>
        <w:t xml:space="preserve">While the explanatory memorandum does not refer to the </w:t>
      </w:r>
      <w:r w:rsidRPr="006B4E3D">
        <w:rPr>
          <w:i/>
        </w:rPr>
        <w:t>Guide</w:t>
      </w:r>
      <w:r>
        <w:t>, it does provide</w:t>
      </w:r>
      <w:r w:rsidR="00137D03">
        <w:t xml:space="preserve"> a clear explanation of the reasons for the imposition of strict liability</w:t>
      </w:r>
      <w:r>
        <w:t xml:space="preserve"> in each case</w:t>
      </w:r>
      <w:r w:rsidR="00137D03">
        <w:t xml:space="preserve">. Some of the reasons include that strict liability is appropriate </w:t>
      </w:r>
      <w:r w:rsidR="00137D03">
        <w:t>because</w:t>
      </w:r>
      <w:r w:rsidR="00B70552">
        <w:t xml:space="preserve"> </w:t>
      </w:r>
      <w:r w:rsidR="00137D03">
        <w:t>‘</w:t>
      </w:r>
      <w:r w:rsidR="00B70552">
        <w:t xml:space="preserve">prompt notification of </w:t>
      </w:r>
      <w:r>
        <w:t>[certain information]</w:t>
      </w:r>
      <w:r w:rsidR="00B70552">
        <w:t xml:space="preserve"> is necessary to preserve the integrity of the National Personal Insolvency Index (NPII) which is the public record of bankruptcy and personal insolvency events</w:t>
      </w:r>
      <w:r>
        <w:t>’ (see paragraph</w:t>
      </w:r>
      <w:r w:rsidR="00EF710B">
        <w:t> </w:t>
      </w:r>
      <w:r>
        <w:t>52</w:t>
      </w:r>
      <w:r w:rsidR="00EF710B">
        <w:t>)</w:t>
      </w:r>
      <w:r>
        <w:t>; and</w:t>
      </w:r>
      <w:r w:rsidR="00B70552">
        <w:t xml:space="preserve"> </w:t>
      </w:r>
      <w:r>
        <w:t>that</w:t>
      </w:r>
      <w:r w:rsidR="00EF710B">
        <w:t xml:space="preserve"> the provision of certain information</w:t>
      </w:r>
      <w:r w:rsidR="00B70552">
        <w:t xml:space="preserve"> is </w:t>
      </w:r>
      <w:r>
        <w:t>‘</w:t>
      </w:r>
      <w:r w:rsidR="00B70552">
        <w:t>integral to the effective regulation of trustees</w:t>
      </w:r>
      <w:r>
        <w:t>’ (see paragraph 64).</w:t>
      </w:r>
    </w:p>
    <w:p w:rsidR="00C77DC4" w:rsidP="00B70552"/>
    <w:p w:rsidR="00C77DC4" w:rsidP="00B70552">
      <w:r w:rsidRPr="00D3288C">
        <w:t>The Committee notes also that most of</w:t>
      </w:r>
      <w:r w:rsidRPr="00D3288C" w:rsidR="006B4E3D">
        <w:t xml:space="preserve"> the</w:t>
      </w:r>
      <w:r w:rsidRPr="00D3288C">
        <w:t xml:space="preserve"> </w:t>
      </w:r>
      <w:r w:rsidRPr="00D3288C" w:rsidR="006B4E3D">
        <w:t>strict liability offences</w:t>
      </w:r>
      <w:r w:rsidRPr="00D3288C">
        <w:t xml:space="preserve"> in Schedule 2</w:t>
      </w:r>
      <w:r w:rsidRPr="00D3288C" w:rsidR="006B4E3D">
        <w:t xml:space="preserve"> are </w:t>
      </w:r>
      <w:r w:rsidRPr="00D3288C">
        <w:t>part of</w:t>
      </w:r>
      <w:r w:rsidRPr="00D3288C" w:rsidR="006B4E3D">
        <w:t xml:space="preserve"> </w:t>
      </w:r>
      <w:r>
        <w:t>a</w:t>
      </w:r>
      <w:r w:rsidRPr="00D3288C" w:rsidR="006B4E3D">
        <w:t xml:space="preserve"> proposed new infringement notice regime for offences of strict liability</w:t>
      </w:r>
      <w:r>
        <w:t xml:space="preserve"> (new and existing)</w:t>
      </w:r>
      <w:r w:rsidRPr="00D3288C" w:rsidR="006B4E3D">
        <w:t xml:space="preserve"> in the Bankruptcy Act</w:t>
      </w:r>
      <w:r w:rsidRPr="00D3288C" w:rsidR="005970AF">
        <w:t>,</w:t>
      </w:r>
      <w:r w:rsidRPr="00D3288C">
        <w:t xml:space="preserve"> which</w:t>
      </w:r>
      <w:r>
        <w:t xml:space="preserve"> is</w:t>
      </w:r>
      <w:r w:rsidRPr="00D3288C">
        <w:t xml:space="preserve"> contained in item 8</w:t>
      </w:r>
      <w:r w:rsidRPr="00D3288C" w:rsidR="0002045C">
        <w:t>2</w:t>
      </w:r>
      <w:r w:rsidRPr="00D3288C">
        <w:t xml:space="preserve"> of Schedule 2</w:t>
      </w:r>
      <w:r w:rsidRPr="00D3288C" w:rsidR="006B4E3D">
        <w:t xml:space="preserve">. </w:t>
      </w:r>
      <w:r w:rsidRPr="00D3288C">
        <w:t>Under the infringement notice regime, a non-judicial officer is empowered to give a notice alleging the offence to a suspected offender</w:t>
      </w:r>
      <w:r w:rsidRPr="00D3288C" w:rsidR="005970AF">
        <w:t xml:space="preserve"> which provides</w:t>
      </w:r>
      <w:r w:rsidRPr="00D3288C">
        <w:t xml:space="preserve"> that the suspected offender may pay a specifie</w:t>
      </w:r>
      <w:r>
        <w:t>d penalty to avoid prosecution.</w:t>
      </w:r>
    </w:p>
    <w:p w:rsidR="00C77DC4" w:rsidP="00B70552"/>
    <w:p w:rsidR="00B70552" w:rsidP="00B70552">
      <w:r w:rsidRPr="00D3288C">
        <w:t>This regime is fully explained at paragraph 95 of the explanatory memorandum: ‘Such a regime would provide an efficient means of penalising behaviour which, while relatively minor in criminality, can have significant repercussions for the effective administration of bankrupt estates, integrity of the NPII or regulation of insolvency practitioners. The issuing of a notice would not replace the current penalties but would serve as an alternative to prosecution’.</w:t>
      </w:r>
    </w:p>
    <w:p w:rsidR="00EF710B" w:rsidP="00B70552"/>
    <w:p w:rsidR="00EF710B" w:rsidP="00B70552"/>
    <w:p w:rsidR="00B70552" w:rsidP="00EF710B">
      <w:pPr>
        <w:ind w:left="737" w:right="680"/>
      </w:pPr>
      <w:r>
        <w:rPr>
          <w:i/>
        </w:rPr>
        <w:t>In the circumstances, the Committee makes no further comment on these provisions.</w:t>
      </w:r>
    </w:p>
    <w:p w:rsidR="00B70552" w:rsidP="00B70552">
      <w:pPr>
        <w:pStyle w:val="H2"/>
      </w:pPr>
    </w:p>
    <w:p w:rsidR="00EF710B" w:rsidP="00B70552">
      <w:pPr>
        <w:pStyle w:val="H2"/>
      </w:pPr>
    </w:p>
    <w:p w:rsidR="00C77DC4" w:rsidP="00B70552">
      <w:pPr>
        <w:pStyle w:val="H2"/>
      </w:pPr>
    </w:p>
    <w:p w:rsidR="00EF710B" w:rsidP="00B70552">
      <w:pPr>
        <w:pStyle w:val="H2"/>
      </w:pPr>
      <w:r>
        <w:t>Retrospective application</w:t>
      </w:r>
    </w:p>
    <w:p w:rsidR="0002045C" w:rsidP="00B70552">
      <w:pPr>
        <w:pStyle w:val="H2"/>
      </w:pPr>
      <w:r>
        <w:t>Schedule 2</w:t>
      </w:r>
      <w:r>
        <w:t xml:space="preserve">, </w:t>
      </w:r>
      <w:r w:rsidR="00FC4420">
        <w:t>sub</w:t>
      </w:r>
      <w:r>
        <w:t>item</w:t>
      </w:r>
      <w:r>
        <w:t xml:space="preserve"> 84</w:t>
      </w:r>
      <w:r w:rsidR="00FC4420">
        <w:t>(3)</w:t>
      </w:r>
    </w:p>
    <w:p w:rsidR="0002045C" w:rsidP="00B70552">
      <w:pPr>
        <w:pStyle w:val="H2"/>
      </w:pPr>
    </w:p>
    <w:p w:rsidR="001D746B" w:rsidP="001D746B">
      <w:r>
        <w:t xml:space="preserve">Item 84 of </w:t>
      </w:r>
      <w:r w:rsidR="0002045C">
        <w:t>Schedule 2 contains</w:t>
      </w:r>
      <w:r>
        <w:t xml:space="preserve"> a number of</w:t>
      </w:r>
      <w:r w:rsidR="0002045C">
        <w:t xml:space="preserve"> application provisions</w:t>
      </w:r>
      <w:r>
        <w:t xml:space="preserve">. </w:t>
      </w:r>
      <w:r>
        <w:t>Subitem</w:t>
      </w:r>
      <w:r>
        <w:t> </w:t>
      </w:r>
      <w:r w:rsidR="0002045C">
        <w:t>84(3) provid</w:t>
      </w:r>
      <w:r>
        <w:t>es</w:t>
      </w:r>
      <w:r w:rsidR="0002045C">
        <w:t xml:space="preserve"> that the amendment made by item 15 (relating to a new power in section 77C for the Official Receiver to obtain a statement of affairs</w:t>
      </w:r>
      <w:r>
        <w:t xml:space="preserve"> from a bankrupt</w:t>
      </w:r>
      <w:r w:rsidR="0002045C">
        <w:t xml:space="preserve">) applies to bankruptcies </w:t>
      </w:r>
      <w:r w:rsidR="00C77DC4">
        <w:t>occurring</w:t>
      </w:r>
      <w:r w:rsidR="0002045C">
        <w:t xml:space="preserve"> </w:t>
      </w:r>
      <w:r>
        <w:t>‘before, on or after the day on which that item commences’</w:t>
      </w:r>
      <w:r w:rsidR="0002045C">
        <w:t>.</w:t>
      </w:r>
    </w:p>
    <w:p w:rsidR="00FC3E3E" w:rsidP="001D746B"/>
    <w:p w:rsidR="00FC3E3E" w:rsidP="001D746B">
      <w:r>
        <w:t>This gives the provision retrospective</w:t>
      </w:r>
      <w:r w:rsidR="001D746B">
        <w:t xml:space="preserve"> application,</w:t>
      </w:r>
      <w:r>
        <w:t xml:space="preserve"> </w:t>
      </w:r>
      <w:r w:rsidR="00C77DC4">
        <w:t>even though</w:t>
      </w:r>
      <w:r>
        <w:t xml:space="preserve"> the explanatory memorandum </w:t>
      </w:r>
      <w:r w:rsidR="00C77DC4">
        <w:t xml:space="preserve">contains </w:t>
      </w:r>
      <w:r w:rsidR="00BD4732">
        <w:t>a</w:t>
      </w:r>
      <w:r w:rsidR="00C77DC4">
        <w:t xml:space="preserve"> general statement</w:t>
      </w:r>
      <w:r w:rsidR="00AF161C">
        <w:t xml:space="preserve"> (at paragraph 16)</w:t>
      </w:r>
      <w:r>
        <w:t xml:space="preserve"> that </w:t>
      </w:r>
      <w:r w:rsidR="00AF161C">
        <w:t>‘(</w:t>
      </w:r>
      <w:r>
        <w:t>a</w:t>
      </w:r>
      <w:r w:rsidR="00AF161C">
        <w:t>)</w:t>
      </w:r>
      <w:r>
        <w:t>ll</w:t>
      </w:r>
      <w:r>
        <w:t xml:space="preserve"> amendments will apply prospectively only</w:t>
      </w:r>
      <w:r w:rsidR="00AF161C">
        <w:t>’</w:t>
      </w:r>
      <w:r>
        <w:t xml:space="preserve">. </w:t>
      </w:r>
      <w:r w:rsidR="00AF161C">
        <w:t xml:space="preserve">In relation to </w:t>
      </w:r>
      <w:r w:rsidR="00AF161C">
        <w:t>subitem</w:t>
      </w:r>
      <w:r w:rsidR="00C77DC4">
        <w:t> </w:t>
      </w:r>
      <w:r w:rsidR="00AF161C">
        <w:t>84(3)</w:t>
      </w:r>
      <w:r w:rsidR="003E70BE">
        <w:t>,</w:t>
      </w:r>
      <w:r w:rsidR="00C77DC4">
        <w:t xml:space="preserve"> </w:t>
      </w:r>
      <w:r w:rsidR="00C77DC4">
        <w:t>specifically</w:t>
      </w:r>
      <w:r w:rsidR="00AF161C">
        <w:t>, t</w:t>
      </w:r>
      <w:r>
        <w:t>he explanatory memorandum explains</w:t>
      </w:r>
      <w:r w:rsidR="00AF161C">
        <w:t xml:space="preserve"> (at</w:t>
      </w:r>
      <w:r w:rsidR="00BD4732">
        <w:t xml:space="preserve"> </w:t>
      </w:r>
      <w:r w:rsidR="00AF161C">
        <w:t>paragraph 100)</w:t>
      </w:r>
      <w:r>
        <w:t xml:space="preserve"> that </w:t>
      </w:r>
      <w:r w:rsidR="002B3A8E">
        <w:t>the provision</w:t>
      </w:r>
      <w:r>
        <w:t xml:space="preserve"> is</w:t>
      </w:r>
      <w:r w:rsidR="00C77DC4">
        <w:t xml:space="preserve"> considered</w:t>
      </w:r>
      <w:r>
        <w:t xml:space="preserve"> appropriate </w:t>
      </w:r>
      <w:r w:rsidR="00C77DC4">
        <w:t>since t</w:t>
      </w:r>
      <w:r>
        <w:t>he obligation to file a statement of affairs already exists and</w:t>
      </w:r>
      <w:r w:rsidR="00AF161C">
        <w:t xml:space="preserve"> that ‘</w:t>
      </w:r>
      <w:r>
        <w:t>the new power is simply</w:t>
      </w:r>
      <w:r>
        <w:rPr>
          <w:i/>
        </w:rPr>
        <w:t xml:space="preserve"> </w:t>
      </w:r>
      <w:r>
        <w:t>allowing the Official Receiver to enforce that existing obligation</w:t>
      </w:r>
      <w:r w:rsidR="00AF161C">
        <w:t>’</w:t>
      </w:r>
      <w:r>
        <w:t>.</w:t>
      </w:r>
    </w:p>
    <w:p w:rsidR="00FC3E3E" w:rsidP="001D746B"/>
    <w:p w:rsidR="0002045C" w:rsidP="001D746B">
      <w:r>
        <w:t>As a matter of practice, the Committee draws attention to any bill that seeks to have retrospective impact and will comment adversely where such a bill has a detrimental effect on people. In this case,</w:t>
      </w:r>
      <w:r w:rsidR="00AF161C">
        <w:t xml:space="preserve"> </w:t>
      </w:r>
      <w:r>
        <w:t xml:space="preserve">the </w:t>
      </w:r>
      <w:r w:rsidRPr="00FC3E3E">
        <w:t>Committee</w:t>
      </w:r>
      <w:r w:rsidRPr="00AF161C">
        <w:rPr>
          <w:b/>
        </w:rPr>
        <w:t xml:space="preserve"> seek</w:t>
      </w:r>
      <w:r w:rsidRPr="00AF161C" w:rsidR="00AF161C">
        <w:rPr>
          <w:b/>
        </w:rPr>
        <w:t>s</w:t>
      </w:r>
      <w:r w:rsidRPr="00AF161C">
        <w:rPr>
          <w:b/>
        </w:rPr>
        <w:t xml:space="preserve"> the</w:t>
      </w:r>
      <w:r w:rsidRPr="00AF161C" w:rsidR="00AF161C">
        <w:rPr>
          <w:b/>
        </w:rPr>
        <w:t xml:space="preserve"> Attorney-General’s advice</w:t>
      </w:r>
      <w:r w:rsidR="00AF161C">
        <w:t xml:space="preserve"> in relation to the</w:t>
      </w:r>
      <w:r w:rsidR="00FD2318">
        <w:t xml:space="preserve"> </w:t>
      </w:r>
      <w:r w:rsidR="00AF161C">
        <w:t>reason</w:t>
      </w:r>
      <w:r w:rsidR="00FD2318">
        <w:t>s</w:t>
      </w:r>
      <w:r w:rsidR="00AF161C">
        <w:t xml:space="preserve"> why</w:t>
      </w:r>
      <w:r>
        <w:t xml:space="preserve"> it is</w:t>
      </w:r>
      <w:r w:rsidR="00C77DC4">
        <w:t xml:space="preserve"> now</w:t>
      </w:r>
      <w:r w:rsidR="00AF161C">
        <w:t xml:space="preserve"> considered</w:t>
      </w:r>
      <w:r>
        <w:t xml:space="preserve"> necessary to apply the enforcement mechanism to those who </w:t>
      </w:r>
      <w:r w:rsidR="00AF161C">
        <w:t xml:space="preserve">become </w:t>
      </w:r>
      <w:r>
        <w:t>bankrupt</w:t>
      </w:r>
      <w:r w:rsidR="00AF161C">
        <w:t xml:space="preserve"> before the commencement of </w:t>
      </w:r>
      <w:r>
        <w:t xml:space="preserve">the </w:t>
      </w:r>
      <w:r w:rsidR="00AF161C">
        <w:t>bill</w:t>
      </w:r>
      <w:r w:rsidR="00FD2318">
        <w:t>.</w:t>
      </w:r>
    </w:p>
    <w:p w:rsidR="0002045C" w:rsidRPr="00FD2318" w:rsidP="0002045C">
      <w:pPr>
        <w:pStyle w:val="H2"/>
        <w:rPr>
          <w:b w:val="0"/>
        </w:rPr>
      </w:pPr>
    </w:p>
    <w:p w:rsidR="00FC3E3E" w:rsidRPr="00FD2318" w:rsidP="0002045C">
      <w:pPr>
        <w:pStyle w:val="H2"/>
        <w:rPr>
          <w:b w:val="0"/>
        </w:rPr>
      </w:pPr>
    </w:p>
    <w:p w:rsidR="00FD2318">
      <w:pPr>
        <w:ind w:left="567" w:right="567"/>
        <w:rPr>
          <w:i/>
        </w:rPr>
      </w:pPr>
      <w:r>
        <w:rPr>
          <w:i/>
        </w:rPr>
        <w:t>Pending the Attorney-General’s advice, the Committee draws Senators’ attention to the provision, as it may be considered to trespass unduly on personal rights and liberties, in breach of principle 1(a)(</w:t>
      </w:r>
      <w:r>
        <w:rPr>
          <w:i/>
        </w:rPr>
        <w:t>i</w:t>
      </w:r>
      <w:r>
        <w:rPr>
          <w:i/>
        </w:rPr>
        <w:t>) of the Committee’s terms of reference.</w:t>
      </w:r>
    </w:p>
    <w:p w:rsidR="00FD2318">
      <w:pPr>
        <w:ind w:left="567" w:right="567"/>
        <w:rPr>
          <w:i/>
        </w:rPr>
      </w:pPr>
    </w:p>
    <w:p w:rsidR="00FC3E3E" w:rsidRPr="00FD2318" w:rsidP="0002045C">
      <w:pPr>
        <w:pStyle w:val="H2"/>
        <w:rPr>
          <w:b w:val="0"/>
        </w:rPr>
      </w:pPr>
    </w:p>
    <w:p w:rsidR="00FD2318" w:rsidRPr="00FD2318" w:rsidP="0002045C">
      <w:pPr>
        <w:pStyle w:val="H2"/>
        <w:rPr>
          <w:b w:val="0"/>
        </w:rPr>
      </w:pPr>
    </w:p>
    <w:p w:rsidR="0002045C" w:rsidP="0002045C">
      <w:pPr>
        <w:pStyle w:val="H2"/>
      </w:pPr>
      <w:r>
        <w:t>Omission in explanatory memorandum</w:t>
      </w:r>
    </w:p>
    <w:p w:rsidR="0002045C" w:rsidP="0002045C">
      <w:pPr>
        <w:pStyle w:val="H2"/>
      </w:pPr>
      <w:r>
        <w:t>Schedules 3 and 4</w:t>
      </w:r>
    </w:p>
    <w:p w:rsidR="0002045C" w:rsidP="0002045C">
      <w:pPr>
        <w:rPr>
          <w:b/>
          <w:i/>
          <w:sz w:val="24"/>
          <w:szCs w:val="24"/>
        </w:rPr>
      </w:pPr>
    </w:p>
    <w:p w:rsidR="0002045C" w:rsidP="0002045C">
      <w:r>
        <w:t>The Committee notes that the explanatory memorandum does not provide a detailed explanation of Schedule 3 (Removal of Bankruptcy Districts) and Schedule 4 (Other amendments)</w:t>
      </w:r>
      <w:r w:rsidR="001D746B">
        <w:t xml:space="preserve">, </w:t>
      </w:r>
      <w:r>
        <w:t>although the General Outline in the explanatory memorandum does contain a brief</w:t>
      </w:r>
      <w:r w:rsidR="001D746B">
        <w:t xml:space="preserve"> description of these Schedules</w:t>
      </w:r>
      <w:r>
        <w:t>. The consideration of bills by the Committee and by the Parliament is assisted if they are accompanied by a detailed explanation of the intent and operation of proposed amendments.</w:t>
      </w:r>
      <w:r w:rsidR="001D746B">
        <w:t xml:space="preserve"> The Committee </w:t>
      </w:r>
      <w:r w:rsidRPr="001D746B" w:rsidR="001D746B">
        <w:rPr>
          <w:b/>
        </w:rPr>
        <w:t>draws to the attention of the Attorney-General</w:t>
      </w:r>
      <w:r w:rsidR="001D746B">
        <w:t xml:space="preserve"> the lack of detailed explanation</w:t>
      </w:r>
      <w:r w:rsidR="00C77DC4">
        <w:t xml:space="preserve"> of</w:t>
      </w:r>
      <w:r w:rsidR="001D746B">
        <w:t xml:space="preserve"> Schedules 3 and 4.</w:t>
      </w:r>
    </w:p>
    <w:p w:rsidR="0002045C" w:rsidP="0002045C"/>
    <w:p w:rsidR="0002045C" w:rsidP="0002045C"/>
    <w:p w:rsidR="003E70BE">
      <w:pPr>
        <w:ind w:left="737" w:right="680"/>
        <w:rPr>
          <w:i/>
        </w:rPr>
      </w:pPr>
      <w:r>
        <w:rPr>
          <w:i/>
        </w:rPr>
        <w:t>In the circumstances, the Committee makes no further comment on this bill.</w:t>
      </w:r>
    </w:p>
    <w:p w:rsidR="003E70BE">
      <w:pPr>
        <w:pStyle w:val="Bull"/>
        <w:numPr>
          <w:ilvl w:val="0"/>
          <w:numId w:val="0"/>
        </w:numPr>
      </w:pPr>
    </w:p>
    <w:p w:rsidR="003E70BE" w:rsidP="0002045C"/>
    <w:p w:rsidR="003E37DA" w:rsidP="00B70552">
      <w:pPr>
        <w:pStyle w:val="H2"/>
      </w:pPr>
      <w:r>
        <w:br w:type="page"/>
      </w:r>
    </w:p>
    <w:p w:rsidR="0097734F" w:rsidP="0097734F">
      <w:pPr>
        <w:pStyle w:val="H1"/>
      </w:pPr>
      <w:r>
        <w:t>Families, Housing, Community Services and Indigenous Affairs and Other Legislation Amendment (Restoration of Racial Discrimination Act) Bill 2009</w:t>
      </w:r>
    </w:p>
    <w:p w:rsidR="007631B6" w:rsidP="007631B6">
      <w:r>
        <w:t>Introduced into the Senate on 29 October 2009</w:t>
      </w:r>
    </w:p>
    <w:p w:rsidR="007631B6" w:rsidP="007631B6">
      <w:r>
        <w:t>By Senator Siewert</w:t>
      </w:r>
    </w:p>
    <w:p w:rsidR="007631B6" w:rsidP="007631B6"/>
    <w:p w:rsidR="007631B6" w:rsidP="007631B6"/>
    <w:p w:rsidR="007631B6" w:rsidP="007631B6">
      <w:pPr>
        <w:pStyle w:val="H2"/>
      </w:pPr>
      <w:r>
        <w:t>Background</w:t>
      </w:r>
    </w:p>
    <w:p w:rsidR="007631B6" w:rsidP="007631B6"/>
    <w:p w:rsidR="00AA3244" w:rsidP="00D72D9F">
      <w:r>
        <w:t>This bill</w:t>
      </w:r>
      <w:r>
        <w:t xml:space="preserve"> aims to ensure that the Northern Territory Intervention is consistent with Australia’s human rights obligations by restoring</w:t>
      </w:r>
      <w:r w:rsidR="00DB3F20">
        <w:t xml:space="preserve"> the operation of the </w:t>
      </w:r>
      <w:r w:rsidR="00DB3F20">
        <w:rPr>
          <w:i/>
        </w:rPr>
        <w:t xml:space="preserve">Racial Discrimination Act 1975 </w:t>
      </w:r>
      <w:r w:rsidR="00C63AD3">
        <w:t>(</w:t>
      </w:r>
      <w:r w:rsidR="00C63AD3">
        <w:t>Cth</w:t>
      </w:r>
      <w:r w:rsidR="00C63AD3">
        <w:t xml:space="preserve">) </w:t>
      </w:r>
      <w:r w:rsidR="00DB3F20">
        <w:t>and relevant Northern Territory anti-discrimination laws to</w:t>
      </w:r>
      <w:r>
        <w:t>:</w:t>
      </w:r>
    </w:p>
    <w:p w:rsidR="00AA3244" w:rsidP="00D72D9F"/>
    <w:p w:rsidR="00AA3244" w:rsidP="00D72D9F">
      <w:pPr>
        <w:pStyle w:val="ListParagraph"/>
        <w:numPr>
          <w:ilvl w:val="0"/>
          <w:numId w:val="38"/>
        </w:numPr>
        <w:ind w:left="426" w:hanging="426"/>
      </w:pPr>
      <w:r>
        <w:t xml:space="preserve">the </w:t>
      </w:r>
      <w:r w:rsidRPr="00AA3244">
        <w:rPr>
          <w:i/>
        </w:rPr>
        <w:t>Families, Community Services and Indigenous Affairs and Other Legislation Amendment (Northern Territory National Emergency Response and Other Measures) Act 2007</w:t>
      </w:r>
      <w:r>
        <w:t>;</w:t>
      </w:r>
    </w:p>
    <w:p w:rsidR="00AA3244" w:rsidP="00AA3244">
      <w:pPr>
        <w:pStyle w:val="ListParagraph"/>
        <w:ind w:left="426"/>
      </w:pPr>
    </w:p>
    <w:p w:rsidR="00AA3244" w:rsidP="00D72D9F">
      <w:pPr>
        <w:pStyle w:val="ListParagraph"/>
        <w:numPr>
          <w:ilvl w:val="0"/>
          <w:numId w:val="38"/>
        </w:numPr>
        <w:ind w:left="426" w:hanging="426"/>
      </w:pPr>
      <w:r>
        <w:t xml:space="preserve">the </w:t>
      </w:r>
      <w:r w:rsidRPr="00AA3244">
        <w:rPr>
          <w:i/>
        </w:rPr>
        <w:t>Northern Territory National Emergency Response Act 2007</w:t>
      </w:r>
      <w:r>
        <w:t>; and</w:t>
      </w:r>
    </w:p>
    <w:p w:rsidR="00AA3244" w:rsidP="00AA3244">
      <w:pPr>
        <w:pStyle w:val="ListParagraph"/>
      </w:pPr>
    </w:p>
    <w:p w:rsidR="00AA3244" w:rsidP="00D72D9F">
      <w:pPr>
        <w:pStyle w:val="ListParagraph"/>
        <w:numPr>
          <w:ilvl w:val="0"/>
          <w:numId w:val="38"/>
        </w:numPr>
        <w:ind w:left="426" w:hanging="426"/>
      </w:pPr>
      <w:r>
        <w:t>the</w:t>
      </w:r>
      <w:r>
        <w:t xml:space="preserve"> </w:t>
      </w:r>
      <w:r w:rsidRPr="00AA3244">
        <w:rPr>
          <w:i/>
        </w:rPr>
        <w:t>Social Security and Other Legislation Amendment (Welfare Payment Reform) Act 2007</w:t>
      </w:r>
      <w:r>
        <w:t>.</w:t>
      </w:r>
    </w:p>
    <w:p w:rsidR="00D72D9F" w:rsidP="00D72D9F"/>
    <w:p w:rsidR="00AB7C46" w:rsidP="0098455E">
      <w:r>
        <w:t>Specifically, t</w:t>
      </w:r>
      <w:r w:rsidR="00E86CB0">
        <w:t>he bill</w:t>
      </w:r>
      <w:r w:rsidR="00DB3F20">
        <w:t xml:space="preserve"> will ensure that</w:t>
      </w:r>
      <w:r>
        <w:t>:</w:t>
      </w:r>
    </w:p>
    <w:p w:rsidR="00AB7C46" w:rsidP="0098455E"/>
    <w:p w:rsidR="00AB7C46" w:rsidP="00AB7C46">
      <w:pPr>
        <w:pStyle w:val="ListParagraph"/>
        <w:numPr>
          <w:ilvl w:val="0"/>
          <w:numId w:val="38"/>
        </w:numPr>
        <w:ind w:left="426" w:hanging="426"/>
      </w:pPr>
      <w:r>
        <w:t xml:space="preserve">the provisions of the </w:t>
      </w:r>
      <w:r w:rsidRPr="00AB7C46" w:rsidR="0098455E">
        <w:rPr>
          <w:i/>
        </w:rPr>
        <w:t>Racial Discrimination Act 1975</w:t>
      </w:r>
      <w:r w:rsidR="0098455E">
        <w:t xml:space="preserve"> </w:t>
      </w:r>
      <w:r>
        <w:t>prevail over the provisions of the above-mentioned Acts</w:t>
      </w:r>
      <w:r>
        <w:t>;</w:t>
      </w:r>
    </w:p>
    <w:p w:rsidR="00AB7C46" w:rsidP="00AB7C46">
      <w:pPr>
        <w:ind w:left="426" w:hanging="426"/>
      </w:pPr>
    </w:p>
    <w:p w:rsidR="00DB3F20" w:rsidP="00AB7C46">
      <w:pPr>
        <w:pStyle w:val="ListParagraph"/>
        <w:numPr>
          <w:ilvl w:val="0"/>
          <w:numId w:val="38"/>
        </w:numPr>
        <w:ind w:left="426" w:hanging="426"/>
      </w:pPr>
      <w:r>
        <w:t xml:space="preserve">the above Acts do not authorise </w:t>
      </w:r>
      <w:r w:rsidR="00AB7C46">
        <w:t>conduct</w:t>
      </w:r>
      <w:r>
        <w:t xml:space="preserve"> </w:t>
      </w:r>
      <w:r w:rsidR="00AB7C46">
        <w:t xml:space="preserve">that is inconsistent with the provisions of the </w:t>
      </w:r>
      <w:r w:rsidRPr="00AB7C46" w:rsidR="00AB7C46">
        <w:rPr>
          <w:i/>
        </w:rPr>
        <w:t>Racial Discrimination Act 1975</w:t>
      </w:r>
      <w:r w:rsidR="00AB7C46">
        <w:t>;</w:t>
      </w:r>
    </w:p>
    <w:p w:rsidR="00DB3F20" w:rsidP="00DB3F20">
      <w:pPr>
        <w:pStyle w:val="ListParagraph"/>
      </w:pPr>
    </w:p>
    <w:p w:rsidR="00AB7C46" w:rsidP="00AB7C46">
      <w:pPr>
        <w:pStyle w:val="ListParagraph"/>
        <w:numPr>
          <w:ilvl w:val="0"/>
          <w:numId w:val="38"/>
        </w:numPr>
        <w:ind w:left="426" w:hanging="426"/>
      </w:pPr>
      <w:r>
        <w:t>the provisions of th</w:t>
      </w:r>
      <w:r w:rsidR="00AA3244">
        <w:t>ose</w:t>
      </w:r>
      <w:r>
        <w:t xml:space="preserve"> Acts and any acts done under relevant provisions in the Acts are intended to qualify as ‘special measures’;</w:t>
      </w:r>
      <w:r>
        <w:t xml:space="preserve"> and</w:t>
      </w:r>
    </w:p>
    <w:p w:rsidR="00AB7C46" w:rsidP="00AB7C46">
      <w:pPr>
        <w:ind w:left="426" w:hanging="426"/>
      </w:pPr>
    </w:p>
    <w:p w:rsidR="007F719D" w:rsidRPr="007F719D" w:rsidP="00A97D2C">
      <w:pPr>
        <w:pStyle w:val="ListParagraph"/>
        <w:numPr>
          <w:ilvl w:val="0"/>
          <w:numId w:val="38"/>
        </w:numPr>
        <w:spacing w:line="240" w:lineRule="auto"/>
        <w:ind w:left="426" w:hanging="426"/>
        <w:jc w:val="left"/>
        <w:rPr>
          <w:b/>
          <w:sz w:val="36"/>
        </w:rPr>
      </w:pPr>
      <w:r>
        <w:t>any</w:t>
      </w:r>
      <w:r>
        <w:t xml:space="preserve"> acts done, decisions made or discretion</w:t>
      </w:r>
      <w:r w:rsidR="00DB3F20">
        <w:t>s</w:t>
      </w:r>
      <w:r>
        <w:t xml:space="preserve"> exercised under th</w:t>
      </w:r>
      <w:r w:rsidR="00DB3F20">
        <w:t>e</w:t>
      </w:r>
      <w:r w:rsidR="007C422D">
        <w:t xml:space="preserve"> Acts</w:t>
      </w:r>
      <w:r w:rsidR="00DB3F20">
        <w:t xml:space="preserve"> are</w:t>
      </w:r>
      <w:r>
        <w:t xml:space="preserve"> consistent with the intended beneficial purpose of the</w:t>
      </w:r>
      <w:r w:rsidR="007C422D">
        <w:t xml:space="preserve"> relevant Act</w:t>
      </w:r>
      <w:r>
        <w:t>.</w:t>
      </w:r>
    </w:p>
    <w:p w:rsidR="007F719D" w:rsidP="007F719D">
      <w:pPr>
        <w:pStyle w:val="ListParagraph"/>
      </w:pPr>
    </w:p>
    <w:p w:rsidR="007F719D" w:rsidP="007F719D">
      <w:pPr>
        <w:pStyle w:val="H2"/>
      </w:pPr>
      <w:r>
        <w:t>T</w:t>
      </w:r>
      <w:r w:rsidR="003A0800">
        <w:t>respass</w:t>
      </w:r>
      <w:r w:rsidR="00BF0003">
        <w:t xml:space="preserve"> unduly</w:t>
      </w:r>
      <w:r w:rsidR="003A0800">
        <w:t xml:space="preserve"> on rights and liberties</w:t>
      </w:r>
    </w:p>
    <w:p w:rsidR="003A0800" w:rsidP="007F719D">
      <w:pPr>
        <w:pStyle w:val="H2"/>
      </w:pPr>
      <w:r>
        <w:t>Schedule 1</w:t>
      </w:r>
    </w:p>
    <w:p w:rsidR="007F719D" w:rsidP="007F719D">
      <w:pPr>
        <w:rPr>
          <w:b/>
          <w:i/>
          <w:sz w:val="24"/>
          <w:szCs w:val="24"/>
        </w:rPr>
      </w:pPr>
    </w:p>
    <w:p w:rsidR="00F86643" w:rsidP="00103700">
      <w:r>
        <w:t>The bill</w:t>
      </w:r>
      <w:r w:rsidR="007F719D">
        <w:t xml:space="preserve"> raise</w:t>
      </w:r>
      <w:r>
        <w:t>s</w:t>
      </w:r>
      <w:r w:rsidR="007F719D">
        <w:t xml:space="preserve"> the issue of</w:t>
      </w:r>
      <w:r>
        <w:t xml:space="preserve"> whether the Northern Territory Intervention Acts</w:t>
      </w:r>
      <w:r w:rsidR="007F719D">
        <w:t xml:space="preserve"> trespass on personal rights and liberties. </w:t>
      </w:r>
      <w:r>
        <w:t>When the</w:t>
      </w:r>
      <w:r w:rsidR="005958F6">
        <w:t>se Acts</w:t>
      </w:r>
      <w:r>
        <w:t xml:space="preserve"> were considered (as bills) in 2007, the Committee</w:t>
      </w:r>
      <w:r w:rsidR="007F719D">
        <w:t xml:space="preserve"> noted that the explanatory memorandum pointed</w:t>
      </w:r>
      <w:r w:rsidR="008B2444">
        <w:t xml:space="preserve"> out</w:t>
      </w:r>
      <w:r w:rsidR="007F719D">
        <w:t xml:space="preserve"> </w:t>
      </w:r>
      <w:r>
        <w:rPr>
          <w:color w:val="000000"/>
          <w:szCs w:val="26"/>
        </w:rPr>
        <w:t>that</w:t>
      </w:r>
      <w:r w:rsidR="008B2444">
        <w:rPr>
          <w:color w:val="000000"/>
          <w:szCs w:val="26"/>
        </w:rPr>
        <w:t xml:space="preserve"> ‘special measures’ (under</w:t>
      </w:r>
      <w:r w:rsidR="008B2444">
        <w:t xml:space="preserve"> </w:t>
      </w:r>
      <w:r w:rsidR="008B2444">
        <w:rPr>
          <w:color w:val="000000"/>
          <w:szCs w:val="26"/>
        </w:rPr>
        <w:t xml:space="preserve">Article 1.4 of the International Convention on the Elimination of all Forms of Racial Discrimination) are </w:t>
      </w:r>
      <w:r w:rsidR="007F719D">
        <w:t xml:space="preserve">those measures which are </w:t>
      </w:r>
      <w:r>
        <w:t>‘</w:t>
      </w:r>
      <w:r w:rsidR="007F719D">
        <w:t xml:space="preserve">taken for the sole purpose of securing adequate advancement of </w:t>
      </w:r>
      <w:r w:rsidR="008B2444">
        <w:t>certain</w:t>
      </w:r>
      <w:r w:rsidR="007F719D">
        <w:t xml:space="preserve"> racial or ethnic groups</w:t>
      </w:r>
      <w:r w:rsidR="008B2444">
        <w:t>…</w:t>
      </w:r>
      <w:r w:rsidR="007F719D">
        <w:t xml:space="preserve">requiring such protection as may be necessary in order to ensure such groups…equal enjoyment or exercise of human </w:t>
      </w:r>
      <w:r w:rsidR="00BF0003">
        <w:t>rights and fundamental freedoms’</w:t>
      </w:r>
      <w:r>
        <w:t xml:space="preserve"> (see </w:t>
      </w:r>
      <w:r w:rsidRPr="00F86643" w:rsidR="007F719D">
        <w:rPr>
          <w:i/>
        </w:rPr>
        <w:t>Alert Digest</w:t>
      </w:r>
      <w:r w:rsidRPr="00F86643">
        <w:rPr>
          <w:i/>
        </w:rPr>
        <w:t xml:space="preserve"> No. 9 of 2007</w:t>
      </w:r>
      <w:r>
        <w:t>).</w:t>
      </w:r>
    </w:p>
    <w:p w:rsidR="00F86643" w:rsidP="00F86643"/>
    <w:p w:rsidR="00F86643" w:rsidP="00F86643">
      <w:pPr>
        <w:rPr>
          <w:color w:val="000000"/>
          <w:szCs w:val="26"/>
        </w:rPr>
      </w:pPr>
      <w:r>
        <w:t>In 2007,</w:t>
      </w:r>
      <w:r w:rsidR="007F719D">
        <w:t xml:space="preserve"> the Committee </w:t>
      </w:r>
      <w:r>
        <w:t>considered that the relevant provisions might be considered to trespass on</w:t>
      </w:r>
      <w:r w:rsidR="00B93CEE">
        <w:t xml:space="preserve"> personal</w:t>
      </w:r>
      <w:r>
        <w:t xml:space="preserve"> rights and liberties but left to the Senate as a whole the question of whether they did so </w:t>
      </w:r>
      <w:r w:rsidRPr="00F86643">
        <w:rPr>
          <w:i/>
        </w:rPr>
        <w:t>unduly</w:t>
      </w:r>
      <w:r>
        <w:t>. Given that thi</w:t>
      </w:r>
      <w:r>
        <w:t xml:space="preserve">s bill seeks </w:t>
      </w:r>
      <w:r>
        <w:t xml:space="preserve">to </w:t>
      </w:r>
      <w:r w:rsidRPr="00F86643">
        <w:rPr>
          <w:i/>
        </w:rPr>
        <w:t>remove</w:t>
      </w:r>
      <w:r>
        <w:t xml:space="preserve"> </w:t>
      </w:r>
      <w:r w:rsidR="000263AE">
        <w:t>any intrusion</w:t>
      </w:r>
      <w:r>
        <w:t xml:space="preserve"> on rights and liberties</w:t>
      </w:r>
      <w:r w:rsidR="00B93CEE">
        <w:t xml:space="preserve"> imposed by the 2007 Acts</w:t>
      </w:r>
      <w:r>
        <w:t>, the Committee</w:t>
      </w:r>
      <w:r w:rsidR="00B93CEE">
        <w:t xml:space="preserve"> again</w:t>
      </w:r>
      <w:r>
        <w:t xml:space="preserve"> considers it appropriate to </w:t>
      </w:r>
      <w:r w:rsidRPr="005958F6">
        <w:rPr>
          <w:b/>
        </w:rPr>
        <w:t>leave consideration of such issues to t</w:t>
      </w:r>
      <w:r w:rsidRPr="00F86643">
        <w:rPr>
          <w:b/>
        </w:rPr>
        <w:t>he Senate as a whole</w:t>
      </w:r>
      <w:r>
        <w:t>.</w:t>
      </w:r>
    </w:p>
    <w:p w:rsidR="007F719D" w:rsidP="00103700"/>
    <w:p w:rsidR="00F86643">
      <w:pPr>
        <w:ind w:left="737" w:right="680"/>
        <w:rPr>
          <w:i/>
        </w:rPr>
      </w:pPr>
    </w:p>
    <w:p w:rsidR="00F86643" w:rsidP="00B93CEE">
      <w:pPr>
        <w:ind w:left="737" w:right="680"/>
      </w:pPr>
      <w:r>
        <w:rPr>
          <w:i/>
        </w:rPr>
        <w:t>In the circumstances, the Committee makes no further comment on</w:t>
      </w:r>
      <w:r w:rsidR="00B93CEE">
        <w:rPr>
          <w:i/>
        </w:rPr>
        <w:t xml:space="preserve"> this bill.</w:t>
      </w:r>
    </w:p>
    <w:p w:rsidR="007F719D" w:rsidP="007F719D">
      <w:pPr>
        <w:spacing w:line="240" w:lineRule="auto"/>
        <w:jc w:val="left"/>
      </w:pPr>
    </w:p>
    <w:p w:rsidR="0097734F" w:rsidRPr="007F719D" w:rsidP="007F719D">
      <w:pPr>
        <w:spacing w:line="240" w:lineRule="auto"/>
        <w:jc w:val="left"/>
        <w:rPr>
          <w:b/>
          <w:sz w:val="36"/>
        </w:rPr>
      </w:pPr>
      <w:r>
        <w:br w:type="page"/>
      </w:r>
    </w:p>
    <w:p w:rsidR="0097734F" w:rsidP="0097734F">
      <w:pPr>
        <w:pStyle w:val="H1"/>
      </w:pPr>
      <w:r>
        <w:t>Health Insurance Amendment (Revival of Table Items) Bill 2009</w:t>
      </w:r>
    </w:p>
    <w:p w:rsidR="007631B6" w:rsidP="007631B6">
      <w:r>
        <w:t>Introduced into</w:t>
      </w:r>
      <w:r w:rsidR="00A97D2C">
        <w:t>, and passed by,</w:t>
      </w:r>
      <w:r>
        <w:t xml:space="preserve"> the Senate on 28 October 2009</w:t>
      </w:r>
    </w:p>
    <w:p w:rsidR="007631B6" w:rsidP="007631B6">
      <w:r>
        <w:t xml:space="preserve">By Senators </w:t>
      </w:r>
      <w:r>
        <w:t>Cormann</w:t>
      </w:r>
      <w:r>
        <w:t>, Fielding and Xenophon</w:t>
      </w:r>
    </w:p>
    <w:p w:rsidR="007631B6" w:rsidP="007631B6"/>
    <w:p w:rsidR="007631B6" w:rsidP="007631B6"/>
    <w:p w:rsidR="007631B6" w:rsidP="007631B6">
      <w:pPr>
        <w:pStyle w:val="H2"/>
      </w:pPr>
      <w:r>
        <w:t>Background</w:t>
      </w:r>
    </w:p>
    <w:p w:rsidR="007631B6" w:rsidP="007631B6"/>
    <w:p w:rsidR="00831D03" w:rsidP="00760410">
      <w:r>
        <w:t xml:space="preserve">This bill amends the </w:t>
      </w:r>
      <w:r>
        <w:rPr>
          <w:i/>
        </w:rPr>
        <w:t>Health Insurance Act 1973</w:t>
      </w:r>
      <w:r w:rsidR="0048796E">
        <w:t xml:space="preserve"> to provide </w:t>
      </w:r>
      <w:r w:rsidR="00A97D2C">
        <w:t xml:space="preserve">that if an item in the general medical services table is disallowed under the </w:t>
      </w:r>
      <w:r w:rsidRPr="00A97D2C" w:rsidR="00A97D2C">
        <w:rPr>
          <w:i/>
        </w:rPr>
        <w:t>Legislative Instruments Act 2003</w:t>
      </w:r>
      <w:r w:rsidR="00A97D2C">
        <w:t>, the corresponding item in the previous regulations is ‘revived’ from the time of disallowance. Specifically, t</w:t>
      </w:r>
      <w:r>
        <w:t xml:space="preserve">he bill aims to </w:t>
      </w:r>
      <w:r w:rsidR="00B96748">
        <w:t>provide the</w:t>
      </w:r>
      <w:r>
        <w:t xml:space="preserve"> </w:t>
      </w:r>
      <w:r w:rsidR="00B96748">
        <w:t xml:space="preserve">same amount of </w:t>
      </w:r>
      <w:r>
        <w:t>Medicare rebate for cataract surgery</w:t>
      </w:r>
      <w:r w:rsidR="00B96748">
        <w:t xml:space="preserve"> as under the previous regulations</w:t>
      </w:r>
      <w:r>
        <w:t>.</w:t>
      </w:r>
    </w:p>
    <w:p w:rsidR="005E0675" w:rsidP="007631B6"/>
    <w:p w:rsidR="0098455E" w:rsidP="007631B6"/>
    <w:p w:rsidR="007F719D" w:rsidP="007F719D">
      <w:pPr>
        <w:pStyle w:val="H2"/>
      </w:pPr>
      <w:r>
        <w:t>Retrospective application</w:t>
      </w:r>
    </w:p>
    <w:p w:rsidR="003B7BFB" w:rsidP="007F719D">
      <w:pPr>
        <w:pStyle w:val="H2"/>
      </w:pPr>
      <w:r>
        <w:t>Schedule 1, item 2</w:t>
      </w:r>
    </w:p>
    <w:p w:rsidR="007F719D" w:rsidP="007F719D"/>
    <w:p w:rsidR="002A6E84" w:rsidP="007F719D">
      <w:r>
        <w:t>Item 2 of Schedule 1 provides that the bill applies with effect from 26 October 2009</w:t>
      </w:r>
      <w:r w:rsidR="005958F6">
        <w:t xml:space="preserve">, which is the date </w:t>
      </w:r>
      <w:r w:rsidR="00165D46">
        <w:t xml:space="preserve">the Federal Government tabled new regulations </w:t>
      </w:r>
      <w:r w:rsidR="007E08B2">
        <w:t>reducing</w:t>
      </w:r>
      <w:r w:rsidR="00165D46">
        <w:t xml:space="preserve"> the Medicare rebate for cataract surgery</w:t>
      </w:r>
      <w:r>
        <w:t xml:space="preserve">. This </w:t>
      </w:r>
      <w:r w:rsidR="005958F6">
        <w:t xml:space="preserve">necessarily </w:t>
      </w:r>
      <w:r>
        <w:t>gives</w:t>
      </w:r>
      <w:r w:rsidR="00165D46">
        <w:t xml:space="preserve"> the bill retrospective effec</w:t>
      </w:r>
      <w:r w:rsidR="00FC3E3E">
        <w:t xml:space="preserve">t. </w:t>
      </w:r>
      <w:r w:rsidR="002174BE">
        <w:t>A</w:t>
      </w:r>
      <w:r w:rsidR="006E2D53">
        <w:t xml:space="preserve">s a matter of practice, the Committee draws attention to any bill that seeks to have retrospective impact and will comment adversely where such a bill has a detrimental effect on people. </w:t>
      </w:r>
      <w:r w:rsidR="003E70BE">
        <w:t xml:space="preserve">The </w:t>
      </w:r>
      <w:r w:rsidR="00165D46">
        <w:t>Committee notes</w:t>
      </w:r>
      <w:r w:rsidR="003E70BE">
        <w:t xml:space="preserve">, in this instance, that the bill does not have an adverse impact on any individual and, in any case, </w:t>
      </w:r>
      <w:r w:rsidR="005958F6">
        <w:t xml:space="preserve">has </w:t>
      </w:r>
      <w:r w:rsidR="003E70BE">
        <w:t xml:space="preserve">already </w:t>
      </w:r>
      <w:r>
        <w:t>been passed</w:t>
      </w:r>
      <w:r w:rsidR="003B7BFB">
        <w:t xml:space="preserve"> by</w:t>
      </w:r>
      <w:r>
        <w:t xml:space="preserve"> the Senate.</w:t>
      </w:r>
    </w:p>
    <w:p w:rsidR="00165D46" w:rsidP="007F719D"/>
    <w:p w:rsidR="002A6E84" w:rsidP="007F719D"/>
    <w:p w:rsidR="002A6E84">
      <w:pPr>
        <w:ind w:left="737" w:right="680"/>
        <w:rPr>
          <w:i/>
        </w:rPr>
      </w:pPr>
      <w:r>
        <w:rPr>
          <w:i/>
        </w:rPr>
        <w:t>In the circumstances, the Committee makes no further comment on this bill.</w:t>
      </w:r>
    </w:p>
    <w:p w:rsidR="002A6E84">
      <w:pPr>
        <w:pStyle w:val="Bull"/>
        <w:numPr>
          <w:ilvl w:val="0"/>
          <w:numId w:val="0"/>
        </w:numPr>
      </w:pPr>
    </w:p>
    <w:p w:rsidR="0097734F">
      <w:pPr>
        <w:spacing w:line="240" w:lineRule="auto"/>
        <w:jc w:val="left"/>
        <w:rPr>
          <w:b/>
          <w:sz w:val="36"/>
        </w:rPr>
      </w:pPr>
      <w:r>
        <w:br w:type="page"/>
      </w:r>
    </w:p>
    <w:p w:rsidR="0097734F" w:rsidP="0097734F">
      <w:pPr>
        <w:pStyle w:val="H1"/>
      </w:pPr>
      <w:r>
        <w:t>Keeping Jobs from Going Offshore (Protection of Personal Information) Bill 2009</w:t>
      </w:r>
    </w:p>
    <w:p w:rsidR="007631B6" w:rsidP="007631B6">
      <w:r>
        <w:t>Introduced into the Senate on 26 October 2009</w:t>
      </w:r>
    </w:p>
    <w:p w:rsidR="007631B6" w:rsidP="007631B6">
      <w:r>
        <w:t>By Senator Fielding</w:t>
      </w:r>
    </w:p>
    <w:p w:rsidR="007631B6" w:rsidP="007631B6"/>
    <w:p w:rsidR="007631B6" w:rsidP="007631B6"/>
    <w:p w:rsidR="007631B6" w:rsidP="007631B6">
      <w:pPr>
        <w:pStyle w:val="H2"/>
      </w:pPr>
      <w:r>
        <w:t>Background</w:t>
      </w:r>
    </w:p>
    <w:p w:rsidR="007631B6" w:rsidP="007631B6"/>
    <w:p w:rsidR="004307A8" w:rsidP="007631B6">
      <w:r>
        <w:t>Th</w:t>
      </w:r>
      <w:r w:rsidR="00B37F30">
        <w:t>is</w:t>
      </w:r>
      <w:r>
        <w:t xml:space="preserve"> bill </w:t>
      </w:r>
      <w:r w:rsidR="00320C27">
        <w:t xml:space="preserve">seeks to </w:t>
      </w:r>
      <w:r>
        <w:t xml:space="preserve">ensure that </w:t>
      </w:r>
      <w:r w:rsidR="00320C27">
        <w:t xml:space="preserve">the </w:t>
      </w:r>
      <w:r>
        <w:t>personal information of Australian consumers</w:t>
      </w:r>
      <w:r w:rsidR="005958F6">
        <w:t xml:space="preserve"> obtained by call centres – such </w:t>
      </w:r>
      <w:r>
        <w:t>as credit card details, home addresses, passport numbers and marital status</w:t>
      </w:r>
      <w:r w:rsidR="005958F6">
        <w:t xml:space="preserve"> – remain </w:t>
      </w:r>
      <w:r w:rsidR="00A97D2C">
        <w:t xml:space="preserve">in </w:t>
      </w:r>
      <w:r w:rsidR="00320C27">
        <w:t>Australia</w:t>
      </w:r>
      <w:r w:rsidR="005958F6">
        <w:t xml:space="preserve"> </w:t>
      </w:r>
      <w:r w:rsidR="00B37F30">
        <w:t>and cannot</w:t>
      </w:r>
      <w:r w:rsidR="00484BD1">
        <w:t xml:space="preserve"> be sent </w:t>
      </w:r>
      <w:r w:rsidR="00B56B31">
        <w:t>or</w:t>
      </w:r>
      <w:r w:rsidR="00B37F30">
        <w:t xml:space="preserve"> used abroad</w:t>
      </w:r>
      <w:r w:rsidR="00484BD1">
        <w:t xml:space="preserve"> unless</w:t>
      </w:r>
      <w:r w:rsidR="00D570E0">
        <w:t xml:space="preserve"> a </w:t>
      </w:r>
      <w:r w:rsidR="00224CB9">
        <w:t xml:space="preserve">consumer gives </w:t>
      </w:r>
      <w:r w:rsidR="005958F6">
        <w:t>his or her</w:t>
      </w:r>
      <w:r w:rsidR="00224CB9">
        <w:t xml:space="preserve"> written consent</w:t>
      </w:r>
      <w:r w:rsidR="00A97D2C">
        <w:t>.</w:t>
      </w:r>
    </w:p>
    <w:p w:rsidR="00A83C16" w:rsidP="007631B6"/>
    <w:p w:rsidR="00A83C16" w:rsidP="007631B6"/>
    <w:p w:rsidR="005E0675" w:rsidP="005E0675">
      <w:pPr>
        <w:pStyle w:val="H2"/>
      </w:pPr>
      <w:r>
        <w:t>Explanatory memorandum</w:t>
      </w:r>
    </w:p>
    <w:p w:rsidR="005E0675" w:rsidP="005E0675"/>
    <w:p w:rsidR="00FC3E3E" w:rsidP="00FC3E3E">
      <w:r>
        <w:t xml:space="preserve">This bill, introduced as a private Senator’s bill, was accompanied only by a second reading speech and was introduced without an explanatory memorandum. </w:t>
      </w:r>
      <w:r w:rsidR="002D04BE">
        <w:t>While noting</w:t>
      </w:r>
      <w:r w:rsidR="005958F6">
        <w:t xml:space="preserve"> that the </w:t>
      </w:r>
      <w:r>
        <w:t xml:space="preserve">second reading speech provides some explanation of the </w:t>
      </w:r>
      <w:r w:rsidR="005958F6">
        <w:t xml:space="preserve">background, </w:t>
      </w:r>
      <w:r>
        <w:t>inten</w:t>
      </w:r>
      <w:r w:rsidR="002D04BE">
        <w:t xml:space="preserve">t and operation of the bill, the Committee </w:t>
      </w:r>
      <w:r w:rsidR="00035019">
        <w:rPr>
          <w:b/>
        </w:rPr>
        <w:t>seeks the Senator’</w:t>
      </w:r>
      <w:r w:rsidRPr="002D04BE" w:rsidR="002D04BE">
        <w:rPr>
          <w:b/>
        </w:rPr>
        <w:t>s advice</w:t>
      </w:r>
      <w:r w:rsidR="002D04BE">
        <w:t xml:space="preserve"> as to whether an explanatory memorandum could also be provided.</w:t>
      </w:r>
    </w:p>
    <w:p w:rsidR="005958F6" w:rsidP="00FC3E3E"/>
    <w:p w:rsidR="005958F6" w:rsidP="00FC3E3E"/>
    <w:p w:rsidR="00FC3E3E" w:rsidP="00FC3E3E">
      <w:pPr>
        <w:ind w:left="737" w:right="680"/>
      </w:pPr>
      <w:r>
        <w:rPr>
          <w:i/>
        </w:rPr>
        <w:t>In the circumstances, the Committee makes no further comment on this bill.</w:t>
      </w:r>
    </w:p>
    <w:p w:rsidR="00F56508">
      <w:pPr>
        <w:spacing w:line="240" w:lineRule="auto"/>
        <w:jc w:val="left"/>
        <w:rPr>
          <w:b/>
          <w:sz w:val="36"/>
        </w:rPr>
      </w:pPr>
      <w:r>
        <w:br w:type="page"/>
      </w:r>
    </w:p>
    <w:p w:rsidR="0097734F" w:rsidP="0097734F">
      <w:pPr>
        <w:pStyle w:val="H1"/>
      </w:pPr>
      <w:r>
        <w:t>National Broadcasting Legislation Amendment Bill 2009</w:t>
      </w:r>
    </w:p>
    <w:p w:rsidR="007631B6" w:rsidP="007631B6">
      <w:r>
        <w:t>Introduced into the House of Representatives on 29 October 2009</w:t>
      </w:r>
    </w:p>
    <w:p w:rsidR="007631B6" w:rsidP="007631B6">
      <w:r>
        <w:t>Portfolio: Broadband, Communications and the Digital Economy</w:t>
      </w:r>
    </w:p>
    <w:p w:rsidR="007631B6" w:rsidP="007631B6"/>
    <w:p w:rsidR="007631B6" w:rsidP="007631B6"/>
    <w:p w:rsidR="007631B6" w:rsidP="007631B6">
      <w:pPr>
        <w:pStyle w:val="H2"/>
      </w:pPr>
      <w:r>
        <w:t>Background</w:t>
      </w:r>
    </w:p>
    <w:p w:rsidR="007631B6" w:rsidP="007631B6"/>
    <w:p w:rsidR="0053440B" w:rsidP="007631B6">
      <w:r>
        <w:t xml:space="preserve">This bill amends the </w:t>
      </w:r>
      <w:r>
        <w:rPr>
          <w:i/>
        </w:rPr>
        <w:t>Australian Broadcasting Corporation Act 1983</w:t>
      </w:r>
      <w:r>
        <w:t xml:space="preserve"> </w:t>
      </w:r>
      <w:r w:rsidR="00255A80">
        <w:t xml:space="preserve">(ABC Act) </w:t>
      </w:r>
      <w:r>
        <w:t xml:space="preserve">and the </w:t>
      </w:r>
      <w:r>
        <w:rPr>
          <w:i/>
        </w:rPr>
        <w:t>Special Broadcasting Service</w:t>
      </w:r>
      <w:r w:rsidR="00B56B31">
        <w:rPr>
          <w:i/>
        </w:rPr>
        <w:t xml:space="preserve"> Corporation</w:t>
      </w:r>
      <w:r>
        <w:rPr>
          <w:i/>
        </w:rPr>
        <w:t xml:space="preserve"> Act 1991</w:t>
      </w:r>
      <w:r w:rsidR="00B56B31">
        <w:t xml:space="preserve"> </w:t>
      </w:r>
      <w:r>
        <w:t>to implement a new merit-based appointment proc</w:t>
      </w:r>
      <w:r w:rsidR="004859F7">
        <w:t>ess for the AB</w:t>
      </w:r>
      <w:r w:rsidR="00F56508">
        <w:t>C</w:t>
      </w:r>
      <w:r w:rsidR="004859F7">
        <w:t xml:space="preserve"> and SBS Boards</w:t>
      </w:r>
      <w:r w:rsidR="005958F6">
        <w:t>. The bill also</w:t>
      </w:r>
      <w:r w:rsidR="004859F7">
        <w:t xml:space="preserve"> reinstates the position of staff-elected Director to the ABC Board.</w:t>
      </w:r>
    </w:p>
    <w:p w:rsidR="0053440B" w:rsidP="007631B6"/>
    <w:p w:rsidR="0053440B" w:rsidP="007631B6">
      <w:r>
        <w:t>In particular, the bill</w:t>
      </w:r>
      <w:r>
        <w:t>:</w:t>
      </w:r>
    </w:p>
    <w:p w:rsidR="0053440B" w:rsidP="007631B6"/>
    <w:p w:rsidR="0053440B" w:rsidP="0053440B">
      <w:pPr>
        <w:pStyle w:val="ListParagraph"/>
        <w:numPr>
          <w:ilvl w:val="0"/>
          <w:numId w:val="32"/>
        </w:numPr>
        <w:ind w:left="426" w:hanging="436"/>
      </w:pPr>
      <w:r>
        <w:t>p</w:t>
      </w:r>
      <w:r>
        <w:t xml:space="preserve">rovides for the assessment of applicants’ claims to be undertaken by an independent Nomination Panel established at arms length from the </w:t>
      </w:r>
      <w:r w:rsidR="00803F9F">
        <w:t>g</w:t>
      </w:r>
      <w:r>
        <w:t>overnment;</w:t>
      </w:r>
    </w:p>
    <w:p w:rsidR="0053440B" w:rsidP="0053440B">
      <w:pPr>
        <w:ind w:left="426" w:hanging="436"/>
      </w:pPr>
    </w:p>
    <w:p w:rsidR="0053440B" w:rsidP="0053440B">
      <w:pPr>
        <w:pStyle w:val="ListParagraph"/>
        <w:numPr>
          <w:ilvl w:val="0"/>
          <w:numId w:val="32"/>
        </w:numPr>
        <w:ind w:left="426" w:hanging="436"/>
      </w:pPr>
      <w:r>
        <w:t>r</w:t>
      </w:r>
      <w:r>
        <w:t xml:space="preserve">equires vacancies to be widely advertised, at a minimum in national and/or </w:t>
      </w:r>
      <w:r w:rsidR="00803F9F">
        <w:t>s</w:t>
      </w:r>
      <w:r>
        <w:t xml:space="preserve">tate and </w:t>
      </w:r>
      <w:r w:rsidR="00803F9F">
        <w:t>t</w:t>
      </w:r>
      <w:r>
        <w:t>erritory newspapers, and on the website of the Department of Broadband, Communications and the Digital Economy;</w:t>
      </w:r>
    </w:p>
    <w:p w:rsidR="0053440B" w:rsidP="0053440B">
      <w:pPr>
        <w:ind w:left="426" w:hanging="436"/>
      </w:pPr>
    </w:p>
    <w:p w:rsidR="0053440B" w:rsidP="0053440B">
      <w:pPr>
        <w:pStyle w:val="ListParagraph"/>
        <w:numPr>
          <w:ilvl w:val="0"/>
          <w:numId w:val="32"/>
        </w:numPr>
        <w:ind w:left="426" w:hanging="436"/>
      </w:pPr>
      <w:r>
        <w:t>p</w:t>
      </w:r>
      <w:r>
        <w:t>rovides for the assessment of candidates to be made against a core set of selection criteria, supplemented where necessary by additional criteria as determined by the Minister;</w:t>
      </w:r>
      <w:r w:rsidR="00BC5906">
        <w:t xml:space="preserve"> and</w:t>
      </w:r>
    </w:p>
    <w:p w:rsidR="0053440B" w:rsidP="0053440B">
      <w:pPr>
        <w:ind w:left="426" w:hanging="436"/>
      </w:pPr>
    </w:p>
    <w:p w:rsidR="0053440B" w:rsidP="0053440B">
      <w:pPr>
        <w:pStyle w:val="ListParagraph"/>
        <w:numPr>
          <w:ilvl w:val="0"/>
          <w:numId w:val="32"/>
        </w:numPr>
        <w:ind w:left="426" w:hanging="436"/>
      </w:pPr>
      <w:r>
        <w:t>r</w:t>
      </w:r>
      <w:r>
        <w:t>equires</w:t>
      </w:r>
      <w:r>
        <w:t xml:space="preserve"> a report c</w:t>
      </w:r>
      <w:r w:rsidR="00BC5906">
        <w:t>on</w:t>
      </w:r>
      <w:r>
        <w:t>taining a short-list of recommended candidates to be p</w:t>
      </w:r>
      <w:r w:rsidR="00BC5906">
        <w:t xml:space="preserve">rovided to either the Minister </w:t>
      </w:r>
      <w:r>
        <w:t>or Prime Minister by the Nomination Panel.</w:t>
      </w:r>
    </w:p>
    <w:p w:rsidR="0053440B" w:rsidP="007631B6"/>
    <w:p w:rsidR="004859F7" w:rsidP="0053440B"/>
    <w:p w:rsidR="007F719D" w:rsidP="007F719D">
      <w:pPr>
        <w:pStyle w:val="H2"/>
      </w:pPr>
      <w:r>
        <w:t>Trespass</w:t>
      </w:r>
      <w:r w:rsidR="009C4BBE">
        <w:t xml:space="preserve"> unduly on rights and liberties</w:t>
      </w:r>
    </w:p>
    <w:p w:rsidR="009C4BBE" w:rsidP="007F719D">
      <w:pPr>
        <w:pStyle w:val="H2"/>
      </w:pPr>
      <w:r>
        <w:t>Schedule 1</w:t>
      </w:r>
      <w:r w:rsidR="00255A80">
        <w:t>, item</w:t>
      </w:r>
      <w:r w:rsidR="00566904">
        <w:t>s</w:t>
      </w:r>
      <w:r w:rsidR="00255A80">
        <w:t xml:space="preserve"> 12</w:t>
      </w:r>
      <w:r w:rsidR="00566904">
        <w:t xml:space="preserve"> and 24</w:t>
      </w:r>
      <w:r w:rsidR="00521E9D">
        <w:t>, new subsections 12(5A) and 17(2A)</w:t>
      </w:r>
    </w:p>
    <w:p w:rsidR="009C4BBE" w:rsidP="007F719D">
      <w:pPr>
        <w:pStyle w:val="H2"/>
      </w:pPr>
    </w:p>
    <w:p w:rsidR="00172A64" w:rsidP="00172A64">
      <w:r>
        <w:t>Proposed new subsection</w:t>
      </w:r>
      <w:r w:rsidR="007F719D">
        <w:t xml:space="preserve"> 12(5A)</w:t>
      </w:r>
      <w:r>
        <w:t xml:space="preserve"> of the</w:t>
      </w:r>
      <w:r w:rsidR="00D52B59">
        <w:t xml:space="preserve"> ABC Act</w:t>
      </w:r>
      <w:r>
        <w:t>, to be inserted by item 12 of Schedule 1,</w:t>
      </w:r>
      <w:r w:rsidR="00D52B59">
        <w:t xml:space="preserve"> provides</w:t>
      </w:r>
      <w:r w:rsidR="007F719D">
        <w:t xml:space="preserve"> that </w:t>
      </w:r>
      <w:r w:rsidR="00F8559D">
        <w:t xml:space="preserve">certain </w:t>
      </w:r>
      <w:r w:rsidR="007F719D">
        <w:t xml:space="preserve">persons are not eligible for appointment as </w:t>
      </w:r>
      <w:r w:rsidR="00F8559D">
        <w:t xml:space="preserve">the </w:t>
      </w:r>
      <w:r w:rsidR="007F719D">
        <w:t xml:space="preserve">Chairperson or </w:t>
      </w:r>
      <w:r w:rsidR="00F8559D">
        <w:t xml:space="preserve">a </w:t>
      </w:r>
      <w:r w:rsidR="007F719D">
        <w:t>Director</w:t>
      </w:r>
      <w:r w:rsidR="00F8559D">
        <w:t xml:space="preserve"> of the ABC Board. These persons</w:t>
      </w:r>
      <w:r w:rsidR="007F719D">
        <w:t xml:space="preserve"> are</w:t>
      </w:r>
      <w:r w:rsidR="00F8559D">
        <w:t>:</w:t>
      </w:r>
      <w:r w:rsidR="007F719D">
        <w:t xml:space="preserve"> members or former members of the Commonwealth Parliament (</w:t>
      </w:r>
      <w:r w:rsidR="00F8559D">
        <w:t>paragraph</w:t>
      </w:r>
      <w:r w:rsidR="007F719D">
        <w:t xml:space="preserve"> 12(5A</w:t>
      </w:r>
      <w:r w:rsidR="007F719D">
        <w:t>)(</w:t>
      </w:r>
      <w:r w:rsidR="007F719D">
        <w:t>a))</w:t>
      </w:r>
      <w:r w:rsidR="00F8559D">
        <w:t>;</w:t>
      </w:r>
      <w:r w:rsidR="007F719D">
        <w:t xml:space="preserve"> </w:t>
      </w:r>
      <w:r w:rsidR="00F8559D">
        <w:t>members or former members of</w:t>
      </w:r>
      <w:r w:rsidR="007F719D">
        <w:t xml:space="preserve"> </w:t>
      </w:r>
      <w:r w:rsidR="00F8559D">
        <w:t>s</w:t>
      </w:r>
      <w:r w:rsidR="007F719D">
        <w:t xml:space="preserve">tate or </w:t>
      </w:r>
      <w:r w:rsidR="00F8559D">
        <w:t>t</w:t>
      </w:r>
      <w:r w:rsidR="007F719D">
        <w:t xml:space="preserve">erritory </w:t>
      </w:r>
      <w:r w:rsidR="00F8559D">
        <w:t>p</w:t>
      </w:r>
      <w:r w:rsidR="007F719D">
        <w:t>arliaments (</w:t>
      </w:r>
      <w:r w:rsidR="00F8559D">
        <w:t>paragraph</w:t>
      </w:r>
      <w:r w:rsidR="00566904">
        <w:t> </w:t>
      </w:r>
      <w:r w:rsidR="007F719D">
        <w:t>12(5A)(</w:t>
      </w:r>
      <w:r w:rsidR="007F719D">
        <w:t>b</w:t>
      </w:r>
      <w:r w:rsidR="007F719D">
        <w:t>))</w:t>
      </w:r>
      <w:r w:rsidR="00566904">
        <w:t>;</w:t>
      </w:r>
      <w:r w:rsidR="007F719D">
        <w:t xml:space="preserve"> or a person who is or was a senior political staff member (</w:t>
      </w:r>
      <w:r w:rsidR="00566904">
        <w:t>paragraph</w:t>
      </w:r>
      <w:r w:rsidR="007F719D">
        <w:t xml:space="preserve"> 12(5A)(</w:t>
      </w:r>
      <w:r w:rsidR="007F719D">
        <w:t>c</w:t>
      </w:r>
      <w:r w:rsidR="007F719D">
        <w:t>)).</w:t>
      </w:r>
      <w:r>
        <w:t xml:space="preserve"> </w:t>
      </w:r>
      <w:r w:rsidR="00566904">
        <w:t>Proposed new subsection 17(2A) of the SBS</w:t>
      </w:r>
      <w:r w:rsidR="005958F6">
        <w:t> </w:t>
      </w:r>
      <w:r w:rsidR="00566904">
        <w:t>Act, to be inserted by i</w:t>
      </w:r>
      <w:r w:rsidR="007F719D">
        <w:t>tem 24</w:t>
      </w:r>
      <w:r w:rsidR="00566904">
        <w:t xml:space="preserve"> of Schedule 1</w:t>
      </w:r>
      <w:r>
        <w:t>,</w:t>
      </w:r>
      <w:r w:rsidR="007F719D">
        <w:t xml:space="preserve"> duplicates this disqualification for non-executive Directors of the SBS Board.</w:t>
      </w:r>
    </w:p>
    <w:p w:rsidR="00172A64" w:rsidP="00172A64"/>
    <w:p w:rsidR="007F719D" w:rsidP="00172A64">
      <w:r>
        <w:t xml:space="preserve">The term </w:t>
      </w:r>
      <w:r w:rsidR="00532BEB">
        <w:t>‘s</w:t>
      </w:r>
      <w:r>
        <w:t>enior political staff member</w:t>
      </w:r>
      <w:r w:rsidR="00532BEB">
        <w:t>’</w:t>
      </w:r>
      <w:r>
        <w:t xml:space="preserve"> is defined as a person</w:t>
      </w:r>
      <w:r w:rsidR="00532BEB">
        <w:t xml:space="preserve"> included in a class of persons</w:t>
      </w:r>
      <w:r>
        <w:t xml:space="preserve"> specified by legislative instrument (</w:t>
      </w:r>
      <w:r w:rsidR="00532BEB">
        <w:t xml:space="preserve">proposed new subsection 3(3) of the ABC Act, to be inserted by </w:t>
      </w:r>
      <w:r>
        <w:t>item 3</w:t>
      </w:r>
      <w:r w:rsidR="00532BEB">
        <w:t xml:space="preserve"> of Schedule 1</w:t>
      </w:r>
      <w:r>
        <w:t>). The explanatory memorandum gives examples</w:t>
      </w:r>
      <w:r w:rsidR="00532BEB">
        <w:t xml:space="preserve"> (at page 3)</w:t>
      </w:r>
      <w:r>
        <w:t xml:space="preserve"> of the positions expected to be included in the </w:t>
      </w:r>
      <w:r w:rsidR="00532BEB">
        <w:t>legislative instrument</w:t>
      </w:r>
      <w:r>
        <w:t>: Chief of Staff,</w:t>
      </w:r>
      <w:r w:rsidR="00532BEB">
        <w:t xml:space="preserve"> Special Adviser, Principal Adviser,</w:t>
      </w:r>
      <w:r>
        <w:t xml:space="preserve"> Senior Adviser, Media Adviser</w:t>
      </w:r>
      <w:r w:rsidR="00532BEB">
        <w:t xml:space="preserve"> and Adviser</w:t>
      </w:r>
      <w:r>
        <w:t xml:space="preserve">. </w:t>
      </w:r>
      <w:r w:rsidR="00532BEB">
        <w:t>The concept is not intended to extend to more junior positions such as Electorate Officer or Departmental Liaison Officer.</w:t>
      </w:r>
    </w:p>
    <w:p w:rsidR="007F719D" w:rsidP="007F719D">
      <w:pPr>
        <w:pStyle w:val="Default"/>
        <w:rPr>
          <w:rFonts w:ascii="Times New Roman" w:hAnsi="Times New Roman" w:cs="Times New Roman"/>
        </w:rPr>
      </w:pPr>
    </w:p>
    <w:p w:rsidR="00377D2D" w:rsidP="007F719D">
      <w:r>
        <w:t>Legislation regularly stipulates the knowledge, skills and experience needed for Commonwealth positions</w:t>
      </w:r>
      <w:r>
        <w:t xml:space="preserve"> and d</w:t>
      </w:r>
      <w:r>
        <w:t>isqualification from office is generally based on criminal record, bankruptcy or similar lack of fitness for office</w:t>
      </w:r>
      <w:r>
        <w:t>. Unusually, p</w:t>
      </w:r>
      <w:r w:rsidR="00521E9D">
        <w:t>roposed n</w:t>
      </w:r>
      <w:r>
        <w:t xml:space="preserve">ew subsections 12(5A) and 17(2A) base </w:t>
      </w:r>
      <w:r w:rsidR="00140821">
        <w:t xml:space="preserve">the </w:t>
      </w:r>
      <w:r>
        <w:t>disqualification</w:t>
      </w:r>
      <w:r>
        <w:t xml:space="preserve"> from office</w:t>
      </w:r>
      <w:r>
        <w:t xml:space="preserve"> </w:t>
      </w:r>
      <w:r>
        <w:t xml:space="preserve">on a person’s </w:t>
      </w:r>
      <w:r>
        <w:t>previous public employment. The explanatory memorandum states (</w:t>
      </w:r>
      <w:r w:rsidR="00F6501B">
        <w:t xml:space="preserve">at </w:t>
      </w:r>
      <w:r>
        <w:t xml:space="preserve">pages 6 and 15) that the exclusion of former politicians and senior staffers from consideration for </w:t>
      </w:r>
      <w:r>
        <w:t>ABC and SBS</w:t>
      </w:r>
      <w:r w:rsidR="005958F6">
        <w:t xml:space="preserve"> </w:t>
      </w:r>
      <w:r>
        <w:t>B</w:t>
      </w:r>
      <w:r>
        <w:t>oard positions is intended to strengthen the independence and impartiality of the Board</w:t>
      </w:r>
      <w:r>
        <w:t>s</w:t>
      </w:r>
      <w:r w:rsidR="005958F6">
        <w:t xml:space="preserve"> (</w:t>
      </w:r>
      <w:r>
        <w:t>consistent with Board duties</w:t>
      </w:r>
      <w:r w:rsidR="005958F6">
        <w:t>)</w:t>
      </w:r>
      <w:r>
        <w:t xml:space="preserve"> and to overcome past perceptions of political bias.</w:t>
      </w:r>
    </w:p>
    <w:p w:rsidR="00377D2D" w:rsidP="007F719D"/>
    <w:p w:rsidR="00140821" w:rsidP="00140821">
      <w:r>
        <w:t>While cognisant of the clear intent of the bill, the Committee notes that d</w:t>
      </w:r>
      <w:r w:rsidR="007F719D">
        <w:t>iscrimination based on political opinion is contrary to human rights (</w:t>
      </w:r>
      <w:r>
        <w:t>see, for example, Article 2(2) of the</w:t>
      </w:r>
      <w:r w:rsidR="007F719D">
        <w:t xml:space="preserve"> International Covenant on Economic, Social and Cultural Rights)</w:t>
      </w:r>
      <w:r>
        <w:t>;</w:t>
      </w:r>
      <w:r w:rsidR="007F719D">
        <w:t xml:space="preserve"> and freedom of expression is a recognised human right (</w:t>
      </w:r>
      <w:r>
        <w:t xml:space="preserve">see </w:t>
      </w:r>
      <w:r w:rsidR="007F719D">
        <w:t xml:space="preserve">Article 19 of the International Covenant on Civil and Political Rights). </w:t>
      </w:r>
      <w:r>
        <w:t>Further, p</w:t>
      </w:r>
      <w:r w:rsidR="007F719D">
        <w:t>olitical opinion is not necessarily a selection criterion for se</w:t>
      </w:r>
      <w:r>
        <w:t>nior political staff positions.</w:t>
      </w:r>
    </w:p>
    <w:p w:rsidR="00140821" w:rsidP="00140821"/>
    <w:p w:rsidR="00140821" w:rsidP="00140821">
      <w:r>
        <w:t xml:space="preserve">Such </w:t>
      </w:r>
      <w:r w:rsidR="007F719D">
        <w:t>disqualification is based on bias – actual, perceived or vicarious</w:t>
      </w:r>
      <w:r>
        <w:t xml:space="preserve"> – and t</w:t>
      </w:r>
      <w:r w:rsidR="007F719D">
        <w:t xml:space="preserve">he disqualification of all those covered by the provisions is for life. </w:t>
      </w:r>
      <w:r>
        <w:t>Importantly, it would apply</w:t>
      </w:r>
      <w:r w:rsidR="007F719D">
        <w:t xml:space="preserve"> to people who occupied </w:t>
      </w:r>
      <w:r>
        <w:t xml:space="preserve">the relevant </w:t>
      </w:r>
      <w:r w:rsidR="007F719D">
        <w:t xml:space="preserve">positions prior to the commencement of the legislation. </w:t>
      </w:r>
      <w:r w:rsidR="002D04BE">
        <w:t xml:space="preserve">The Committee </w:t>
      </w:r>
      <w:r w:rsidRPr="002D04BE" w:rsidR="002D04BE">
        <w:rPr>
          <w:b/>
        </w:rPr>
        <w:t>seeks the Minister’s advice</w:t>
      </w:r>
      <w:r w:rsidR="002D04BE">
        <w:t xml:space="preserve"> as to the rationale for why</w:t>
      </w:r>
      <w:r w:rsidR="00E71F16">
        <w:t xml:space="preserve"> this is considered appropriate</w:t>
      </w:r>
      <w:r w:rsidR="00396D95">
        <w:t xml:space="preserve">, as </w:t>
      </w:r>
      <w:r w:rsidR="00396D95">
        <w:t>well as</w:t>
      </w:r>
      <w:r w:rsidR="00E71F16">
        <w:t xml:space="preserve"> </w:t>
      </w:r>
      <w:r w:rsidR="00396D95">
        <w:t xml:space="preserve">the particular reasons </w:t>
      </w:r>
      <w:r w:rsidR="00692DB2">
        <w:t xml:space="preserve">why </w:t>
      </w:r>
      <w:r w:rsidR="00396D95">
        <w:t xml:space="preserve">appointment to </w:t>
      </w:r>
      <w:r w:rsidR="00692DB2">
        <w:t xml:space="preserve">the ABC and SBS Boards </w:t>
      </w:r>
      <w:r w:rsidR="00396D95">
        <w:t>is</w:t>
      </w:r>
      <w:r w:rsidR="00692DB2">
        <w:t xml:space="preserve"> considered ‘different’ or ‘special’</w:t>
      </w:r>
      <w:r w:rsidR="00396D95">
        <w:t xml:space="preserve"> to other appointments</w:t>
      </w:r>
      <w:r w:rsidR="00692DB2">
        <w:t xml:space="preserve">. The Committee also </w:t>
      </w:r>
      <w:r w:rsidRPr="00396D95" w:rsidR="00692DB2">
        <w:rPr>
          <w:b/>
        </w:rPr>
        <w:t>seeks the Minister’s advice</w:t>
      </w:r>
      <w:r w:rsidR="00692DB2">
        <w:t xml:space="preserve"> as to why the term ‘senior political staff member’ </w:t>
      </w:r>
      <w:r w:rsidR="008242BF">
        <w:t>will</w:t>
      </w:r>
      <w:r w:rsidR="00692DB2">
        <w:t xml:space="preserve"> be defined by legislative instrument </w:t>
      </w:r>
      <w:r w:rsidR="00215FE6">
        <w:t>rather than being</w:t>
      </w:r>
      <w:r w:rsidR="00396D95">
        <w:t xml:space="preserve"> defined </w:t>
      </w:r>
      <w:r w:rsidR="00692DB2">
        <w:t>in the bill itself</w:t>
      </w:r>
      <w:r w:rsidR="00396D95">
        <w:t xml:space="preserve"> </w:t>
      </w:r>
      <w:r w:rsidR="0054791D">
        <w:t>(which would</w:t>
      </w:r>
      <w:r w:rsidR="00396D95">
        <w:t xml:space="preserve"> provide certainty</w:t>
      </w:r>
      <w:r w:rsidR="00215FE6">
        <w:t xml:space="preserve"> as to </w:t>
      </w:r>
      <w:r w:rsidR="0054791D">
        <w:t>the precise</w:t>
      </w:r>
      <w:r w:rsidR="00215FE6">
        <w:t xml:space="preserve"> positions intended to be covered</w:t>
      </w:r>
      <w:r w:rsidR="0054791D">
        <w:t>)</w:t>
      </w:r>
      <w:r w:rsidR="00692DB2">
        <w:t>.</w:t>
      </w:r>
    </w:p>
    <w:p w:rsidR="00140821" w:rsidP="00140821"/>
    <w:p w:rsidR="006E2D53" w:rsidP="00140821"/>
    <w:p w:rsidR="00692DB2">
      <w:pPr>
        <w:ind w:left="567" w:right="567"/>
        <w:rPr>
          <w:i/>
        </w:rPr>
      </w:pPr>
      <w:r>
        <w:rPr>
          <w:i/>
        </w:rPr>
        <w:t>Pending the Minister’s advice,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692DB2">
      <w:pPr>
        <w:ind w:left="567" w:right="567"/>
        <w:rPr>
          <w:i/>
        </w:rPr>
      </w:pPr>
    </w:p>
    <w:p w:rsidR="00FD2318" w:rsidP="006E2D53">
      <w:pPr>
        <w:rPr>
          <w:highlight w:val="yellow"/>
        </w:rPr>
      </w:pPr>
    </w:p>
    <w:p w:rsidR="00FD2318" w:rsidP="00140821">
      <w:pPr>
        <w:rPr>
          <w:highlight w:val="yellow"/>
        </w:rPr>
      </w:pPr>
    </w:p>
    <w:p w:rsidR="00FD2318" w:rsidRPr="005A653B" w:rsidP="00FD2318">
      <w:pPr>
        <w:pStyle w:val="H2"/>
      </w:pPr>
      <w:r>
        <w:t>Retrospective application</w:t>
      </w:r>
    </w:p>
    <w:p w:rsidR="00FD2318" w:rsidP="00FD2318">
      <w:pPr>
        <w:pStyle w:val="H2"/>
      </w:pPr>
      <w:r>
        <w:t xml:space="preserve">Schedule 1, </w:t>
      </w:r>
      <w:r>
        <w:t>subitem</w:t>
      </w:r>
      <w:r>
        <w:t xml:space="preserve"> 17(2); </w:t>
      </w:r>
      <w:r w:rsidRPr="00FD2318">
        <w:t>Schedule 2, item 7</w:t>
      </w:r>
    </w:p>
    <w:p w:rsidR="00FD2318" w:rsidP="00FD2318">
      <w:pPr>
        <w:rPr>
          <w:b/>
        </w:rPr>
      </w:pPr>
    </w:p>
    <w:p w:rsidR="0012458B" w:rsidP="00FD2318">
      <w:r w:rsidRPr="00EB4623">
        <w:t xml:space="preserve">The application provision </w:t>
      </w:r>
      <w:r>
        <w:t xml:space="preserve">contained in item 7 of Schedule 2 provides that subsection 13A(6) of the ABC Act, which is inserted by </w:t>
      </w:r>
      <w:r w:rsidR="003E776B">
        <w:t>item 4 of Schedule 2</w:t>
      </w:r>
      <w:r>
        <w:t>, applies in relation to persons elected as the staff-elected Director before or after the commencement of item</w:t>
      </w:r>
      <w:r w:rsidR="003E776B">
        <w:t xml:space="preserve"> 7</w:t>
      </w:r>
      <w:r>
        <w:t>.</w:t>
      </w:r>
      <w:r w:rsidR="00892648">
        <w:t xml:space="preserve"> This means that the time limit imposed in proposed new subsection </w:t>
      </w:r>
      <w:r w:rsidR="00892648">
        <w:t>13A(</w:t>
      </w:r>
      <w:r w:rsidR="00892648">
        <w:t>6) – namely, that a person who has been elected at two elections is not eligible for election again – can apply to persons elected before commencement of the legislation.</w:t>
      </w:r>
      <w:r>
        <w:t xml:space="preserve"> </w:t>
      </w:r>
      <w:r w:rsidR="003E776B">
        <w:t>T</w:t>
      </w:r>
      <w:r>
        <w:t>he explanatory memorandum states (</w:t>
      </w:r>
      <w:r w:rsidR="003E776B">
        <w:t xml:space="preserve">at </w:t>
      </w:r>
      <w:r>
        <w:t>page 21)</w:t>
      </w:r>
      <w:r w:rsidR="003E776B">
        <w:t xml:space="preserve"> that</w:t>
      </w:r>
      <w:r>
        <w:t xml:space="preserve"> ‘</w:t>
      </w:r>
      <w:r w:rsidR="003E776B">
        <w:t>(</w:t>
      </w:r>
      <w:r>
        <w:t>t</w:t>
      </w:r>
      <w:r w:rsidR="003E776B">
        <w:t>)</w:t>
      </w:r>
      <w:r>
        <w:t>his means that if a person who served as staff-elected Director before 15</w:t>
      </w:r>
      <w:r w:rsidR="00CB0B16">
        <w:t xml:space="preserve"> </w:t>
      </w:r>
      <w:r>
        <w:t>June</w:t>
      </w:r>
      <w:r w:rsidR="00CB0B16">
        <w:t xml:space="preserve"> </w:t>
      </w:r>
      <w:r>
        <w:t>2006 becomes a staff-elected Director</w:t>
      </w:r>
      <w:r w:rsidR="003E776B">
        <w:t xml:space="preserve"> in future</w:t>
      </w:r>
      <w:r>
        <w:t xml:space="preserve">, their previous period in office is taken into account for the </w:t>
      </w:r>
      <w:r>
        <w:t>purpose of subsection</w:t>
      </w:r>
      <w:r w:rsidR="00892648">
        <w:t> </w:t>
      </w:r>
      <w:r>
        <w:t>13A(6)’.</w:t>
      </w:r>
    </w:p>
    <w:p w:rsidR="0012458B" w:rsidP="00FD2318"/>
    <w:p w:rsidR="00892648" w:rsidP="00FD2318">
      <w:r>
        <w:t xml:space="preserve">This can be compared with </w:t>
      </w:r>
      <w:r>
        <w:t>subitem</w:t>
      </w:r>
      <w:r>
        <w:t xml:space="preserve"> 17(2) of Schedule 1 which provides that ‘</w:t>
      </w:r>
      <w:r>
        <w:t>(</w:t>
      </w:r>
      <w:r>
        <w:t>s</w:t>
      </w:r>
      <w:r>
        <w:t>)</w:t>
      </w:r>
      <w:r>
        <w:t>ubject</w:t>
      </w:r>
      <w:r>
        <w:t xml:space="preserve"> to </w:t>
      </w:r>
      <w:r>
        <w:t>subitem</w:t>
      </w:r>
      <w:r>
        <w:t xml:space="preserve"> (3)</w:t>
      </w:r>
      <w:r>
        <w:t>,</w:t>
      </w:r>
      <w:r>
        <w:t xml:space="preserve"> the amendment made by item 8</w:t>
      </w:r>
      <w:r>
        <w:t xml:space="preserve"> [of Schedule 1]</w:t>
      </w:r>
      <w:r>
        <w:t xml:space="preserve"> applies in relation to appointments made before, on or after the commencement of that item’. </w:t>
      </w:r>
      <w:r>
        <w:t>Item 8 of Schedule 1 inserts proposed new subsection 12(2A) into the ABC Act which limits to ten years</w:t>
      </w:r>
      <w:r w:rsidR="00F31CC4">
        <w:t xml:space="preserve"> </w:t>
      </w:r>
      <w:r>
        <w:t xml:space="preserve">the total period for which the Chairperson or other non-executive Director </w:t>
      </w:r>
      <w:r w:rsidR="00F31CC4">
        <w:t xml:space="preserve">may hold </w:t>
      </w:r>
      <w:r>
        <w:t>office</w:t>
      </w:r>
      <w:r w:rsidR="00F31CC4">
        <w:t xml:space="preserve">. However, </w:t>
      </w:r>
      <w:r w:rsidR="00F31CC4">
        <w:t>subitem</w:t>
      </w:r>
      <w:r w:rsidR="00F31CC4">
        <w:t xml:space="preserve"> 17(3) is a transitional provision which applies to the person holding the position of ABC Chairperson immediately before commencement of the bill. In effect, the transitional provision allows any time that the</w:t>
      </w:r>
      <w:r>
        <w:t xml:space="preserve"> person</w:t>
      </w:r>
      <w:r w:rsidR="00F31CC4">
        <w:t xml:space="preserve"> </w:t>
      </w:r>
      <w:r>
        <w:t xml:space="preserve">served on the Board </w:t>
      </w:r>
      <w:r w:rsidR="00F31CC4">
        <w:t>as a Director only to be</w:t>
      </w:r>
      <w:r>
        <w:t xml:space="preserve"> disregarded for the purposes of </w:t>
      </w:r>
      <w:r>
        <w:t>the ten</w:t>
      </w:r>
      <w:r w:rsidR="00F31CC4">
        <w:t>-</w:t>
      </w:r>
      <w:r>
        <w:t>year rule inserted by new subsectio</w:t>
      </w:r>
      <w:r>
        <w:t>n 12(2A).</w:t>
      </w:r>
      <w:r w:rsidR="00F31CC4">
        <w:t xml:space="preserve"> The explanatory memorandum explains (at page 13) that ‘(t</w:t>
      </w:r>
      <w:r w:rsidR="00F31CC4">
        <w:t>)his</w:t>
      </w:r>
      <w:r w:rsidR="00F31CC4">
        <w:t xml:space="preserve"> is to ensure the incumbent Chairperson is not disadvantaged by legislative changes that are not intended to change the basis of the original appointment’.</w:t>
      </w:r>
    </w:p>
    <w:p w:rsidR="00892648" w:rsidP="00FD2318"/>
    <w:p w:rsidR="00FD2318" w:rsidP="00FD2318">
      <w:r>
        <w:t xml:space="preserve">As a matter of practice, the Committee draws attention to any bill that seeks to have retrospective impact and will comment adversely where such a bill has a detrimental effect on people. </w:t>
      </w:r>
      <w:r>
        <w:t>The Committee is mindful that transitional provisions must provide commencement dates for provisions to take effect</w:t>
      </w:r>
      <w:r>
        <w:t xml:space="preserve">. </w:t>
      </w:r>
      <w:r w:rsidR="0054791D">
        <w:t>Further, t</w:t>
      </w:r>
      <w:r>
        <w:t>he issue of</w:t>
      </w:r>
      <w:r w:rsidR="005958F6">
        <w:t xml:space="preserve"> including or</w:t>
      </w:r>
      <w:r>
        <w:t xml:space="preserve"> disregarding previous Board service </w:t>
      </w:r>
      <w:r w:rsidR="007705AF">
        <w:t xml:space="preserve">clearly </w:t>
      </w:r>
      <w:r>
        <w:t>involves a policy decision</w:t>
      </w:r>
      <w:r w:rsidR="0054791D">
        <w:t>. T</w:t>
      </w:r>
      <w:r>
        <w:t xml:space="preserve">he Committee </w:t>
      </w:r>
      <w:r w:rsidR="0054791D">
        <w:t xml:space="preserve">nevertheless remains concerned </w:t>
      </w:r>
      <w:r w:rsidR="007705AF">
        <w:t xml:space="preserve">that </w:t>
      </w:r>
      <w:r w:rsidR="0054791D">
        <w:t xml:space="preserve">the retrospective effect of the application provisions </w:t>
      </w:r>
      <w:r w:rsidR="007705AF">
        <w:t>may adversely affect certain individuals and</w:t>
      </w:r>
      <w:r w:rsidR="0054791D">
        <w:t xml:space="preserve"> </w:t>
      </w:r>
      <w:r w:rsidRPr="007705AF" w:rsidR="0054791D">
        <w:rPr>
          <w:b/>
        </w:rPr>
        <w:t>seeks the Minister’s advice</w:t>
      </w:r>
      <w:r w:rsidR="0054791D">
        <w:t xml:space="preserve"> </w:t>
      </w:r>
      <w:r w:rsidR="007705AF">
        <w:t>as to the rationale for the approach</w:t>
      </w:r>
      <w:r w:rsidR="00821792">
        <w:t>es</w:t>
      </w:r>
      <w:r w:rsidR="007705AF">
        <w:t xml:space="preserve"> taken in </w:t>
      </w:r>
      <w:r w:rsidR="007705AF">
        <w:t>subitem</w:t>
      </w:r>
      <w:r w:rsidR="007705AF">
        <w:t xml:space="preserve"> 17(2) of Schedule 1 and item 7 of Schedule 2</w:t>
      </w:r>
      <w:r w:rsidR="0012458B">
        <w:t>.</w:t>
      </w:r>
    </w:p>
    <w:p w:rsidR="00A2356A" w:rsidP="00FD2318"/>
    <w:p w:rsidR="00A2356A" w:rsidP="00FD2318"/>
    <w:p w:rsidR="0054791D">
      <w:pPr>
        <w:ind w:left="567" w:right="567"/>
        <w:rPr>
          <w:i/>
        </w:rPr>
      </w:pPr>
      <w:r>
        <w:rPr>
          <w:i/>
        </w:rPr>
        <w:t>Pending the Minister’s advice,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54791D">
      <w:pPr>
        <w:ind w:left="567" w:right="567"/>
        <w:rPr>
          <w:i/>
        </w:rPr>
      </w:pPr>
    </w:p>
    <w:p w:rsidR="006E2D53" w:rsidP="00FD2318"/>
    <w:p w:rsidR="0097734F" w:rsidP="00140821">
      <w:pPr>
        <w:rPr>
          <w:b/>
          <w:sz w:val="36"/>
        </w:rPr>
      </w:pPr>
      <w:r>
        <w:br w:type="page"/>
      </w:r>
    </w:p>
    <w:p w:rsidR="00B90D02" w:rsidP="0097734F">
      <w:pPr>
        <w:pStyle w:val="H1"/>
      </w:pPr>
      <w:r>
        <w:t>Poker Machine (Reduced Losses—Interim Measures) Bill 2009</w:t>
      </w:r>
    </w:p>
    <w:p w:rsidR="007631B6" w:rsidP="007631B6">
      <w:r>
        <w:t>Introduced into the Senate on 28 October 2009</w:t>
      </w:r>
    </w:p>
    <w:p w:rsidR="007631B6" w:rsidP="007631B6">
      <w:r>
        <w:t>Senator Xenophon</w:t>
      </w:r>
    </w:p>
    <w:p w:rsidR="007631B6" w:rsidP="007631B6"/>
    <w:p w:rsidR="007631B6" w:rsidP="007631B6"/>
    <w:p w:rsidR="007631B6" w:rsidP="007631B6">
      <w:pPr>
        <w:pStyle w:val="H2"/>
      </w:pPr>
      <w:r>
        <w:t>Background</w:t>
      </w:r>
    </w:p>
    <w:p w:rsidR="007631B6" w:rsidP="007631B6"/>
    <w:p w:rsidR="004859F7" w:rsidP="007631B6">
      <w:r>
        <w:t>This bill aims to implement key recommendations of the Productivity Commission’s draft report into Gambling (</w:t>
      </w:r>
      <w:r w:rsidR="00D4591A">
        <w:t>pending</w:t>
      </w:r>
      <w:r>
        <w:t xml:space="preserve"> the publi</w:t>
      </w:r>
      <w:r w:rsidR="00D4591A">
        <w:t>cation</w:t>
      </w:r>
      <w:r>
        <w:t xml:space="preserve"> of the </w:t>
      </w:r>
      <w:r w:rsidR="004718FB">
        <w:t xml:space="preserve">Commission’s </w:t>
      </w:r>
      <w:r>
        <w:t>final report in early 2010), by introducing interim measures to regulate the rate of poker machine losses</w:t>
      </w:r>
      <w:r w:rsidR="00941A32">
        <w:t>,</w:t>
      </w:r>
      <w:r>
        <w:t xml:space="preserve"> and adjust spin rates and</w:t>
      </w:r>
      <w:r w:rsidR="00941A32">
        <w:t xml:space="preserve"> the</w:t>
      </w:r>
      <w:r>
        <w:t xml:space="preserve"> </w:t>
      </w:r>
      <w:r w:rsidR="00941A32">
        <w:t>‘</w:t>
      </w:r>
      <w:r>
        <w:t>volatility</w:t>
      </w:r>
      <w:r w:rsidR="00941A32">
        <w:t>’</w:t>
      </w:r>
      <w:r>
        <w:t xml:space="preserve"> of poker machines.</w:t>
      </w:r>
    </w:p>
    <w:p w:rsidR="00064F01" w:rsidP="007631B6"/>
    <w:p w:rsidR="00064F01" w:rsidP="007631B6"/>
    <w:p w:rsidR="00064F01">
      <w:pPr>
        <w:jc w:val="center"/>
        <w:rPr>
          <w:i/>
        </w:rPr>
      </w:pPr>
      <w:r>
        <w:rPr>
          <w:i/>
        </w:rPr>
        <w:t>The Committee has no comment on this bill.</w:t>
      </w:r>
    </w:p>
    <w:p w:rsidR="00B90D02">
      <w:pPr>
        <w:spacing w:line="240" w:lineRule="auto"/>
        <w:jc w:val="left"/>
        <w:rPr>
          <w:b/>
          <w:sz w:val="36"/>
        </w:rPr>
      </w:pPr>
      <w:r>
        <w:br w:type="page"/>
      </w:r>
    </w:p>
    <w:p w:rsidR="0097734F" w:rsidP="0097734F">
      <w:pPr>
        <w:pStyle w:val="H1"/>
      </w:pPr>
      <w:r>
        <w:t>Protecting Problem Gamblers Bill 2009</w:t>
      </w:r>
    </w:p>
    <w:p w:rsidR="007631B6" w:rsidP="007631B6">
      <w:r>
        <w:t>Introduced into the Senate on 27 October 2009</w:t>
      </w:r>
    </w:p>
    <w:p w:rsidR="007631B6" w:rsidP="007631B6">
      <w:r>
        <w:t>By Senator Fielding</w:t>
      </w:r>
    </w:p>
    <w:p w:rsidR="007631B6" w:rsidP="007631B6"/>
    <w:p w:rsidR="007631B6" w:rsidP="007631B6"/>
    <w:p w:rsidR="007631B6" w:rsidP="007631B6">
      <w:pPr>
        <w:pStyle w:val="H2"/>
      </w:pPr>
      <w:r>
        <w:t>Background</w:t>
      </w:r>
    </w:p>
    <w:p w:rsidR="007631B6" w:rsidP="007631B6"/>
    <w:p w:rsidR="00652C9E" w:rsidP="004718FB">
      <w:r>
        <w:t xml:space="preserve">This bill </w:t>
      </w:r>
      <w:r>
        <w:t>aims to protect problem gamblers by reducing bet limits to $1 per spin and</w:t>
      </w:r>
      <w:r w:rsidR="00EA1186">
        <w:t xml:space="preserve"> establishing</w:t>
      </w:r>
      <w:r>
        <w:t xml:space="preserve"> load up limits </w:t>
      </w:r>
      <w:r w:rsidR="00EA1186">
        <w:t>of $20 on poker machines.</w:t>
      </w:r>
    </w:p>
    <w:p w:rsidR="004718FB" w:rsidP="004718FB"/>
    <w:p w:rsidR="00652C9E" w:rsidP="004718FB">
      <w:r>
        <w:t>The bill</w:t>
      </w:r>
      <w:r w:rsidR="00EA1186">
        <w:t xml:space="preserve"> </w:t>
      </w:r>
      <w:r w:rsidR="005958F6">
        <w:t xml:space="preserve">also </w:t>
      </w:r>
      <w:r>
        <w:t>prevents corporations from manufacturing or supplying gaming machine</w:t>
      </w:r>
      <w:r w:rsidR="00EA1186">
        <w:t>s and poker machines that allow</w:t>
      </w:r>
      <w:r>
        <w:t xml:space="preserve"> a player to enter a banknote with a denomination greater then $20</w:t>
      </w:r>
      <w:r w:rsidR="00972376">
        <w:t>,</w:t>
      </w:r>
      <w:r>
        <w:t xml:space="preserve"> or a credit of amount greater than $20 by any other means in a single transaction.</w:t>
      </w:r>
    </w:p>
    <w:p w:rsidR="00652C9E" w:rsidP="004718FB"/>
    <w:p w:rsidR="00941A32" w:rsidP="007631B6"/>
    <w:p w:rsidR="004718FB" w:rsidP="004718FB">
      <w:pPr>
        <w:pStyle w:val="H2"/>
      </w:pPr>
      <w:r>
        <w:t>Explanatory memorandum</w:t>
      </w:r>
    </w:p>
    <w:p w:rsidR="004718FB" w:rsidP="004718FB"/>
    <w:p w:rsidR="0054791D" w:rsidP="0054791D">
      <w:r>
        <w:t>T</w:t>
      </w:r>
      <w:r w:rsidR="004718FB">
        <w:t>his bill, introduced as a private Senator’s bill, was accompanied only by a second reading speech and was introduced wi</w:t>
      </w:r>
      <w:r w:rsidR="00FC3E3E">
        <w:t xml:space="preserve">thout an explanatory memorandum. </w:t>
      </w:r>
      <w:r>
        <w:t xml:space="preserve">While noting that the second reading speech provides some explanation of the background, intent and operation of the bill, the Committee </w:t>
      </w:r>
      <w:r w:rsidR="00EF4F45">
        <w:rPr>
          <w:b/>
        </w:rPr>
        <w:t>seeks the Senator’</w:t>
      </w:r>
      <w:r w:rsidRPr="002D04BE">
        <w:rPr>
          <w:b/>
        </w:rPr>
        <w:t>s advice</w:t>
      </w:r>
      <w:r>
        <w:t xml:space="preserve"> as to whether an explanatory memorandum could also be provided.</w:t>
      </w:r>
    </w:p>
    <w:p w:rsidR="00FC3E3E" w:rsidP="004718FB"/>
    <w:p w:rsidR="00FC3E3E" w:rsidP="004718FB"/>
    <w:p w:rsidR="00FC3E3E" w:rsidP="00FC3E3E">
      <w:pPr>
        <w:ind w:left="737" w:right="680"/>
      </w:pPr>
      <w:r>
        <w:rPr>
          <w:i/>
        </w:rPr>
        <w:t>In the circumstances, the Committee makes no further comment on this bill.</w:t>
      </w:r>
    </w:p>
    <w:p w:rsidR="00777F3D" w:rsidP="004718FB"/>
    <w:p w:rsidR="00777F3D">
      <w:pPr>
        <w:spacing w:line="240" w:lineRule="auto"/>
        <w:jc w:val="left"/>
      </w:pPr>
      <w:r>
        <w:br w:type="page"/>
      </w:r>
    </w:p>
    <w:p w:rsidR="0097734F" w:rsidP="0097734F">
      <w:pPr>
        <w:pStyle w:val="H1"/>
      </w:pPr>
      <w:r>
        <w:t>Statute Law Revision Bill 2009</w:t>
      </w:r>
    </w:p>
    <w:p w:rsidR="007631B6" w:rsidP="007631B6">
      <w:r>
        <w:t>Introduced into the House of Representatives on 28 October 2009</w:t>
      </w:r>
    </w:p>
    <w:p w:rsidR="007631B6" w:rsidP="007631B6">
      <w:r>
        <w:t>Portfolio: Attorney-General</w:t>
      </w:r>
    </w:p>
    <w:p w:rsidR="007631B6" w:rsidP="007631B6"/>
    <w:p w:rsidR="007631B6" w:rsidP="007631B6"/>
    <w:p w:rsidR="007631B6" w:rsidP="007631B6">
      <w:pPr>
        <w:pStyle w:val="H2"/>
      </w:pPr>
      <w:r>
        <w:t>Background</w:t>
      </w:r>
    </w:p>
    <w:p w:rsidR="007631B6" w:rsidP="007631B6"/>
    <w:p w:rsidR="005D5FA8" w:rsidP="007631B6">
      <w:r>
        <w:t>This bill amends numerous Acts to correct technical errors that have occurred as a result of drafting and clerical mistakes</w:t>
      </w:r>
      <w:r w:rsidR="00DC4C53">
        <w:t>. The bill aims to improve the quality of the text of Commonwealth legislation and, in particular, facilitate the publication of consolidated versions of Acts by the Attorney-General’s Department and by private publishers of legislation</w:t>
      </w:r>
      <w:r>
        <w:t>.</w:t>
      </w:r>
    </w:p>
    <w:p w:rsidR="00E011E6" w:rsidP="007631B6"/>
    <w:p w:rsidR="00E011E6" w:rsidP="007631B6">
      <w:r>
        <w:t>Specifically, t</w:t>
      </w:r>
      <w:r>
        <w:t>he bill:</w:t>
      </w:r>
    </w:p>
    <w:p w:rsidR="00E011E6" w:rsidP="007631B6"/>
    <w:p w:rsidR="00E011E6" w:rsidP="00E011E6">
      <w:pPr>
        <w:pStyle w:val="ListParagraph"/>
        <w:numPr>
          <w:ilvl w:val="0"/>
          <w:numId w:val="33"/>
        </w:numPr>
        <w:ind w:left="426" w:hanging="426"/>
      </w:pPr>
      <w:r>
        <w:t>removes gender-specific language</w:t>
      </w:r>
      <w:r w:rsidR="00DC4C53">
        <w:t>,</w:t>
      </w:r>
      <w:r>
        <w:t xml:space="preserve"> to modernise language and to make other technical amendments in certain legislation;</w:t>
      </w:r>
    </w:p>
    <w:p w:rsidR="00E011E6" w:rsidP="00E011E6">
      <w:pPr>
        <w:ind w:left="426" w:hanging="426"/>
      </w:pPr>
    </w:p>
    <w:p w:rsidR="00E011E6" w:rsidP="00E011E6">
      <w:pPr>
        <w:pStyle w:val="ListParagraph"/>
        <w:numPr>
          <w:ilvl w:val="0"/>
          <w:numId w:val="33"/>
        </w:numPr>
        <w:ind w:left="426" w:hanging="426"/>
      </w:pPr>
      <w:r>
        <w:t>repeals a number of Acts that are obsolete;</w:t>
      </w:r>
      <w:r w:rsidR="00DC4C53">
        <w:t xml:space="preserve"> and</w:t>
      </w:r>
    </w:p>
    <w:p w:rsidR="00E011E6" w:rsidP="00E011E6">
      <w:pPr>
        <w:ind w:left="426" w:hanging="426"/>
      </w:pPr>
    </w:p>
    <w:p w:rsidR="00E011E6" w:rsidP="00DC4C53">
      <w:pPr>
        <w:pStyle w:val="ListParagraph"/>
        <w:numPr>
          <w:ilvl w:val="0"/>
          <w:numId w:val="33"/>
        </w:numPr>
        <w:ind w:left="426" w:hanging="426"/>
      </w:pPr>
      <w:r>
        <w:t>amends</w:t>
      </w:r>
      <w:r>
        <w:t xml:space="preserve"> </w:t>
      </w:r>
      <w:r w:rsidR="00DC4C53">
        <w:t xml:space="preserve">a large number of </w:t>
      </w:r>
      <w:r>
        <w:t>Acts to ensure consistency of language</w:t>
      </w:r>
      <w:r w:rsidR="00DC4C53">
        <w:t>.</w:t>
      </w:r>
    </w:p>
    <w:p w:rsidR="00064F01" w:rsidRPr="006E2D53" w:rsidP="00CD72CF">
      <w:pPr>
        <w:rPr>
          <w:sz w:val="20"/>
        </w:rPr>
      </w:pPr>
    </w:p>
    <w:p w:rsidR="00064F01" w:rsidRPr="006E2D53" w:rsidP="00064F01">
      <w:pPr>
        <w:rPr>
          <w:sz w:val="20"/>
        </w:rPr>
      </w:pPr>
    </w:p>
    <w:p w:rsidR="00064F01" w:rsidP="00064F01">
      <w:pPr>
        <w:pStyle w:val="H2"/>
      </w:pPr>
      <w:r>
        <w:t>Retrospective application</w:t>
      </w:r>
    </w:p>
    <w:p w:rsidR="00064F01" w:rsidP="00064F01">
      <w:pPr>
        <w:pStyle w:val="H2"/>
      </w:pPr>
      <w:r>
        <w:t>Clause 2</w:t>
      </w:r>
    </w:p>
    <w:p w:rsidR="00064F01" w:rsidP="00064F01">
      <w:pPr>
        <w:pStyle w:val="H2"/>
      </w:pPr>
    </w:p>
    <w:p w:rsidR="00FC3E3E" w:rsidP="00177A4A">
      <w:r>
        <w:t>Clause 2 of the bill contains the table of commencement information</w:t>
      </w:r>
      <w:r w:rsidR="001C0500">
        <w:t xml:space="preserve"> and many</w:t>
      </w:r>
      <w:r>
        <w:t xml:space="preserve"> items listed in the commencement table provide for retrospective commencement</w:t>
      </w:r>
      <w:r w:rsidR="001C0500">
        <w:t>. T</w:t>
      </w:r>
      <w:r>
        <w:t xml:space="preserve">he explanatory memorandum </w:t>
      </w:r>
      <w:r w:rsidR="001C0500">
        <w:t>provides a thorough explanation as to</w:t>
      </w:r>
      <w:r>
        <w:t xml:space="preserve"> why</w:t>
      </w:r>
      <w:r w:rsidR="001C0500">
        <w:t xml:space="preserve"> retrospectivity is </w:t>
      </w:r>
      <w:r>
        <w:t>considered appropriate</w:t>
      </w:r>
      <w:r w:rsidR="001C0500">
        <w:t>: the relevant items relate to misdescribed or redundant amendments or errors contained in amending Acts</w:t>
      </w:r>
      <w:r>
        <w:t>;</w:t>
      </w:r>
      <w:r w:rsidR="001C0500">
        <w:t xml:space="preserve"> and the commencement of those items is tied to the time specified in the amending Act for the commencement of the misdescribed or redundant amendment. </w:t>
      </w:r>
      <w:r>
        <w:t>The Committee accepts the retrospective application of provisions in such circumstances.</w:t>
      </w:r>
    </w:p>
    <w:p w:rsidR="00FC3E3E" w:rsidP="00177A4A"/>
    <w:p w:rsidR="006E2D53" w:rsidP="00177A4A"/>
    <w:p w:rsidR="0097734F" w:rsidP="00FC3E3E">
      <w:pPr>
        <w:ind w:left="737" w:right="680"/>
        <w:rPr>
          <w:b/>
          <w:sz w:val="36"/>
        </w:rPr>
      </w:pPr>
      <w:r>
        <w:rPr>
          <w:i/>
        </w:rPr>
        <w:t>In the circumstances, the Committee makes no further comment on this bill.</w:t>
      </w:r>
      <w:r>
        <w:br w:type="page"/>
      </w:r>
    </w:p>
    <w:p w:rsidR="0097734F" w:rsidP="0097734F">
      <w:pPr>
        <w:pStyle w:val="H1"/>
      </w:pPr>
      <w:r>
        <w:t>Trade Practices Amendment (Infrastructure Access) Bill 2009</w:t>
      </w:r>
    </w:p>
    <w:p w:rsidR="007631B6" w:rsidP="007631B6">
      <w:r>
        <w:t>Introduced into the House of Representatives on 29 October 2009</w:t>
      </w:r>
    </w:p>
    <w:p w:rsidR="007631B6" w:rsidP="007631B6">
      <w:r>
        <w:t>Portfolio: Treasury</w:t>
      </w:r>
    </w:p>
    <w:p w:rsidR="007631B6" w:rsidP="007631B6"/>
    <w:p w:rsidR="007631B6" w:rsidP="007631B6"/>
    <w:p w:rsidR="007631B6" w:rsidP="007631B6">
      <w:pPr>
        <w:pStyle w:val="H2"/>
      </w:pPr>
      <w:r>
        <w:t>Background</w:t>
      </w:r>
    </w:p>
    <w:p w:rsidR="007631B6" w:rsidP="007631B6"/>
    <w:p w:rsidR="00235D2B" w:rsidP="007631B6">
      <w:r>
        <w:t xml:space="preserve">This bill amends the </w:t>
      </w:r>
      <w:r w:rsidR="00ED5089">
        <w:t>National Access Regime in Part IIIA</w:t>
      </w:r>
      <w:r w:rsidR="00733BA6">
        <w:t xml:space="preserve"> of the </w:t>
      </w:r>
      <w:r w:rsidR="00733BA6">
        <w:rPr>
          <w:i/>
        </w:rPr>
        <w:t>Trade Practices Act 1974</w:t>
      </w:r>
      <w:r w:rsidR="0074682E">
        <w:t>,</w:t>
      </w:r>
      <w:r w:rsidR="00ED5089">
        <w:t xml:space="preserve"> and related provisions in Part IIA</w:t>
      </w:r>
      <w:r w:rsidR="00733BA6">
        <w:t>,</w:t>
      </w:r>
      <w:r w:rsidR="00ED5089">
        <w:t xml:space="preserve"> </w:t>
      </w:r>
      <w:r>
        <w:t xml:space="preserve">to </w:t>
      </w:r>
      <w:r w:rsidR="00ED5089">
        <w:t>give effect to certain provisions of the Council of Australian Governments</w:t>
      </w:r>
      <w:r w:rsidR="00733BA6">
        <w:t xml:space="preserve"> (COAG)</w:t>
      </w:r>
      <w:r w:rsidR="00ED5089">
        <w:t xml:space="preserve"> </w:t>
      </w:r>
      <w:r w:rsidR="00ED5089">
        <w:rPr>
          <w:i/>
        </w:rPr>
        <w:t xml:space="preserve">Competition and Infrastructure Reform Agreement </w:t>
      </w:r>
      <w:r w:rsidR="00ED5089">
        <w:t>(CIRA)</w:t>
      </w:r>
      <w:r w:rsidR="00602AF5">
        <w:t xml:space="preserve"> (agreed to on 10 February 2006)</w:t>
      </w:r>
      <w:r w:rsidR="0074682E">
        <w:t>.</w:t>
      </w:r>
    </w:p>
    <w:p w:rsidR="00235D2B" w:rsidP="007631B6"/>
    <w:p w:rsidR="00235D2B" w:rsidP="007631B6">
      <w:r>
        <w:t xml:space="preserve">The CIRA committed the Federal Government to amend Part IIIA of the Trade Practices Act to implement </w:t>
      </w:r>
      <w:r w:rsidR="00602AF5">
        <w:t>t</w:t>
      </w:r>
      <w:r>
        <w:t>he req</w:t>
      </w:r>
      <w:r w:rsidR="00602AF5">
        <w:t>uirement that regulators are</w:t>
      </w:r>
      <w:r>
        <w:t xml:space="preserve"> bound </w:t>
      </w:r>
      <w:r w:rsidR="00602AF5">
        <w:t xml:space="preserve">to </w:t>
      </w:r>
      <w:r>
        <w:t>make regulatory decisions within six months; and, where merits review is provided for, reviews are to be limited to the information submitted to the original decision-maker. COAG also agreed to the CIRA Implementation Plan which include</w:t>
      </w:r>
      <w:r w:rsidR="00602AF5">
        <w:t>s</w:t>
      </w:r>
      <w:r>
        <w:t xml:space="preserve"> guiding principles for the implementation of binding time limits and limited merits review.</w:t>
      </w:r>
    </w:p>
    <w:p w:rsidR="00235D2B" w:rsidP="007631B6"/>
    <w:p w:rsidR="00300007" w:rsidP="007631B6">
      <w:r>
        <w:t xml:space="preserve">The bill also </w:t>
      </w:r>
      <w:r w:rsidR="00235D2B">
        <w:t>introduces other measures aimed at increasing</w:t>
      </w:r>
      <w:r w:rsidR="00ED5089">
        <w:t xml:space="preserve"> regulatory certainty and streamlin</w:t>
      </w:r>
      <w:r w:rsidR="00235D2B">
        <w:t>ing</w:t>
      </w:r>
      <w:r w:rsidR="00ED5089">
        <w:t xml:space="preserve"> administrative processes associated with the application of the Nati</w:t>
      </w:r>
      <w:r w:rsidR="00AA578E">
        <w:t>o</w:t>
      </w:r>
      <w:r w:rsidR="00ED5089">
        <w:t>nal Access Regime.</w:t>
      </w:r>
    </w:p>
    <w:p w:rsidR="00AA578E" w:rsidP="007631B6"/>
    <w:p w:rsidR="00177A4A" w:rsidP="00F54F24">
      <w:pPr>
        <w:jc w:val="left"/>
      </w:pPr>
    </w:p>
    <w:p w:rsidR="00A34E86" w:rsidRPr="00D3288C" w:rsidP="00A34E86">
      <w:pPr>
        <w:pStyle w:val="H2"/>
      </w:pPr>
      <w:r w:rsidRPr="00D3288C">
        <w:t>Typographical error</w:t>
      </w:r>
    </w:p>
    <w:p w:rsidR="00A34E86" w:rsidRPr="00D3288C" w:rsidP="00A34E86">
      <w:pPr>
        <w:pStyle w:val="H2"/>
      </w:pPr>
      <w:r w:rsidRPr="00D3288C">
        <w:t xml:space="preserve">Schedule 3, item 5, new paragraph </w:t>
      </w:r>
      <w:r w:rsidRPr="00D3288C">
        <w:t>44ZZAAB(</w:t>
      </w:r>
      <w:r w:rsidRPr="00D3288C">
        <w:t>4)(</w:t>
      </w:r>
      <w:r w:rsidRPr="00D3288C">
        <w:t>b</w:t>
      </w:r>
      <w:r w:rsidRPr="00D3288C">
        <w:t>)</w:t>
      </w:r>
    </w:p>
    <w:p w:rsidR="00A34E86" w:rsidRPr="00D3288C" w:rsidP="00A34E86">
      <w:pPr>
        <w:pStyle w:val="H2"/>
      </w:pPr>
    </w:p>
    <w:p w:rsidR="00A34E86" w:rsidP="00A34E86">
      <w:r w:rsidRPr="00D3288C">
        <w:t xml:space="preserve">Proposed new paragraph </w:t>
      </w:r>
      <w:r w:rsidRPr="00D3288C">
        <w:t>44ZZAAB(</w:t>
      </w:r>
      <w:r w:rsidRPr="00D3288C">
        <w:t>4)(</w:t>
      </w:r>
      <w:r w:rsidRPr="00D3288C">
        <w:t>b</w:t>
      </w:r>
      <w:r w:rsidRPr="00D3288C">
        <w:t xml:space="preserve">), to be inserted by item 5 of Schedule 3, appears to contain a typographical error. The word ‘be’ appears between the words ‘should’ and ‘not’ in the last few words of the sentence </w:t>
      </w:r>
      <w:r w:rsidR="00BD4732">
        <w:t>so that the sentence reads</w:t>
      </w:r>
      <w:r w:rsidRPr="00D3288C">
        <w:t xml:space="preserve"> ‘should be not be fixed’.</w:t>
      </w:r>
      <w:r w:rsidR="00602AF5">
        <w:t xml:space="preserve"> The Committee </w:t>
      </w:r>
      <w:r w:rsidRPr="00602AF5" w:rsidR="00602AF5">
        <w:rPr>
          <w:b/>
        </w:rPr>
        <w:t xml:space="preserve">draws this </w:t>
      </w:r>
      <w:r w:rsidR="006E2D53">
        <w:rPr>
          <w:b/>
        </w:rPr>
        <w:t xml:space="preserve">apparent </w:t>
      </w:r>
      <w:r w:rsidRPr="00602AF5" w:rsidR="00602AF5">
        <w:rPr>
          <w:b/>
        </w:rPr>
        <w:t>error to the attention of the Treasurer</w:t>
      </w:r>
      <w:r w:rsidR="00602AF5">
        <w:t>.</w:t>
      </w:r>
    </w:p>
    <w:p w:rsidR="00A34E86" w:rsidRPr="004E600D" w:rsidP="00A34E86">
      <w:pPr>
        <w:rPr>
          <w:sz w:val="16"/>
          <w:szCs w:val="16"/>
        </w:rPr>
      </w:pPr>
    </w:p>
    <w:p w:rsidR="00A34E86" w:rsidRPr="004E600D" w:rsidP="00F54F24">
      <w:pPr>
        <w:jc w:val="left"/>
        <w:rPr>
          <w:sz w:val="16"/>
          <w:szCs w:val="16"/>
        </w:rPr>
      </w:pPr>
    </w:p>
    <w:p w:rsidR="00F54F24" w:rsidP="009A17E8">
      <w:pPr>
        <w:ind w:left="737" w:right="680"/>
        <w:rPr>
          <w:b/>
          <w:sz w:val="22"/>
        </w:rPr>
      </w:pPr>
      <w:r>
        <w:rPr>
          <w:i/>
        </w:rPr>
        <w:t>In the circumstances, the Committee makes no further comment on this bill.</w:t>
      </w:r>
      <w:r w:rsidR="00104D9B">
        <w:br w:type="page"/>
      </w:r>
    </w:p>
    <w:p w:rsidR="00F54F24" w:rsidP="00F54F24">
      <w:pPr>
        <w:pStyle w:val="TOCNormal"/>
        <w:spacing w:after="0"/>
        <w:ind w:left="0"/>
        <w:jc w:val="center"/>
        <w:rPr>
          <w:b/>
          <w:caps/>
          <w:sz w:val="32"/>
        </w:rPr>
      </w:pPr>
      <w:r>
        <w:rPr>
          <w:b/>
          <w:caps/>
          <w:sz w:val="32"/>
        </w:rPr>
        <w:t>COMMENTARY ON AMENDMENTS TO BILLS</w:t>
      </w:r>
    </w:p>
    <w:p w:rsidR="00F54F24" w:rsidP="00F54F24">
      <w:pPr>
        <w:rPr>
          <w:sz w:val="22"/>
        </w:rPr>
      </w:pPr>
    </w:p>
    <w:p w:rsidR="00F54F24" w:rsidP="00F54F24">
      <w:pPr>
        <w:rPr>
          <w:sz w:val="22"/>
        </w:rPr>
      </w:pPr>
    </w:p>
    <w:p w:rsidR="006517F4" w:rsidP="00D3288C">
      <w:pPr>
        <w:rPr>
          <w:b/>
          <w:sz w:val="32"/>
          <w:szCs w:val="32"/>
        </w:rPr>
      </w:pPr>
      <w:r>
        <w:rPr>
          <w:b/>
          <w:sz w:val="32"/>
          <w:szCs w:val="32"/>
        </w:rPr>
        <w:t>Access to Justice (Civil Litigation Reforms) Amendment Bill 2009</w:t>
      </w:r>
    </w:p>
    <w:p w:rsidR="006517F4" w:rsidP="00CA6976"/>
    <w:p w:rsidR="006517F4" w:rsidP="006517F4">
      <w:r>
        <w:t>On 27 October 2009</w:t>
      </w:r>
      <w:r w:rsidR="00CA6976">
        <w:t xml:space="preserve">, the Senate agreed to five government amendments and one Australian Greens amendment to the bill. None of these amendments fall within the </w:t>
      </w:r>
      <w:r w:rsidR="003C594E">
        <w:t>Committee’s terms of reference.</w:t>
      </w:r>
    </w:p>
    <w:p w:rsidR="00CA6976" w:rsidP="006517F4"/>
    <w:p w:rsidR="006517F4" w:rsidP="00CA6976"/>
    <w:p w:rsidR="00CA6976" w:rsidP="00CA6976">
      <w:pPr>
        <w:rPr>
          <w:b/>
          <w:sz w:val="32"/>
          <w:szCs w:val="32"/>
        </w:rPr>
      </w:pPr>
      <w:r w:rsidRPr="001B7BF4">
        <w:rPr>
          <w:b/>
          <w:sz w:val="32"/>
          <w:szCs w:val="32"/>
        </w:rPr>
        <w:t>AusCheck</w:t>
      </w:r>
      <w:r w:rsidRPr="001B7BF4">
        <w:rPr>
          <w:b/>
          <w:sz w:val="32"/>
          <w:szCs w:val="32"/>
        </w:rPr>
        <w:t xml:space="preserve"> Amendment Bill 2009</w:t>
      </w:r>
    </w:p>
    <w:p w:rsidR="001B7BF4" w:rsidRPr="00975556" w:rsidP="00CA6976">
      <w:pPr>
        <w:rPr>
          <w:szCs w:val="26"/>
        </w:rPr>
      </w:pPr>
    </w:p>
    <w:p w:rsidR="00CA6976" w:rsidP="00CA6976">
      <w:r>
        <w:t>On 29 October 2009, the Senate agreed to nine government amendments to the bill, none of which fall within the Committee’s terms of reference.</w:t>
      </w:r>
    </w:p>
    <w:p w:rsidR="00132604" w:rsidP="00CA6976"/>
    <w:p w:rsidR="00CA6976" w:rsidP="00CA6976"/>
    <w:p w:rsidR="00975556" w:rsidP="00D3288C">
      <w:pPr>
        <w:rPr>
          <w:b/>
          <w:sz w:val="32"/>
          <w:szCs w:val="32"/>
        </w:rPr>
      </w:pPr>
      <w:r>
        <w:rPr>
          <w:b/>
          <w:sz w:val="32"/>
          <w:szCs w:val="32"/>
        </w:rPr>
        <w:t>Corporations Amendment (Improving Accountability on Termination Payments) Bill 2009</w:t>
      </w:r>
    </w:p>
    <w:p w:rsidR="00975556" w:rsidP="00D3288C">
      <w:pPr>
        <w:rPr>
          <w:szCs w:val="26"/>
        </w:rPr>
      </w:pPr>
    </w:p>
    <w:p w:rsidR="00975556" w:rsidP="00D3288C">
      <w:pPr>
        <w:rPr>
          <w:szCs w:val="26"/>
        </w:rPr>
      </w:pPr>
      <w:r>
        <w:rPr>
          <w:szCs w:val="26"/>
        </w:rPr>
        <w:t>On 26 October 2009, the Senate agreed to one amendment to the bill</w:t>
      </w:r>
      <w:r w:rsidR="007748C2">
        <w:rPr>
          <w:szCs w:val="26"/>
        </w:rPr>
        <w:t xml:space="preserve"> (moved by Senator Xenophon)</w:t>
      </w:r>
      <w:r>
        <w:rPr>
          <w:szCs w:val="26"/>
        </w:rPr>
        <w:t xml:space="preserve"> which does not fall within the Committee’s terms of reference. On 29 October 2009, the House of Representatives disagreed to this amendment. </w:t>
      </w:r>
      <w:r w:rsidR="009A17E8">
        <w:rPr>
          <w:szCs w:val="26"/>
        </w:rPr>
        <w:t>On 16 November 2009, the Senate agreed not to insist on its amendment.</w:t>
      </w:r>
    </w:p>
    <w:p w:rsidR="00975556" w:rsidRPr="00975556" w:rsidP="00D3288C">
      <w:pPr>
        <w:rPr>
          <w:szCs w:val="26"/>
        </w:rPr>
      </w:pPr>
    </w:p>
    <w:p w:rsidR="008C0780" w:rsidP="008C0780"/>
    <w:p w:rsidR="00943959" w:rsidP="00D3288C">
      <w:pPr>
        <w:rPr>
          <w:b/>
          <w:sz w:val="32"/>
          <w:szCs w:val="32"/>
        </w:rPr>
      </w:pPr>
      <w:r>
        <w:rPr>
          <w:b/>
          <w:sz w:val="32"/>
          <w:szCs w:val="32"/>
        </w:rPr>
        <w:t>Federal Justice System Amendment (Efficiency Measures) Bill (No. 1)</w:t>
      </w:r>
    </w:p>
    <w:p w:rsidR="00943959" w:rsidP="00D3288C">
      <w:pPr>
        <w:rPr>
          <w:szCs w:val="26"/>
        </w:rPr>
      </w:pPr>
    </w:p>
    <w:p w:rsidR="00943959" w:rsidP="00D3288C">
      <w:pPr>
        <w:rPr>
          <w:szCs w:val="26"/>
        </w:rPr>
      </w:pPr>
      <w:r>
        <w:rPr>
          <w:szCs w:val="26"/>
        </w:rPr>
        <w:t xml:space="preserve">On 26 October 2009, the Senate agreed to 18 government amendments to the bill, none of which fall within the </w:t>
      </w:r>
      <w:r w:rsidR="003C594E">
        <w:rPr>
          <w:szCs w:val="26"/>
        </w:rPr>
        <w:t>Committee’s terms of reference.</w:t>
      </w:r>
    </w:p>
    <w:p w:rsidR="00943959" w:rsidP="00D3288C">
      <w:pPr>
        <w:rPr>
          <w:szCs w:val="26"/>
        </w:rPr>
      </w:pPr>
    </w:p>
    <w:p w:rsidR="00455AFB" w:rsidP="00D3288C">
      <w:pPr>
        <w:rPr>
          <w:szCs w:val="26"/>
        </w:rPr>
      </w:pPr>
    </w:p>
    <w:p w:rsidR="00FD2318">
      <w:pPr>
        <w:spacing w:line="240" w:lineRule="auto"/>
        <w:jc w:val="left"/>
        <w:rPr>
          <w:szCs w:val="26"/>
        </w:rPr>
      </w:pPr>
      <w:r>
        <w:rPr>
          <w:szCs w:val="26"/>
        </w:rPr>
        <w:br w:type="page"/>
      </w:r>
    </w:p>
    <w:p w:rsidR="008C0780" w:rsidP="00D3288C">
      <w:pPr>
        <w:rPr>
          <w:b/>
          <w:sz w:val="32"/>
          <w:szCs w:val="32"/>
        </w:rPr>
      </w:pPr>
      <w:r>
        <w:rPr>
          <w:b/>
          <w:sz w:val="32"/>
          <w:szCs w:val="32"/>
        </w:rPr>
        <w:t>National Consumer Credit Protection Bill 2009</w:t>
      </w:r>
    </w:p>
    <w:p w:rsidR="008C0780" w:rsidP="008C0780"/>
    <w:p w:rsidR="008C0780" w:rsidP="008C0780">
      <w:r>
        <w:t xml:space="preserve">On 26 October 2009, </w:t>
      </w:r>
      <w:r w:rsidR="00993F44">
        <w:t xml:space="preserve">the Senate agreed to 56 </w:t>
      </w:r>
      <w:r w:rsidR="00EF6C7A">
        <w:t>g</w:t>
      </w:r>
      <w:r w:rsidR="00993F44">
        <w:t>overnment amendments</w:t>
      </w:r>
      <w:r w:rsidR="00AD6478">
        <w:t xml:space="preserve"> to the bill, none of which fall within the Committee’s terms of reference.</w:t>
      </w:r>
    </w:p>
    <w:p w:rsidR="00BD5EE5" w:rsidP="008C0780"/>
    <w:p w:rsidR="003C594E" w:rsidP="008C0780"/>
    <w:p w:rsidR="008E0E41" w:rsidP="00D3288C">
      <w:pPr>
        <w:rPr>
          <w:b/>
          <w:sz w:val="32"/>
          <w:szCs w:val="32"/>
        </w:rPr>
      </w:pPr>
      <w:r>
        <w:rPr>
          <w:b/>
          <w:sz w:val="32"/>
          <w:szCs w:val="32"/>
        </w:rPr>
        <w:t>National Consumer Credit Protection (Transitional and Consequential Provisions) Bill 2009</w:t>
      </w:r>
    </w:p>
    <w:p w:rsidR="008E0E41" w:rsidP="008E0E41"/>
    <w:p w:rsidR="008E0E41" w:rsidP="008E0E41">
      <w:r>
        <w:t>On 26 October 2009, the Senate agreed to 43 go</w:t>
      </w:r>
      <w:r w:rsidR="00AD6478">
        <w:t>vernment amendments to the bill, none of which fall within the Committee’s terms of reference.</w:t>
      </w:r>
    </w:p>
    <w:p w:rsidR="008E0E41" w:rsidP="008E0E41"/>
    <w:p w:rsidR="008E0E41" w:rsidP="008E0E41"/>
    <w:p w:rsidR="00D3288C" w:rsidRPr="007B0A8E" w:rsidP="00D3288C">
      <w:pPr>
        <w:rPr>
          <w:b/>
          <w:sz w:val="32"/>
          <w:szCs w:val="32"/>
        </w:rPr>
      </w:pPr>
      <w:r>
        <w:rPr>
          <w:b/>
          <w:sz w:val="32"/>
          <w:szCs w:val="32"/>
        </w:rPr>
        <w:t>Tax Agent Services (Transitional Provisions and Consequential Amendments)</w:t>
      </w:r>
      <w:r w:rsidRPr="007B0A8E">
        <w:rPr>
          <w:b/>
          <w:sz w:val="32"/>
          <w:szCs w:val="32"/>
        </w:rPr>
        <w:t xml:space="preserve"> Bill 2009</w:t>
      </w:r>
    </w:p>
    <w:p w:rsidR="00D3288C" w:rsidP="00D3288C"/>
    <w:p w:rsidR="006517F4" w:rsidP="006517F4">
      <w:r>
        <w:t xml:space="preserve">On </w:t>
      </w:r>
      <w:r>
        <w:t>27 October</w:t>
      </w:r>
      <w:r>
        <w:t xml:space="preserve"> 2009, the </w:t>
      </w:r>
      <w:r>
        <w:t xml:space="preserve">House of Representatives agreed to one </w:t>
      </w:r>
      <w:r w:rsidR="00CA6976">
        <w:t xml:space="preserve">government </w:t>
      </w:r>
      <w:r>
        <w:t>amendment to the bill, which does not fall within the Committee’s terms of reference.</w:t>
      </w:r>
      <w:r w:rsidR="00DA297D">
        <w:t xml:space="preserve"> On 29 October 2009, the Senate passed the bill as amended. </w:t>
      </w:r>
      <w:r w:rsidR="006C6084">
        <w:t>The bill received Royal Assent on 16 November 2009.</w:t>
      </w:r>
    </w:p>
    <w:p w:rsidR="006517F4" w:rsidP="006517F4"/>
    <w:p w:rsidR="00402D1E" w:rsidRPr="00402D1E" w:rsidP="00402D1E">
      <w:pPr>
        <w:rPr>
          <w:szCs w:val="26"/>
        </w:rPr>
      </w:pPr>
    </w:p>
    <w:p w:rsidR="00402D1E" w:rsidRPr="007B0A8E" w:rsidP="00402D1E">
      <w:pPr>
        <w:rPr>
          <w:b/>
          <w:sz w:val="32"/>
          <w:szCs w:val="32"/>
        </w:rPr>
      </w:pPr>
      <w:r>
        <w:rPr>
          <w:b/>
          <w:sz w:val="32"/>
          <w:szCs w:val="32"/>
        </w:rPr>
        <w:t>Tax Laws Amendment (2009 Measures No. 5) Bill 2009</w:t>
      </w:r>
    </w:p>
    <w:p w:rsidR="00402D1E" w:rsidP="00402D1E"/>
    <w:p w:rsidR="006C6084" w:rsidP="00402D1E">
      <w:pPr>
        <w:spacing w:after="480"/>
        <w:rPr>
          <w:b/>
        </w:rPr>
      </w:pPr>
      <w:r w:rsidRPr="00402D1E">
        <w:rPr>
          <w:b/>
        </w:rPr>
        <w:t>Correction to explanatory memorandum</w:t>
      </w:r>
    </w:p>
    <w:p w:rsidR="00402D1E" w:rsidRPr="006C6084" w:rsidP="00402D1E">
      <w:pPr>
        <w:spacing w:after="480"/>
        <w:rPr>
          <w:b/>
        </w:rPr>
      </w:pPr>
      <w:r>
        <w:t>On 16 November 2009, the Assistant Treasurer tabled a ‘Correction to the Explanatory Memorandum’ in the Senate to correct some typographical errors</w:t>
      </w:r>
      <w:r w:rsidR="00CA062A">
        <w:t xml:space="preserve"> identified by the Committee in its </w:t>
      </w:r>
      <w:r w:rsidRPr="00402D1E" w:rsidR="00CA062A">
        <w:rPr>
          <w:i/>
        </w:rPr>
        <w:t>Alert Digest No. 13 of 2009</w:t>
      </w:r>
      <w:r>
        <w:t xml:space="preserve">. The </w:t>
      </w:r>
      <w:r w:rsidR="00CA062A">
        <w:t>Committee noted</w:t>
      </w:r>
      <w:r w:rsidR="00CE5428">
        <w:t xml:space="preserve"> that there was a discrepancy between</w:t>
      </w:r>
      <w:r w:rsidR="00CA062A">
        <w:t xml:space="preserve"> the bill and the explanatory memorandum in relation to</w:t>
      </w:r>
      <w:r w:rsidR="00CE5428">
        <w:t xml:space="preserve"> the date of commencement of amendments to the </w:t>
      </w:r>
      <w:r w:rsidRPr="00CE5428" w:rsidR="00CE5428">
        <w:rPr>
          <w:i/>
        </w:rPr>
        <w:t>Income Tax Assessment Act 1997</w:t>
      </w:r>
      <w:r w:rsidR="00CE5428">
        <w:t xml:space="preserve"> </w:t>
      </w:r>
      <w:r w:rsidR="00CA062A">
        <w:t xml:space="preserve">concerning payments </w:t>
      </w:r>
      <w:r w:rsidR="00CE5428">
        <w:t>under the Continence Aids Payment</w:t>
      </w:r>
      <w:r w:rsidR="00CA062A">
        <w:t xml:space="preserve"> Scheme</w:t>
      </w:r>
      <w:r w:rsidR="00CE5428">
        <w:t xml:space="preserve">. The ‘Correction to the Explanatory Memorandum’ clarifies that the </w:t>
      </w:r>
      <w:r w:rsidR="00CA062A">
        <w:t xml:space="preserve">Continence Aids Payment </w:t>
      </w:r>
      <w:r w:rsidR="00CE5428">
        <w:t xml:space="preserve">Scheme applies to payments in the 2010-11 income year </w:t>
      </w:r>
      <w:r w:rsidR="00CA062A">
        <w:t>(and beyond).</w:t>
      </w:r>
    </w:p>
    <w:p w:rsidR="00104D9B" w:rsidP="00402D1E">
      <w:pPr>
        <w:spacing w:after="480"/>
        <w:rPr>
          <w:b/>
          <w:caps/>
          <w:sz w:val="28"/>
        </w:rPr>
      </w:pPr>
      <w:r>
        <w:br w:type="page"/>
      </w:r>
      <w:r>
        <w:rPr>
          <w:b/>
          <w:caps/>
          <w:sz w:val="28"/>
        </w:rPr>
        <w:t>PROVISIONS of bills which IMPOSE CRIMINAL SANCTIONS FOR A FAILURE TO PROVIDE INFORMaTION</w:t>
      </w:r>
    </w:p>
    <w:p w:rsidR="00104D9B" w:rsidRPr="00FC7930" w:rsidP="00FC7930">
      <w:pPr>
        <w:rPr>
          <w:szCs w:val="26"/>
        </w:rPr>
      </w:pPr>
      <w:r w:rsidRPr="00FC7930">
        <w:rPr>
          <w:szCs w:val="26"/>
        </w:rPr>
        <w:t xml:space="preserve">The Committee’s </w:t>
      </w:r>
      <w:r w:rsidRPr="00FC7930">
        <w:rPr>
          <w:i/>
          <w:szCs w:val="26"/>
        </w:rPr>
        <w:t>Eighth Report of 1998</w:t>
      </w:r>
      <w:r w:rsidRPr="00FC7930">
        <w:rPr>
          <w:szCs w:val="26"/>
        </w:rPr>
        <w:t xml:space="preserve"> dealt with the appropriate basis for penalty provisions for offences involving the giving or withholding of information. In that Report, the Committee recommended that the Attorney-General develop more detailed criteria to ensure that the penalties imposed for such offences were ‘more consistent, more appropriate, and make greater use of a wider range of non-custodial penalties’. The Committee also recommended that such criteria be made available to Ministers, drafters and to the Parliament.</w:t>
      </w:r>
    </w:p>
    <w:p w:rsidR="00104D9B" w:rsidRPr="00FC7930" w:rsidP="00FC7930">
      <w:pPr>
        <w:rPr>
          <w:szCs w:val="26"/>
        </w:rPr>
      </w:pPr>
    </w:p>
    <w:p w:rsidR="00104D9B" w:rsidRPr="00FC7930" w:rsidP="00FC7930">
      <w:pPr>
        <w:rPr>
          <w:szCs w:val="26"/>
        </w:rPr>
      </w:pPr>
      <w:r w:rsidRPr="00FC7930">
        <w:rPr>
          <w:szCs w:val="26"/>
        </w:rPr>
        <w:t xml:space="preserve">The Government responded to that Report on </w:t>
      </w:r>
      <w:smartTag w:uri="urn:schemas-microsoft-com:office:smarttags" w:element="date">
        <w:smartTagPr>
          <w:attr w:name="Month" w:val="12"/>
          <w:attr w:name="Year" w:val="1998"/>
          <w:attr w:name="Day" w:val="14"/>
        </w:smartTagPr>
        <w:r w:rsidRPr="00FC7930">
          <w:rPr>
            <w:szCs w:val="26"/>
          </w:rPr>
          <w:t>14 December 1998</w:t>
        </w:r>
      </w:smartTag>
      <w:r w:rsidRPr="00FC7930">
        <w:rPr>
          <w:szCs w:val="26"/>
        </w:rPr>
        <w:t xml:space="preserve">. In that response, the Minister for Justice referred to the ongoing development of the Commonwealth </w:t>
      </w:r>
      <w:r w:rsidRPr="00FC7930">
        <w:rPr>
          <w:i/>
          <w:szCs w:val="26"/>
        </w:rPr>
        <w:t>Criminal Code</w:t>
      </w:r>
      <w:r w:rsidRPr="00FC7930">
        <w:rPr>
          <w:szCs w:val="26"/>
        </w:rPr>
        <w:t>, which would include rationalising penalty provisions for ‘administration of justice offences’. The Minister undertook to provide further information when the review of penalty levels and applicable principles had taken place.</w:t>
      </w:r>
    </w:p>
    <w:p w:rsidR="00104D9B" w:rsidRPr="00FC7930" w:rsidP="00FC7930">
      <w:pPr>
        <w:rPr>
          <w:szCs w:val="26"/>
        </w:rPr>
      </w:pPr>
    </w:p>
    <w:p w:rsidR="00104D9B" w:rsidRPr="00FC7930" w:rsidP="00FC7930">
      <w:pPr>
        <w:rPr>
          <w:szCs w:val="26"/>
        </w:rPr>
      </w:pPr>
      <w:r w:rsidRPr="00FC7930">
        <w:rPr>
          <w:szCs w:val="26"/>
        </w:rPr>
        <w:t xml:space="preserve">For information, the following Table sets out penalties for ‘information-related’ offences in the legislation covered in this </w:t>
      </w:r>
      <w:r w:rsidRPr="00FC7930">
        <w:rPr>
          <w:i/>
          <w:szCs w:val="26"/>
        </w:rPr>
        <w:t>Digest.</w:t>
      </w:r>
      <w:r w:rsidRPr="00FC7930">
        <w:rPr>
          <w:szCs w:val="26"/>
        </w:rPr>
        <w:t xml:space="preserve"> The Committee notes that imprisonment is still prescribed as a penalty for some such offences.</w:t>
      </w:r>
    </w:p>
    <w:p w:rsidR="00104D9B">
      <w:pPr>
        <w:rPr>
          <w:sz w:val="22"/>
        </w:rPr>
      </w:pPr>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518"/>
        <w:gridCol w:w="2268"/>
        <w:gridCol w:w="1985"/>
        <w:gridCol w:w="1984"/>
      </w:tblGrid>
      <w:tr w:rsidTr="00A07772">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518"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Bill/Act</w:t>
            </w:r>
          </w:p>
        </w:tc>
        <w:tc>
          <w:tcPr>
            <w:tcW w:w="2268"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Section/Subsection</w:t>
            </w:r>
          </w:p>
        </w:tc>
        <w:tc>
          <w:tcPr>
            <w:tcW w:w="1985"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Offence</w:t>
            </w:r>
          </w:p>
        </w:tc>
        <w:tc>
          <w:tcPr>
            <w:tcW w:w="1984"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Penalty</w:t>
            </w:r>
          </w:p>
        </w:tc>
      </w:tr>
      <w:tr w:rsidTr="00A07772">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518" w:type="dxa"/>
          </w:tcPr>
          <w:p w:rsidR="00AD6478" w:rsidRPr="00DB1F8D" w:rsidP="007A0F0E">
            <w:pPr>
              <w:pStyle w:val="H2"/>
              <w:rPr>
                <w:b w:val="0"/>
                <w:sz w:val="24"/>
                <w:szCs w:val="24"/>
              </w:rPr>
            </w:pPr>
          </w:p>
          <w:p w:rsidR="00104D9B" w:rsidRPr="00DB1F8D" w:rsidP="00AD6478">
            <w:pPr>
              <w:pStyle w:val="H2"/>
              <w:rPr>
                <w:b w:val="0"/>
                <w:sz w:val="24"/>
                <w:szCs w:val="24"/>
              </w:rPr>
            </w:pPr>
            <w:r w:rsidRPr="00DB1F8D">
              <w:rPr>
                <w:b w:val="0"/>
                <w:sz w:val="24"/>
                <w:szCs w:val="24"/>
              </w:rPr>
              <w:t>Bankruptcy</w:t>
            </w:r>
            <w:r w:rsidRPr="00DB1F8D" w:rsidR="00AD6478">
              <w:rPr>
                <w:b w:val="0"/>
                <w:sz w:val="24"/>
                <w:szCs w:val="24"/>
              </w:rPr>
              <w:t xml:space="preserve"> Legislation </w:t>
            </w:r>
            <w:r w:rsidRPr="00DB1F8D">
              <w:rPr>
                <w:b w:val="0"/>
                <w:sz w:val="24"/>
                <w:szCs w:val="24"/>
              </w:rPr>
              <w:t>Amendment</w:t>
            </w:r>
            <w:r w:rsidRPr="00DB1F8D" w:rsidR="00AD6478">
              <w:rPr>
                <w:b w:val="0"/>
                <w:sz w:val="24"/>
                <w:szCs w:val="24"/>
              </w:rPr>
              <w:t xml:space="preserve"> Bill </w:t>
            </w:r>
            <w:r w:rsidRPr="00DB1F8D">
              <w:rPr>
                <w:b w:val="0"/>
                <w:sz w:val="24"/>
                <w:szCs w:val="24"/>
              </w:rPr>
              <w:t>2009</w:t>
            </w:r>
          </w:p>
          <w:p w:rsidR="00A07772" w:rsidRPr="00DB1F8D" w:rsidP="00AD6478">
            <w:pPr>
              <w:pStyle w:val="H2"/>
              <w:rPr>
                <w:b w:val="0"/>
                <w:sz w:val="24"/>
                <w:szCs w:val="24"/>
              </w:rPr>
            </w:pPr>
          </w:p>
          <w:p w:rsidR="00A07772" w:rsidRPr="00DB1F8D" w:rsidP="00AD6478">
            <w:pPr>
              <w:pStyle w:val="H2"/>
              <w:rPr>
                <w:b w:val="0"/>
                <w:sz w:val="24"/>
                <w:szCs w:val="24"/>
              </w:rPr>
            </w:pPr>
          </w:p>
          <w:p w:rsidR="008A08D2" w:rsidRPr="00DB1F8D" w:rsidP="00AD6478">
            <w:pPr>
              <w:pStyle w:val="H2"/>
              <w:rPr>
                <w:b w:val="0"/>
                <w:sz w:val="24"/>
                <w:szCs w:val="24"/>
              </w:rPr>
            </w:pPr>
          </w:p>
          <w:p w:rsidR="00A07772" w:rsidRPr="00DB1F8D" w:rsidP="00AD6478">
            <w:pPr>
              <w:pStyle w:val="H2"/>
              <w:rPr>
                <w:b w:val="0"/>
                <w:sz w:val="24"/>
                <w:szCs w:val="24"/>
              </w:rPr>
            </w:pPr>
            <w:r w:rsidRPr="00DB1F8D">
              <w:rPr>
                <w:b w:val="0"/>
                <w:sz w:val="24"/>
                <w:szCs w:val="24"/>
              </w:rPr>
              <w:t>Bankruptcy Legislation Amendment Bill 2009</w:t>
            </w:r>
          </w:p>
          <w:p w:rsidR="00AD6478" w:rsidRPr="00FC7930" w:rsidP="00AD6478">
            <w:pPr>
              <w:pStyle w:val="H2"/>
              <w:rPr>
                <w:i/>
                <w:sz w:val="24"/>
                <w:szCs w:val="24"/>
              </w:rPr>
            </w:pPr>
          </w:p>
        </w:tc>
        <w:tc>
          <w:tcPr>
            <w:tcW w:w="2268" w:type="dxa"/>
          </w:tcPr>
          <w:p w:rsidR="00104D9B" w:rsidRPr="00FC7930">
            <w:pPr>
              <w:pStyle w:val="B1"/>
              <w:tabs>
                <w:tab w:val="clear" w:pos="510"/>
              </w:tabs>
              <w:spacing w:after="0"/>
              <w:ind w:left="0" w:firstLine="0"/>
              <w:jc w:val="left"/>
              <w:rPr>
                <w:sz w:val="24"/>
                <w:szCs w:val="24"/>
              </w:rPr>
            </w:pPr>
          </w:p>
          <w:p w:rsidR="00AD6478" w:rsidRPr="00DB1F8D" w:rsidP="00AD6478">
            <w:pPr>
              <w:pStyle w:val="H2"/>
              <w:rPr>
                <w:sz w:val="24"/>
                <w:szCs w:val="24"/>
              </w:rPr>
            </w:pPr>
            <w:r w:rsidRPr="00DB1F8D">
              <w:rPr>
                <w:b w:val="0"/>
                <w:sz w:val="24"/>
                <w:szCs w:val="24"/>
              </w:rPr>
              <w:t>Schedule 2</w:t>
            </w:r>
            <w:r w:rsidRPr="00DB1F8D" w:rsidR="00A07772">
              <w:rPr>
                <w:b w:val="0"/>
                <w:sz w:val="24"/>
                <w:szCs w:val="24"/>
              </w:rPr>
              <w:t>,</w:t>
            </w:r>
            <w:r w:rsidRPr="00DB1F8D">
              <w:rPr>
                <w:b w:val="0"/>
                <w:sz w:val="24"/>
                <w:szCs w:val="24"/>
              </w:rPr>
              <w:t xml:space="preserve"> item 4</w:t>
            </w:r>
            <w:r w:rsidRPr="00DB1F8D" w:rsidR="00A07772">
              <w:rPr>
                <w:b w:val="0"/>
                <w:sz w:val="24"/>
                <w:szCs w:val="24"/>
              </w:rPr>
              <w:t>, new subsection 12(</w:t>
            </w:r>
            <w:r w:rsidRPr="00DB1F8D" w:rsidR="00995979">
              <w:rPr>
                <w:b w:val="0"/>
                <w:sz w:val="24"/>
                <w:szCs w:val="24"/>
              </w:rPr>
              <w:t>2</w:t>
            </w:r>
            <w:r w:rsidRPr="00DB1F8D" w:rsidR="00A07772">
              <w:rPr>
                <w:b w:val="0"/>
                <w:sz w:val="24"/>
                <w:szCs w:val="24"/>
              </w:rPr>
              <w:t>C)</w:t>
            </w:r>
          </w:p>
          <w:p w:rsidR="00104D9B">
            <w:pPr>
              <w:pStyle w:val="B1"/>
              <w:tabs>
                <w:tab w:val="clear" w:pos="510"/>
              </w:tabs>
              <w:spacing w:after="0"/>
              <w:ind w:left="0" w:firstLine="0"/>
              <w:jc w:val="left"/>
              <w:rPr>
                <w:sz w:val="24"/>
                <w:szCs w:val="24"/>
              </w:rPr>
            </w:pPr>
          </w:p>
          <w:p w:rsidR="008A08D2" w:rsidRPr="00FC7930">
            <w:pPr>
              <w:pStyle w:val="B1"/>
              <w:tabs>
                <w:tab w:val="clear" w:pos="510"/>
              </w:tabs>
              <w:spacing w:after="0"/>
              <w:ind w:left="0" w:firstLine="0"/>
              <w:jc w:val="left"/>
              <w:rPr>
                <w:sz w:val="24"/>
                <w:szCs w:val="24"/>
              </w:rPr>
            </w:pPr>
          </w:p>
          <w:p w:rsidR="00A07772" w:rsidRPr="00FC7930" w:rsidP="00995979">
            <w:pPr>
              <w:pStyle w:val="B1"/>
              <w:tabs>
                <w:tab w:val="clear" w:pos="510"/>
              </w:tabs>
              <w:spacing w:after="0"/>
              <w:ind w:left="0" w:firstLine="0"/>
              <w:jc w:val="left"/>
              <w:rPr>
                <w:sz w:val="24"/>
                <w:szCs w:val="24"/>
              </w:rPr>
            </w:pPr>
            <w:r>
              <w:rPr>
                <w:sz w:val="24"/>
                <w:szCs w:val="24"/>
              </w:rPr>
              <w:t>Schedule 2, item 8</w:t>
            </w:r>
            <w:r w:rsidR="00995979">
              <w:rPr>
                <w:sz w:val="24"/>
                <w:szCs w:val="24"/>
              </w:rPr>
              <w:t>2</w:t>
            </w:r>
            <w:r>
              <w:rPr>
                <w:sz w:val="24"/>
                <w:szCs w:val="24"/>
              </w:rPr>
              <w:t>,</w:t>
            </w:r>
            <w:r w:rsidR="00995979">
              <w:rPr>
                <w:sz w:val="24"/>
                <w:szCs w:val="24"/>
              </w:rPr>
              <w:t xml:space="preserve"> new subsection 277B(2),</w:t>
            </w:r>
            <w:r>
              <w:rPr>
                <w:sz w:val="24"/>
                <w:szCs w:val="24"/>
              </w:rPr>
              <w:t xml:space="preserve"> various table items</w:t>
            </w:r>
          </w:p>
        </w:tc>
        <w:tc>
          <w:tcPr>
            <w:tcW w:w="1985" w:type="dxa"/>
          </w:tcPr>
          <w:p w:rsidR="00104D9B" w:rsidRPr="00FC7930">
            <w:pPr>
              <w:pStyle w:val="B1"/>
              <w:tabs>
                <w:tab w:val="clear" w:pos="510"/>
              </w:tabs>
              <w:spacing w:after="0"/>
              <w:ind w:left="0" w:firstLine="0"/>
              <w:jc w:val="left"/>
              <w:rPr>
                <w:sz w:val="24"/>
                <w:szCs w:val="24"/>
              </w:rPr>
            </w:pPr>
          </w:p>
          <w:p w:rsidR="00104D9B" w:rsidP="007A0F0E">
            <w:pPr>
              <w:pStyle w:val="B1"/>
              <w:tabs>
                <w:tab w:val="clear" w:pos="510"/>
              </w:tabs>
              <w:spacing w:after="0"/>
              <w:ind w:left="0" w:firstLine="0"/>
              <w:jc w:val="left"/>
              <w:rPr>
                <w:sz w:val="24"/>
                <w:szCs w:val="24"/>
              </w:rPr>
            </w:pPr>
            <w:r>
              <w:rPr>
                <w:sz w:val="24"/>
                <w:szCs w:val="24"/>
              </w:rPr>
              <w:t>Failure to provide information to a public authority</w:t>
            </w:r>
          </w:p>
          <w:p w:rsidR="00AD6478" w:rsidP="007A0F0E">
            <w:pPr>
              <w:pStyle w:val="B1"/>
              <w:tabs>
                <w:tab w:val="clear" w:pos="510"/>
              </w:tabs>
              <w:spacing w:after="0"/>
              <w:ind w:left="0" w:firstLine="0"/>
              <w:jc w:val="left"/>
              <w:rPr>
                <w:sz w:val="24"/>
                <w:szCs w:val="24"/>
              </w:rPr>
            </w:pPr>
          </w:p>
          <w:p w:rsidR="008A08D2" w:rsidP="007A0F0E">
            <w:pPr>
              <w:pStyle w:val="B1"/>
              <w:tabs>
                <w:tab w:val="clear" w:pos="510"/>
              </w:tabs>
              <w:spacing w:after="0"/>
              <w:ind w:left="0" w:firstLine="0"/>
              <w:jc w:val="left"/>
              <w:rPr>
                <w:sz w:val="24"/>
                <w:szCs w:val="24"/>
              </w:rPr>
            </w:pPr>
          </w:p>
          <w:p w:rsidR="00A07772" w:rsidP="007A0F0E">
            <w:pPr>
              <w:pStyle w:val="B1"/>
              <w:tabs>
                <w:tab w:val="clear" w:pos="510"/>
              </w:tabs>
              <w:spacing w:after="0"/>
              <w:ind w:left="0" w:firstLine="0"/>
              <w:jc w:val="left"/>
              <w:rPr>
                <w:sz w:val="24"/>
                <w:szCs w:val="24"/>
              </w:rPr>
            </w:pPr>
            <w:r>
              <w:rPr>
                <w:sz w:val="24"/>
                <w:szCs w:val="24"/>
              </w:rPr>
              <w:t>Failure to provide information to a public authority</w:t>
            </w:r>
          </w:p>
          <w:p w:rsidR="00A07772" w:rsidRPr="00FC7930" w:rsidP="007A0F0E">
            <w:pPr>
              <w:pStyle w:val="B1"/>
              <w:tabs>
                <w:tab w:val="clear" w:pos="510"/>
              </w:tabs>
              <w:spacing w:after="0"/>
              <w:ind w:left="0" w:firstLine="0"/>
              <w:jc w:val="left"/>
              <w:rPr>
                <w:sz w:val="24"/>
                <w:szCs w:val="24"/>
              </w:rPr>
            </w:pPr>
          </w:p>
        </w:tc>
        <w:tc>
          <w:tcPr>
            <w:tcW w:w="1984" w:type="dxa"/>
          </w:tcPr>
          <w:p w:rsidR="00104D9B" w:rsidRPr="00FC7930">
            <w:pPr>
              <w:pStyle w:val="B1"/>
              <w:tabs>
                <w:tab w:val="clear" w:pos="510"/>
              </w:tabs>
              <w:spacing w:after="0"/>
              <w:ind w:left="0" w:firstLine="0"/>
              <w:jc w:val="left"/>
              <w:rPr>
                <w:sz w:val="24"/>
                <w:szCs w:val="24"/>
              </w:rPr>
            </w:pPr>
          </w:p>
          <w:p w:rsidR="00104D9B" w:rsidRPr="00FC7930">
            <w:pPr>
              <w:pStyle w:val="B1"/>
              <w:tabs>
                <w:tab w:val="clear" w:pos="510"/>
              </w:tabs>
              <w:spacing w:after="0"/>
              <w:ind w:left="0" w:firstLine="0"/>
              <w:jc w:val="left"/>
              <w:rPr>
                <w:sz w:val="24"/>
                <w:szCs w:val="24"/>
              </w:rPr>
            </w:pPr>
            <w:r>
              <w:rPr>
                <w:sz w:val="24"/>
                <w:szCs w:val="24"/>
              </w:rPr>
              <w:t>Imprisonment for 12 months</w:t>
            </w:r>
          </w:p>
          <w:p w:rsidR="00104D9B">
            <w:pPr>
              <w:pStyle w:val="B1"/>
              <w:tabs>
                <w:tab w:val="clear" w:pos="510"/>
              </w:tabs>
              <w:spacing w:after="0"/>
              <w:ind w:left="0" w:firstLine="0"/>
              <w:jc w:val="left"/>
              <w:rPr>
                <w:sz w:val="24"/>
                <w:szCs w:val="24"/>
              </w:rPr>
            </w:pPr>
          </w:p>
          <w:p w:rsidR="00A07772">
            <w:pPr>
              <w:pStyle w:val="B1"/>
              <w:tabs>
                <w:tab w:val="clear" w:pos="510"/>
              </w:tabs>
              <w:spacing w:after="0"/>
              <w:ind w:left="0" w:firstLine="0"/>
              <w:jc w:val="left"/>
              <w:rPr>
                <w:sz w:val="24"/>
                <w:szCs w:val="24"/>
              </w:rPr>
            </w:pPr>
          </w:p>
          <w:p w:rsidR="008A08D2" w:rsidP="00A07772">
            <w:pPr>
              <w:pStyle w:val="B1"/>
              <w:tabs>
                <w:tab w:val="clear" w:pos="510"/>
              </w:tabs>
              <w:spacing w:after="0"/>
              <w:ind w:left="0" w:firstLine="0"/>
              <w:jc w:val="left"/>
              <w:rPr>
                <w:sz w:val="24"/>
                <w:szCs w:val="24"/>
              </w:rPr>
            </w:pPr>
          </w:p>
          <w:p w:rsidR="00A07772" w:rsidRPr="00FC7930" w:rsidP="00A07772">
            <w:pPr>
              <w:pStyle w:val="B1"/>
              <w:tabs>
                <w:tab w:val="clear" w:pos="510"/>
              </w:tabs>
              <w:spacing w:after="0"/>
              <w:ind w:left="0" w:firstLine="0"/>
              <w:jc w:val="left"/>
              <w:rPr>
                <w:sz w:val="24"/>
                <w:szCs w:val="24"/>
              </w:rPr>
            </w:pPr>
            <w:r>
              <w:rPr>
                <w:sz w:val="24"/>
                <w:szCs w:val="24"/>
              </w:rPr>
              <w:t>Between one and five penalty units</w:t>
            </w:r>
          </w:p>
        </w:tc>
      </w:tr>
    </w:tbl>
    <w:p w:rsidR="00104D9B"/>
    <w:p w:rsidR="00104D9B">
      <w:pPr>
        <w:jc w:val="center"/>
        <w:rPr>
          <w:b/>
          <w:sz w:val="32"/>
        </w:rPr>
      </w:pPr>
      <w:r>
        <w:br w:type="page"/>
      </w:r>
      <w:r>
        <w:rPr>
          <w:b/>
          <w:sz w:val="32"/>
        </w:rPr>
        <w:t>BILLS GIVING EFFECT TO NATIONAL SCHEMES OF LEGISLATION</w:t>
      </w:r>
    </w:p>
    <w:p w:rsidR="00104D9B">
      <w:pPr>
        <w:rPr>
          <w:sz w:val="22"/>
        </w:rPr>
      </w:pPr>
    </w:p>
    <w:p w:rsidR="00224B80" w:rsidRPr="00FC7930" w:rsidP="00224B80">
      <w:pPr>
        <w:rPr>
          <w:szCs w:val="26"/>
        </w:rPr>
      </w:pPr>
      <w:r>
        <w:rPr>
          <w:szCs w:val="26"/>
        </w:rPr>
        <w:t>T</w:t>
      </w:r>
      <w:r w:rsidRPr="00FC7930">
        <w:rPr>
          <w:szCs w:val="26"/>
        </w:rPr>
        <w:t xml:space="preserve">he Chairs and </w:t>
      </w:r>
      <w:r>
        <w:rPr>
          <w:szCs w:val="26"/>
        </w:rPr>
        <w:t>Deputy Chairs of Commonwealth, and s</w:t>
      </w:r>
      <w:r w:rsidRPr="00FC7930">
        <w:rPr>
          <w:szCs w:val="26"/>
        </w:rPr>
        <w:t xml:space="preserve">tate and </w:t>
      </w:r>
      <w:r>
        <w:rPr>
          <w:szCs w:val="26"/>
        </w:rPr>
        <w:t>t</w:t>
      </w:r>
      <w:r w:rsidRPr="00FC7930">
        <w:rPr>
          <w:szCs w:val="26"/>
        </w:rPr>
        <w:t xml:space="preserve">erritory Scrutiny Committees have noted </w:t>
      </w:r>
      <w:r>
        <w:rPr>
          <w:szCs w:val="26"/>
        </w:rPr>
        <w:t xml:space="preserve">(most recently in 2000) </w:t>
      </w:r>
      <w:r w:rsidRPr="00FC7930">
        <w:rPr>
          <w:szCs w:val="26"/>
        </w:rPr>
        <w:t>difficulties in the identification and scrutiny of national schemes of legislation. Essentially, these difficulties arise because ‘national scheme’ bills are devised by Ministerial Councils and are presented to Parliaments as agreed and uniform legislation. Any requests for amendment are seen to threaten that agreement and that uniformity.</w:t>
      </w:r>
    </w:p>
    <w:p w:rsidR="00224B80" w:rsidRPr="00FC7930" w:rsidP="00224B80">
      <w:pPr>
        <w:rPr>
          <w:szCs w:val="26"/>
        </w:rPr>
      </w:pPr>
    </w:p>
    <w:p w:rsidR="00224B80" w:rsidRPr="00FC7930" w:rsidP="00224B80">
      <w:pPr>
        <w:rPr>
          <w:szCs w:val="26"/>
        </w:rPr>
      </w:pPr>
      <w:r w:rsidRPr="00FC7930">
        <w:rPr>
          <w:szCs w:val="26"/>
        </w:rPr>
        <w:t>To assist in the identification of national schemes of legislation, the Committee</w:t>
      </w:r>
      <w:r>
        <w:rPr>
          <w:szCs w:val="26"/>
        </w:rPr>
        <w:t xml:space="preserve">’s practice is </w:t>
      </w:r>
      <w:r w:rsidRPr="00FC7930">
        <w:rPr>
          <w:szCs w:val="26"/>
        </w:rPr>
        <w:t>to note bills that give effect to such schemes as they come before the Committee for consideration.</w:t>
      </w:r>
    </w:p>
    <w:p w:rsidR="00224B80" w:rsidRPr="00FC7930" w:rsidP="00224B80">
      <w:pPr>
        <w:rPr>
          <w:szCs w:val="26"/>
        </w:rPr>
      </w:pPr>
    </w:p>
    <w:p w:rsidR="00104D9B" w:rsidRPr="00FC7930" w:rsidP="00FC7930">
      <w:pPr>
        <w:rPr>
          <w:szCs w:val="26"/>
        </w:rPr>
      </w:pPr>
    </w:p>
    <w:p w:rsidR="00104D9B">
      <w:pPr>
        <w:jc w:val="left"/>
        <w:rPr>
          <w:b/>
        </w:rPr>
      </w:pPr>
      <w:r>
        <w:rPr>
          <w:b/>
        </w:rPr>
        <w:t xml:space="preserve">Trade Practices Amendment (Infrastructure Access) </w:t>
      </w:r>
      <w:r>
        <w:rPr>
          <w:b/>
        </w:rPr>
        <w:t xml:space="preserve">Bill </w:t>
      </w:r>
      <w:r>
        <w:rPr>
          <w:b/>
        </w:rPr>
        <w:t>2009</w:t>
      </w:r>
    </w:p>
    <w:p w:rsidR="0074682E" w:rsidP="00C827D3"/>
    <w:p w:rsidR="0074682E" w:rsidP="00C827D3">
      <w:r>
        <w:t xml:space="preserve">This bill gives effect to certain provisions of the Council of Australian Governments (COAG) </w:t>
      </w:r>
      <w:r w:rsidRPr="00235D2B">
        <w:rPr>
          <w:i/>
        </w:rPr>
        <w:t>Competition and Infrastructure Reform Agreement</w:t>
      </w:r>
      <w:r>
        <w:t xml:space="preserve"> </w:t>
      </w:r>
      <w:r w:rsidR="00235D2B">
        <w:t xml:space="preserve">(CIRA), which was agreed to on 10 February 2006. CIRA contained a suite of reforms aimed at achieving a simpler and more consistent national approach to the regulation of nationally significant infrastructure, and included a commitment by the Federal Government to amend Part IIIA of the </w:t>
      </w:r>
      <w:r w:rsidRPr="00235D2B" w:rsidR="00235D2B">
        <w:rPr>
          <w:i/>
        </w:rPr>
        <w:t>Trade</w:t>
      </w:r>
      <w:r w:rsidR="00235D2B">
        <w:rPr>
          <w:i/>
        </w:rPr>
        <w:t> </w:t>
      </w:r>
      <w:r w:rsidRPr="00235D2B" w:rsidR="00235D2B">
        <w:rPr>
          <w:i/>
        </w:rPr>
        <w:t>Practices</w:t>
      </w:r>
      <w:r w:rsidR="00235D2B">
        <w:rPr>
          <w:i/>
        </w:rPr>
        <w:t> </w:t>
      </w:r>
      <w:r w:rsidRPr="00235D2B" w:rsidR="00235D2B">
        <w:rPr>
          <w:i/>
        </w:rPr>
        <w:t>Act</w:t>
      </w:r>
      <w:r w:rsidR="00235D2B">
        <w:rPr>
          <w:i/>
        </w:rPr>
        <w:t> </w:t>
      </w:r>
      <w:r w:rsidRPr="00235D2B" w:rsidR="00235D2B">
        <w:rPr>
          <w:i/>
        </w:rPr>
        <w:t>1974</w:t>
      </w:r>
      <w:r w:rsidR="00235D2B">
        <w:t xml:space="preserve"> to implement certain measures.</w:t>
      </w:r>
    </w:p>
    <w:p w:rsidR="00CF7D6B" w:rsidP="00CF7D6B">
      <w:pPr>
        <w:jc w:val="center"/>
        <w:outlineLvl w:val="0"/>
        <w:rPr>
          <w:b/>
          <w:sz w:val="32"/>
          <w:szCs w:val="32"/>
        </w:rPr>
      </w:pPr>
      <w:r>
        <w:br w:type="page"/>
      </w:r>
      <w:r w:rsidRPr="003B474B">
        <w:rPr>
          <w:b/>
          <w:sz w:val="32"/>
          <w:szCs w:val="32"/>
        </w:rPr>
        <w:t>SCRUTINY OF STANDING APPROPRIATIONS</w:t>
      </w:r>
    </w:p>
    <w:p w:rsidR="00CF7D6B" w:rsidRPr="003B474B" w:rsidP="00CF7D6B">
      <w:pPr>
        <w:jc w:val="center"/>
        <w:rPr>
          <w:b/>
          <w:sz w:val="32"/>
          <w:szCs w:val="32"/>
        </w:rPr>
      </w:pPr>
    </w:p>
    <w:p w:rsidR="00CF7D6B" w:rsidP="00CF7D6B">
      <w:r>
        <w:t>The Committee has determined that, as part of its standard procedures for reporting on bills, it should draw senators’ attention to the presence in bills of standing appropriations. It will do so under provisions 1(a</w:t>
      </w:r>
      <w:r>
        <w:t>)(</w:t>
      </w:r>
      <w:r>
        <w:t>iv) and (v) of its terms of reference, which require the Committee to report on whether bills:</w:t>
      </w:r>
    </w:p>
    <w:p w:rsidR="00CF7D6B" w:rsidP="00CF7D6B"/>
    <w:p w:rsidR="00CF7D6B" w:rsidP="00CF7D6B">
      <w:pPr>
        <w:numPr>
          <w:ilvl w:val="0"/>
          <w:numId w:val="31"/>
        </w:numPr>
        <w:spacing w:after="120"/>
        <w:ind w:left="1077"/>
      </w:pPr>
      <w:r>
        <w:t>inappropriately delegate legislative powers; or</w:t>
      </w:r>
    </w:p>
    <w:p w:rsidR="00CF7D6B" w:rsidP="00CF7D6B">
      <w:pPr>
        <w:numPr>
          <w:ilvl w:val="0"/>
          <w:numId w:val="31"/>
        </w:numPr>
      </w:pPr>
      <w:r>
        <w:t>insufficiently</w:t>
      </w:r>
      <w:r>
        <w:t xml:space="preserve"> subject the exercise of legislative power to parliamentary scrutiny.</w:t>
      </w:r>
    </w:p>
    <w:p w:rsidR="00CF7D6B" w:rsidP="00CF7D6B"/>
    <w:p w:rsidR="00CF7D6B" w:rsidP="00CF7D6B">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CF7D6B" w:rsidRPr="00AD332A" w:rsidP="00CF7D6B">
      <w:pPr>
        <w:rPr>
          <w:sz w:val="16"/>
          <w:szCs w:val="16"/>
        </w:rPr>
      </w:pPr>
    </w:p>
    <w:p w:rsidR="00CF7D6B" w:rsidRPr="00AD332A" w:rsidP="00CF7D6B">
      <w:pPr>
        <w:rPr>
          <w:sz w:val="16"/>
          <w:szCs w:val="16"/>
        </w:rPr>
      </w:pPr>
    </w:p>
    <w:p w:rsidR="00CF7D6B" w:rsidP="00CF7D6B">
      <w:pPr>
        <w:jc w:val="left"/>
        <w:outlineLvl w:val="0"/>
        <w:rPr>
          <w:b/>
          <w:szCs w:val="26"/>
        </w:rPr>
      </w:pPr>
      <w:r w:rsidRPr="007757DD">
        <w:rPr>
          <w:b/>
          <w:szCs w:val="26"/>
        </w:rPr>
        <w:t xml:space="preserve">Bills introduced with standing appropriation clauses </w:t>
      </w:r>
      <w:r>
        <w:rPr>
          <w:b/>
          <w:szCs w:val="26"/>
        </w:rPr>
        <w:t>–</w:t>
      </w:r>
      <w:r w:rsidRPr="007757DD">
        <w:rPr>
          <w:b/>
          <w:szCs w:val="26"/>
        </w:rPr>
        <w:t xml:space="preserve"> 4</w:t>
      </w:r>
      <w:r>
        <w:rPr>
          <w:b/>
          <w:szCs w:val="26"/>
        </w:rPr>
        <w:t>2nd</w:t>
      </w:r>
      <w:r w:rsidRPr="007757DD">
        <w:rPr>
          <w:b/>
          <w:szCs w:val="26"/>
        </w:rPr>
        <w:t xml:space="preserve"> Parliament</w:t>
      </w:r>
    </w:p>
    <w:p w:rsidR="00CF7D6B" w:rsidP="00CF7D6B">
      <w:pPr>
        <w:jc w:val="left"/>
        <w:outlineLvl w:val="0"/>
        <w:rPr>
          <w:b/>
          <w:szCs w:val="26"/>
        </w:rPr>
      </w:pPr>
    </w:p>
    <w:p w:rsidR="00CF7D6B" w:rsidRPr="00B665BC" w:rsidP="00CF7D6B">
      <w:pPr>
        <w:jc w:val="left"/>
        <w:outlineLvl w:val="0"/>
        <w:rPr>
          <w:b/>
          <w:sz w:val="22"/>
          <w:szCs w:val="22"/>
        </w:rPr>
      </w:pPr>
      <w:r w:rsidRPr="00B665BC">
        <w:rPr>
          <w:b/>
          <w:sz w:val="22"/>
          <w:szCs w:val="22"/>
        </w:rPr>
        <w:t>*</w:t>
      </w:r>
      <w:r w:rsidRPr="00B665BC">
        <w:rPr>
          <w:b/>
          <w:sz w:val="22"/>
          <w:szCs w:val="22"/>
        </w:rPr>
        <w:tab/>
      </w:r>
      <w:r w:rsidRPr="00B665BC">
        <w:rPr>
          <w:sz w:val="22"/>
          <w:szCs w:val="22"/>
        </w:rPr>
        <w:t>Indicates bill passed by the Senate</w:t>
      </w:r>
    </w:p>
    <w:p w:rsidR="00CF7D6B" w:rsidRPr="00B665BC" w:rsidP="00CF7D6B">
      <w:pPr>
        <w:jc w:val="left"/>
        <w:outlineLvl w:val="0"/>
        <w:rPr>
          <w:b/>
          <w:sz w:val="22"/>
          <w:szCs w:val="22"/>
        </w:rPr>
      </w:pPr>
      <w:r w:rsidRPr="00B665BC">
        <w:rPr>
          <w:b/>
          <w:sz w:val="22"/>
          <w:szCs w:val="22"/>
        </w:rPr>
        <w:t>N</w:t>
      </w:r>
      <w:r w:rsidRPr="00B665BC">
        <w:rPr>
          <w:b/>
          <w:sz w:val="22"/>
          <w:szCs w:val="22"/>
        </w:rPr>
        <w:tab/>
      </w:r>
      <w:r w:rsidRPr="00B665BC">
        <w:rPr>
          <w:sz w:val="22"/>
          <w:szCs w:val="22"/>
        </w:rPr>
        <w:t>Indicates bill negatived by the Senate</w:t>
      </w:r>
    </w:p>
    <w:p w:rsidR="00CF7D6B" w:rsidRPr="00632E66" w:rsidP="00CF7D6B">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A05CAD"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Asian Development Bank (Additional Subscription) Bill 2009 </w:t>
            </w:r>
            <w:r w:rsidRPr="00146D79">
              <w:rPr>
                <w:sz w:val="22"/>
                <w:szCs w:val="22"/>
              </w:rPr>
              <w:t>—</w:t>
            </w:r>
            <w:r w:rsidRPr="00DB189F">
              <w:rPr>
                <w:sz w:val="22"/>
                <w:szCs w:val="22"/>
              </w:rPr>
              <w:t xml:space="preserve"> clause</w:t>
            </w:r>
            <w:r>
              <w:rPr>
                <w:sz w:val="22"/>
                <w:szCs w:val="22"/>
              </w:rPr>
              <w:t> 6</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D34F3D" w:rsidP="00ED5089">
            <w:pPr>
              <w:pStyle w:val="B1"/>
              <w:tabs>
                <w:tab w:val="clear" w:pos="510"/>
              </w:tabs>
              <w:spacing w:after="0"/>
              <w:ind w:left="0" w:firstLine="0"/>
              <w:jc w:val="center"/>
              <w:rPr>
                <w:b/>
                <w:sz w:val="20"/>
              </w:rPr>
            </w:pPr>
            <w:r w:rsidRPr="00D34F3D">
              <w:rPr>
                <w:b/>
                <w:sz w:val="20"/>
              </w:rPr>
              <w:t>N</w:t>
            </w:r>
          </w:p>
        </w:tc>
        <w:tc>
          <w:tcPr>
            <w:tcW w:w="6946" w:type="dxa"/>
          </w:tcPr>
          <w:p w:rsidR="00CF7D6B" w:rsidRPr="00DB189F" w:rsidP="00ED5089">
            <w:pPr>
              <w:pStyle w:val="B1"/>
              <w:tabs>
                <w:tab w:val="clear" w:pos="510"/>
              </w:tabs>
              <w:spacing w:after="0"/>
              <w:ind w:left="0" w:firstLine="0"/>
              <w:jc w:val="left"/>
              <w:rPr>
                <w:sz w:val="22"/>
                <w:szCs w:val="22"/>
              </w:rPr>
            </w:pPr>
            <w:r>
              <w:rPr>
                <w:b/>
                <w:sz w:val="22"/>
                <w:szCs w:val="22"/>
              </w:rPr>
              <w:t xml:space="preserve">Australian Business Investment Partnership Bill 2009 </w:t>
            </w:r>
            <w:r w:rsidRPr="006011D3">
              <w:rPr>
                <w:sz w:val="22"/>
                <w:szCs w:val="22"/>
              </w:rPr>
              <w:t>—</w:t>
            </w:r>
            <w:r w:rsidRPr="00DB189F">
              <w:rPr>
                <w:sz w:val="22"/>
                <w:szCs w:val="22"/>
              </w:rPr>
              <w:t xml:space="preserve"> clauses 13 and 14</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A05CAD" w:rsidP="00ED5089">
            <w:pPr>
              <w:pStyle w:val="B1"/>
              <w:tabs>
                <w:tab w:val="clear" w:pos="510"/>
              </w:tabs>
              <w:spacing w:after="0"/>
              <w:ind w:left="0" w:firstLine="0"/>
              <w:jc w:val="center"/>
              <w:rPr>
                <w:b/>
                <w:sz w:val="32"/>
                <w:szCs w:val="32"/>
              </w:rPr>
            </w:pPr>
          </w:p>
        </w:tc>
        <w:tc>
          <w:tcPr>
            <w:tcW w:w="6946" w:type="dxa"/>
          </w:tcPr>
          <w:p w:rsidR="00CF7D6B" w:rsidRPr="000B2A74" w:rsidP="00ED5089">
            <w:pPr>
              <w:pStyle w:val="B1"/>
              <w:tabs>
                <w:tab w:val="clear" w:pos="510"/>
              </w:tabs>
              <w:spacing w:after="0"/>
              <w:ind w:left="0" w:firstLine="0"/>
              <w:jc w:val="left"/>
              <w:rPr>
                <w:b/>
                <w:sz w:val="22"/>
                <w:szCs w:val="22"/>
              </w:rPr>
            </w:pPr>
            <w:r w:rsidRPr="000B2A74">
              <w:rPr>
                <w:b/>
                <w:sz w:val="22"/>
                <w:szCs w:val="22"/>
              </w:rPr>
              <w:t xml:space="preserve">Australian National Preventive Health Agency Bill 2009 </w:t>
            </w:r>
            <w:r w:rsidRPr="00225F01">
              <w:rPr>
                <w:sz w:val="22"/>
                <w:szCs w:val="22"/>
              </w:rPr>
              <w:t>––</w:t>
            </w:r>
            <w:r w:rsidRPr="000B2A74">
              <w:rPr>
                <w:b/>
                <w:sz w:val="22"/>
                <w:szCs w:val="22"/>
              </w:rPr>
              <w:t xml:space="preserve"> </w:t>
            </w:r>
            <w:r w:rsidRPr="000B2A74">
              <w:rPr>
                <w:sz w:val="22"/>
                <w:szCs w:val="22"/>
              </w:rPr>
              <w:t xml:space="preserve">clause 50 (Special Account: CRF appropriated by virtue of section 21 of the </w:t>
            </w:r>
            <w:r w:rsidRPr="000B2A74">
              <w:rPr>
                <w:i/>
                <w:sz w:val="22"/>
                <w:szCs w:val="22"/>
              </w:rPr>
              <w:t>Financial Management and Accountability Act 1997</w:t>
            </w:r>
            <w:r w:rsidRPr="000B2A74">
              <w:rPr>
                <w:sz w:val="22"/>
                <w:szCs w:val="22"/>
              </w:rPr>
              <w:t>)</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A05CAD"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Automotive Transformation Scheme Bill 2009 </w:t>
            </w:r>
            <w:r w:rsidRPr="00146D79">
              <w:rPr>
                <w:sz w:val="22"/>
                <w:szCs w:val="22"/>
              </w:rPr>
              <w:t>—</w:t>
            </w:r>
            <w:r w:rsidRPr="00DB189F">
              <w:rPr>
                <w:sz w:val="22"/>
                <w:szCs w:val="22"/>
              </w:rPr>
              <w:t xml:space="preserve"> clause</w:t>
            </w:r>
            <w:r>
              <w:rPr>
                <w:sz w:val="22"/>
                <w:szCs w:val="22"/>
              </w:rPr>
              <w:t xml:space="preserve"> 10</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A05CAD"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Car Dealership Financing Guarantee Appropriation Bill </w:t>
            </w:r>
            <w:r w:rsidRPr="00146D79">
              <w:rPr>
                <w:sz w:val="22"/>
                <w:szCs w:val="22"/>
              </w:rPr>
              <w:t>—</w:t>
            </w:r>
            <w:r w:rsidRPr="00DB189F">
              <w:rPr>
                <w:sz w:val="22"/>
                <w:szCs w:val="22"/>
              </w:rPr>
              <w:t xml:space="preserve"> clause</w:t>
            </w:r>
            <w:r>
              <w:rPr>
                <w:sz w:val="22"/>
                <w:szCs w:val="22"/>
              </w:rPr>
              <w:t xml:space="preserve"> 5</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D34F3D" w:rsidP="00ED5089">
            <w:pPr>
              <w:pStyle w:val="B1"/>
              <w:tabs>
                <w:tab w:val="clear" w:pos="510"/>
              </w:tabs>
              <w:spacing w:after="0"/>
              <w:ind w:left="0" w:firstLine="0"/>
              <w:jc w:val="center"/>
              <w:rPr>
                <w:b/>
                <w:sz w:val="20"/>
              </w:rPr>
            </w:pPr>
            <w:r w:rsidRPr="00D34F3D">
              <w:rPr>
                <w:b/>
                <w:sz w:val="20"/>
              </w:rPr>
              <w:t>N</w:t>
            </w:r>
          </w:p>
        </w:tc>
        <w:tc>
          <w:tcPr>
            <w:tcW w:w="6946" w:type="dxa"/>
          </w:tcPr>
          <w:p w:rsidR="00CF7D6B" w:rsidRPr="00146D79" w:rsidP="00ED5089">
            <w:pPr>
              <w:pStyle w:val="B1"/>
              <w:tabs>
                <w:tab w:val="clear" w:pos="510"/>
              </w:tabs>
              <w:spacing w:after="0"/>
              <w:ind w:left="0" w:firstLine="0"/>
              <w:jc w:val="left"/>
              <w:rPr>
                <w:sz w:val="22"/>
                <w:szCs w:val="22"/>
              </w:rPr>
            </w:pPr>
            <w:r>
              <w:rPr>
                <w:b/>
                <w:sz w:val="22"/>
                <w:szCs w:val="22"/>
              </w:rPr>
              <w:t>Carbon Pollution Reduction Scheme Bill 2009</w:t>
            </w:r>
            <w:r>
              <w:rPr>
                <w:sz w:val="22"/>
                <w:szCs w:val="22"/>
              </w:rPr>
              <w:t xml:space="preserve"> </w:t>
            </w:r>
            <w:r w:rsidRPr="00146D79">
              <w:rPr>
                <w:sz w:val="22"/>
                <w:szCs w:val="22"/>
              </w:rPr>
              <w:t>—</w:t>
            </w:r>
            <w:r w:rsidRPr="00DB189F">
              <w:rPr>
                <w:sz w:val="22"/>
                <w:szCs w:val="22"/>
              </w:rPr>
              <w:t xml:space="preserve"> </w:t>
            </w:r>
            <w:r>
              <w:rPr>
                <w:sz w:val="22"/>
                <w:szCs w:val="22"/>
              </w:rPr>
              <w:t>subclauses 103B(5), 139(4) and 291(4)</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A05CAD" w:rsidP="00ED5089">
            <w:pPr>
              <w:pStyle w:val="B1"/>
              <w:tabs>
                <w:tab w:val="clear" w:pos="510"/>
              </w:tabs>
              <w:spacing w:after="0"/>
              <w:ind w:left="0" w:firstLine="0"/>
              <w:jc w:val="center"/>
              <w:rPr>
                <w:b/>
                <w:sz w:val="32"/>
                <w:szCs w:val="32"/>
              </w:rPr>
            </w:pPr>
          </w:p>
        </w:tc>
        <w:tc>
          <w:tcPr>
            <w:tcW w:w="6946" w:type="dxa"/>
          </w:tcPr>
          <w:p w:rsidR="00CF7D6B" w:rsidRPr="00B95D1A" w:rsidP="00ED5089">
            <w:pPr>
              <w:pStyle w:val="B1"/>
              <w:tabs>
                <w:tab w:val="clear" w:pos="510"/>
              </w:tabs>
              <w:spacing w:after="0"/>
              <w:ind w:left="0" w:firstLine="0"/>
              <w:jc w:val="left"/>
              <w:rPr>
                <w:sz w:val="22"/>
                <w:szCs w:val="22"/>
              </w:rPr>
            </w:pPr>
            <w:r>
              <w:rPr>
                <w:b/>
                <w:sz w:val="22"/>
                <w:szCs w:val="22"/>
              </w:rPr>
              <w:t xml:space="preserve">Carbon Pollution Reduction Scheme Bill 2009 [No. 2] — </w:t>
            </w:r>
            <w:r>
              <w:rPr>
                <w:sz w:val="22"/>
                <w:szCs w:val="22"/>
              </w:rPr>
              <w:t>subclauses 103B(5), 139(4) and 291(4)</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A05CAD" w:rsidP="00ED5089">
            <w:pPr>
              <w:pStyle w:val="B1"/>
              <w:tabs>
                <w:tab w:val="clear" w:pos="510"/>
              </w:tabs>
              <w:spacing w:after="0"/>
              <w:ind w:left="0" w:firstLine="0"/>
              <w:jc w:val="center"/>
              <w:rPr>
                <w:b/>
                <w:sz w:val="32"/>
                <w:szCs w:val="32"/>
              </w:rPr>
            </w:pPr>
            <w:r w:rsidRPr="00A05CAD">
              <w:rPr>
                <w:b/>
                <w:sz w:val="32"/>
                <w:szCs w:val="32"/>
              </w:rPr>
              <w:t>*</w:t>
            </w:r>
          </w:p>
        </w:tc>
        <w:tc>
          <w:tcPr>
            <w:tcW w:w="6946" w:type="dxa"/>
          </w:tcPr>
          <w:p w:rsidR="00CF7D6B" w:rsidRPr="00606AF8" w:rsidP="00ED5089">
            <w:pPr>
              <w:pStyle w:val="B1"/>
              <w:tabs>
                <w:tab w:val="clear" w:pos="510"/>
              </w:tabs>
              <w:spacing w:after="0"/>
              <w:ind w:left="0" w:firstLine="0"/>
              <w:jc w:val="left"/>
              <w:rPr>
                <w:i/>
                <w:sz w:val="22"/>
                <w:szCs w:val="22"/>
              </w:rPr>
            </w:pPr>
            <w:r>
              <w:rPr>
                <w:b/>
                <w:sz w:val="22"/>
                <w:szCs w:val="22"/>
              </w:rPr>
              <w:t xml:space="preserve">COAG Reform Fund Bill 2008 </w:t>
            </w:r>
            <w:r w:rsidRPr="00146D79">
              <w:rPr>
                <w:sz w:val="22"/>
                <w:szCs w:val="22"/>
              </w:rPr>
              <w:t xml:space="preserve">— clause 5 </w:t>
            </w:r>
            <w:r w:rsidRPr="00606AF8">
              <w:rPr>
                <w:sz w:val="22"/>
                <w:szCs w:val="22"/>
              </w:rPr>
              <w:t>(</w:t>
            </w:r>
            <w:r>
              <w:rPr>
                <w:sz w:val="22"/>
                <w:szCs w:val="22"/>
              </w:rPr>
              <w:t xml:space="preserve">Special Account: CRF appropriated by virtue of section 21 of the </w:t>
            </w:r>
            <w:r>
              <w:rPr>
                <w:i/>
                <w:sz w:val="22"/>
                <w:szCs w:val="22"/>
              </w:rPr>
              <w:t>Financial Management and Accountability Act 1997</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sidRPr="00B11410">
              <w:rPr>
                <w:b/>
                <w:sz w:val="32"/>
                <w:szCs w:val="32"/>
              </w:rPr>
              <w:t>*</w:t>
            </w:r>
          </w:p>
        </w:tc>
        <w:tc>
          <w:tcPr>
            <w:tcW w:w="6946" w:type="dxa"/>
          </w:tcPr>
          <w:p w:rsidR="00CF7D6B" w:rsidRPr="00E75649" w:rsidP="00ED5089">
            <w:pPr>
              <w:pStyle w:val="B1"/>
              <w:tabs>
                <w:tab w:val="clear" w:pos="510"/>
              </w:tabs>
              <w:spacing w:after="0"/>
              <w:ind w:left="0" w:firstLine="0"/>
              <w:jc w:val="left"/>
              <w:rPr>
                <w:sz w:val="22"/>
                <w:szCs w:val="22"/>
              </w:rPr>
            </w:pPr>
            <w:r w:rsidRPr="00E75649">
              <w:rPr>
                <w:b/>
                <w:sz w:val="22"/>
                <w:szCs w:val="22"/>
              </w:rPr>
              <w:t>Commonwealth Securities and Investment Legislation Amendment Bill 2008</w:t>
            </w:r>
            <w:r>
              <w:rPr>
                <w:sz w:val="22"/>
                <w:szCs w:val="22"/>
              </w:rPr>
              <w:t xml:space="preserve"> — Schedule 1, item 10, subsection 5BA(7)</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sidRPr="00B11410">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Defence Home Ownership Assistance Scheme Bill 2008 </w:t>
            </w:r>
            <w:r w:rsidRPr="006011D3">
              <w:rPr>
                <w:sz w:val="22"/>
                <w:szCs w:val="22"/>
              </w:rPr>
              <w:t>—</w:t>
            </w:r>
            <w:r>
              <w:rPr>
                <w:b/>
                <w:sz w:val="22"/>
                <w:szCs w:val="22"/>
              </w:rPr>
              <w:t xml:space="preserve"> </w:t>
            </w:r>
            <w:r>
              <w:rPr>
                <w:sz w:val="22"/>
                <w:szCs w:val="22"/>
              </w:rPr>
              <w:t>c</w:t>
            </w:r>
            <w:r w:rsidRPr="00600B56">
              <w:rPr>
                <w:sz w:val="22"/>
                <w:szCs w:val="22"/>
              </w:rPr>
              <w:t>lause 84</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6B5021"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Dental Benefits Bill 2008 </w:t>
            </w:r>
            <w:r w:rsidRPr="006011D3">
              <w:rPr>
                <w:sz w:val="22"/>
                <w:szCs w:val="22"/>
              </w:rPr>
              <w:t>—</w:t>
            </w:r>
            <w:r>
              <w:rPr>
                <w:b/>
                <w:sz w:val="22"/>
                <w:szCs w:val="22"/>
              </w:rPr>
              <w:t xml:space="preserve"> </w:t>
            </w:r>
            <w:r w:rsidRPr="002E595A">
              <w:rPr>
                <w:sz w:val="22"/>
                <w:szCs w:val="22"/>
              </w:rPr>
              <w:t>c</w:t>
            </w:r>
            <w:r w:rsidRPr="00600B56">
              <w:rPr>
                <w:sz w:val="22"/>
                <w:szCs w:val="22"/>
              </w:rPr>
              <w:t>lause 65</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sidRPr="00B11410">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Education Legislation Amendment Bill 2008 </w:t>
            </w:r>
            <w:r w:rsidRPr="006011D3">
              <w:rPr>
                <w:sz w:val="22"/>
                <w:szCs w:val="22"/>
              </w:rPr>
              <w:t xml:space="preserve">— </w:t>
            </w:r>
            <w:r w:rsidRPr="00606AF8">
              <w:rPr>
                <w:sz w:val="22"/>
                <w:szCs w:val="22"/>
              </w:rPr>
              <w:t>Schedule 1, item 6, section 14B</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RPr="00606AF8" w:rsidP="00ED5089">
            <w:pPr>
              <w:pStyle w:val="B1"/>
              <w:tabs>
                <w:tab w:val="clear" w:pos="510"/>
              </w:tabs>
              <w:spacing w:after="0"/>
              <w:ind w:left="0" w:firstLine="0"/>
              <w:jc w:val="left"/>
              <w:rPr>
                <w:sz w:val="22"/>
                <w:szCs w:val="22"/>
              </w:rPr>
            </w:pPr>
            <w:r>
              <w:rPr>
                <w:b/>
                <w:sz w:val="22"/>
                <w:szCs w:val="22"/>
              </w:rPr>
              <w:t xml:space="preserve">Fair Work Bill 2008 </w:t>
            </w:r>
            <w:r w:rsidRPr="006011D3">
              <w:rPr>
                <w:sz w:val="22"/>
                <w:szCs w:val="22"/>
              </w:rPr>
              <w:t>—</w:t>
            </w:r>
            <w:r>
              <w:rPr>
                <w:b/>
                <w:sz w:val="22"/>
                <w:szCs w:val="22"/>
              </w:rPr>
              <w:t xml:space="preserve"> </w:t>
            </w:r>
            <w:r w:rsidRPr="00686C4A">
              <w:rPr>
                <w:sz w:val="22"/>
                <w:szCs w:val="22"/>
              </w:rPr>
              <w:t>S</w:t>
            </w:r>
            <w:r>
              <w:rPr>
                <w:sz w:val="22"/>
                <w:szCs w:val="22"/>
              </w:rPr>
              <w:t>ubclause 559(4)</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6B5021"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Farm Household Support Amendment (Additional Drought Assistance Measures) Bill 2008 </w:t>
            </w:r>
            <w:r w:rsidRPr="006011D3">
              <w:rPr>
                <w:sz w:val="22"/>
                <w:szCs w:val="22"/>
              </w:rPr>
              <w:t>—</w:t>
            </w:r>
            <w:r>
              <w:rPr>
                <w:b/>
                <w:sz w:val="22"/>
                <w:szCs w:val="22"/>
              </w:rPr>
              <w:t xml:space="preserve"> </w:t>
            </w:r>
            <w:r w:rsidRPr="00E75649">
              <w:rPr>
                <w:sz w:val="22"/>
                <w:szCs w:val="22"/>
              </w:rPr>
              <w:t>Schedule 1, i</w:t>
            </w:r>
            <w:r>
              <w:rPr>
                <w:sz w:val="22"/>
                <w:szCs w:val="22"/>
              </w:rPr>
              <w:t>tem 29</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674F86" w:rsidP="00ED5089">
            <w:pPr>
              <w:pStyle w:val="B1"/>
              <w:tabs>
                <w:tab w:val="clear" w:pos="510"/>
              </w:tabs>
              <w:spacing w:after="0"/>
              <w:ind w:left="0" w:firstLine="0"/>
              <w:jc w:val="center"/>
              <w:rPr>
                <w:b/>
                <w:sz w:val="32"/>
                <w:szCs w:val="32"/>
              </w:rPr>
            </w:pPr>
            <w:r w:rsidRPr="00674F86">
              <w:rPr>
                <w:b/>
                <w:sz w:val="32"/>
                <w:szCs w:val="32"/>
              </w:rPr>
              <w:t>*</w:t>
            </w:r>
          </w:p>
        </w:tc>
        <w:tc>
          <w:tcPr>
            <w:tcW w:w="6946" w:type="dxa"/>
          </w:tcPr>
          <w:p w:rsidR="00CF7D6B" w:rsidRPr="0011503D" w:rsidP="00ED5089">
            <w:pPr>
              <w:pStyle w:val="B1"/>
              <w:tabs>
                <w:tab w:val="clear" w:pos="510"/>
              </w:tabs>
              <w:spacing w:after="0"/>
              <w:ind w:left="0" w:firstLine="0"/>
              <w:jc w:val="left"/>
              <w:rPr>
                <w:sz w:val="22"/>
                <w:szCs w:val="22"/>
              </w:rPr>
            </w:pPr>
            <w:r>
              <w:rPr>
                <w:b/>
                <w:sz w:val="22"/>
                <w:szCs w:val="22"/>
              </w:rPr>
              <w:t xml:space="preserve">Federal Financial Relations Bill 2009 </w:t>
            </w:r>
            <w:r w:rsidRPr="006011D3">
              <w:rPr>
                <w:sz w:val="22"/>
                <w:szCs w:val="22"/>
              </w:rPr>
              <w:t>—</w:t>
            </w:r>
            <w:r>
              <w:rPr>
                <w:b/>
                <w:sz w:val="22"/>
                <w:szCs w:val="22"/>
              </w:rPr>
              <w:t xml:space="preserve"> </w:t>
            </w:r>
            <w:r>
              <w:rPr>
                <w:sz w:val="22"/>
                <w:szCs w:val="22"/>
              </w:rPr>
              <w:t>clause 22</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674F86" w:rsidP="00ED5089">
            <w:pPr>
              <w:pStyle w:val="B1"/>
              <w:tabs>
                <w:tab w:val="clear" w:pos="510"/>
              </w:tabs>
              <w:spacing w:after="0"/>
              <w:ind w:left="0" w:firstLine="0"/>
              <w:jc w:val="center"/>
              <w:rPr>
                <w:b/>
                <w:sz w:val="32"/>
                <w:szCs w:val="32"/>
              </w:rPr>
            </w:pPr>
            <w:r w:rsidRPr="00674F86">
              <w:rPr>
                <w:b/>
                <w:sz w:val="32"/>
                <w:szCs w:val="32"/>
              </w:rPr>
              <w:t>*</w:t>
            </w:r>
          </w:p>
        </w:tc>
        <w:tc>
          <w:tcPr>
            <w:tcW w:w="6946" w:type="dxa"/>
          </w:tcPr>
          <w:p w:rsidR="00CF7D6B" w:rsidRPr="0011503D" w:rsidP="00ED5089">
            <w:pPr>
              <w:pStyle w:val="B1"/>
              <w:tabs>
                <w:tab w:val="clear" w:pos="510"/>
              </w:tabs>
              <w:spacing w:after="0"/>
              <w:ind w:left="0" w:firstLine="0"/>
              <w:jc w:val="left"/>
              <w:rPr>
                <w:sz w:val="22"/>
                <w:szCs w:val="22"/>
              </w:rPr>
            </w:pPr>
            <w:r>
              <w:rPr>
                <w:b/>
                <w:sz w:val="22"/>
                <w:szCs w:val="22"/>
              </w:rPr>
              <w:t xml:space="preserve">Federal Financial Relations (Consequential Amendments and Transitional Provisions) Bill 2009 </w:t>
            </w:r>
            <w:r w:rsidRPr="006011D3">
              <w:rPr>
                <w:sz w:val="22"/>
                <w:szCs w:val="22"/>
              </w:rPr>
              <w:t>—</w:t>
            </w:r>
            <w:r>
              <w:rPr>
                <w:sz w:val="22"/>
                <w:szCs w:val="22"/>
              </w:rPr>
              <w:t xml:space="preserve"> Schedule 4, </w:t>
            </w:r>
            <w:r>
              <w:rPr>
                <w:sz w:val="22"/>
                <w:szCs w:val="22"/>
              </w:rPr>
              <w:t>subitem</w:t>
            </w:r>
            <w:r>
              <w:rPr>
                <w:sz w:val="22"/>
                <w:szCs w:val="22"/>
              </w:rPr>
              <w:t xml:space="preserve"> 2(3)</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016C80" w:rsidP="00ED5089">
            <w:pPr>
              <w:pStyle w:val="B1"/>
              <w:tabs>
                <w:tab w:val="clear" w:pos="510"/>
              </w:tabs>
              <w:spacing w:after="0"/>
              <w:ind w:left="0" w:firstLine="0"/>
              <w:jc w:val="center"/>
              <w:rPr>
                <w:b/>
                <w:sz w:val="32"/>
                <w:szCs w:val="32"/>
              </w:rPr>
            </w:pPr>
            <w:r>
              <w:br w:type="page"/>
            </w:r>
            <w:r w:rsidRPr="00016C80">
              <w:rPr>
                <w:b/>
                <w:sz w:val="32"/>
                <w:szCs w:val="32"/>
              </w:rPr>
              <w:t>*</w:t>
            </w:r>
          </w:p>
        </w:tc>
        <w:tc>
          <w:tcPr>
            <w:tcW w:w="6946" w:type="dxa"/>
          </w:tcPr>
          <w:p w:rsidR="00CF7D6B" w:rsidRPr="00606AF8" w:rsidP="00ED5089">
            <w:pPr>
              <w:pStyle w:val="B1"/>
              <w:tabs>
                <w:tab w:val="clear" w:pos="510"/>
              </w:tabs>
              <w:spacing w:after="0"/>
              <w:ind w:left="0" w:firstLine="0"/>
              <w:jc w:val="left"/>
              <w:rPr>
                <w:b/>
                <w:sz w:val="22"/>
                <w:szCs w:val="22"/>
              </w:rPr>
            </w:pPr>
            <w:r>
              <w:rPr>
                <w:b/>
                <w:sz w:val="22"/>
                <w:szCs w:val="22"/>
              </w:rPr>
              <w:t xml:space="preserve">Financial System Legislation Amendment (Financial Claims Scheme and Other Measures) Bill 2008 </w:t>
            </w:r>
            <w:r w:rsidRPr="006011D3">
              <w:rPr>
                <w:sz w:val="22"/>
                <w:szCs w:val="22"/>
              </w:rPr>
              <w:t>—</w:t>
            </w:r>
            <w:r>
              <w:rPr>
                <w:b/>
                <w:sz w:val="22"/>
                <w:szCs w:val="22"/>
              </w:rPr>
              <w:t xml:space="preserve"> </w:t>
            </w:r>
            <w:r w:rsidRPr="00606AF8">
              <w:rPr>
                <w:sz w:val="22"/>
                <w:szCs w:val="22"/>
              </w:rPr>
              <w:t>Schedule 1</w:t>
            </w:r>
            <w:r>
              <w:rPr>
                <w:sz w:val="22"/>
                <w:szCs w:val="22"/>
              </w:rPr>
              <w:t>, item 49, section 54A</w:t>
            </w:r>
            <w:r w:rsidRPr="00606AF8">
              <w:rPr>
                <w:sz w:val="22"/>
                <w:szCs w:val="22"/>
              </w:rPr>
              <w:t xml:space="preserve"> and Schedule 2, item 23, section 70E (</w:t>
            </w:r>
            <w:r>
              <w:rPr>
                <w:sz w:val="22"/>
                <w:szCs w:val="22"/>
              </w:rPr>
              <w:t xml:space="preserve">Special Accounts: </w:t>
            </w:r>
            <w:r w:rsidRPr="00606AF8">
              <w:rPr>
                <w:sz w:val="22"/>
                <w:szCs w:val="22"/>
              </w:rPr>
              <w:t xml:space="preserve">CRF appropriated by virtue of section 21 of the </w:t>
            </w:r>
            <w:r w:rsidRPr="00606AF8">
              <w:rPr>
                <w:i/>
                <w:sz w:val="22"/>
                <w:szCs w:val="22"/>
              </w:rPr>
              <w:t>Financial Management and Accountability Act 1997</w:t>
            </w:r>
            <w:r w:rsidRPr="00606AF8">
              <w:rPr>
                <w:sz w:val="22"/>
                <w:szCs w:val="22"/>
              </w:rPr>
              <w:t>)</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6B5021"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RPr="00600B56" w:rsidP="00ED5089">
            <w:pPr>
              <w:pStyle w:val="B1"/>
              <w:tabs>
                <w:tab w:val="clear" w:pos="510"/>
              </w:tabs>
              <w:spacing w:after="0"/>
              <w:ind w:left="0" w:firstLine="0"/>
              <w:jc w:val="left"/>
              <w:rPr>
                <w:sz w:val="22"/>
                <w:szCs w:val="22"/>
              </w:rPr>
            </w:pPr>
            <w:r>
              <w:rPr>
                <w:b/>
                <w:sz w:val="22"/>
                <w:szCs w:val="22"/>
              </w:rPr>
              <w:t xml:space="preserve">Fisheries Legislation Amendment (New Governance Arrangements for the Australian Fisheries Management Authority and Other Matters) Bill 2008 </w:t>
            </w:r>
            <w:r w:rsidRPr="006011D3">
              <w:rPr>
                <w:sz w:val="22"/>
                <w:szCs w:val="22"/>
              </w:rPr>
              <w:t>—</w:t>
            </w:r>
            <w:r>
              <w:rPr>
                <w:b/>
                <w:sz w:val="22"/>
                <w:szCs w:val="22"/>
              </w:rPr>
              <w:t xml:space="preserve"> </w:t>
            </w:r>
            <w:r>
              <w:rPr>
                <w:sz w:val="22"/>
                <w:szCs w:val="22"/>
              </w:rPr>
              <w:t xml:space="preserve">Schedule 1, item 79, section 94B (Special Account: CRF appropriated by virtue of section 21 of the </w:t>
            </w:r>
            <w:r>
              <w:rPr>
                <w:i/>
                <w:sz w:val="22"/>
                <w:szCs w:val="22"/>
              </w:rPr>
              <w:t>Financial Management and Accountability Act 1997</w:t>
            </w:r>
            <w:r>
              <w:rPr>
                <w:sz w:val="22"/>
                <w:szCs w:val="22"/>
              </w:rPr>
              <w:t>)</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sidRPr="00B11410">
              <w:rPr>
                <w:b/>
                <w:sz w:val="32"/>
                <w:szCs w:val="32"/>
              </w:rPr>
              <w:t>*</w:t>
            </w:r>
          </w:p>
        </w:tc>
        <w:tc>
          <w:tcPr>
            <w:tcW w:w="6946" w:type="dxa"/>
          </w:tcPr>
          <w:p w:rsidR="00CF7D6B" w:rsidRPr="002906FA" w:rsidP="00ED5089">
            <w:pPr>
              <w:pStyle w:val="B1"/>
              <w:tabs>
                <w:tab w:val="clear" w:pos="510"/>
              </w:tabs>
              <w:spacing w:after="0"/>
              <w:ind w:left="0" w:firstLine="0"/>
              <w:jc w:val="left"/>
              <w:rPr>
                <w:b/>
                <w:sz w:val="22"/>
                <w:szCs w:val="22"/>
              </w:rPr>
            </w:pPr>
            <w:r w:rsidRPr="002906FA">
              <w:rPr>
                <w:b/>
                <w:sz w:val="22"/>
                <w:szCs w:val="22"/>
              </w:rPr>
              <w:t>Great Barrier Reef Marine Park and Other Legislation Amendment Bill 2008</w:t>
            </w:r>
            <w:r>
              <w:rPr>
                <w:b/>
                <w:sz w:val="22"/>
                <w:szCs w:val="22"/>
              </w:rPr>
              <w:t xml:space="preserve"> </w:t>
            </w:r>
            <w:r w:rsidRPr="006011D3">
              <w:rPr>
                <w:sz w:val="22"/>
                <w:szCs w:val="22"/>
              </w:rPr>
              <w:t>—</w:t>
            </w:r>
            <w:r>
              <w:rPr>
                <w:b/>
                <w:sz w:val="22"/>
                <w:szCs w:val="22"/>
              </w:rPr>
              <w:t xml:space="preserve"> </w:t>
            </w:r>
            <w:r>
              <w:rPr>
                <w:sz w:val="22"/>
                <w:szCs w:val="22"/>
              </w:rPr>
              <w:t xml:space="preserve">Schedule 5, item 141, </w:t>
            </w:r>
            <w:r w:rsidRPr="002906FA">
              <w:rPr>
                <w:sz w:val="22"/>
                <w:szCs w:val="22"/>
              </w:rPr>
              <w:t>section 65A</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RPr="002906FA" w:rsidP="00ED5089">
            <w:pPr>
              <w:pStyle w:val="B1"/>
              <w:tabs>
                <w:tab w:val="clear" w:pos="510"/>
              </w:tabs>
              <w:spacing w:after="0"/>
              <w:ind w:left="0" w:firstLine="0"/>
              <w:jc w:val="left"/>
              <w:rPr>
                <w:b/>
                <w:sz w:val="22"/>
                <w:szCs w:val="22"/>
              </w:rPr>
            </w:pPr>
            <w:r>
              <w:rPr>
                <w:b/>
                <w:sz w:val="22"/>
                <w:szCs w:val="22"/>
              </w:rPr>
              <w:t xml:space="preserve">Guarantee of State and Territory Borrowing Appropriation Bill 2009 </w:t>
            </w:r>
            <w:r w:rsidRPr="006011D3">
              <w:rPr>
                <w:sz w:val="22"/>
                <w:szCs w:val="22"/>
              </w:rPr>
              <w:t>—</w:t>
            </w:r>
            <w:r>
              <w:rPr>
                <w:b/>
                <w:sz w:val="22"/>
                <w:szCs w:val="22"/>
              </w:rPr>
              <w:t xml:space="preserve"> </w:t>
            </w:r>
            <w:r w:rsidRPr="008E31A4">
              <w:rPr>
                <w:sz w:val="22"/>
                <w:szCs w:val="22"/>
              </w:rPr>
              <w:t>clause 5</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sidRPr="00B11410">
              <w:rPr>
                <w:b/>
                <w:sz w:val="32"/>
                <w:szCs w:val="32"/>
              </w:rPr>
              <w:t>*</w:t>
            </w:r>
          </w:p>
        </w:tc>
        <w:tc>
          <w:tcPr>
            <w:tcW w:w="6946" w:type="dxa"/>
          </w:tcPr>
          <w:p w:rsidR="00CF7D6B" w:rsidRPr="005A5774" w:rsidP="00ED5089">
            <w:pPr>
              <w:pStyle w:val="B1"/>
              <w:tabs>
                <w:tab w:val="clear" w:pos="510"/>
              </w:tabs>
              <w:spacing w:after="0"/>
              <w:ind w:left="0" w:firstLine="0"/>
              <w:jc w:val="left"/>
              <w:rPr>
                <w:b/>
                <w:sz w:val="22"/>
                <w:szCs w:val="22"/>
              </w:rPr>
            </w:pPr>
            <w:r>
              <w:rPr>
                <w:b/>
                <w:sz w:val="22"/>
                <w:szCs w:val="22"/>
              </w:rPr>
              <w:t xml:space="preserve">Guarantee Scheme for Large Deposits and Wholesale Funding Appropriation Bill 2008 </w:t>
            </w:r>
            <w:r w:rsidRPr="006011D3">
              <w:rPr>
                <w:sz w:val="22"/>
                <w:szCs w:val="22"/>
              </w:rPr>
              <w:t>—</w:t>
            </w:r>
            <w:r>
              <w:rPr>
                <w:b/>
                <w:sz w:val="22"/>
                <w:szCs w:val="22"/>
              </w:rPr>
              <w:t xml:space="preserve"> </w:t>
            </w:r>
            <w:r w:rsidRPr="008E31A4">
              <w:rPr>
                <w:sz w:val="22"/>
                <w:szCs w:val="22"/>
              </w:rPr>
              <w:t>clause 5</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International Monetary Agreements Amendment (Financial Assistance) Bill 2009 </w:t>
            </w:r>
            <w:r w:rsidRPr="006011D3">
              <w:rPr>
                <w:sz w:val="22"/>
                <w:szCs w:val="22"/>
              </w:rPr>
              <w:t>—</w:t>
            </w:r>
            <w:r>
              <w:rPr>
                <w:b/>
                <w:sz w:val="22"/>
                <w:szCs w:val="22"/>
              </w:rPr>
              <w:t xml:space="preserve"> </w:t>
            </w:r>
            <w:r>
              <w:rPr>
                <w:sz w:val="22"/>
                <w:szCs w:val="22"/>
              </w:rPr>
              <w:t xml:space="preserve">Schedule 1, item 4, subsection 8CA(4) </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Midwife Professional Indemnity (Commonwealth Contribution) Scheme Bill 2009 </w:t>
            </w:r>
            <w:r w:rsidRPr="006011D3">
              <w:rPr>
                <w:sz w:val="22"/>
                <w:szCs w:val="22"/>
              </w:rPr>
              <w:t>—</w:t>
            </w:r>
            <w:r>
              <w:rPr>
                <w:b/>
                <w:sz w:val="22"/>
                <w:szCs w:val="22"/>
              </w:rPr>
              <w:t xml:space="preserve"> </w:t>
            </w:r>
            <w:r>
              <w:rPr>
                <w:sz w:val="22"/>
                <w:szCs w:val="22"/>
              </w:rPr>
              <w:t>subclause 43(2), clause 70 and subclause 78(2)</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sidRPr="00B11410">
              <w:rPr>
                <w:b/>
                <w:sz w:val="32"/>
                <w:szCs w:val="32"/>
              </w:rPr>
              <w:t>*</w:t>
            </w:r>
          </w:p>
        </w:tc>
        <w:tc>
          <w:tcPr>
            <w:tcW w:w="6946" w:type="dxa"/>
          </w:tcPr>
          <w:p w:rsidR="00CF7D6B" w:rsidRPr="00771BF0" w:rsidP="00ED5089">
            <w:pPr>
              <w:pStyle w:val="B1"/>
              <w:tabs>
                <w:tab w:val="clear" w:pos="510"/>
              </w:tabs>
              <w:spacing w:after="0"/>
              <w:ind w:left="0" w:firstLine="0"/>
              <w:jc w:val="left"/>
              <w:rPr>
                <w:b/>
                <w:sz w:val="22"/>
                <w:szCs w:val="22"/>
              </w:rPr>
            </w:pPr>
            <w:r>
              <w:rPr>
                <w:b/>
                <w:sz w:val="22"/>
                <w:szCs w:val="22"/>
              </w:rPr>
              <w:t xml:space="preserve">Nation-building Funds Bill 2008 —clauses 13, 61, 68, 75, 82, 132, 181, 188, 215 and 255 </w:t>
            </w:r>
            <w:r w:rsidRPr="006011D3">
              <w:rPr>
                <w:sz w:val="22"/>
                <w:szCs w:val="22"/>
              </w:rPr>
              <w:t>—</w:t>
            </w:r>
            <w:r>
              <w:rPr>
                <w:b/>
                <w:sz w:val="22"/>
                <w:szCs w:val="22"/>
              </w:rPr>
              <w:t xml:space="preserve"> </w:t>
            </w:r>
            <w:r w:rsidRPr="00016C80">
              <w:rPr>
                <w:sz w:val="22"/>
                <w:szCs w:val="22"/>
              </w:rPr>
              <w:t>(</w:t>
            </w:r>
            <w:r>
              <w:rPr>
                <w:sz w:val="22"/>
                <w:szCs w:val="22"/>
              </w:rPr>
              <w:t xml:space="preserve">Special Accounts: </w:t>
            </w:r>
            <w:r w:rsidRPr="00016C80">
              <w:rPr>
                <w:sz w:val="22"/>
                <w:szCs w:val="22"/>
              </w:rPr>
              <w:t xml:space="preserve">CRF appropriated by virtue of section 21 of the </w:t>
            </w:r>
            <w:r w:rsidRPr="00016C80">
              <w:rPr>
                <w:i/>
                <w:sz w:val="22"/>
                <w:szCs w:val="22"/>
              </w:rPr>
              <w:t>Financial Management and Accountability Act 1997)</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National Consumer Credit Protection Bill 2009 </w:t>
            </w:r>
            <w:r w:rsidRPr="006011D3">
              <w:rPr>
                <w:sz w:val="22"/>
                <w:szCs w:val="22"/>
              </w:rPr>
              <w:t>—</w:t>
            </w:r>
            <w:r>
              <w:rPr>
                <w:sz w:val="22"/>
                <w:szCs w:val="22"/>
              </w:rPr>
              <w:t xml:space="preserve"> Schedule 1, subclause 115(2)</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sidRPr="00B11410">
              <w:rPr>
                <w:b/>
                <w:sz w:val="32"/>
                <w:szCs w:val="32"/>
              </w:rPr>
              <w:t>*</w:t>
            </w:r>
          </w:p>
        </w:tc>
        <w:tc>
          <w:tcPr>
            <w:tcW w:w="6946" w:type="dxa"/>
          </w:tcPr>
          <w:p w:rsidR="00CF7D6B" w:rsidRPr="002A7314" w:rsidP="00ED5089">
            <w:pPr>
              <w:pStyle w:val="B1"/>
              <w:tabs>
                <w:tab w:val="clear" w:pos="510"/>
              </w:tabs>
              <w:spacing w:after="0"/>
              <w:ind w:left="0" w:firstLine="0"/>
              <w:jc w:val="left"/>
              <w:rPr>
                <w:sz w:val="22"/>
                <w:szCs w:val="22"/>
              </w:rPr>
            </w:pPr>
            <w:r w:rsidRPr="002A7314">
              <w:rPr>
                <w:b/>
                <w:sz w:val="22"/>
                <w:szCs w:val="22"/>
              </w:rPr>
              <w:t>Protection of the Sea Legislation Amendment Bill 2008</w:t>
            </w:r>
            <w:r>
              <w:rPr>
                <w:b/>
                <w:sz w:val="22"/>
                <w:szCs w:val="22"/>
              </w:rPr>
              <w:t xml:space="preserve"> </w:t>
            </w:r>
            <w:r w:rsidRPr="006011D3">
              <w:rPr>
                <w:sz w:val="22"/>
                <w:szCs w:val="22"/>
              </w:rPr>
              <w:t>—</w:t>
            </w:r>
            <w:r>
              <w:rPr>
                <w:b/>
                <w:sz w:val="22"/>
                <w:szCs w:val="22"/>
              </w:rPr>
              <w:t xml:space="preserve"> </w:t>
            </w:r>
            <w:r>
              <w:rPr>
                <w:sz w:val="22"/>
                <w:szCs w:val="22"/>
              </w:rPr>
              <w:t xml:space="preserve">Schedule 1, item 20, </w:t>
            </w:r>
            <w:r w:rsidRPr="002A7314">
              <w:rPr>
                <w:sz w:val="22"/>
                <w:szCs w:val="22"/>
              </w:rPr>
              <w:t>section 46N</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CC5D8A"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RPr="00AD332A" w:rsidP="00ED5089">
            <w:pPr>
              <w:pStyle w:val="B1"/>
              <w:tabs>
                <w:tab w:val="clear" w:pos="510"/>
              </w:tabs>
              <w:spacing w:after="0"/>
              <w:ind w:left="0" w:firstLine="0"/>
              <w:jc w:val="left"/>
              <w:rPr>
                <w:sz w:val="22"/>
                <w:szCs w:val="22"/>
              </w:rPr>
            </w:pPr>
            <w:r>
              <w:rPr>
                <w:b/>
                <w:sz w:val="22"/>
                <w:szCs w:val="22"/>
              </w:rPr>
              <w:t xml:space="preserve">Safe Work Australia Bill 2008 </w:t>
            </w:r>
            <w:r w:rsidRPr="006011D3">
              <w:rPr>
                <w:sz w:val="22"/>
                <w:szCs w:val="22"/>
              </w:rPr>
              <w:t>—</w:t>
            </w:r>
            <w:r>
              <w:rPr>
                <w:b/>
                <w:sz w:val="22"/>
                <w:szCs w:val="22"/>
              </w:rPr>
              <w:t xml:space="preserve"> </w:t>
            </w:r>
            <w:r>
              <w:rPr>
                <w:sz w:val="22"/>
                <w:szCs w:val="22"/>
              </w:rPr>
              <w:t xml:space="preserve">clause 64 (Special Account: CRF appropriated by virtue of section 21 of the </w:t>
            </w:r>
            <w:r>
              <w:rPr>
                <w:i/>
                <w:sz w:val="22"/>
                <w:szCs w:val="22"/>
              </w:rPr>
              <w:t>Financial Management and Accountability Act 1997</w:t>
            </w:r>
            <w:r>
              <w:rPr>
                <w:sz w:val="22"/>
                <w:szCs w:val="22"/>
              </w:rPr>
              <w:t>)</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D50883" w:rsidP="00ED5089">
            <w:pPr>
              <w:pStyle w:val="B1"/>
              <w:tabs>
                <w:tab w:val="clear" w:pos="510"/>
              </w:tabs>
              <w:spacing w:after="0"/>
              <w:ind w:left="0" w:firstLine="0"/>
              <w:jc w:val="center"/>
              <w:rPr>
                <w:b/>
                <w:sz w:val="32"/>
                <w:szCs w:val="32"/>
              </w:rPr>
            </w:pPr>
            <w:r w:rsidRPr="00D50883">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Safe Work Australia Bill 2008 [No. 2] </w:t>
            </w:r>
            <w:r w:rsidRPr="006011D3">
              <w:rPr>
                <w:sz w:val="22"/>
                <w:szCs w:val="22"/>
              </w:rPr>
              <w:t>—</w:t>
            </w:r>
            <w:r>
              <w:rPr>
                <w:b/>
                <w:sz w:val="22"/>
                <w:szCs w:val="22"/>
              </w:rPr>
              <w:t xml:space="preserve"> </w:t>
            </w:r>
            <w:r>
              <w:rPr>
                <w:sz w:val="22"/>
                <w:szCs w:val="22"/>
              </w:rPr>
              <w:t xml:space="preserve">clause 64 (Special Account: CRF appropriated by virtue of section 21 of the </w:t>
            </w:r>
            <w:r>
              <w:rPr>
                <w:i/>
                <w:sz w:val="22"/>
                <w:szCs w:val="22"/>
              </w:rPr>
              <w:t>Financial Management and Accountability Act 1997</w:t>
            </w:r>
            <w:r>
              <w:rPr>
                <w:sz w:val="22"/>
                <w:szCs w:val="22"/>
              </w:rPr>
              <w:t>)</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A05CAD" w:rsidP="00ED5089">
            <w:pPr>
              <w:pStyle w:val="B1"/>
              <w:tabs>
                <w:tab w:val="clear" w:pos="510"/>
              </w:tabs>
              <w:spacing w:after="0"/>
              <w:ind w:left="0" w:firstLine="0"/>
              <w:jc w:val="center"/>
              <w:rPr>
                <w:b/>
                <w:sz w:val="32"/>
                <w:szCs w:val="32"/>
              </w:rPr>
            </w:pPr>
            <w:r w:rsidRPr="00A05CAD">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Schools Assistance Bill 2008 </w:t>
            </w:r>
            <w:r w:rsidRPr="006011D3">
              <w:rPr>
                <w:sz w:val="22"/>
                <w:szCs w:val="22"/>
              </w:rPr>
              <w:t>—</w:t>
            </w:r>
            <w:r>
              <w:rPr>
                <w:b/>
                <w:sz w:val="22"/>
                <w:szCs w:val="22"/>
              </w:rPr>
              <w:t xml:space="preserve"> </w:t>
            </w:r>
            <w:r w:rsidRPr="00771BF0">
              <w:rPr>
                <w:sz w:val="22"/>
                <w:szCs w:val="22"/>
              </w:rPr>
              <w:t>clause 167</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D50883" w:rsidP="00ED5089">
            <w:pPr>
              <w:pStyle w:val="B1"/>
              <w:tabs>
                <w:tab w:val="clear" w:pos="510"/>
              </w:tabs>
              <w:spacing w:after="0"/>
              <w:ind w:left="0" w:firstLine="0"/>
              <w:jc w:val="center"/>
              <w:rPr>
                <w:b/>
                <w:sz w:val="32"/>
                <w:szCs w:val="32"/>
              </w:rPr>
            </w:pPr>
            <w:r w:rsidRPr="00D50883">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Uranium Royalty (</w:t>
            </w:r>
            <w:smartTag w:uri="urn:schemas-microsoft-com:office:smarttags" w:element="State">
              <w:smartTag w:uri="urn:schemas-microsoft-com:office:smarttags" w:element="place">
                <w:r>
                  <w:rPr>
                    <w:b/>
                    <w:sz w:val="22"/>
                    <w:szCs w:val="22"/>
                  </w:rPr>
                  <w:t>Northern Territory</w:t>
                </w:r>
              </w:smartTag>
            </w:smartTag>
            <w:r>
              <w:rPr>
                <w:b/>
                <w:sz w:val="22"/>
                <w:szCs w:val="22"/>
              </w:rPr>
              <w:t xml:space="preserve">) Bill 2008 </w:t>
            </w:r>
            <w:r w:rsidRPr="00A05CAD">
              <w:rPr>
                <w:sz w:val="22"/>
                <w:szCs w:val="22"/>
              </w:rPr>
              <w:t>– clause 18</w:t>
            </w:r>
          </w:p>
        </w:tc>
      </w:tr>
    </w:tbl>
    <w:p w:rsidR="00CF7D6B" w:rsidP="00CF7D6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B11410" w:rsidP="00ED5089">
            <w:pPr>
              <w:pStyle w:val="B1"/>
              <w:tabs>
                <w:tab w:val="clear" w:pos="510"/>
              </w:tabs>
              <w:spacing w:after="0"/>
              <w:ind w:left="0" w:firstLine="0"/>
              <w:jc w:val="center"/>
              <w:rPr>
                <w:b/>
                <w:sz w:val="32"/>
                <w:szCs w:val="32"/>
              </w:rPr>
            </w:pPr>
            <w:r w:rsidRPr="00B11410">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Veterans’ Affairs Legislation Amendment (International Agreements and Other Measures) Bill 2008</w:t>
            </w:r>
            <w:r>
              <w:rPr>
                <w:sz w:val="22"/>
                <w:szCs w:val="22"/>
              </w:rPr>
              <w:t xml:space="preserve"> — Schedule 1, item 1</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6B5021"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RPr="00600B56" w:rsidP="00ED5089">
            <w:pPr>
              <w:pStyle w:val="B1"/>
              <w:tabs>
                <w:tab w:val="clear" w:pos="510"/>
              </w:tabs>
              <w:spacing w:after="0"/>
              <w:ind w:left="0" w:firstLine="0"/>
              <w:jc w:val="left"/>
              <w:rPr>
                <w:sz w:val="22"/>
                <w:szCs w:val="22"/>
              </w:rPr>
            </w:pPr>
            <w:r>
              <w:rPr>
                <w:b/>
                <w:sz w:val="22"/>
                <w:szCs w:val="22"/>
              </w:rPr>
              <w:t xml:space="preserve">Wheat Export Marketing Bill 2008 </w:t>
            </w:r>
            <w:r w:rsidRPr="006011D3">
              <w:rPr>
                <w:sz w:val="22"/>
                <w:szCs w:val="22"/>
              </w:rPr>
              <w:t>—</w:t>
            </w:r>
            <w:r>
              <w:rPr>
                <w:b/>
                <w:sz w:val="22"/>
                <w:szCs w:val="22"/>
              </w:rPr>
              <w:t xml:space="preserve"> </w:t>
            </w:r>
            <w:r>
              <w:rPr>
                <w:sz w:val="22"/>
                <w:szCs w:val="22"/>
              </w:rPr>
              <w:t xml:space="preserve">clause 58 (Special Account: CRF appropriated by virtue of section 21 of the </w:t>
            </w:r>
            <w:r>
              <w:rPr>
                <w:i/>
                <w:sz w:val="22"/>
                <w:szCs w:val="22"/>
              </w:rPr>
              <w:t>Financial Management and Accountability Act 1997</w:t>
            </w:r>
            <w:r>
              <w:rPr>
                <w:sz w:val="22"/>
                <w:szCs w:val="22"/>
              </w:rPr>
              <w:t>)</w:t>
            </w:r>
          </w:p>
        </w:tc>
      </w:tr>
    </w:tbl>
    <w:p w:rsidR="00CF7D6B" w:rsidP="00CF7D6B">
      <w:pPr>
        <w:rPr>
          <w:b/>
          <w:sz w:val="28"/>
          <w:szCs w:val="28"/>
        </w:rPr>
      </w:pPr>
    </w:p>
    <w:p w:rsidR="00CF7D6B" w:rsidP="00CF7D6B">
      <w:pPr>
        <w:outlineLvl w:val="0"/>
        <w:rPr>
          <w:b/>
          <w:sz w:val="28"/>
          <w:szCs w:val="28"/>
        </w:rPr>
      </w:pPr>
    </w:p>
    <w:p w:rsidR="00CF7D6B" w:rsidRPr="00E75649" w:rsidP="00CF7D6B">
      <w:pPr>
        <w:outlineLvl w:val="0"/>
        <w:rPr>
          <w:b/>
          <w:sz w:val="28"/>
          <w:szCs w:val="28"/>
        </w:rPr>
      </w:pPr>
      <w:r w:rsidRPr="00E75649">
        <w:rPr>
          <w:b/>
          <w:sz w:val="28"/>
          <w:szCs w:val="28"/>
        </w:rPr>
        <w:t>Other relevant appropriation clauses</w:t>
      </w:r>
      <w:r>
        <w:rPr>
          <w:b/>
          <w:sz w:val="28"/>
          <w:szCs w:val="28"/>
        </w:rPr>
        <w:t xml:space="preserve"> in bills</w:t>
      </w:r>
    </w:p>
    <w:p w:rsidR="00CF7D6B" w:rsidP="00CF7D6B"/>
    <w:p w:rsidR="00CF7D6B" w:rsidRPr="00B665BC" w:rsidP="00CF7D6B">
      <w:pPr>
        <w:jc w:val="left"/>
        <w:outlineLvl w:val="0"/>
        <w:rPr>
          <w:b/>
          <w:sz w:val="22"/>
          <w:szCs w:val="22"/>
        </w:rPr>
      </w:pPr>
      <w:r w:rsidRPr="008949AF">
        <w:rPr>
          <w:b/>
          <w:sz w:val="32"/>
          <w:szCs w:val="32"/>
        </w:rPr>
        <w:t>*</w:t>
      </w:r>
      <w:r w:rsidRPr="00B665BC">
        <w:rPr>
          <w:b/>
          <w:sz w:val="22"/>
          <w:szCs w:val="22"/>
        </w:rPr>
        <w:tab/>
      </w:r>
      <w:r w:rsidRPr="00B665BC">
        <w:rPr>
          <w:sz w:val="22"/>
          <w:szCs w:val="22"/>
        </w:rPr>
        <w:t>Indicates bill passed by the Senate</w:t>
      </w:r>
    </w:p>
    <w:p w:rsidR="00CF7D6B" w:rsidP="00CF7D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11503D" w:rsidP="00ED5089">
            <w:pPr>
              <w:pStyle w:val="B1"/>
              <w:tabs>
                <w:tab w:val="clear" w:pos="510"/>
              </w:tabs>
              <w:spacing w:after="0"/>
              <w:ind w:left="0" w:firstLine="0"/>
              <w:jc w:val="center"/>
              <w:rPr>
                <w:b/>
                <w:sz w:val="32"/>
                <w:szCs w:val="32"/>
              </w:rPr>
            </w:pPr>
            <w:r w:rsidRPr="00D34F3D">
              <w:rPr>
                <w:b/>
                <w:sz w:val="20"/>
              </w:rPr>
              <w:t>N</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Household Stimulus Package Bill 2009 </w:t>
            </w:r>
            <w:r w:rsidRPr="006011D3">
              <w:rPr>
                <w:sz w:val="22"/>
                <w:szCs w:val="22"/>
              </w:rPr>
              <w:t>—</w:t>
            </w:r>
            <w:r>
              <w:rPr>
                <w:b/>
                <w:sz w:val="22"/>
                <w:szCs w:val="22"/>
              </w:rPr>
              <w:t xml:space="preserve"> </w:t>
            </w:r>
            <w:r w:rsidRPr="00731696">
              <w:rPr>
                <w:sz w:val="22"/>
                <w:szCs w:val="22"/>
              </w:rPr>
              <w:t xml:space="preserve">Schedule 4, </w:t>
            </w:r>
            <w:r w:rsidRPr="00731696">
              <w:rPr>
                <w:sz w:val="22"/>
                <w:szCs w:val="22"/>
              </w:rPr>
              <w:t>subitem</w:t>
            </w:r>
            <w:r w:rsidRPr="00731696">
              <w:rPr>
                <w:sz w:val="22"/>
                <w:szCs w:val="22"/>
              </w:rPr>
              <w:t xml:space="preserve"> 1(5)</w:t>
            </w:r>
            <w:r>
              <w:rPr>
                <w:sz w:val="22"/>
                <w:szCs w:val="22"/>
              </w:rPr>
              <w:t>: special appropriation clause – for a finite period of time (</w:t>
            </w:r>
            <w:r>
              <w:rPr>
                <w:sz w:val="22"/>
                <w:szCs w:val="22"/>
              </w:rPr>
              <w:t>ie</w:t>
            </w:r>
            <w:r>
              <w:rPr>
                <w:sz w:val="22"/>
                <w:szCs w:val="22"/>
              </w:rPr>
              <w:t xml:space="preserve"> for circumstances arising in a particular financial year).</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016C80"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RPr="00D94703" w:rsidP="00ED5089">
            <w:pPr>
              <w:pStyle w:val="B1"/>
              <w:tabs>
                <w:tab w:val="clear" w:pos="510"/>
              </w:tabs>
              <w:spacing w:after="0"/>
              <w:ind w:left="0" w:firstLine="0"/>
              <w:jc w:val="left"/>
              <w:rPr>
                <w:sz w:val="22"/>
                <w:szCs w:val="22"/>
              </w:rPr>
            </w:pPr>
            <w:r>
              <w:rPr>
                <w:b/>
                <w:sz w:val="22"/>
                <w:szCs w:val="22"/>
              </w:rPr>
              <w:t xml:space="preserve">Household Stimulus Package Bill (No. 2) 2009 – </w:t>
            </w:r>
            <w:r>
              <w:rPr>
                <w:sz w:val="22"/>
                <w:szCs w:val="22"/>
              </w:rPr>
              <w:t xml:space="preserve">Schedule 4, </w:t>
            </w:r>
            <w:r>
              <w:rPr>
                <w:sz w:val="22"/>
                <w:szCs w:val="22"/>
              </w:rPr>
              <w:t>subitem</w:t>
            </w:r>
            <w:r>
              <w:rPr>
                <w:sz w:val="22"/>
                <w:szCs w:val="22"/>
              </w:rPr>
              <w:t xml:space="preserve"> 1(5): special appropriation clause – for a finite period of time (</w:t>
            </w:r>
            <w:r>
              <w:rPr>
                <w:sz w:val="22"/>
                <w:szCs w:val="22"/>
              </w:rPr>
              <w:t>ie</w:t>
            </w:r>
            <w:r>
              <w:rPr>
                <w:sz w:val="22"/>
                <w:szCs w:val="22"/>
              </w:rPr>
              <w:t>. for circumstances arising in a particular financial year).</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016C80" w:rsidP="00ED5089">
            <w:pPr>
              <w:pStyle w:val="B1"/>
              <w:tabs>
                <w:tab w:val="clear" w:pos="510"/>
              </w:tabs>
              <w:spacing w:after="0"/>
              <w:ind w:left="0" w:firstLine="0"/>
              <w:jc w:val="center"/>
              <w:rPr>
                <w:b/>
                <w:sz w:val="32"/>
                <w:szCs w:val="32"/>
              </w:rPr>
            </w:pPr>
            <w:r w:rsidRPr="00016C80">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Social Security and Other Legislation Amendment (Economic Security Strategy) Bill 2008 </w:t>
            </w:r>
            <w:r w:rsidRPr="006011D3">
              <w:rPr>
                <w:sz w:val="22"/>
                <w:szCs w:val="22"/>
              </w:rPr>
              <w:t>—</w:t>
            </w:r>
            <w:r>
              <w:rPr>
                <w:b/>
                <w:sz w:val="22"/>
                <w:szCs w:val="22"/>
              </w:rPr>
              <w:t xml:space="preserve"> </w:t>
            </w:r>
            <w:r>
              <w:rPr>
                <w:sz w:val="22"/>
                <w:szCs w:val="22"/>
              </w:rPr>
              <w:t>Schedule 4, item 4: special appropriation clause – for a finite period of time (</w:t>
            </w:r>
            <w:r>
              <w:rPr>
                <w:sz w:val="22"/>
                <w:szCs w:val="22"/>
              </w:rPr>
              <w:t>ie</w:t>
            </w:r>
            <w:r>
              <w:rPr>
                <w:sz w:val="22"/>
                <w:szCs w:val="22"/>
              </w:rPr>
              <w:t xml:space="preserve"> for circumstances arising in a particular financial year).</w:t>
            </w:r>
          </w:p>
        </w:tc>
      </w:tr>
      <w:tr w:rsidTr="00ED50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CF7D6B" w:rsidRPr="00016C80" w:rsidP="00ED5089">
            <w:pPr>
              <w:pStyle w:val="B1"/>
              <w:tabs>
                <w:tab w:val="clear" w:pos="510"/>
              </w:tabs>
              <w:spacing w:after="0"/>
              <w:ind w:left="0" w:firstLine="0"/>
              <w:jc w:val="center"/>
              <w:rPr>
                <w:b/>
                <w:sz w:val="32"/>
                <w:szCs w:val="32"/>
              </w:rPr>
            </w:pPr>
            <w:r>
              <w:rPr>
                <w:b/>
                <w:sz w:val="32"/>
                <w:szCs w:val="32"/>
              </w:rPr>
              <w:t>*</w:t>
            </w:r>
          </w:p>
        </w:tc>
        <w:tc>
          <w:tcPr>
            <w:tcW w:w="6946" w:type="dxa"/>
          </w:tcPr>
          <w:p w:rsidR="00CF7D6B" w:rsidP="00ED5089">
            <w:pPr>
              <w:pStyle w:val="B1"/>
              <w:tabs>
                <w:tab w:val="clear" w:pos="510"/>
              </w:tabs>
              <w:spacing w:after="0"/>
              <w:ind w:left="0" w:firstLine="0"/>
              <w:jc w:val="left"/>
              <w:rPr>
                <w:b/>
                <w:sz w:val="22"/>
                <w:szCs w:val="22"/>
              </w:rPr>
            </w:pPr>
            <w:r>
              <w:rPr>
                <w:b/>
                <w:sz w:val="22"/>
                <w:szCs w:val="22"/>
              </w:rPr>
              <w:t xml:space="preserve">Social Security and Veterans’ Entitlements Legislation Amendment (One-off Payments and Other Budget Measures) Bill 2008 </w:t>
            </w:r>
            <w:r w:rsidRPr="006011D3">
              <w:rPr>
                <w:sz w:val="22"/>
                <w:szCs w:val="22"/>
              </w:rPr>
              <w:t>—</w:t>
            </w:r>
            <w:r>
              <w:rPr>
                <w:b/>
                <w:sz w:val="22"/>
                <w:szCs w:val="22"/>
              </w:rPr>
              <w:t xml:space="preserve"> </w:t>
            </w:r>
            <w:r>
              <w:rPr>
                <w:sz w:val="22"/>
                <w:szCs w:val="22"/>
              </w:rPr>
              <w:t>Schedule 2, items 1 and 2, and Schedule 4, item 1: special appropriation clauses – for a finite period of time (</w:t>
            </w:r>
            <w:r>
              <w:rPr>
                <w:sz w:val="22"/>
                <w:szCs w:val="22"/>
              </w:rPr>
              <w:t>ie</w:t>
            </w:r>
            <w:r>
              <w:rPr>
                <w:sz w:val="22"/>
                <w:szCs w:val="22"/>
              </w:rPr>
              <w:t>. for circumstances arising in a particular financial year).</w:t>
            </w:r>
          </w:p>
        </w:tc>
      </w:tr>
    </w:tbl>
    <w:p w:rsidR="00CF7D6B" w:rsidP="00CF7D6B">
      <w:pPr>
        <w:jc w:val="center"/>
      </w:pPr>
    </w:p>
    <w:p w:rsidR="00CF7D6B" w:rsidP="00CF7D6B">
      <w:pPr>
        <w:jc w:val="center"/>
      </w:pPr>
    </w:p>
    <w:p w:rsidR="007469BF" w:rsidP="00CF7D6B">
      <w:pPr>
        <w:jc w:val="center"/>
      </w:pPr>
    </w:p>
    <w:sectPr w:rsidSect="0091482F">
      <w:headerReference w:type="even" r:id="rId13"/>
      <w:headerReference w:type="default" r:id="rId14"/>
      <w:footerReference w:type="even" r:id="rId15"/>
      <w:footerReference w:type="default" r:id="rId16"/>
      <w:headerReference w:type="first" r:id="rId17"/>
      <w:pgSz w:w="11906" w:h="16838"/>
      <w:pgMar w:top="1701" w:right="1701" w:bottom="1701" w:left="1843" w:header="720" w:footer="720" w:gutter="170"/>
      <w:pgNumType w:start="5"/>
      <w:cols w:space="720"/>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rsidRPr="005B751E" w:rsidP="005B75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numPr>
        <w:ilvl w:val="0"/>
        <w:numId w:val="26"/>
      </w:numPr>
      <w:spacing w:line="240" w:lineRule="auto"/>
      <w:jc w:val="center"/>
      <w:rPr>
        <w:b/>
        <w:sz w:val="22"/>
      </w:rPr>
    </w:pPr>
    <w:r>
      <w:rPr>
        <w:b/>
        <w:sz w:val="22"/>
      </w:rPr>
      <w:t>The Committee has commented on these bills</w:t>
    </w:r>
  </w:p>
  <w:p w:rsidR="002D04BE">
    <w:pPr>
      <w:spacing w:line="240" w:lineRule="auto"/>
      <w:jc w:val="center"/>
    </w:pPr>
  </w:p>
  <w:p w:rsidR="002D04BE">
    <w:pPr>
      <w:spacing w:line="240" w:lineRule="auto"/>
      <w:jc w:val="center"/>
      <w:rPr>
        <w:sz w:val="22"/>
      </w:rPr>
    </w:pPr>
    <w:r>
      <w:rPr>
        <w:sz w:val="22"/>
      </w:rPr>
      <w:t>This Digest is circulated to all Honourable Senators.</w:t>
    </w:r>
  </w:p>
  <w:p w:rsidR="002D04BE">
    <w:pPr>
      <w:spacing w:line="240" w:lineRule="auto"/>
      <w:jc w:val="center"/>
      <w:rPr>
        <w:sz w:val="22"/>
      </w:rPr>
    </w:pPr>
    <w:r>
      <w:rPr>
        <w:sz w:val="22"/>
      </w:rPr>
      <w:t>Any Senator who wishes to draw matters to the attention of the</w:t>
    </w:r>
  </w:p>
  <w:p w:rsidR="002D04BE">
    <w:pPr>
      <w:spacing w:line="240" w:lineRule="auto"/>
      <w:jc w:val="center"/>
      <w:rPr>
        <w:sz w:val="22"/>
      </w:rPr>
    </w:pPr>
    <w:r>
      <w:rPr>
        <w:sz w:val="22"/>
      </w:rPr>
      <w:t>Committee under its terms of reference is invited to do so.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numPr>
        <w:ilvl w:val="0"/>
        <w:numId w:val="26"/>
      </w:numPr>
      <w:spacing w:line="240" w:lineRule="auto"/>
      <w:jc w:val="center"/>
      <w:rPr>
        <w:b/>
        <w:sz w:val="22"/>
      </w:rPr>
    </w:pPr>
    <w:r>
      <w:rPr>
        <w:b/>
        <w:sz w:val="22"/>
      </w:rPr>
      <w:t>The Committee has commented on these bills</w:t>
    </w:r>
  </w:p>
  <w:p w:rsidR="002D04BE">
    <w:pPr>
      <w:spacing w:line="240" w:lineRule="auto"/>
      <w:jc w:val="center"/>
    </w:pPr>
  </w:p>
  <w:p w:rsidR="002D04BE">
    <w:pPr>
      <w:spacing w:line="240" w:lineRule="auto"/>
      <w:jc w:val="center"/>
      <w:rPr>
        <w:sz w:val="22"/>
      </w:rPr>
    </w:pPr>
    <w:r>
      <w:rPr>
        <w:sz w:val="22"/>
      </w:rPr>
      <w:t>This Digest is circulated to all Honourable Senators.</w:t>
    </w:r>
  </w:p>
  <w:p w:rsidR="002D04BE">
    <w:pPr>
      <w:spacing w:line="240" w:lineRule="auto"/>
      <w:jc w:val="center"/>
      <w:rPr>
        <w:sz w:val="22"/>
      </w:rPr>
    </w:pPr>
    <w:r>
      <w:rPr>
        <w:sz w:val="22"/>
      </w:rPr>
      <w:t>Any Senator who wishes to draw matters to the attention of the</w:t>
    </w:r>
  </w:p>
  <w:p w:rsidR="002D04BE">
    <w:pPr>
      <w:spacing w:line="240" w:lineRule="auto"/>
      <w:jc w:val="center"/>
      <w:rPr>
        <w:sz w:val="22"/>
      </w:rPr>
    </w:pPr>
    <w:r>
      <w:rPr>
        <w:sz w:val="22"/>
      </w:rPr>
      <w:t>Committee under its terms of reference is invited to do so.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F4F45">
      <w:rPr>
        <w:rStyle w:val="PageNumber"/>
        <w:noProof/>
      </w:rPr>
      <w:t>20</w:t>
    </w:r>
    <w:r>
      <w:rPr>
        <w:rStyle w:val="PageNumber"/>
      </w:rPr>
      <w:fldChar w:fldCharType="end"/>
    </w:r>
  </w:p>
  <w:p w:rsidR="002D04BE">
    <w:pPr>
      <w:pStyle w:val="Footer"/>
      <w:tabs>
        <w:tab w:val="left" w:pos="7371"/>
      </w:tabs>
      <w:ind w:right="360" w:firstLine="360"/>
      <w:jc w:val="center"/>
      <w:rPr>
        <w:sz w:val="22"/>
      </w:rPr>
    </w:pPr>
    <w:r>
      <w:rPr>
        <w:sz w:val="22"/>
      </w:rPr>
      <w:t>Any Senator who wishes to draw matters to the attention of the</w:t>
    </w:r>
  </w:p>
  <w:p w:rsidR="002D04BE">
    <w:pPr>
      <w:pStyle w:val="Footer"/>
      <w:jc w:val="center"/>
    </w:pPr>
    <w:r>
      <w:rPr>
        <w:sz w:val="22"/>
      </w:rPr>
      <w:t>Committee under its terms of reference is invited to do so.</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F4F45">
      <w:rPr>
        <w:rStyle w:val="PageNumber"/>
        <w:noProof/>
      </w:rPr>
      <w:t>19</w:t>
    </w:r>
    <w:r>
      <w:rPr>
        <w:rStyle w:val="PageNumber"/>
      </w:rPr>
      <w:fldChar w:fldCharType="end"/>
    </w:r>
  </w:p>
  <w:p w:rsidR="002D04BE">
    <w:pPr>
      <w:pStyle w:val="Footer"/>
      <w:tabs>
        <w:tab w:val="left" w:pos="7371"/>
      </w:tabs>
      <w:ind w:right="360" w:firstLine="360"/>
      <w:jc w:val="center"/>
      <w:rPr>
        <w:sz w:val="22"/>
      </w:rPr>
    </w:pPr>
    <w:r>
      <w:rPr>
        <w:sz w:val="22"/>
      </w:rPr>
      <w:t>Any Senator who wishes to draw matters to the attention of the</w:t>
    </w:r>
  </w:p>
  <w:p w:rsidR="002D04BE">
    <w:pPr>
      <w:pStyle w:val="Footer"/>
      <w:jc w:val="center"/>
      <w:rPr>
        <w:sz w:val="22"/>
      </w:rPr>
    </w:pPr>
    <w:r>
      <w:rPr>
        <w:sz w:val="22"/>
      </w:rPr>
      <w:t>Committee under its terms of reference is invited to do so.</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rsidRPr="005A08E0" w:rsidP="005A08E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rsidRPr="00071F55" w:rsidP="00071F5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pStyle w:val="Header"/>
      <w:pBdr>
        <w:bottom w:val="single" w:sz="4" w:space="1" w:color="auto"/>
      </w:pBdr>
      <w:rPr>
        <w:b/>
      </w:rPr>
    </w:pPr>
    <w:r>
      <w:rPr>
        <w:b/>
      </w:rPr>
      <w:t>Alert Digest 14/09</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pStyle w:val="Header"/>
      <w:pBdr>
        <w:bottom w:val="single" w:sz="4" w:space="1" w:color="auto"/>
      </w:pBdr>
      <w:jc w:val="right"/>
      <w:rPr>
        <w:b/>
      </w:rPr>
    </w:pPr>
    <w:r>
      <w:rPr>
        <w:b/>
      </w:rPr>
      <w:t>Alert Digest 14/09</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4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08D"/>
    <w:multiLevelType w:val="singleLevel"/>
    <w:tmpl w:val="59BC0934"/>
    <w:lvl w:ilvl="0">
      <w:start w:val="1"/>
      <w:numFmt w:val="bullet"/>
      <w:pStyle w:val="B2"/>
      <w:lvlText w:val=""/>
      <w:lvlJc w:val="left"/>
      <w:pPr>
        <w:tabs>
          <w:tab w:val="num" w:pos="510"/>
        </w:tabs>
        <w:ind w:left="510" w:hanging="510"/>
      </w:pPr>
      <w:rPr>
        <w:rFonts w:ascii="Symbol" w:hAnsi="Symbol" w:hint="default"/>
        <w:sz w:val="1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5">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6">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7">
    <w:nsid w:val="214A3D5B"/>
    <w:multiLevelType w:val="hybridMultilevel"/>
    <w:tmpl w:val="34D2E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9">
    <w:nsid w:val="24EF14C1"/>
    <w:multiLevelType w:val="hybridMultilevel"/>
    <w:tmpl w:val="EA8CB168"/>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1">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2">
    <w:nsid w:val="2CA907E0"/>
    <w:multiLevelType w:val="singleLevel"/>
    <w:tmpl w:val="260CFEEE"/>
    <w:lvl w:ilvl="0">
      <w:start w:val="1"/>
      <w:numFmt w:val="bullet"/>
      <w:pStyle w:val="TOCBullet"/>
      <w:lvlText w:val=""/>
      <w:lvlJc w:val="left"/>
      <w:pPr>
        <w:tabs>
          <w:tab w:val="num" w:pos="510"/>
        </w:tabs>
        <w:ind w:left="510" w:hanging="510"/>
      </w:pPr>
      <w:rPr>
        <w:rFonts w:ascii="Symbol" w:hAnsi="Symbol" w:hint="default"/>
        <w:sz w:val="26"/>
      </w:rPr>
    </w:lvl>
  </w:abstractNum>
  <w:abstractNum w:abstractNumId="13">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4">
    <w:nsid w:val="2DAA1F17"/>
    <w:multiLevelType w:val="hybridMultilevel"/>
    <w:tmpl w:val="D5C0B44E"/>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58416D"/>
    <w:multiLevelType w:val="hybridMultilevel"/>
    <w:tmpl w:val="85822BCC"/>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7">
    <w:nsid w:val="35F53424"/>
    <w:multiLevelType w:val="hybridMultilevel"/>
    <w:tmpl w:val="EC3E892E"/>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9">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0">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1">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3">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4">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5">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6">
    <w:nsid w:val="5C48019B"/>
    <w:multiLevelType w:val="hybridMultilevel"/>
    <w:tmpl w:val="C114989A"/>
    <w:lvl w:ilvl="0">
      <w:start w:val="4"/>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28">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9">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0">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1">
    <w:nsid w:val="6ADB1F24"/>
    <w:multiLevelType w:val="hybridMultilevel"/>
    <w:tmpl w:val="9A08C070"/>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3">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4">
    <w:nsid w:val="776B15F9"/>
    <w:multiLevelType w:val="hybridMultilevel"/>
    <w:tmpl w:val="2F94B29C"/>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6">
    <w:nsid w:val="7DA02E2E"/>
    <w:multiLevelType w:val="hybridMultilevel"/>
    <w:tmpl w:val="89224CFC"/>
    <w:lvl w:ilvl="0">
      <w:start w:val="1"/>
      <w:numFmt w:val="decimal"/>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9"/>
  </w:num>
  <w:num w:numId="2">
    <w:abstractNumId w:val="16"/>
  </w:num>
  <w:num w:numId="3">
    <w:abstractNumId w:val="21"/>
  </w:num>
  <w:num w:numId="4">
    <w:abstractNumId w:val="23"/>
  </w:num>
  <w:num w:numId="5">
    <w:abstractNumId w:val="28"/>
  </w:num>
  <w:num w:numId="6">
    <w:abstractNumId w:val="1"/>
  </w:num>
  <w:num w:numId="7">
    <w:abstractNumId w:val="32"/>
  </w:num>
  <w:num w:numId="8">
    <w:abstractNumId w:val="18"/>
  </w:num>
  <w:num w:numId="9">
    <w:abstractNumId w:val="5"/>
  </w:num>
  <w:num w:numId="10">
    <w:abstractNumId w:val="6"/>
  </w:num>
  <w:num w:numId="11">
    <w:abstractNumId w:val="29"/>
  </w:num>
  <w:num w:numId="12">
    <w:abstractNumId w:val="3"/>
  </w:num>
  <w:num w:numId="13">
    <w:abstractNumId w:val="35"/>
  </w:num>
  <w:num w:numId="14">
    <w:abstractNumId w:val="30"/>
  </w:num>
  <w:num w:numId="15">
    <w:abstractNumId w:val="33"/>
  </w:num>
  <w:num w:numId="16">
    <w:abstractNumId w:val="4"/>
  </w:num>
  <w:num w:numId="17">
    <w:abstractNumId w:val="27"/>
  </w:num>
  <w:num w:numId="18">
    <w:abstractNumId w:val="12"/>
  </w:num>
  <w:num w:numId="19">
    <w:abstractNumId w:val="22"/>
  </w:num>
  <w:num w:numId="20">
    <w:abstractNumId w:val="20"/>
  </w:num>
  <w:num w:numId="21">
    <w:abstractNumId w:val="24"/>
  </w:num>
  <w:num w:numId="22">
    <w:abstractNumId w:val="11"/>
  </w:num>
  <w:num w:numId="23">
    <w:abstractNumId w:val="10"/>
  </w:num>
  <w:num w:numId="24">
    <w:abstractNumId w:val="13"/>
  </w:num>
  <w:num w:numId="25">
    <w:abstractNumId w:val="0"/>
  </w:num>
  <w:num w:numId="26">
    <w:abstractNumId w:val="37"/>
  </w:num>
  <w:num w:numId="27">
    <w:abstractNumId w:val="25"/>
  </w:num>
  <w:num w:numId="28">
    <w:abstractNumId w:val="2"/>
  </w:num>
  <w:num w:numId="29">
    <w:abstractNumId w:val="8"/>
  </w:num>
  <w:num w:numId="30">
    <w:abstractNumId w:val="12"/>
  </w:num>
  <w:num w:numId="31">
    <w:abstractNumId w:val="26"/>
  </w:num>
  <w:num w:numId="32">
    <w:abstractNumId w:val="14"/>
  </w:num>
  <w:num w:numId="33">
    <w:abstractNumId w:val="31"/>
  </w:num>
  <w:num w:numId="34">
    <w:abstractNumId w:val="7"/>
  </w:num>
  <w:num w:numId="35">
    <w:abstractNumId w:val="9"/>
  </w:num>
  <w:num w:numId="36">
    <w:abstractNumId w:val="17"/>
  </w:num>
  <w:num w:numId="37">
    <w:abstractNumId w:val="15"/>
  </w:num>
  <w:num w:numId="38">
    <w:abstractNumId w:val="34"/>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oNotTrackMoves/>
  <w:defaultTabStop w:val="720"/>
  <w:evenAndOddHeaders/>
  <w:drawingGridHorizontalSpacing w:val="130"/>
  <w:drawingGridVerticalSpacing w:val="177"/>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D62"/>
    <w:pPr>
      <w:spacing w:line="264"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EnvelopeAddress">
    <w:name w:val="envelope address"/>
    <w:basedOn w:val="Normal"/>
    <w:rsid w:val="00895D62"/>
    <w:pPr>
      <w:framePr w:w="7920" w:h="1980" w:hRule="exact" w:hSpace="180" w:wrap="auto" w:hAnchor="page" w:xAlign="center" w:yAlign="bottom"/>
      <w:ind w:left="2880"/>
    </w:pPr>
    <w:rPr>
      <w:rFonts w:ascii="Arial" w:hAnsi="Arial"/>
    </w:rPr>
  </w:style>
  <w:style w:type="paragraph" w:styleId="EnvelopeReturn">
    <w:name w:val="envelope return"/>
    <w:basedOn w:val="Normal"/>
    <w:rsid w:val="00895D62"/>
    <w:rPr>
      <w:rFonts w:ascii="Arial" w:hAnsi="Arial"/>
      <w:sz w:val="20"/>
    </w:rPr>
  </w:style>
  <w:style w:type="paragraph" w:styleId="Header">
    <w:name w:val="header"/>
    <w:basedOn w:val="Normal"/>
    <w:rsid w:val="00895D62"/>
    <w:pPr>
      <w:tabs>
        <w:tab w:val="center" w:pos="4153"/>
        <w:tab w:val="right" w:pos="8306"/>
      </w:tabs>
    </w:pPr>
  </w:style>
  <w:style w:type="paragraph" w:customStyle="1" w:styleId="I1">
    <w:name w:val="I1"/>
    <w:basedOn w:val="Normal"/>
    <w:rsid w:val="00895D62"/>
    <w:pPr>
      <w:ind w:left="567" w:right="709"/>
    </w:pPr>
    <w:rPr>
      <w:sz w:val="22"/>
    </w:rPr>
  </w:style>
  <w:style w:type="paragraph" w:customStyle="1" w:styleId="I2">
    <w:name w:val="I2"/>
    <w:basedOn w:val="Normal"/>
    <w:rsid w:val="00895D62"/>
    <w:pPr>
      <w:ind w:left="851" w:right="1134"/>
    </w:pPr>
    <w:rPr>
      <w:sz w:val="22"/>
    </w:rPr>
  </w:style>
  <w:style w:type="paragraph" w:customStyle="1" w:styleId="H1">
    <w:name w:val="H1"/>
    <w:basedOn w:val="Normal"/>
    <w:rsid w:val="00895D62"/>
    <w:pPr>
      <w:spacing w:after="480"/>
    </w:pPr>
    <w:rPr>
      <w:b/>
      <w:sz w:val="36"/>
    </w:rPr>
  </w:style>
  <w:style w:type="paragraph" w:customStyle="1" w:styleId="H2">
    <w:name w:val="H2"/>
    <w:basedOn w:val="Normal"/>
    <w:link w:val="H2Char"/>
    <w:rsid w:val="00895D62"/>
    <w:rPr>
      <w:b/>
      <w:sz w:val="28"/>
    </w:rPr>
  </w:style>
  <w:style w:type="paragraph" w:customStyle="1" w:styleId="B1">
    <w:name w:val="B1"/>
    <w:basedOn w:val="Normal"/>
    <w:link w:val="B1Char"/>
    <w:rsid w:val="00895D62"/>
    <w:pPr>
      <w:tabs>
        <w:tab w:val="num" w:pos="510"/>
      </w:tabs>
      <w:spacing w:after="240"/>
      <w:ind w:left="510" w:hanging="510"/>
    </w:pPr>
  </w:style>
  <w:style w:type="paragraph" w:customStyle="1" w:styleId="B2">
    <w:name w:val="B2"/>
    <w:basedOn w:val="Normal"/>
    <w:rsid w:val="00895D62"/>
    <w:pPr>
      <w:numPr>
        <w:numId w:val="25"/>
      </w:numPr>
      <w:tabs>
        <w:tab w:val="left" w:pos="992"/>
      </w:tabs>
      <w:spacing w:after="240"/>
      <w:ind w:left="1020"/>
    </w:pPr>
  </w:style>
  <w:style w:type="paragraph" w:styleId="Footer">
    <w:name w:val="footer"/>
    <w:basedOn w:val="Normal"/>
    <w:rsid w:val="00895D62"/>
    <w:pPr>
      <w:tabs>
        <w:tab w:val="center" w:pos="4153"/>
        <w:tab w:val="right" w:pos="8306"/>
      </w:tabs>
    </w:pPr>
  </w:style>
  <w:style w:type="character" w:styleId="PageNumber">
    <w:name w:val="page number"/>
    <w:basedOn w:val="DefaultParagraphFont"/>
    <w:rsid w:val="00895D62"/>
  </w:style>
  <w:style w:type="character" w:customStyle="1" w:styleId="B1Char">
    <w:name w:val="B1 Char"/>
    <w:basedOn w:val="DefaultParagraphFont"/>
    <w:link w:val="B1"/>
    <w:rsid w:val="005F1099"/>
    <w:rPr>
      <w:sz w:val="26"/>
    </w:rPr>
  </w:style>
  <w:style w:type="paragraph" w:customStyle="1" w:styleId="TOCNormal">
    <w:name w:val="TOCNormal"/>
    <w:basedOn w:val="Normal"/>
    <w:rsid w:val="00895D62"/>
    <w:pPr>
      <w:spacing w:before="120" w:after="120"/>
      <w:ind w:left="510"/>
      <w:jc w:val="left"/>
    </w:pPr>
  </w:style>
  <w:style w:type="paragraph" w:customStyle="1" w:styleId="TOCBullet">
    <w:name w:val="TOCBullet"/>
    <w:basedOn w:val="B1"/>
    <w:rsid w:val="00895D62"/>
    <w:pPr>
      <w:numPr>
        <w:numId w:val="30"/>
      </w:numPr>
      <w:spacing w:before="120" w:after="120"/>
      <w:jc w:val="left"/>
    </w:pPr>
  </w:style>
  <w:style w:type="paragraph" w:customStyle="1" w:styleId="Bull">
    <w:name w:val="Bull"/>
    <w:basedOn w:val="Normal"/>
    <w:rsid w:val="00895D62"/>
    <w:pPr>
      <w:numPr>
        <w:numId w:val="27"/>
      </w:numPr>
    </w:pPr>
  </w:style>
  <w:style w:type="paragraph" w:customStyle="1" w:styleId="Bull1">
    <w:name w:val="Bull1"/>
    <w:basedOn w:val="Normal"/>
    <w:rsid w:val="00895D62"/>
    <w:pPr>
      <w:numPr>
        <w:numId w:val="29"/>
      </w:numPr>
      <w:ind w:right="397"/>
    </w:pPr>
  </w:style>
  <w:style w:type="character" w:customStyle="1" w:styleId="H2Char">
    <w:name w:val="H2 Char"/>
    <w:basedOn w:val="DefaultParagraphFont"/>
    <w:link w:val="H2"/>
    <w:rsid w:val="00E437F8"/>
    <w:rPr>
      <w:b/>
      <w:sz w:val="28"/>
    </w:rPr>
  </w:style>
  <w:style w:type="paragraph" w:styleId="ListParagraph">
    <w:name w:val="List Paragraph"/>
    <w:basedOn w:val="Normal"/>
    <w:uiPriority w:val="34"/>
    <w:qFormat/>
    <w:rsid w:val="0053440B"/>
    <w:pPr>
      <w:ind w:left="720"/>
      <w:contextualSpacing/>
    </w:pPr>
  </w:style>
  <w:style w:type="paragraph" w:customStyle="1" w:styleId="Default">
    <w:name w:val="Default"/>
    <w:rsid w:val="007F719D"/>
    <w:pPr>
      <w:autoSpaceDE w:val="0"/>
      <w:autoSpaceDN w:val="0"/>
      <w:adjustRightInd w:val="0"/>
    </w:pPr>
    <w:rPr>
      <w:rFonts w:ascii="Arial" w:hAnsi="Arial" w:cs="Arial"/>
      <w:color w:val="000000"/>
      <w:sz w:val="24"/>
      <w:szCs w:val="24"/>
    </w:rPr>
  </w:style>
  <w:style w:type="paragraph" w:customStyle="1" w:styleId="Normal1">
    <w:name w:val="Normal+1"/>
    <w:basedOn w:val="Default"/>
    <w:next w:val="Default"/>
    <w:uiPriority w:val="99"/>
    <w:rsid w:val="003A0800"/>
    <w:rPr>
      <w:rFonts w:ascii="Times New Roman" w:hAnsi="Times New Roman" w:cs="Times New Roman"/>
      <w:color w:val="auto"/>
    </w:rPr>
  </w:style>
  <w:style w:type="paragraph" w:styleId="BalloonText">
    <w:name w:val="Balloon Text"/>
    <w:basedOn w:val="Normal"/>
    <w:link w:val="BalloonTextChar"/>
    <w:uiPriority w:val="99"/>
    <w:semiHidden/>
    <w:unhideWhenUsed/>
    <w:rsid w:val="00C77D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D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footer" Target="footer3.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9.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1\sen00032\Templates\digest2.dot" TargetMode="External" /></Relationships>
</file>

<file path=docProps/app.xml><?xml version="1.0" encoding="utf-8"?>
<Properties xmlns="http://schemas.openxmlformats.org/officeDocument/2006/extended-properties" xmlns:vt="http://schemas.openxmlformats.org/officeDocument/2006/docPropsVTypes">
  <Template>digest2.dot</Template>
  <TotalTime>1210</TotalTime>
  <Pages>31</Pages>
  <Words>6210</Words>
  <Characters>34784</Characters>
  <Application>Microsoft Office Word</Application>
  <DocSecurity>0</DocSecurity>
  <Lines>6956</Lines>
  <Paragraphs>2562</Paragraphs>
  <ScaleCrop>false</ScaleCrop>
  <Company>PISO</Company>
  <LinksUpToDate>false</LinksUpToDate>
  <CharactersWithSpaces>38432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 Alert Digest 2009</dc:title>
  <dc:subject>Alert Digest 2009</dc:subject>
  <cp:lastModifiedBy>lindemanm</cp:lastModifiedBy>
  <cp:revision>58</cp:revision>
  <cp:lastPrinted>2009-11-17T23:46:00Z</cp:lastPrinted>
  <dcterms:created xsi:type="dcterms:W3CDTF">2009-11-10T04:43:00Z</dcterms:created>
  <dcterms:modified xsi:type="dcterms:W3CDTF">2009-11-17T23:47:00Z</dcterms:modified>
</cp:coreProperties>
</file>