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Default="00BF4D76" w:rsidP="00BF4D76">
      <w:pPr>
        <w:ind w:left="1920"/>
        <w:rPr>
          <w:sz w:val="36"/>
        </w:rPr>
      </w:pPr>
      <w:r>
        <w:rPr>
          <w:sz w:val="36"/>
        </w:rPr>
        <w:t>The Senate</w:t>
      </w: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tabs>
          <w:tab w:val="left" w:pos="1920"/>
        </w:tabs>
        <w:spacing w:after="120"/>
        <w:ind w:right="866"/>
        <w:jc w:val="left"/>
      </w:pPr>
    </w:p>
    <w:p w:rsidR="00BF4D76" w:rsidRDefault="00BF4D76" w:rsidP="00BF4D76">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BF4D76" w:rsidRPr="004A0A31" w:rsidRDefault="00BF4D76" w:rsidP="00BF4D76">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BF4D76" w:rsidRPr="002C2B31" w:rsidRDefault="00BF4D76" w:rsidP="00BF4D76">
      <w:pPr>
        <w:tabs>
          <w:tab w:val="left" w:pos="8640"/>
        </w:tabs>
        <w:spacing w:before="720" w:after="0" w:line="460" w:lineRule="exact"/>
        <w:ind w:left="1922" w:right="1244"/>
        <w:jc w:val="left"/>
        <w:rPr>
          <w:sz w:val="36"/>
          <w:szCs w:val="36"/>
        </w:rPr>
      </w:pPr>
      <w:r>
        <w:rPr>
          <w:sz w:val="36"/>
          <w:szCs w:val="36"/>
        </w:rPr>
        <w:t>Delegated legislation monitor</w:t>
      </w:r>
    </w:p>
    <w:p w:rsidR="00BF4D76" w:rsidRDefault="00BF4D76" w:rsidP="00BF4D76">
      <w:pPr>
        <w:tabs>
          <w:tab w:val="left" w:pos="8789"/>
        </w:tabs>
        <w:spacing w:before="600" w:after="0" w:line="480" w:lineRule="exact"/>
        <w:ind w:left="1922" w:right="237"/>
        <w:jc w:val="left"/>
        <w:rPr>
          <w:sz w:val="24"/>
          <w:szCs w:val="24"/>
        </w:rPr>
      </w:pPr>
      <w:r>
        <w:rPr>
          <w:sz w:val="24"/>
          <w:szCs w:val="24"/>
        </w:rPr>
        <w:t xml:space="preserve">Monitor No. </w:t>
      </w:r>
      <w:r w:rsidR="00097619">
        <w:rPr>
          <w:sz w:val="24"/>
          <w:szCs w:val="24"/>
        </w:rPr>
        <w:t>1</w:t>
      </w:r>
      <w:r>
        <w:rPr>
          <w:sz w:val="24"/>
          <w:szCs w:val="24"/>
        </w:rPr>
        <w:t xml:space="preserve"> of 2013</w:t>
      </w:r>
    </w:p>
    <w:p w:rsidR="006744B5" w:rsidRDefault="006744B5" w:rsidP="006744B5">
      <w:pPr>
        <w:tabs>
          <w:tab w:val="left" w:pos="8789"/>
        </w:tabs>
        <w:spacing w:before="600" w:after="0" w:line="280" w:lineRule="exact"/>
        <w:ind w:left="1922" w:right="237"/>
        <w:jc w:val="left"/>
        <w:rPr>
          <w:sz w:val="24"/>
          <w:szCs w:val="24"/>
        </w:rPr>
      </w:pPr>
    </w:p>
    <w:p w:rsidR="006744B5" w:rsidRPr="002D2B97" w:rsidRDefault="006744B5" w:rsidP="006744B5">
      <w:pPr>
        <w:tabs>
          <w:tab w:val="left" w:pos="8789"/>
        </w:tabs>
        <w:spacing w:after="0" w:line="280" w:lineRule="exact"/>
        <w:ind w:left="1922" w:right="238"/>
        <w:jc w:val="left"/>
        <w:rPr>
          <w:sz w:val="24"/>
          <w:szCs w:val="24"/>
        </w:rPr>
      </w:pPr>
    </w:p>
    <w:p w:rsidR="00BF4D76" w:rsidRPr="0020754E" w:rsidRDefault="00BF4D76" w:rsidP="00BF4D76">
      <w:pPr>
        <w:rPr>
          <w:sz w:val="35"/>
          <w:szCs w:val="35"/>
        </w:rPr>
      </w:pPr>
    </w:p>
    <w:p w:rsidR="00BF4D76" w:rsidRDefault="00BF4D76" w:rsidP="006744B5">
      <w:pPr>
        <w:jc w:val="center"/>
        <w:rPr>
          <w:sz w:val="18"/>
        </w:rPr>
      </w:pPr>
    </w:p>
    <w:p w:rsidR="00BF4D76" w:rsidRDefault="00BF4D76" w:rsidP="00BF4D76">
      <w:pPr>
        <w:rPr>
          <w:sz w:val="18"/>
        </w:rPr>
      </w:pPr>
    </w:p>
    <w:p w:rsidR="00BF4D76" w:rsidRDefault="00BF4D76" w:rsidP="00BF4D76">
      <w:pPr>
        <w:rPr>
          <w:sz w:val="18"/>
        </w:rPr>
      </w:pPr>
    </w:p>
    <w:p w:rsidR="00BF4D76" w:rsidRDefault="00BF4D76" w:rsidP="00BF4D76">
      <w:pPr>
        <w:rPr>
          <w:sz w:val="18"/>
        </w:rPr>
      </w:pPr>
    </w:p>
    <w:p w:rsidR="00BF4D76" w:rsidRDefault="00BF4D76" w:rsidP="00BF4D76">
      <w:pPr>
        <w:rPr>
          <w:sz w:val="18"/>
        </w:rPr>
      </w:pPr>
    </w:p>
    <w:p w:rsidR="00BF4D76" w:rsidRPr="00BF4D76" w:rsidRDefault="00BF4D76" w:rsidP="00BF4D76">
      <w:pPr>
        <w:tabs>
          <w:tab w:val="right" w:pos="8789"/>
        </w:tabs>
        <w:spacing w:after="0"/>
        <w:jc w:val="left"/>
        <w:rPr>
          <w:rFonts w:ascii="Frutiger 55 roman" w:hAnsi="Frutiger 55 roman" w:cs="Calibri"/>
          <w:sz w:val="28"/>
        </w:rPr>
      </w:pPr>
      <w:r>
        <w:rPr>
          <w:sz w:val="28"/>
        </w:rPr>
        <w:tab/>
      </w:r>
      <w:r w:rsidR="00097619">
        <w:rPr>
          <w:sz w:val="28"/>
        </w:rPr>
        <w:t>7 February</w:t>
      </w:r>
      <w:r w:rsidR="005079E2">
        <w:rPr>
          <w:rFonts w:ascii="Frutiger 55 roman" w:hAnsi="Frutiger 55 roman" w:cs="Calibri"/>
          <w:sz w:val="28"/>
        </w:rPr>
        <w:t xml:space="preserve"> </w:t>
      </w:r>
      <w:r w:rsidRPr="00BF4D76">
        <w:rPr>
          <w:rFonts w:ascii="Frutiger 55 roman" w:hAnsi="Frutiger 55 roman" w:cs="Calibri"/>
          <w:sz w:val="28"/>
        </w:rPr>
        <w:t>201</w:t>
      </w:r>
      <w:r w:rsidR="005079E2">
        <w:rPr>
          <w:rFonts w:ascii="Frutiger 55 roman" w:hAnsi="Frutiger 55 roman" w:cs="Calibri"/>
          <w:sz w:val="28"/>
        </w:rPr>
        <w:t>3</w:t>
      </w:r>
    </w:p>
    <w:p w:rsidR="00BF4D76" w:rsidRPr="001F6A19" w:rsidRDefault="00BF4D76" w:rsidP="00BF4D76">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BF4D76" w:rsidRPr="001F6A19" w:rsidRDefault="00BF4D76" w:rsidP="00BF4D76">
      <w:pPr>
        <w:suppressAutoHyphens/>
        <w:spacing w:after="0"/>
        <w:rPr>
          <w:spacing w:val="-3"/>
          <w:sz w:val="24"/>
          <w:szCs w:val="24"/>
        </w:rPr>
      </w:pPr>
    </w:p>
    <w:p w:rsidR="00BF4D76" w:rsidRPr="00D837DA" w:rsidRDefault="00D837DA" w:rsidP="00BF4D76">
      <w:pPr>
        <w:spacing w:after="0"/>
        <w:outlineLvl w:val="0"/>
        <w:rPr>
          <w:spacing w:val="-3"/>
          <w:sz w:val="24"/>
          <w:szCs w:val="24"/>
        </w:rPr>
      </w:pPr>
      <w:r>
        <w:rPr>
          <w:spacing w:val="-3"/>
          <w:sz w:val="24"/>
          <w:szCs w:val="24"/>
        </w:rPr>
        <w:t xml:space="preserve">ISSN </w:t>
      </w:r>
      <w:r w:rsidR="009D4534" w:rsidRPr="00D837DA">
        <w:rPr>
          <w:spacing w:val="-3"/>
          <w:sz w:val="24"/>
          <w:szCs w:val="24"/>
        </w:rPr>
        <w:t>2201-8689 (print)</w:t>
      </w:r>
    </w:p>
    <w:p w:rsidR="00FD2D88" w:rsidRPr="00D837DA" w:rsidRDefault="006C7EF2" w:rsidP="00BF4D76">
      <w:pPr>
        <w:spacing w:after="0"/>
        <w:outlineLvl w:val="0"/>
        <w:rPr>
          <w:spacing w:val="-3"/>
          <w:sz w:val="24"/>
          <w:szCs w:val="24"/>
        </w:rPr>
      </w:pPr>
      <w:r w:rsidRPr="00D837DA">
        <w:rPr>
          <w:spacing w:val="-3"/>
          <w:sz w:val="24"/>
          <w:szCs w:val="24"/>
        </w:rPr>
        <w:t>ISSN</w:t>
      </w:r>
      <w:r w:rsidR="00D837DA">
        <w:rPr>
          <w:spacing w:val="-3"/>
          <w:sz w:val="24"/>
          <w:szCs w:val="24"/>
        </w:rPr>
        <w:t xml:space="preserve"> </w:t>
      </w:r>
      <w:r w:rsidR="009D4534" w:rsidRPr="00D837DA">
        <w:rPr>
          <w:spacing w:val="-3"/>
          <w:sz w:val="24"/>
          <w:szCs w:val="24"/>
        </w:rPr>
        <w:t>1447-2147 (online)</w:t>
      </w: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Pr="00396DF7" w:rsidRDefault="00BF4D76" w:rsidP="00BF4D76">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C41D15" w:rsidRDefault="00C41D15" w:rsidP="00C41D15">
      <w:pPr>
        <w:pStyle w:val="Heading1"/>
      </w:pPr>
      <w:r>
        <w:br w:type="page"/>
      </w:r>
      <w:bookmarkStart w:id="0" w:name="_Toc340231481"/>
      <w:r>
        <w:lastRenderedPageBreak/>
        <w:t>Membership of the committee</w:t>
      </w:r>
      <w:bookmarkEnd w:id="0"/>
    </w:p>
    <w:p w:rsidR="00C41D15" w:rsidRDefault="00C41D15" w:rsidP="00C41D15">
      <w:pPr>
        <w:spacing w:after="0"/>
      </w:pPr>
    </w:p>
    <w:p w:rsidR="00C41D15" w:rsidRDefault="00C41D15" w:rsidP="00C41D15">
      <w:pPr>
        <w:spacing w:after="0"/>
      </w:pPr>
    </w:p>
    <w:p w:rsidR="00C41D15" w:rsidRDefault="00C41D15" w:rsidP="00C41D15">
      <w:pPr>
        <w:spacing w:after="0"/>
      </w:pPr>
    </w:p>
    <w:p w:rsidR="00C41D15" w:rsidRDefault="00C41D15" w:rsidP="00C41D15">
      <w:pPr>
        <w:spacing w:after="0"/>
      </w:pPr>
    </w:p>
    <w:p w:rsidR="00C41D15" w:rsidRDefault="00C41D15" w:rsidP="00C41D15">
      <w:pPr>
        <w:spacing w:after="0"/>
      </w:pPr>
    </w:p>
    <w:p w:rsidR="00C41D15" w:rsidRPr="008A46B0" w:rsidRDefault="00C41D15" w:rsidP="00C41D15">
      <w:pPr>
        <w:tabs>
          <w:tab w:val="left" w:pos="4536"/>
        </w:tabs>
        <w:outlineLvl w:val="0"/>
        <w:rPr>
          <w:b/>
        </w:rPr>
      </w:pPr>
      <w:bookmarkStart w:id="1" w:name="_Toc340231482"/>
      <w:r>
        <w:rPr>
          <w:b/>
        </w:rPr>
        <w:t>Current m</w:t>
      </w:r>
      <w:r w:rsidRPr="008A46B0">
        <w:rPr>
          <w:b/>
        </w:rPr>
        <w:t>embers</w:t>
      </w:r>
      <w:bookmarkEnd w:id="1"/>
    </w:p>
    <w:p w:rsidR="00C41D15" w:rsidRPr="001F6A19" w:rsidRDefault="00C41D15" w:rsidP="00C41D15">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C41D15" w:rsidRPr="001F6A19" w:rsidRDefault="00C41D15" w:rsidP="00C41D15">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C41D15" w:rsidRDefault="00C41D15" w:rsidP="00C41D15">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C41D15" w:rsidRPr="001F6A19" w:rsidRDefault="00C41D15" w:rsidP="00C41D15">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C41D15" w:rsidRPr="001F6A19" w:rsidRDefault="00C41D15" w:rsidP="00C41D15">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C41D15" w:rsidRDefault="00C41D15" w:rsidP="00C41D15">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Pr="00915990" w:rsidRDefault="00C41D15" w:rsidP="00C41D15">
      <w:pPr>
        <w:keepNext/>
        <w:outlineLvl w:val="0"/>
        <w:rPr>
          <w:b/>
        </w:rPr>
      </w:pPr>
      <w:bookmarkStart w:id="2" w:name="_Toc340231484"/>
      <w:r w:rsidRPr="00915990">
        <w:rPr>
          <w:b/>
        </w:rPr>
        <w:t>S</w:t>
      </w:r>
      <w:r>
        <w:rPr>
          <w:b/>
        </w:rPr>
        <w:t>ecretariat</w:t>
      </w:r>
      <w:bookmarkEnd w:id="2"/>
    </w:p>
    <w:p w:rsidR="00C41D15" w:rsidRPr="007A6AAA" w:rsidRDefault="00C41D15" w:rsidP="00C41D15">
      <w:pPr>
        <w:keepNext/>
        <w:spacing w:after="0"/>
        <w:outlineLvl w:val="0"/>
        <w:rPr>
          <w:sz w:val="24"/>
          <w:szCs w:val="24"/>
        </w:rPr>
      </w:pPr>
      <w:bookmarkStart w:id="3" w:name="_Toc340231485"/>
      <w:r w:rsidRPr="007A6AAA">
        <w:rPr>
          <w:sz w:val="24"/>
          <w:szCs w:val="24"/>
        </w:rPr>
        <w:t>Mr Ivan Powell, Secretary</w:t>
      </w:r>
      <w:bookmarkEnd w:id="3"/>
    </w:p>
    <w:p w:rsidR="00C41D15" w:rsidRPr="007A6AAA" w:rsidRDefault="00C41D15" w:rsidP="00C41D15">
      <w:pPr>
        <w:keepNext/>
        <w:spacing w:after="0"/>
        <w:rPr>
          <w:sz w:val="24"/>
          <w:szCs w:val="24"/>
        </w:rPr>
      </w:pPr>
      <w:r w:rsidRPr="007A6AAA">
        <w:rPr>
          <w:sz w:val="24"/>
          <w:szCs w:val="24"/>
        </w:rPr>
        <w:t>Ms Janice Paull, Senior Research Officer</w:t>
      </w: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Pr="007A6AAA" w:rsidRDefault="00C41D15" w:rsidP="00C41D15">
      <w:pPr>
        <w:spacing w:after="0"/>
        <w:rPr>
          <w:sz w:val="24"/>
          <w:szCs w:val="24"/>
        </w:rPr>
      </w:pPr>
    </w:p>
    <w:p w:rsidR="00C41D15" w:rsidRPr="00915990" w:rsidRDefault="00C41D15" w:rsidP="00C41D15">
      <w:pPr>
        <w:keepNext/>
        <w:outlineLvl w:val="0"/>
        <w:rPr>
          <w:b/>
        </w:rPr>
      </w:pPr>
      <w:bookmarkStart w:id="4" w:name="_Toc340231486"/>
      <w:r>
        <w:rPr>
          <w:b/>
        </w:rPr>
        <w:t>Committee legal adviser</w:t>
      </w:r>
      <w:bookmarkEnd w:id="4"/>
    </w:p>
    <w:p w:rsidR="00C41D15" w:rsidRPr="001B64F3" w:rsidRDefault="00C41D15" w:rsidP="00C41D15">
      <w:pPr>
        <w:keepNext/>
        <w:spacing w:after="0"/>
        <w:rPr>
          <w:sz w:val="24"/>
          <w:szCs w:val="24"/>
        </w:rPr>
      </w:pPr>
      <w:r>
        <w:rPr>
          <w:sz w:val="24"/>
          <w:szCs w:val="24"/>
        </w:rPr>
        <w:t>Mr Stephen Argument</w:t>
      </w:r>
    </w:p>
    <w:p w:rsidR="00C41D15" w:rsidRDefault="00C41D15" w:rsidP="00C41D15">
      <w:pPr>
        <w:spacing w:after="0"/>
        <w:rPr>
          <w:sz w:val="24"/>
          <w:szCs w:val="24"/>
        </w:rPr>
      </w:pPr>
    </w:p>
    <w:p w:rsidR="00C41D15" w:rsidRDefault="00C41D15" w:rsidP="00C41D15">
      <w:pPr>
        <w:spacing w:after="0"/>
        <w:rPr>
          <w:sz w:val="24"/>
          <w:szCs w:val="24"/>
        </w:rPr>
      </w:pPr>
    </w:p>
    <w:p w:rsidR="00C41D15" w:rsidRDefault="00C41D15" w:rsidP="00C41D15">
      <w:pPr>
        <w:spacing w:after="0"/>
        <w:rPr>
          <w:sz w:val="24"/>
          <w:szCs w:val="24"/>
        </w:rPr>
      </w:pPr>
    </w:p>
    <w:p w:rsidR="00C41D15" w:rsidRPr="001B64F3" w:rsidRDefault="00C41D15" w:rsidP="00C41D15">
      <w:pPr>
        <w:spacing w:after="0"/>
        <w:rPr>
          <w:sz w:val="24"/>
          <w:szCs w:val="24"/>
        </w:rPr>
      </w:pPr>
    </w:p>
    <w:p w:rsidR="00C41D15" w:rsidRPr="001B64F3" w:rsidRDefault="00C41D15" w:rsidP="00C41D15">
      <w:pPr>
        <w:spacing w:after="0"/>
        <w:rPr>
          <w:sz w:val="24"/>
          <w:szCs w:val="24"/>
        </w:rPr>
      </w:pPr>
    </w:p>
    <w:p w:rsidR="00C41D15" w:rsidRPr="001F6A19" w:rsidRDefault="00C41D15" w:rsidP="00C41D15">
      <w:pPr>
        <w:keepNext/>
        <w:outlineLvl w:val="0"/>
        <w:rPr>
          <w:b/>
        </w:rPr>
      </w:pPr>
      <w:bookmarkStart w:id="5" w:name="_Toc340231487"/>
      <w:r>
        <w:rPr>
          <w:b/>
        </w:rPr>
        <w:t>Committee contacts</w:t>
      </w:r>
      <w:bookmarkEnd w:id="5"/>
    </w:p>
    <w:p w:rsidR="00C41D15" w:rsidRPr="001F6A19" w:rsidRDefault="00C41D15" w:rsidP="00C41D15">
      <w:pPr>
        <w:keepNext/>
        <w:spacing w:after="0"/>
        <w:outlineLvl w:val="0"/>
        <w:rPr>
          <w:sz w:val="24"/>
          <w:szCs w:val="24"/>
        </w:rPr>
      </w:pPr>
      <w:bookmarkStart w:id="6" w:name="_Toc340231488"/>
      <w:r w:rsidRPr="001F6A19">
        <w:rPr>
          <w:sz w:val="24"/>
          <w:szCs w:val="24"/>
        </w:rPr>
        <w:t>PO Box 6100</w:t>
      </w:r>
      <w:bookmarkEnd w:id="6"/>
    </w:p>
    <w:p w:rsidR="00C41D15" w:rsidRPr="001F6A19" w:rsidRDefault="00C41D15" w:rsidP="00C41D15">
      <w:pPr>
        <w:keepNext/>
        <w:spacing w:after="0"/>
        <w:rPr>
          <w:sz w:val="24"/>
          <w:szCs w:val="24"/>
        </w:rPr>
      </w:pPr>
      <w:r w:rsidRPr="001F6A19">
        <w:rPr>
          <w:sz w:val="24"/>
          <w:szCs w:val="24"/>
        </w:rPr>
        <w:t>Parliament House</w:t>
      </w:r>
    </w:p>
    <w:p w:rsidR="00C41D15" w:rsidRPr="001F6A19" w:rsidRDefault="00C41D15" w:rsidP="00C41D15">
      <w:pPr>
        <w:keepNext/>
        <w:spacing w:after="0"/>
        <w:rPr>
          <w:sz w:val="24"/>
          <w:szCs w:val="24"/>
        </w:rPr>
      </w:pPr>
      <w:r w:rsidRPr="001F6A19">
        <w:rPr>
          <w:sz w:val="24"/>
          <w:szCs w:val="24"/>
        </w:rPr>
        <w:t>Canberra ACT 2600</w:t>
      </w:r>
    </w:p>
    <w:p w:rsidR="00C41D15" w:rsidRDefault="00C41D15" w:rsidP="00C41D15">
      <w:pPr>
        <w:keepNext/>
        <w:tabs>
          <w:tab w:val="left" w:pos="600"/>
        </w:tabs>
        <w:spacing w:after="0"/>
        <w:rPr>
          <w:sz w:val="24"/>
          <w:szCs w:val="24"/>
        </w:rPr>
      </w:pPr>
      <w:r>
        <w:rPr>
          <w:sz w:val="24"/>
          <w:szCs w:val="24"/>
        </w:rPr>
        <w:t>Ph: 02 6277 3066</w:t>
      </w:r>
    </w:p>
    <w:p w:rsidR="00C41D15" w:rsidRPr="001F6A19" w:rsidRDefault="00C41D15" w:rsidP="00C41D15">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C41D15" w:rsidRDefault="00C41D15" w:rsidP="00C41D15">
      <w:pPr>
        <w:keepNext/>
        <w:spacing w:before="240" w:after="0"/>
        <w:outlineLvl w:val="0"/>
        <w:rPr>
          <w:sz w:val="24"/>
          <w:szCs w:val="24"/>
        </w:rPr>
      </w:pPr>
      <w:bookmarkStart w:id="7" w:name="_Toc340231489"/>
      <w:r>
        <w:rPr>
          <w:sz w:val="24"/>
          <w:szCs w:val="24"/>
        </w:rPr>
        <w:t xml:space="preserve">Website: </w:t>
      </w:r>
      <w:r w:rsidRPr="007A6AAA">
        <w:rPr>
          <w:sz w:val="20"/>
        </w:rPr>
        <w:t>http://www.aph.gov.au/Parliamentary_Business/Committees/Senate_Committees?url=regord_ctte/index.htm</w:t>
      </w:r>
      <w:bookmarkEnd w:id="7"/>
      <w:r>
        <w:rPr>
          <w:sz w:val="24"/>
          <w:szCs w:val="24"/>
        </w:rPr>
        <w:t xml:space="preserve"> </w:t>
      </w:r>
    </w:p>
    <w:p w:rsidR="00D05709" w:rsidRDefault="00C41D15">
      <w:pPr>
        <w:spacing w:after="0"/>
        <w:jc w:val="left"/>
      </w:pPr>
      <w:r>
        <w:br w:type="page"/>
      </w:r>
      <w:r w:rsidR="00D05709">
        <w:lastRenderedPageBreak/>
        <w:br w:type="page"/>
      </w:r>
    </w:p>
    <w:p w:rsidR="00D05709" w:rsidRPr="005147D7" w:rsidRDefault="00D05709" w:rsidP="00D05709">
      <w:pPr>
        <w:pStyle w:val="Heading1"/>
        <w:spacing w:before="0" w:after="24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D05709" w:rsidRPr="007532FF" w:rsidTr="00D05709">
        <w:tc>
          <w:tcPr>
            <w:tcW w:w="8330" w:type="dxa"/>
            <w:gridSpan w:val="2"/>
          </w:tcPr>
          <w:p w:rsidR="00D05709" w:rsidRPr="00ED2109" w:rsidRDefault="00D05709" w:rsidP="00D05709">
            <w:pPr>
              <w:tabs>
                <w:tab w:val="right" w:pos="8789"/>
              </w:tabs>
              <w:spacing w:before="120" w:after="120"/>
              <w:rPr>
                <w:rStyle w:val="Strong"/>
              </w:rPr>
            </w:pPr>
            <w:r w:rsidRPr="00ED2109">
              <w:rPr>
                <w:rStyle w:val="Strong"/>
              </w:rPr>
              <w:t>Membership of committee</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Pr>
                <w:sz w:val="22"/>
                <w:szCs w:val="22"/>
              </w:rPr>
              <w:tab/>
              <w:t>iii</w:t>
            </w:r>
          </w:p>
        </w:tc>
      </w:tr>
      <w:tr w:rsidR="00D05709" w:rsidRPr="007532FF" w:rsidTr="00D05709">
        <w:tc>
          <w:tcPr>
            <w:tcW w:w="8330" w:type="dxa"/>
            <w:gridSpan w:val="2"/>
          </w:tcPr>
          <w:p w:rsidR="00D05709" w:rsidRPr="00ED2109" w:rsidRDefault="00D05709" w:rsidP="00D05709">
            <w:pPr>
              <w:tabs>
                <w:tab w:val="left" w:pos="7655"/>
                <w:tab w:val="right" w:pos="8789"/>
              </w:tabs>
              <w:spacing w:before="120" w:after="120"/>
              <w:rPr>
                <w:rStyle w:val="Strong"/>
              </w:rPr>
            </w:pPr>
            <w:r w:rsidRPr="00ED2109">
              <w:rPr>
                <w:rStyle w:val="Strong"/>
              </w:rPr>
              <w:t>Introduction</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sidRPr="007532FF">
              <w:rPr>
                <w:sz w:val="22"/>
                <w:szCs w:val="22"/>
              </w:rPr>
              <w:tab/>
            </w:r>
            <w:r>
              <w:rPr>
                <w:sz w:val="22"/>
                <w:szCs w:val="22"/>
              </w:rPr>
              <w:t>ix</w:t>
            </w:r>
          </w:p>
        </w:tc>
      </w:tr>
      <w:tr w:rsidR="00D05709" w:rsidRPr="007532FF" w:rsidTr="00D05709">
        <w:tc>
          <w:tcPr>
            <w:tcW w:w="8330" w:type="dxa"/>
            <w:gridSpan w:val="2"/>
          </w:tcPr>
          <w:p w:rsidR="00D05709" w:rsidRPr="00ED2109" w:rsidRDefault="00D05709" w:rsidP="00D05709">
            <w:pPr>
              <w:tabs>
                <w:tab w:val="left" w:pos="7655"/>
                <w:tab w:val="right" w:pos="8789"/>
              </w:tabs>
              <w:spacing w:before="120" w:after="120"/>
              <w:rPr>
                <w:rStyle w:val="Strong"/>
              </w:rPr>
            </w:pPr>
            <w:r w:rsidRPr="00ED2109">
              <w:rPr>
                <w:rStyle w:val="Strong"/>
              </w:rPr>
              <w:t>Chapter 1 – New and continuing matters</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sidRPr="007532FF">
              <w:rPr>
                <w:sz w:val="22"/>
                <w:szCs w:val="22"/>
              </w:rPr>
              <w:tab/>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pStyle w:val="Heading3"/>
              <w:outlineLvl w:val="2"/>
              <w:rPr>
                <w:b w:val="0"/>
                <w:sz w:val="22"/>
                <w:szCs w:val="22"/>
              </w:rPr>
            </w:pPr>
            <w:r w:rsidRPr="00C15B2C">
              <w:rPr>
                <w:b w:val="0"/>
                <w:noProof/>
                <w:sz w:val="22"/>
                <w:szCs w:val="22"/>
              </w:rPr>
              <w:t>Ozone Protection and Synthetic Greenhouse Gas Management Amendment Regulation 2012 (No. 3) [Select Legislative Instrument 2012 No. 260]</w:t>
            </w:r>
            <w:r w:rsidRPr="00C15B2C">
              <w:rPr>
                <w:b w:val="0"/>
                <w:sz w:val="22"/>
                <w:szCs w:val="22"/>
              </w:rPr>
              <w:t xml:space="preserve"> </w:t>
            </w:r>
            <w:r w:rsidRPr="00C15B2C">
              <w:rPr>
                <w:b w:val="0"/>
                <w:noProof/>
                <w:sz w:val="22"/>
                <w:szCs w:val="22"/>
              </w:rPr>
              <w:t xml:space="preserve">[F2012L02267] </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1</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Superannuation (prudential standard) determination No. 1 of 2012 - Prudential Standard SPS 114 - Operational Risk Financial Requirement [F2012L02221] and seven related instruments</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Transport Safety Investigation Amendment Regulation 2012 (No. 1) [Select Legislative Instrument 2012 No. 263] [F2012L02278] and two related instruments</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3</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Water Act 2007 – Basin Plan 2012 [F2012L02240]</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4</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pStyle w:val="Heading3"/>
              <w:spacing w:before="60" w:after="60"/>
              <w:outlineLvl w:val="2"/>
              <w:rPr>
                <w:b w:val="0"/>
                <w:sz w:val="22"/>
                <w:szCs w:val="22"/>
              </w:rPr>
            </w:pPr>
            <w:r w:rsidRPr="00C15B2C">
              <w:rPr>
                <w:b w:val="0"/>
                <w:noProof/>
                <w:sz w:val="22"/>
                <w:szCs w:val="22"/>
              </w:rPr>
              <w:t xml:space="preserve">Defence and Strategic Goods List Amendment 2012 (No. 1) </w:t>
            </w:r>
            <w:r w:rsidRPr="00C15B2C">
              <w:rPr>
                <w:b w:val="0"/>
                <w:sz w:val="22"/>
                <w:szCs w:val="22"/>
              </w:rPr>
              <w:t>[F2012L02318]</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4</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 xml:space="preserve">National Environment Protection (Movement of Controlled Waste between States and Territories) Measure Minor Variation 2012 (No. 1) </w:t>
            </w:r>
            <w:r w:rsidRPr="00C15B2C">
              <w:rPr>
                <w:sz w:val="22"/>
                <w:szCs w:val="22"/>
              </w:rPr>
              <w:t>[F2012L02300]</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5</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pStyle w:val="Heading3"/>
              <w:spacing w:before="60" w:after="60"/>
              <w:outlineLvl w:val="2"/>
              <w:rPr>
                <w:sz w:val="22"/>
                <w:szCs w:val="22"/>
              </w:rPr>
            </w:pPr>
            <w:r w:rsidRPr="00C15B2C">
              <w:rPr>
                <w:b w:val="0"/>
                <w:noProof/>
                <w:sz w:val="22"/>
                <w:szCs w:val="22"/>
              </w:rPr>
              <w:t>ASQA Authorised Officer Requirements [F2012L02326]</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6</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 xml:space="preserve">Aviation Transport Security Amendment Regulation 2012 (No. 6) [Select Legislative Instrument 2012 No. 304] </w:t>
            </w:r>
            <w:r w:rsidRPr="00C15B2C">
              <w:rPr>
                <w:sz w:val="22"/>
                <w:szCs w:val="22"/>
              </w:rPr>
              <w:t>[F2012L02424]</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Banking, Insurance and Life Insurance (prudential standard) determination No. 2 of 2012 [F2012L02440] and three related instruments</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 xml:space="preserve">Banking Sector Legislation Amendment Regulation 2012 (No. 1) [Select Legislative Instrument 2012 No. 319] </w:t>
            </w:r>
            <w:r w:rsidRPr="00C15B2C">
              <w:rPr>
                <w:sz w:val="22"/>
                <w:szCs w:val="22"/>
              </w:rPr>
              <w:t>[F2012L02397]</w:t>
            </w:r>
          </w:p>
        </w:tc>
        <w:tc>
          <w:tcPr>
            <w:tcW w:w="850" w:type="dxa"/>
          </w:tcPr>
          <w:p w:rsidR="00D05709" w:rsidRPr="007532FF" w:rsidRDefault="00D05709" w:rsidP="00D05709">
            <w:pPr>
              <w:tabs>
                <w:tab w:val="right" w:pos="644"/>
                <w:tab w:val="right" w:pos="8789"/>
              </w:tabs>
              <w:spacing w:before="60" w:after="60"/>
              <w:ind w:left="317" w:right="-1076" w:hanging="317"/>
              <w:rPr>
                <w:sz w:val="22"/>
                <w:szCs w:val="22"/>
              </w:rPr>
            </w:pPr>
            <w:r w:rsidRPr="007532FF">
              <w:rPr>
                <w:sz w:val="22"/>
                <w:szCs w:val="22"/>
              </w:rPr>
              <w:tab/>
            </w:r>
            <w:r>
              <w:rPr>
                <w:sz w:val="22"/>
                <w:szCs w:val="22"/>
              </w:rPr>
              <w:t>8</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15B2C" w:rsidRDefault="00D05709" w:rsidP="00D05709">
            <w:pPr>
              <w:tabs>
                <w:tab w:val="right" w:pos="1167"/>
                <w:tab w:val="right" w:pos="8789"/>
              </w:tabs>
              <w:spacing w:before="60" w:after="60"/>
              <w:ind w:right="459"/>
              <w:rPr>
                <w:sz w:val="22"/>
                <w:szCs w:val="22"/>
              </w:rPr>
            </w:pPr>
            <w:r w:rsidRPr="00C15B2C">
              <w:rPr>
                <w:noProof/>
                <w:sz w:val="22"/>
                <w:szCs w:val="22"/>
              </w:rPr>
              <w:t xml:space="preserve">SSAT Child Support Review General Directions 2012 </w:t>
            </w:r>
            <w:r w:rsidRPr="00C15B2C">
              <w:rPr>
                <w:sz w:val="22"/>
                <w:szCs w:val="22"/>
              </w:rPr>
              <w:t>[F2012L02459]</w:t>
            </w:r>
          </w:p>
        </w:tc>
        <w:tc>
          <w:tcPr>
            <w:tcW w:w="850" w:type="dxa"/>
          </w:tcPr>
          <w:p w:rsidR="00D05709" w:rsidRPr="007532FF" w:rsidRDefault="00D05709" w:rsidP="00D05709">
            <w:pPr>
              <w:tabs>
                <w:tab w:val="right" w:pos="459"/>
                <w:tab w:val="right" w:pos="8789"/>
              </w:tabs>
              <w:spacing w:before="60" w:after="60"/>
              <w:ind w:left="317" w:right="-1076" w:hanging="317"/>
              <w:rPr>
                <w:sz w:val="22"/>
                <w:szCs w:val="22"/>
              </w:rPr>
            </w:pPr>
            <w:r w:rsidRPr="007532FF">
              <w:rPr>
                <w:sz w:val="22"/>
                <w:szCs w:val="22"/>
              </w:rPr>
              <w:tab/>
            </w:r>
            <w:r>
              <w:rPr>
                <w:sz w:val="22"/>
                <w:szCs w:val="22"/>
              </w:rPr>
              <w:t>9</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37197F" w:rsidRDefault="00D05709" w:rsidP="00D05709">
            <w:pPr>
              <w:tabs>
                <w:tab w:val="right" w:pos="1167"/>
                <w:tab w:val="right" w:pos="8789"/>
              </w:tabs>
              <w:spacing w:before="60" w:after="60"/>
              <w:ind w:right="459"/>
              <w:rPr>
                <w:sz w:val="22"/>
                <w:szCs w:val="22"/>
              </w:rPr>
            </w:pPr>
            <w:r w:rsidRPr="0037197F">
              <w:rPr>
                <w:noProof/>
                <w:sz w:val="22"/>
                <w:szCs w:val="22"/>
              </w:rPr>
              <w:t xml:space="preserve">CASA 390/12 - Instructions - GNSS primary means navigation (B737 NG aircraft) </w:t>
            </w:r>
            <w:r w:rsidRPr="0037197F">
              <w:rPr>
                <w:sz w:val="22"/>
                <w:szCs w:val="22"/>
              </w:rPr>
              <w:t>[F2012L02428]</w:t>
            </w:r>
          </w:p>
        </w:tc>
        <w:tc>
          <w:tcPr>
            <w:tcW w:w="850" w:type="dxa"/>
          </w:tcPr>
          <w:p w:rsidR="00D05709" w:rsidRPr="007532FF" w:rsidRDefault="00D05709" w:rsidP="00D05709">
            <w:pPr>
              <w:tabs>
                <w:tab w:val="right" w:pos="459"/>
                <w:tab w:val="right" w:pos="8789"/>
              </w:tabs>
              <w:spacing w:before="60" w:after="60"/>
              <w:ind w:left="459" w:right="-1076" w:hanging="459"/>
              <w:rPr>
                <w:sz w:val="22"/>
                <w:szCs w:val="22"/>
              </w:rPr>
            </w:pPr>
            <w:r w:rsidRPr="007532FF">
              <w:rPr>
                <w:sz w:val="22"/>
                <w:szCs w:val="22"/>
              </w:rPr>
              <w:tab/>
            </w:r>
            <w:r>
              <w:rPr>
                <w:sz w:val="22"/>
                <w:szCs w:val="22"/>
              </w:rPr>
              <w:t>10</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37197F" w:rsidRDefault="00D05709" w:rsidP="00D05709">
            <w:pPr>
              <w:tabs>
                <w:tab w:val="right" w:pos="1167"/>
                <w:tab w:val="right" w:pos="8789"/>
              </w:tabs>
              <w:spacing w:before="60" w:after="60"/>
              <w:ind w:right="459"/>
              <w:rPr>
                <w:sz w:val="22"/>
                <w:szCs w:val="22"/>
              </w:rPr>
            </w:pPr>
            <w:r w:rsidRPr="0037197F">
              <w:rPr>
                <w:noProof/>
                <w:sz w:val="22"/>
                <w:szCs w:val="22"/>
              </w:rPr>
              <w:t>CASA EX184/12 - Exemption - from standard take-off minima - Virgin Australia International Airlines [F2012L02425]</w:t>
            </w:r>
          </w:p>
        </w:tc>
        <w:tc>
          <w:tcPr>
            <w:tcW w:w="850" w:type="dxa"/>
          </w:tcPr>
          <w:p w:rsidR="00D05709" w:rsidRPr="007532FF" w:rsidRDefault="00D05709" w:rsidP="00D05709">
            <w:pPr>
              <w:tabs>
                <w:tab w:val="right" w:pos="459"/>
                <w:tab w:val="right" w:pos="8789"/>
              </w:tabs>
              <w:spacing w:before="60" w:after="60"/>
              <w:ind w:left="459" w:right="-1076" w:hanging="459"/>
              <w:rPr>
                <w:sz w:val="22"/>
                <w:szCs w:val="22"/>
              </w:rPr>
            </w:pPr>
            <w:r w:rsidRPr="007532FF">
              <w:rPr>
                <w:sz w:val="22"/>
                <w:szCs w:val="22"/>
              </w:rPr>
              <w:tab/>
            </w:r>
            <w:r>
              <w:rPr>
                <w:sz w:val="22"/>
                <w:szCs w:val="22"/>
              </w:rPr>
              <w:t>11</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37197F" w:rsidRDefault="00D05709" w:rsidP="00D05709">
            <w:pPr>
              <w:tabs>
                <w:tab w:val="right" w:pos="1167"/>
                <w:tab w:val="right" w:pos="8789"/>
              </w:tabs>
              <w:spacing w:before="60" w:after="60"/>
              <w:ind w:right="459"/>
              <w:rPr>
                <w:sz w:val="22"/>
                <w:szCs w:val="22"/>
              </w:rPr>
            </w:pPr>
            <w:r w:rsidRPr="0037197F">
              <w:rPr>
                <w:noProof/>
                <w:sz w:val="22"/>
                <w:szCs w:val="22"/>
              </w:rPr>
              <w:t xml:space="preserve">Clean Energy Amendment Regulation 2012 (No. 7) [Select Legislative Instrument 2012 No. 289] </w:t>
            </w:r>
            <w:r w:rsidRPr="0037197F">
              <w:rPr>
                <w:sz w:val="22"/>
                <w:szCs w:val="22"/>
              </w:rPr>
              <w:t>[F2012L02384]</w:t>
            </w:r>
          </w:p>
        </w:tc>
        <w:tc>
          <w:tcPr>
            <w:tcW w:w="850" w:type="dxa"/>
          </w:tcPr>
          <w:p w:rsidR="00D05709" w:rsidRPr="007532FF" w:rsidRDefault="00D05709" w:rsidP="00D05709">
            <w:pPr>
              <w:tabs>
                <w:tab w:val="right" w:pos="459"/>
                <w:tab w:val="right" w:pos="8789"/>
              </w:tabs>
              <w:spacing w:before="60" w:after="60"/>
              <w:ind w:left="459" w:right="-1076" w:hanging="459"/>
              <w:rPr>
                <w:sz w:val="22"/>
                <w:szCs w:val="22"/>
              </w:rPr>
            </w:pPr>
            <w:r w:rsidRPr="007532FF">
              <w:rPr>
                <w:sz w:val="22"/>
                <w:szCs w:val="22"/>
              </w:rPr>
              <w:tab/>
            </w:r>
            <w:r>
              <w:rPr>
                <w:sz w:val="22"/>
                <w:szCs w:val="22"/>
              </w:rPr>
              <w:t>12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37197F" w:rsidRDefault="00D05709" w:rsidP="00D05709">
            <w:pPr>
              <w:tabs>
                <w:tab w:val="right" w:pos="1167"/>
                <w:tab w:val="right" w:pos="8789"/>
              </w:tabs>
              <w:spacing w:before="60" w:after="60"/>
              <w:ind w:right="459"/>
              <w:rPr>
                <w:sz w:val="22"/>
                <w:szCs w:val="22"/>
              </w:rPr>
            </w:pPr>
            <w:r w:rsidRPr="0037197F">
              <w:rPr>
                <w:noProof/>
                <w:sz w:val="22"/>
                <w:szCs w:val="22"/>
              </w:rPr>
              <w:t>Corporations Amendment Regulation 2012 (No. 6) Amendment Regulation 2012 (No. 1) [Select Legislative Instrument 2012 No. 308]</w:t>
            </w:r>
            <w:r>
              <w:rPr>
                <w:noProof/>
                <w:sz w:val="22"/>
                <w:szCs w:val="22"/>
              </w:rPr>
              <w:t xml:space="preserve"> [F2012L02414]</w:t>
            </w:r>
          </w:p>
        </w:tc>
        <w:tc>
          <w:tcPr>
            <w:tcW w:w="850" w:type="dxa"/>
          </w:tcPr>
          <w:p w:rsidR="00D05709" w:rsidRPr="007532FF" w:rsidRDefault="00D05709" w:rsidP="00D05709">
            <w:pPr>
              <w:tabs>
                <w:tab w:val="right" w:pos="459"/>
                <w:tab w:val="right" w:pos="8789"/>
              </w:tabs>
              <w:spacing w:before="60" w:after="60"/>
              <w:ind w:left="459" w:right="-1076" w:hanging="459"/>
              <w:rPr>
                <w:sz w:val="22"/>
                <w:szCs w:val="22"/>
              </w:rPr>
            </w:pPr>
            <w:r w:rsidRPr="007532FF">
              <w:rPr>
                <w:sz w:val="22"/>
                <w:szCs w:val="22"/>
              </w:rPr>
              <w:tab/>
            </w:r>
            <w:r>
              <w:rPr>
                <w:sz w:val="22"/>
                <w:szCs w:val="22"/>
              </w:rPr>
              <w:t>12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37197F" w:rsidRDefault="00D05709" w:rsidP="00D05709">
            <w:pPr>
              <w:pStyle w:val="Heading3"/>
              <w:spacing w:before="60" w:after="60"/>
              <w:outlineLvl w:val="2"/>
              <w:rPr>
                <w:b w:val="0"/>
                <w:noProof/>
                <w:sz w:val="22"/>
                <w:szCs w:val="22"/>
              </w:rPr>
            </w:pPr>
            <w:r w:rsidRPr="0037197F">
              <w:rPr>
                <w:b w:val="0"/>
                <w:noProof/>
                <w:sz w:val="22"/>
                <w:szCs w:val="22"/>
              </w:rPr>
              <w:t>Family Law Amendment Regulation 2012 (No. 4) [Select Legislative Instrument 2012 No. 278]</w:t>
            </w:r>
            <w:r>
              <w:rPr>
                <w:b w:val="0"/>
                <w:noProof/>
                <w:sz w:val="22"/>
                <w:szCs w:val="22"/>
              </w:rPr>
              <w:t xml:space="preserve"> [F2012L02391]</w:t>
            </w:r>
            <w:r w:rsidRPr="0037197F">
              <w:rPr>
                <w:b w:val="0"/>
                <w:noProof/>
                <w:sz w:val="22"/>
                <w:szCs w:val="22"/>
              </w:rPr>
              <w:t>; and</w:t>
            </w:r>
          </w:p>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Federal Court and Federal Magistrates Court Regulation 2012 [Select Legislative Instrument 2012 No. 280]</w:t>
            </w:r>
            <w:r>
              <w:rPr>
                <w:noProof/>
                <w:sz w:val="22"/>
                <w:szCs w:val="22"/>
              </w:rPr>
              <w:t xml:space="preserve"> [F2012L02411]</w:t>
            </w:r>
          </w:p>
        </w:tc>
        <w:tc>
          <w:tcPr>
            <w:tcW w:w="850" w:type="dxa"/>
          </w:tcPr>
          <w:p w:rsidR="00D05709" w:rsidRPr="007532FF" w:rsidRDefault="00D05709" w:rsidP="00D05709">
            <w:pPr>
              <w:tabs>
                <w:tab w:val="right" w:pos="459"/>
                <w:tab w:val="right" w:pos="8789"/>
              </w:tabs>
              <w:spacing w:before="60" w:after="60"/>
              <w:ind w:left="459" w:right="-1076" w:hanging="459"/>
              <w:rPr>
                <w:sz w:val="22"/>
                <w:szCs w:val="22"/>
              </w:rPr>
            </w:pPr>
            <w:r w:rsidRPr="007532FF">
              <w:rPr>
                <w:sz w:val="22"/>
                <w:szCs w:val="22"/>
              </w:rPr>
              <w:tab/>
            </w:r>
            <w:r>
              <w:rPr>
                <w:sz w:val="22"/>
                <w:szCs w:val="22"/>
              </w:rPr>
              <w:t>13</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Foreign Acquisitions and Takeovers Amendment Regulation 2012 (No. 1) [Select Legislative Instrument 2012 No. 309] [F2012L02410]</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14</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Health Insurance (Diagnostic Imaging Services Table) Amendment Regulation 2012 (No. 1) [Select Legislative Instrument 2012 No. 295] [F2012L02399]</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Health Insurance (General Medical Services Table) Amendment Regulation 2012 (No. 5) [Select Legislative Instrument 2012 No. 296] [F2012L02406]</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16</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Legislative Instruments Amendment Regulation 2012 (No. 2) [Select Legislative Instrument 2012 No. 283] [F2012L02376]</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Life Insurance Amendment Regulation 2012 (No. 1) [Select Legislative Instrument 2012 No. 311] [F2012L02401]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Motor Vehicle Standards Amendment Regulation 2012 (No. 1) [Select Legislative Instrument 2012 No. 305] [F2012L02377]</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18</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745B4" w:rsidRDefault="00D05709" w:rsidP="00D05709">
            <w:pPr>
              <w:pStyle w:val="Heading3"/>
              <w:spacing w:before="60" w:after="60"/>
              <w:outlineLvl w:val="2"/>
              <w:rPr>
                <w:b w:val="0"/>
                <w:noProof/>
                <w:sz w:val="22"/>
                <w:szCs w:val="22"/>
              </w:rPr>
            </w:pPr>
            <w:r w:rsidRPr="00C745B4">
              <w:rPr>
                <w:b w:val="0"/>
                <w:noProof/>
                <w:sz w:val="22"/>
                <w:szCs w:val="22"/>
              </w:rPr>
              <w:t>Retirement Savings Accounts Amendment Regulation 2012 (No. 3) [Select Legislative Instrument 2012 No. 315] [F2012L02403]; and</w:t>
            </w:r>
          </w:p>
          <w:p w:rsidR="00D05709" w:rsidRPr="00C745B4" w:rsidRDefault="00D05709" w:rsidP="00D05709">
            <w:pPr>
              <w:tabs>
                <w:tab w:val="right" w:pos="1167"/>
                <w:tab w:val="right" w:pos="8789"/>
              </w:tabs>
              <w:spacing w:before="60" w:after="60"/>
              <w:ind w:right="459"/>
              <w:rPr>
                <w:sz w:val="22"/>
                <w:szCs w:val="22"/>
              </w:rPr>
            </w:pPr>
            <w:r w:rsidRPr="00C745B4">
              <w:rPr>
                <w:noProof/>
                <w:sz w:val="22"/>
                <w:szCs w:val="22"/>
              </w:rPr>
              <w:t>Superannuation Industry (Supervision) Amendment Regulation 2012 (No. 4) [Select Legislative Instrument 2012 No. 316] [F2012L02386]</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19</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Fair Work Legislation Amendment Regulation 2012 (No. 1) [Select Legislative Instrument 2012 No. 321] [F2012L02417]</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20</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Fair Work Legislation Amendment Regulation 2012 (No. 2) [Select Legislative Instrument 2012 No. 322] [F2012L02409]</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20</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Migration Amendment Regulation 2012 (No. 8) [Select Legislative Instrument 2012 No. 301] [F2012L02381]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21</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Customs Amendment Regulation 2012 (No. 9) [Select Legislative Instrument 2012 No. 276] [F2012L02382]</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Trans-Tasman Proceedings Legislation Amendment Regulation 2012 (No. 2) [Select Legislative Instrument 2012 No. 284] [F2012L02412]</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Work Health and Safety Amendment Regulation 2012 (No. 1) [Select Legislative Instrument 2012 No 291] [F2012L02438]</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23</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F1220F" w:rsidRDefault="00D05709" w:rsidP="00D05709">
            <w:pPr>
              <w:pStyle w:val="Heading3"/>
              <w:spacing w:before="60" w:after="60"/>
              <w:outlineLvl w:val="2"/>
              <w:rPr>
                <w:sz w:val="22"/>
                <w:szCs w:val="22"/>
              </w:rPr>
            </w:pPr>
            <w:r w:rsidRPr="00977F3D">
              <w:rPr>
                <w:b w:val="0"/>
                <w:noProof/>
                <w:sz w:val="22"/>
                <w:szCs w:val="22"/>
              </w:rPr>
              <w:t>Determination to Reduce Appropriations Upon Request (No. 11 of 2011-2012) [F2012L01927]</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23</w:t>
            </w:r>
          </w:p>
        </w:tc>
      </w:tr>
      <w:tr w:rsidR="00D05709" w:rsidRPr="007532FF" w:rsidTr="00D05709">
        <w:tc>
          <w:tcPr>
            <w:tcW w:w="8330" w:type="dxa"/>
            <w:gridSpan w:val="2"/>
          </w:tcPr>
          <w:p w:rsidR="00D05709" w:rsidRPr="00ED2109" w:rsidRDefault="00D05709" w:rsidP="00D05709">
            <w:pPr>
              <w:tabs>
                <w:tab w:val="right" w:pos="1167"/>
                <w:tab w:val="right" w:pos="8789"/>
              </w:tabs>
              <w:spacing w:before="60" w:after="60"/>
              <w:ind w:right="459"/>
              <w:rPr>
                <w:b/>
              </w:rPr>
            </w:pPr>
            <w:r w:rsidRPr="00ED2109">
              <w:rPr>
                <w:b/>
              </w:rPr>
              <w:t>Chapter 2 – Concluded matters</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Interim (Small Pelagic Fishery) Declaration 2012 [F2012L01901]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25</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tabs>
                <w:tab w:val="right" w:pos="1167"/>
                <w:tab w:val="right" w:pos="8789"/>
              </w:tabs>
              <w:spacing w:before="60" w:after="60"/>
              <w:ind w:right="459"/>
              <w:rPr>
                <w:sz w:val="22"/>
                <w:szCs w:val="22"/>
              </w:rPr>
            </w:pPr>
            <w:r w:rsidRPr="00977F3D">
              <w:rPr>
                <w:noProof/>
                <w:sz w:val="22"/>
                <w:szCs w:val="22"/>
              </w:rPr>
              <w:t>Financial Management and Accountability Amendment Regulation 2012 (No. 7) [Select Legislative Instrument 2012 No. 229] [F2012L01988]</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26</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Greenhouse and Energy Minimum Standards Regulation 2012 [Select Legislative Instrument 2012 No. 239] [F2012L02037]</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977F3D" w:rsidRDefault="00D05709" w:rsidP="00D05709">
            <w:pPr>
              <w:pStyle w:val="Heading3"/>
              <w:spacing w:before="60" w:after="60"/>
              <w:outlineLvl w:val="2"/>
              <w:rPr>
                <w:b w:val="0"/>
                <w:noProof/>
                <w:sz w:val="22"/>
                <w:szCs w:val="22"/>
                <w:lang w:eastAsia="en-AU"/>
              </w:rPr>
            </w:pPr>
            <w:r w:rsidRPr="00977F3D">
              <w:rPr>
                <w:b w:val="0"/>
                <w:noProof/>
                <w:sz w:val="22"/>
                <w:szCs w:val="22"/>
                <w:lang w:eastAsia="en-AU"/>
              </w:rPr>
              <w:t>ASIC Class Order [CO 12/1266] [F2012L01918]; and</w:t>
            </w:r>
          </w:p>
          <w:p w:rsidR="00D05709" w:rsidRPr="00977F3D" w:rsidRDefault="00D05709" w:rsidP="00D05709">
            <w:pPr>
              <w:tabs>
                <w:tab w:val="right" w:pos="1167"/>
                <w:tab w:val="right" w:pos="8789"/>
              </w:tabs>
              <w:spacing w:before="60" w:after="60"/>
              <w:ind w:right="459"/>
              <w:rPr>
                <w:sz w:val="22"/>
                <w:szCs w:val="22"/>
              </w:rPr>
            </w:pPr>
            <w:r w:rsidRPr="00977F3D">
              <w:rPr>
                <w:noProof/>
                <w:sz w:val="22"/>
                <w:szCs w:val="22"/>
                <w:lang w:eastAsia="en-AU"/>
              </w:rPr>
              <w:t>ASIC Class Order [CO 12/1267] [F2012L01919]</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28</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Professional Standards Scheme Legislation Amendment Regulation 2012 (No. 1) [Select Legislative Instrument 2012 No. 247] [F2012L02102]</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29</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Residential Care Subsidy Amendment Principles 2012 (No. 3) [F2012L02057]</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30</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Greenhouse and Energy Minimum Standards (Air Conditioners and Heat Pumps) Determination 2012 [F2012L02129] and four related instruments</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31</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lang w:eastAsia="en-AU"/>
              </w:rPr>
              <w:t>High Court Rules 2004 (Amendment) (November 2012) [F2012L02165]</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32</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Carbon Credits (Carbon Farming Initiative) (Conservative Estimates, Projections or Assumptions: Greenhouse Friendly Initiative Transitional Crediting Calculation (Alternative Waste Treatment) Determination 2012 [F2012L02191]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34</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Defence Determination 2012/65, Cadet forces allowance – amendment</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35</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Customs Amendment Regulation 2012 (No. 8) [Select Legislative Instrument 2012 No. 249] [F2012L02159]</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35</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Financial Management and Accountability Amendment Regulation 2012 (No. 8) [Select Legislative Instrument 2012 No. 248] [F2012L02091]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36</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Migration Amendment Regulation 2012 (No. 5) [Select Legislative Instrument 2012 No. 230] [F2012L01961]</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37</w:t>
            </w:r>
          </w:p>
        </w:tc>
      </w:tr>
      <w:tr w:rsidR="00D05709" w:rsidRPr="007532FF" w:rsidTr="00D05709">
        <w:tc>
          <w:tcPr>
            <w:tcW w:w="250" w:type="dxa"/>
          </w:tcPr>
          <w:p w:rsidR="00D05709" w:rsidRPr="007532FF" w:rsidRDefault="00D05709" w:rsidP="00D05709">
            <w:pPr>
              <w:tabs>
                <w:tab w:val="left" w:pos="7655"/>
                <w:tab w:val="right" w:pos="8789"/>
              </w:tabs>
              <w:spacing w:before="60" w:after="60"/>
              <w:rPr>
                <w:rStyle w:val="Strong"/>
                <w:b w:val="0"/>
                <w:sz w:val="22"/>
                <w:szCs w:val="22"/>
              </w:rPr>
            </w:pPr>
          </w:p>
        </w:tc>
        <w:tc>
          <w:tcPr>
            <w:tcW w:w="8080" w:type="dxa"/>
          </w:tcPr>
          <w:p w:rsidR="00D05709" w:rsidRPr="00CA0323" w:rsidRDefault="00D05709" w:rsidP="00D05709">
            <w:pPr>
              <w:tabs>
                <w:tab w:val="right" w:pos="1167"/>
                <w:tab w:val="right" w:pos="8789"/>
              </w:tabs>
              <w:spacing w:before="60" w:after="60"/>
              <w:ind w:right="459"/>
              <w:rPr>
                <w:sz w:val="22"/>
                <w:szCs w:val="22"/>
              </w:rPr>
            </w:pPr>
            <w:r w:rsidRPr="00CA0323">
              <w:rPr>
                <w:noProof/>
                <w:sz w:val="22"/>
                <w:szCs w:val="22"/>
              </w:rPr>
              <w:t>CASA 364/12 - Direction - number of cabin attendants (National Jet Systems) [F2012L02169]</w:t>
            </w:r>
          </w:p>
        </w:tc>
        <w:tc>
          <w:tcPr>
            <w:tcW w:w="850" w:type="dxa"/>
          </w:tcPr>
          <w:p w:rsidR="00D05709" w:rsidRPr="007532FF" w:rsidRDefault="00D05709" w:rsidP="00D0570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38</w:t>
            </w:r>
          </w:p>
        </w:tc>
      </w:tr>
      <w:tr w:rsidR="00D05709" w:rsidRPr="007532FF" w:rsidTr="00D05709">
        <w:tc>
          <w:tcPr>
            <w:tcW w:w="8330" w:type="dxa"/>
            <w:gridSpan w:val="2"/>
          </w:tcPr>
          <w:p w:rsidR="00D05709" w:rsidRPr="00144689" w:rsidRDefault="00D05709" w:rsidP="00D05709">
            <w:pPr>
              <w:tabs>
                <w:tab w:val="left" w:pos="7655"/>
                <w:tab w:val="right" w:pos="8789"/>
              </w:tabs>
              <w:spacing w:before="120" w:after="120"/>
              <w:rPr>
                <w:rStyle w:val="Strong"/>
              </w:rPr>
            </w:pPr>
            <w:r w:rsidRPr="00144689">
              <w:rPr>
                <w:rStyle w:val="Strong"/>
              </w:rPr>
              <w:t>Appendix 1 – Index of instruments scrutinised by the committee</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sidRPr="007532FF">
              <w:rPr>
                <w:sz w:val="22"/>
                <w:szCs w:val="22"/>
              </w:rPr>
              <w:tab/>
            </w:r>
            <w:r>
              <w:rPr>
                <w:sz w:val="22"/>
                <w:szCs w:val="22"/>
              </w:rPr>
              <w:t>41</w:t>
            </w:r>
          </w:p>
        </w:tc>
      </w:tr>
      <w:tr w:rsidR="00D05709" w:rsidRPr="007532FF" w:rsidTr="00D05709">
        <w:tc>
          <w:tcPr>
            <w:tcW w:w="8330" w:type="dxa"/>
            <w:gridSpan w:val="2"/>
          </w:tcPr>
          <w:p w:rsidR="00D05709" w:rsidRPr="00144689" w:rsidRDefault="00D05709" w:rsidP="00D05709">
            <w:pPr>
              <w:tabs>
                <w:tab w:val="left" w:pos="7655"/>
                <w:tab w:val="right" w:pos="8789"/>
              </w:tabs>
              <w:spacing w:before="120" w:after="120"/>
              <w:rPr>
                <w:rStyle w:val="Strong"/>
              </w:rPr>
            </w:pPr>
            <w:r w:rsidRPr="00144689">
              <w:rPr>
                <w:rStyle w:val="Strong"/>
              </w:rPr>
              <w:t>Appendix 2 – Guideline on explanatory statements: consultation</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sidRPr="007532FF">
              <w:rPr>
                <w:sz w:val="22"/>
                <w:szCs w:val="22"/>
              </w:rPr>
              <w:tab/>
            </w:r>
            <w:r>
              <w:rPr>
                <w:sz w:val="22"/>
                <w:szCs w:val="22"/>
              </w:rPr>
              <w:t>55</w:t>
            </w:r>
          </w:p>
        </w:tc>
      </w:tr>
      <w:tr w:rsidR="00D05709" w:rsidRPr="007532FF" w:rsidTr="00D05709">
        <w:tc>
          <w:tcPr>
            <w:tcW w:w="8330" w:type="dxa"/>
            <w:gridSpan w:val="2"/>
          </w:tcPr>
          <w:p w:rsidR="00D05709" w:rsidRPr="00144689" w:rsidRDefault="00D05709" w:rsidP="00D05709">
            <w:pPr>
              <w:tabs>
                <w:tab w:val="left" w:pos="7655"/>
                <w:tab w:val="right" w:pos="8789"/>
              </w:tabs>
              <w:spacing w:before="120" w:after="120"/>
              <w:rPr>
                <w:rStyle w:val="Strong"/>
              </w:rPr>
            </w:pPr>
            <w:r w:rsidRPr="00144689">
              <w:rPr>
                <w:rStyle w:val="Strong"/>
              </w:rPr>
              <w:t xml:space="preserve">Appendix 3 – Correspondence </w:t>
            </w:r>
            <w:r>
              <w:rPr>
                <w:rStyle w:val="Strong"/>
              </w:rPr>
              <w:t>relating to committee's scrutiny</w:t>
            </w:r>
          </w:p>
        </w:tc>
        <w:tc>
          <w:tcPr>
            <w:tcW w:w="850" w:type="dxa"/>
          </w:tcPr>
          <w:p w:rsidR="00D05709" w:rsidRPr="007532FF" w:rsidRDefault="00D05709" w:rsidP="00D05709">
            <w:pPr>
              <w:tabs>
                <w:tab w:val="right" w:pos="601"/>
                <w:tab w:val="right" w:pos="8789"/>
              </w:tabs>
              <w:spacing w:before="120" w:after="120"/>
              <w:ind w:left="317" w:right="-1077" w:hanging="317"/>
              <w:rPr>
                <w:sz w:val="22"/>
                <w:szCs w:val="22"/>
              </w:rPr>
            </w:pPr>
            <w:r w:rsidRPr="007532FF">
              <w:rPr>
                <w:sz w:val="22"/>
                <w:szCs w:val="22"/>
              </w:rPr>
              <w:tab/>
            </w:r>
            <w:r>
              <w:rPr>
                <w:sz w:val="22"/>
                <w:szCs w:val="22"/>
              </w:rPr>
              <w:t>61</w:t>
            </w:r>
          </w:p>
        </w:tc>
      </w:tr>
    </w:tbl>
    <w:p w:rsidR="00D05709" w:rsidRPr="007532FF" w:rsidRDefault="00D05709" w:rsidP="00D05709">
      <w:pPr>
        <w:rPr>
          <w:sz w:val="22"/>
          <w:szCs w:val="22"/>
        </w:rPr>
      </w:pPr>
    </w:p>
    <w:p w:rsidR="00D05709" w:rsidRDefault="00D05709">
      <w:pPr>
        <w:spacing w:after="0"/>
        <w:jc w:val="left"/>
      </w:pPr>
      <w:r>
        <w:br w:type="page"/>
      </w:r>
    </w:p>
    <w:p w:rsidR="00D05709" w:rsidRDefault="00D05709">
      <w:pPr>
        <w:spacing w:after="0"/>
        <w:jc w:val="left"/>
      </w:pPr>
      <w:r>
        <w:lastRenderedPageBreak/>
        <w:br w:type="page"/>
      </w:r>
    </w:p>
    <w:p w:rsidR="00D05709" w:rsidRPr="004B17F0" w:rsidRDefault="00D05709" w:rsidP="00D05709">
      <w:pPr>
        <w:pStyle w:val="Heading1"/>
      </w:pPr>
      <w:r w:rsidRPr="004B17F0">
        <w:lastRenderedPageBreak/>
        <w:t>Delegated legislation monitor</w:t>
      </w:r>
    </w:p>
    <w:p w:rsidR="00D05709" w:rsidRDefault="00D05709" w:rsidP="00D05709">
      <w:pPr>
        <w:pStyle w:val="Heading2"/>
      </w:pPr>
      <w:r w:rsidRPr="00BF47FD">
        <w:t>Introduction</w:t>
      </w:r>
    </w:p>
    <w:p w:rsidR="00D05709" w:rsidRDefault="00D05709" w:rsidP="00D05709">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D05709" w:rsidRDefault="00D05709" w:rsidP="00D05709">
      <w:pPr>
        <w:pStyle w:val="Heading3"/>
      </w:pPr>
      <w:r>
        <w:t>The committee's terms of reference</w:t>
      </w:r>
    </w:p>
    <w:p w:rsidR="00D05709" w:rsidRPr="00D233E5" w:rsidRDefault="00D05709" w:rsidP="00D05709">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D05709" w:rsidRPr="00BF47FD" w:rsidRDefault="00D05709" w:rsidP="00D05709">
      <w:pPr>
        <w:pStyle w:val="Quote"/>
        <w:ind w:left="1276" w:hanging="425"/>
      </w:pPr>
      <w:r>
        <w:t xml:space="preserve">(1) </w:t>
      </w:r>
      <w:r w:rsidRPr="00BF47FD">
        <w:t>A Standing Committee on Regulations and Ordinances shall be appointed at the commencement of each Parliament.</w:t>
      </w:r>
    </w:p>
    <w:p w:rsidR="00D05709" w:rsidRPr="00BF47FD" w:rsidRDefault="00D05709" w:rsidP="00D05709">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D05709" w:rsidRPr="00BF47FD" w:rsidRDefault="00D05709" w:rsidP="00D05709">
      <w:pPr>
        <w:pStyle w:val="Quote"/>
        <w:ind w:left="1276"/>
      </w:pPr>
      <w:r w:rsidRPr="00BF47FD">
        <w:t>The committee shall scrutinise each instrument to ensure:</w:t>
      </w:r>
    </w:p>
    <w:p w:rsidR="00D05709" w:rsidRPr="00BF47FD" w:rsidRDefault="00D05709" w:rsidP="00D05709">
      <w:pPr>
        <w:pStyle w:val="Quote"/>
        <w:tabs>
          <w:tab w:val="left" w:pos="1701"/>
        </w:tabs>
        <w:ind w:left="1701" w:hanging="425"/>
      </w:pPr>
      <w:r>
        <w:t>(a)</w:t>
      </w:r>
      <w:r>
        <w:tab/>
      </w:r>
      <w:r w:rsidRPr="00BF47FD">
        <w:t>that it is in accordance with the statute;</w:t>
      </w:r>
    </w:p>
    <w:p w:rsidR="00D05709" w:rsidRPr="00BF47FD" w:rsidRDefault="00D05709" w:rsidP="00D05709">
      <w:pPr>
        <w:pStyle w:val="Quote"/>
        <w:tabs>
          <w:tab w:val="left" w:pos="1701"/>
        </w:tabs>
        <w:ind w:left="1701" w:hanging="425"/>
      </w:pPr>
      <w:r>
        <w:t>(b)</w:t>
      </w:r>
      <w:r>
        <w:tab/>
      </w:r>
      <w:r w:rsidRPr="00BF47FD">
        <w:t>that it does not trespass unduly on personal rights and liberties;</w:t>
      </w:r>
    </w:p>
    <w:p w:rsidR="00D05709" w:rsidRPr="00BF47FD" w:rsidRDefault="00D05709" w:rsidP="00D05709">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D05709" w:rsidRDefault="00D05709" w:rsidP="00D05709">
      <w:pPr>
        <w:pStyle w:val="Quote"/>
        <w:tabs>
          <w:tab w:val="left" w:pos="1701"/>
        </w:tabs>
        <w:ind w:left="1701" w:hanging="425"/>
      </w:pPr>
      <w:r>
        <w:t>(d)</w:t>
      </w:r>
      <w:r>
        <w:tab/>
      </w:r>
      <w:r w:rsidRPr="00BF47FD">
        <w:t>that it does not contain matter more appropriate for parliamentary enactment.</w:t>
      </w:r>
    </w:p>
    <w:p w:rsidR="00D05709" w:rsidRDefault="00D05709" w:rsidP="00D05709">
      <w:pPr>
        <w:pStyle w:val="Heading3"/>
      </w:pPr>
      <w:r w:rsidRPr="00F063AA">
        <w:t>Work of the committee</w:t>
      </w:r>
    </w:p>
    <w:p w:rsidR="00D05709" w:rsidRPr="00F063AA" w:rsidRDefault="00D05709" w:rsidP="00D05709">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D05709" w:rsidRDefault="00D05709" w:rsidP="00D05709">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lastRenderedPageBreak/>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D05709" w:rsidRDefault="00D05709" w:rsidP="00D05709">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D05709" w:rsidRDefault="00D05709" w:rsidP="00D05709">
      <w:pPr>
        <w:pStyle w:val="Heading3"/>
      </w:pPr>
      <w:r>
        <w:t>Structure of the report</w:t>
      </w:r>
    </w:p>
    <w:p w:rsidR="00D05709" w:rsidRDefault="00D05709" w:rsidP="00D05709">
      <w:pPr>
        <w:pStyle w:val="Level1"/>
        <w:numPr>
          <w:ilvl w:val="0"/>
          <w:numId w:val="0"/>
        </w:numPr>
      </w:pPr>
      <w:r>
        <w:t>The report is comprised of the following parts:</w:t>
      </w:r>
    </w:p>
    <w:p w:rsidR="00D05709" w:rsidRDefault="00D05709" w:rsidP="00D05709">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D05709" w:rsidRDefault="00D05709" w:rsidP="00D05709">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D05709" w:rsidRDefault="00D05709" w:rsidP="00D05709">
      <w:pPr>
        <w:pStyle w:val="Bullet1"/>
        <w:spacing w:after="120"/>
      </w:pPr>
      <w:r>
        <w:t>Appendix 1 provides an index listing all instruments scrutinised in the period covered by the report;</w:t>
      </w:r>
    </w:p>
    <w:p w:rsidR="00D05709" w:rsidRDefault="00D05709" w:rsidP="00D05709">
      <w:pPr>
        <w:pStyle w:val="Bullet1"/>
        <w:spacing w:after="120"/>
      </w:pPr>
      <w:r>
        <w:t xml:space="preserve">Appendix 2 contains the committee's guideline on addressing the consultation requirements of the </w:t>
      </w:r>
      <w:r>
        <w:rPr>
          <w:i/>
        </w:rPr>
        <w:t>Legislative Instruments Act 2003</w:t>
      </w:r>
      <w:r>
        <w:t>.</w:t>
      </w:r>
    </w:p>
    <w:p w:rsidR="00D05709" w:rsidRDefault="00D05709" w:rsidP="00D05709">
      <w:pPr>
        <w:pStyle w:val="Heading3"/>
      </w:pPr>
      <w:r>
        <w:t>Acknowledgement</w:t>
      </w:r>
    </w:p>
    <w:p w:rsidR="00D05709" w:rsidRDefault="00D05709" w:rsidP="00D05709">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D05709" w:rsidRDefault="00D05709" w:rsidP="00D05709">
      <w:pPr>
        <w:pStyle w:val="Bullet1"/>
        <w:numPr>
          <w:ilvl w:val="0"/>
          <w:numId w:val="0"/>
        </w:numPr>
        <w:ind w:left="851" w:hanging="851"/>
        <w:rPr>
          <w:b/>
        </w:rPr>
      </w:pPr>
    </w:p>
    <w:p w:rsidR="00D05709" w:rsidRDefault="00D05709" w:rsidP="00D05709">
      <w:pPr>
        <w:pStyle w:val="Bullet1"/>
        <w:numPr>
          <w:ilvl w:val="0"/>
          <w:numId w:val="0"/>
        </w:numPr>
        <w:ind w:left="851" w:hanging="851"/>
        <w:rPr>
          <w:b/>
        </w:rPr>
      </w:pPr>
    </w:p>
    <w:p w:rsidR="00D05709" w:rsidRDefault="00D05709" w:rsidP="00D05709">
      <w:pPr>
        <w:pStyle w:val="Bullet1"/>
        <w:numPr>
          <w:ilvl w:val="0"/>
          <w:numId w:val="0"/>
        </w:numPr>
        <w:ind w:left="851" w:hanging="851"/>
        <w:rPr>
          <w:b/>
        </w:rPr>
      </w:pPr>
    </w:p>
    <w:p w:rsidR="00D05709" w:rsidRPr="00364316" w:rsidRDefault="00D05709" w:rsidP="00D05709">
      <w:pPr>
        <w:pStyle w:val="Bullet1"/>
        <w:numPr>
          <w:ilvl w:val="0"/>
          <w:numId w:val="0"/>
        </w:numPr>
        <w:ind w:left="851" w:hanging="851"/>
        <w:rPr>
          <w:b/>
        </w:rPr>
      </w:pPr>
      <w:r w:rsidRPr="00364316">
        <w:rPr>
          <w:b/>
        </w:rPr>
        <w:t>Senator Mark Furner</w:t>
      </w:r>
    </w:p>
    <w:p w:rsidR="00D05709" w:rsidRPr="00364316" w:rsidRDefault="00D05709" w:rsidP="00D05709">
      <w:pPr>
        <w:pStyle w:val="Bullet1"/>
        <w:numPr>
          <w:ilvl w:val="0"/>
          <w:numId w:val="0"/>
        </w:numPr>
        <w:ind w:left="851" w:hanging="851"/>
        <w:rPr>
          <w:b/>
        </w:rPr>
      </w:pPr>
      <w:r w:rsidRPr="00364316">
        <w:rPr>
          <w:b/>
        </w:rPr>
        <w:t>Chair</w:t>
      </w:r>
    </w:p>
    <w:p w:rsidR="00D05709" w:rsidRDefault="00D05709" w:rsidP="00C41D15">
      <w:pPr>
        <w:sectPr w:rsidR="00D05709" w:rsidSect="0000066E">
          <w:footerReference w:type="even" r:id="rId8"/>
          <w:footerReference w:type="default" r:id="rId9"/>
          <w:headerReference w:type="first" r:id="rId10"/>
          <w:footerReference w:type="first" r:id="rId11"/>
          <w:pgSz w:w="11906" w:h="16838" w:code="9"/>
          <w:pgMar w:top="1440" w:right="1440" w:bottom="1202" w:left="1440" w:header="1134" w:footer="720" w:gutter="0"/>
          <w:paperSrc w:first="2" w:other="2"/>
          <w:pgNumType w:fmt="lowerRoman" w:start="1"/>
          <w:cols w:space="720"/>
          <w:titlePg/>
          <w:docGrid w:linePitch="354"/>
        </w:sectPr>
      </w:pPr>
    </w:p>
    <w:p w:rsidR="00D05709" w:rsidRDefault="00D05709" w:rsidP="00D05709">
      <w:pPr>
        <w:pStyle w:val="Heading1"/>
      </w:pPr>
      <w:r>
        <w:lastRenderedPageBreak/>
        <w:t>Chapter 1</w:t>
      </w:r>
    </w:p>
    <w:p w:rsidR="00D05709" w:rsidRDefault="00D05709" w:rsidP="00D05709">
      <w:pPr>
        <w:pStyle w:val="Heading2"/>
      </w:pPr>
      <w:r>
        <w:t>New and continuing matters</w:t>
      </w:r>
    </w:p>
    <w:p w:rsidR="00D05709" w:rsidRDefault="00D05709" w:rsidP="00D05709">
      <w:pPr>
        <w:pStyle w:val="Level1"/>
        <w:numPr>
          <w:ilvl w:val="0"/>
          <w:numId w:val="0"/>
        </w:numPr>
      </w:pPr>
      <w:r>
        <w:t xml:space="preserve">This chapter lists new matters identified by the committee at its meeting on </w:t>
      </w:r>
      <w:r w:rsidRPr="002B74BC">
        <w:rPr>
          <w:b/>
        </w:rPr>
        <w:t>7 February</w:t>
      </w:r>
      <w:r w:rsidRPr="003370A4">
        <w:rPr>
          <w:b/>
        </w:rPr>
        <w:t xml:space="preserve"> 201</w:t>
      </w:r>
      <w:r>
        <w:rPr>
          <w:b/>
        </w:rPr>
        <w:t>3</w:t>
      </w:r>
      <w:r>
        <w:t>, and continuing matters in relation to which the committee has received recent correspondence. The committee will write to relevant ministers or instrument makers seeking further information or an appropriate undertaking within the disallowance period.</w:t>
      </w:r>
    </w:p>
    <w:p w:rsidR="00D05709" w:rsidRPr="00B54538" w:rsidRDefault="00D05709" w:rsidP="00D05709">
      <w:pPr>
        <w:pStyle w:val="Heading3"/>
        <w:spacing w:before="600"/>
      </w:pPr>
      <w:r w:rsidRPr="00AD48AC">
        <w:rPr>
          <w:noProof/>
        </w:rPr>
        <w:t>Ozone Protection and Synthetic Greenhouse Gas Management Amendment Regulation 2012 (No. 3) [Select Legislative Instrument 2012 No. 260]</w:t>
      </w:r>
      <w:r w:rsidRPr="0033322F">
        <w:t xml:space="preserve"> </w:t>
      </w:r>
      <w:r w:rsidRPr="0033322F">
        <w:rPr>
          <w:noProof/>
        </w:rPr>
        <w:t>[F2012L02267]</w:t>
      </w:r>
      <w:r>
        <w:rPr>
          <w:noProo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Increases the permit application fees specified in the principal regulations from 1 January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21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4F27D7" w:rsidRDefault="00D05709" w:rsidP="00D05709">
            <w:pPr>
              <w:pStyle w:val="letterheadbody"/>
              <w:spacing w:line="264" w:lineRule="auto"/>
              <w:ind w:left="0"/>
              <w:rPr>
                <w:rFonts w:ascii="Times New Roman" w:hAnsi="Times New Roman"/>
                <w:i/>
                <w:sz w:val="24"/>
                <w:szCs w:val="24"/>
              </w:rPr>
            </w:pPr>
            <w:r w:rsidRPr="004F27D7">
              <w:rPr>
                <w:rFonts w:ascii="Times New Roman" w:hAnsi="Times New Roman"/>
                <w:i/>
                <w:noProof/>
                <w:sz w:val="24"/>
                <w:szCs w:val="24"/>
              </w:rPr>
              <w:t>Ozone Protection and Synthetic Greenhouse Gas Management Act 1989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Sustainability, Environment, Water, Population and Communities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Pr="00AD48AC" w:rsidRDefault="00D05709" w:rsidP="00D05709">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szCs w:val="26"/>
        </w:rPr>
        <w:t>explanatory statement (</w:t>
      </w:r>
      <w:r w:rsidRPr="00AE3138">
        <w:rPr>
          <w:noProof/>
          <w:szCs w:val="26"/>
        </w:rPr>
        <w:t>ES</w:t>
      </w:r>
      <w:r>
        <w:rPr>
          <w:noProof/>
          <w:szCs w:val="26"/>
        </w:rPr>
        <w:t>)</w:t>
      </w:r>
      <w:r w:rsidRPr="00AE3138">
        <w:rPr>
          <w:noProof/>
          <w:szCs w:val="26"/>
        </w:rPr>
        <w:t xml:space="preserve"> which must accompany an instrument is required to describe the nature of any consultation that has been carried out or, if there has been no consultation, to explain w</w:t>
      </w:r>
      <w:r>
        <w:rPr>
          <w:noProof/>
          <w:szCs w:val="26"/>
        </w:rPr>
        <w:t>hy none was undertaken (section 26)</w:t>
      </w:r>
      <w:r w:rsidRPr="00AD48AC">
        <w:rPr>
          <w:noProof/>
          <w:szCs w:val="26"/>
        </w:rPr>
        <w:t>.</w:t>
      </w:r>
      <w:r>
        <w:rPr>
          <w:rStyle w:val="FootnoteReference"/>
          <w:noProof/>
          <w:szCs w:val="26"/>
        </w:rPr>
        <w:footnoteReference w:id="4"/>
      </w:r>
      <w:r w:rsidRPr="00AD48AC">
        <w:rPr>
          <w:noProof/>
          <w:szCs w:val="26"/>
        </w:rPr>
        <w:t xml:space="preserve"> </w:t>
      </w:r>
      <w:r>
        <w:rPr>
          <w:noProof/>
          <w:szCs w:val="26"/>
        </w:rPr>
        <w:t xml:space="preserve">With reference to these requirements, </w:t>
      </w:r>
      <w:r>
        <w:t xml:space="preserve">the committee notes that, while the </w:t>
      </w:r>
      <w:r>
        <w:rPr>
          <w:noProof/>
        </w:rPr>
        <w:t>ES for the instrument refers to a '</w:t>
      </w:r>
      <w:r w:rsidRPr="00AD48AC">
        <w:rPr>
          <w:noProof/>
        </w:rPr>
        <w:t>short period</w:t>
      </w:r>
      <w:r>
        <w:rPr>
          <w:noProof/>
        </w:rPr>
        <w:t>'</w:t>
      </w:r>
      <w:r w:rsidRPr="00AD48AC">
        <w:rPr>
          <w:noProof/>
        </w:rPr>
        <w:t xml:space="preserve"> of unspecified duration during which advice on the fee increases will be provided to industry members</w:t>
      </w:r>
      <w:r>
        <w:rPr>
          <w:noProof/>
        </w:rPr>
        <w:t>, t</w:t>
      </w:r>
      <w:r w:rsidRPr="00AD48AC">
        <w:rPr>
          <w:noProof/>
        </w:rPr>
        <w:t>here is no indication that there has been any consultation prior to the making of the</w:t>
      </w:r>
      <w:r>
        <w:rPr>
          <w:noProof/>
        </w:rPr>
        <w:t xml:space="preserve"> instrument.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from the minister and</w:t>
      </w:r>
      <w:r>
        <w:rPr>
          <w:b/>
          <w:noProof/>
        </w:rPr>
        <w:t xml:space="preserve"> </w:t>
      </w:r>
      <w:r w:rsidRPr="00940F8E">
        <w:rPr>
          <w:b/>
          <w:noProof/>
        </w:rPr>
        <w:t>request that the ES be updated in accordance with the requirements of the LIA</w:t>
      </w:r>
      <w:r>
        <w:rPr>
          <w:noProof/>
        </w:rPr>
        <w:t>.</w:t>
      </w:r>
    </w:p>
    <w:p w:rsidR="00D05709" w:rsidRDefault="00D05709" w:rsidP="00D05709">
      <w:pPr>
        <w:pStyle w:val="Heading3"/>
        <w:spacing w:before="600"/>
        <w:rPr>
          <w:noProof/>
        </w:rPr>
      </w:pPr>
      <w:r>
        <w:rPr>
          <w:noProof/>
        </w:rPr>
        <w:lastRenderedPageBreak/>
        <w:t>Superannuation (prudential standard) determination No. 1 of 2012 - Prudential Standard SPS 114 - Operational Risk Financial Requirement [F2012L02221] and seven related instruments</w:t>
      </w:r>
      <w:r>
        <w:rPr>
          <w:rStyle w:val="FootnoteReference"/>
          <w:noProof/>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These instruments determine a</w:t>
            </w:r>
            <w:r>
              <w:rPr>
                <w:rFonts w:ascii="Times New Roman" w:hAnsi="Times New Roman"/>
                <w:noProof/>
                <w:sz w:val="24"/>
                <w:szCs w:val="24"/>
              </w:rPr>
              <w:t xml:space="preserve"> number of prudential standards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19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C05527" w:rsidRDefault="00D05709" w:rsidP="00D05709">
            <w:pPr>
              <w:pStyle w:val="letterheadbody"/>
              <w:spacing w:line="264" w:lineRule="auto"/>
              <w:ind w:left="0"/>
              <w:rPr>
                <w:rFonts w:ascii="Times New Roman" w:hAnsi="Times New Roman"/>
                <w:i/>
                <w:sz w:val="24"/>
                <w:szCs w:val="24"/>
              </w:rPr>
            </w:pPr>
            <w:r w:rsidRPr="00C05527">
              <w:rPr>
                <w:rFonts w:ascii="Times New Roman" w:hAnsi="Times New Roman"/>
                <w:i/>
                <w:noProof/>
                <w:sz w:val="24"/>
                <w:szCs w:val="24"/>
              </w:rPr>
              <w:t>Superannuation Industry (Supervision) Act 1993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Regulation Impact Statement not provided</w:t>
      </w:r>
    </w:p>
    <w:p w:rsidR="00D05709" w:rsidRPr="00C05527" w:rsidRDefault="00D05709" w:rsidP="00D05709">
      <w:pPr>
        <w:rPr>
          <w:b/>
          <w:noProof/>
          <w:szCs w:val="26"/>
        </w:rPr>
      </w:pPr>
      <w:r w:rsidRPr="00AD48AC">
        <w:rPr>
          <w:noProof/>
          <w:szCs w:val="26"/>
        </w:rPr>
        <w:t>Each</w:t>
      </w:r>
      <w:r>
        <w:rPr>
          <w:noProof/>
          <w:szCs w:val="26"/>
        </w:rPr>
        <w:t xml:space="preserve"> of the </w:t>
      </w:r>
      <w:r w:rsidRPr="00AD48AC">
        <w:rPr>
          <w:noProof/>
          <w:szCs w:val="26"/>
        </w:rPr>
        <w:t>ESs which accompan</w:t>
      </w:r>
      <w:r>
        <w:rPr>
          <w:noProof/>
          <w:szCs w:val="26"/>
        </w:rPr>
        <w:t>ies</w:t>
      </w:r>
      <w:r w:rsidRPr="00AD48AC">
        <w:rPr>
          <w:noProof/>
          <w:szCs w:val="26"/>
        </w:rPr>
        <w:t xml:space="preserve"> the instruments notes that a Regulation Impact Statement (RIS) is required for the </w:t>
      </w:r>
      <w:r>
        <w:rPr>
          <w:noProof/>
          <w:szCs w:val="26"/>
        </w:rPr>
        <w:t xml:space="preserve">relevant standard. However, no </w:t>
      </w:r>
      <w:r w:rsidRPr="00AD48AC">
        <w:rPr>
          <w:noProof/>
          <w:szCs w:val="26"/>
        </w:rPr>
        <w:t>RISs have been provided with th</w:t>
      </w:r>
      <w:r>
        <w:rPr>
          <w:noProof/>
          <w:szCs w:val="26"/>
        </w:rPr>
        <w:t>e</w:t>
      </w:r>
      <w:r w:rsidRPr="00AD48AC">
        <w:rPr>
          <w:noProof/>
          <w:szCs w:val="26"/>
        </w:rPr>
        <w:t xml:space="preserve"> instruments.</w:t>
      </w:r>
      <w:r>
        <w:rPr>
          <w:noProof/>
          <w:szCs w:val="26"/>
        </w:rPr>
        <w:t xml:space="preserve"> Where a RIS has been prepared in relation to an instrument, the committee's longstanding practice is to require that it be provided as an attachment to the ES. </w:t>
      </w:r>
      <w:r>
        <w:rPr>
          <w:b/>
          <w:noProof/>
          <w:szCs w:val="26"/>
        </w:rPr>
        <w:t>The committee will therefore draw this issue to the attention of the minister</w:t>
      </w:r>
      <w:r w:rsidRPr="00C05527">
        <w:rPr>
          <w:noProof/>
          <w:szCs w:val="26"/>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Pr>
          <w:noProof/>
        </w:rPr>
        <w:lastRenderedPageBreak/>
        <w:t>Transport Safety Investigation Amendment Regulation 2012 (No. 1) [Select Legislative Instrument 2012 No. 263] [F2012L02278] and two related instruments</w:t>
      </w:r>
      <w:r>
        <w:rPr>
          <w:rStyle w:val="FootnoteReference"/>
          <w:noProof/>
        </w:rPr>
        <w:footnoteReference w:id="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Substitutes a new Part 4 in the principal regulations dealing with the reporting of immediately reportable and routinely reportable matters; amends the principal regulations as a consequence of the Transport Safety Investigation (Confidential Reporting Scheme) Regulation 2012; and</w:t>
            </w:r>
            <w:r w:rsidRPr="00AD48AC">
              <w:rPr>
                <w:noProof/>
                <w:sz w:val="24"/>
                <w:szCs w:val="24"/>
              </w:rPr>
              <w:t xml:space="preserve"> </w:t>
            </w:r>
            <w:r w:rsidRPr="00AD48AC">
              <w:rPr>
                <w:rFonts w:ascii="Times New Roman" w:hAnsi="Times New Roman"/>
                <w:noProof/>
                <w:sz w:val="24"/>
                <w:szCs w:val="24"/>
              </w:rPr>
              <w:t>establishes a scheme for confidential reporting that applies to avia</w:t>
            </w:r>
            <w:r>
              <w:rPr>
                <w:rFonts w:ascii="Times New Roman" w:hAnsi="Times New Roman"/>
                <w:noProof/>
                <w:sz w:val="24"/>
                <w:szCs w:val="24"/>
              </w:rPr>
              <w:t>tion, marine and rail transport</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14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B33637">
              <w:rPr>
                <w:rFonts w:ascii="Times New Roman" w:hAnsi="Times New Roman"/>
                <w:i/>
                <w:noProof/>
                <w:sz w:val="24"/>
                <w:szCs w:val="24"/>
              </w:rPr>
              <w:t>Air Navigation Act 1920</w:t>
            </w:r>
            <w:r w:rsidRPr="00AD48AC">
              <w:rPr>
                <w:rFonts w:ascii="Times New Roman" w:hAnsi="Times New Roman"/>
                <w:noProof/>
                <w:sz w:val="24"/>
                <w:szCs w:val="24"/>
              </w:rPr>
              <w:t xml:space="preserve">; </w:t>
            </w:r>
            <w:r w:rsidRPr="00B33637">
              <w:rPr>
                <w:rFonts w:ascii="Times New Roman" w:hAnsi="Times New Roman"/>
                <w:i/>
                <w:noProof/>
                <w:sz w:val="24"/>
                <w:szCs w:val="24"/>
              </w:rPr>
              <w:t>Navigation Act 1912</w:t>
            </w:r>
            <w:r w:rsidRPr="00AD48AC">
              <w:rPr>
                <w:rFonts w:ascii="Times New Roman" w:hAnsi="Times New Roman"/>
                <w:noProof/>
                <w:sz w:val="24"/>
                <w:szCs w:val="24"/>
              </w:rPr>
              <w:t xml:space="preserve">; and </w:t>
            </w:r>
            <w:r w:rsidRPr="00B33637">
              <w:rPr>
                <w:rFonts w:ascii="Times New Roman" w:hAnsi="Times New Roman"/>
                <w:i/>
                <w:noProof/>
                <w:sz w:val="24"/>
                <w:szCs w:val="24"/>
              </w:rPr>
              <w:t>Transport Safety Investigation Act 2003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No information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Water Act 2007 – Basin Plan 2012</w:t>
      </w:r>
      <w:r>
        <w:rPr>
          <w:noProof/>
        </w:rPr>
        <w:t xml:space="preserve"> </w:t>
      </w:r>
      <w:r w:rsidRPr="00F6022F">
        <w:rPr>
          <w:noProof/>
        </w:rPr>
        <w:t>[F2012L02240]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Specifies a Basin Pl</w:t>
            </w:r>
            <w:r>
              <w:rPr>
                <w:rFonts w:ascii="Times New Roman" w:hAnsi="Times New Roman"/>
                <w:noProof/>
                <w:sz w:val="24"/>
                <w:szCs w:val="24"/>
              </w:rPr>
              <w:t>an for the Murray-Darling Basin</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19</w:t>
            </w:r>
            <w:r>
              <w:rPr>
                <w:rFonts w:ascii="Times New Roman" w:hAnsi="Times New Roman"/>
                <w:noProof/>
                <w:sz w:val="24"/>
                <w:szCs w:val="24"/>
              </w:rPr>
              <w:t xml:space="preserve">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4F27D7" w:rsidRDefault="00D05709" w:rsidP="00D05709">
            <w:pPr>
              <w:pStyle w:val="letterheadbody"/>
              <w:spacing w:line="264" w:lineRule="auto"/>
              <w:ind w:left="0"/>
              <w:rPr>
                <w:rFonts w:ascii="Times New Roman" w:hAnsi="Times New Roman"/>
                <w:i/>
                <w:sz w:val="24"/>
                <w:szCs w:val="24"/>
              </w:rPr>
            </w:pPr>
            <w:r w:rsidRPr="004F27D7">
              <w:rPr>
                <w:rFonts w:ascii="Times New Roman" w:hAnsi="Times New Roman"/>
                <w:i/>
                <w:noProof/>
                <w:sz w:val="24"/>
                <w:szCs w:val="24"/>
              </w:rPr>
              <w:t>Water Act 2007</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Sustainability, Environment, Water, Population and Communities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Availability of merits review for certain decisions</w:t>
      </w:r>
    </w:p>
    <w:p w:rsidR="00D05709" w:rsidRPr="004F27D7" w:rsidRDefault="00D05709" w:rsidP="00D05709">
      <w:pPr>
        <w:rPr>
          <w:noProof/>
          <w:szCs w:val="26"/>
        </w:rPr>
      </w:pPr>
      <w:r w:rsidRPr="00AD48AC">
        <w:rPr>
          <w:noProof/>
          <w:szCs w:val="26"/>
        </w:rPr>
        <w:t xml:space="preserve">Part 3 of the plan requires an irrigation infrastructure operator to specify a person's water delivery rights, changes to those rights, and irrigation rights and changes to those rights. </w:t>
      </w:r>
      <w:r>
        <w:rPr>
          <w:noProof/>
          <w:szCs w:val="26"/>
        </w:rPr>
        <w:t>The committee considers that i</w:t>
      </w:r>
      <w:r w:rsidRPr="00AD48AC">
        <w:rPr>
          <w:noProof/>
          <w:szCs w:val="26"/>
        </w:rPr>
        <w:t>t is not clear from the plan what rights of review a person has in relation to decisions made by an irrigation infrastructure operator.</w:t>
      </w:r>
      <w:r>
        <w:rPr>
          <w:noProof/>
          <w:szCs w:val="26"/>
        </w:rPr>
        <w:t xml:space="preserve"> </w:t>
      </w:r>
      <w:r>
        <w:rPr>
          <w:b/>
          <w:noProof/>
          <w:szCs w:val="26"/>
        </w:rPr>
        <w:t>The committee will therefore seek further information from the minister</w:t>
      </w:r>
      <w:r>
        <w:rPr>
          <w:noProof/>
          <w:szCs w:val="26"/>
        </w:rPr>
        <w:t>.</w:t>
      </w:r>
    </w:p>
    <w:p w:rsidR="00D05709" w:rsidRPr="00B54538" w:rsidRDefault="00D05709" w:rsidP="00D05709">
      <w:pPr>
        <w:pStyle w:val="Heading3"/>
        <w:spacing w:before="600"/>
      </w:pPr>
      <w:r w:rsidRPr="00AD48AC">
        <w:rPr>
          <w:noProof/>
        </w:rPr>
        <w:t xml:space="preserve">Defence and Strategic Goods List Amendment 2012 (No. 1) </w:t>
      </w:r>
      <w:r w:rsidRPr="000E6FB5">
        <w:t>[F2012L02318]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list of defence and dual-use goods which are prohibited from being exported from Australia without a licence or permission granted by the m</w:t>
            </w:r>
            <w:r>
              <w:rPr>
                <w:rFonts w:ascii="Times New Roman" w:hAnsi="Times New Roman"/>
                <w:noProof/>
                <w:sz w:val="24"/>
                <w:szCs w:val="24"/>
              </w:rPr>
              <w:t>inister or an authorised person</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A9102D" w:rsidRDefault="00D05709" w:rsidP="00D05709">
            <w:pPr>
              <w:pStyle w:val="letterheadbody"/>
              <w:spacing w:line="264" w:lineRule="auto"/>
              <w:ind w:left="0"/>
              <w:rPr>
                <w:rFonts w:ascii="Times New Roman" w:hAnsi="Times New Roman"/>
                <w:i/>
                <w:sz w:val="24"/>
                <w:szCs w:val="24"/>
              </w:rPr>
            </w:pPr>
            <w:r w:rsidRPr="00A9102D">
              <w:rPr>
                <w:rFonts w:ascii="Times New Roman" w:hAnsi="Times New Roman"/>
                <w:i/>
                <w:noProof/>
                <w:sz w:val="24"/>
                <w:szCs w:val="24"/>
              </w:rPr>
              <w:t>Customs Act 1901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Defence</w:t>
            </w:r>
          </w:p>
        </w:tc>
      </w:tr>
    </w:tbl>
    <w:p w:rsidR="00D05709" w:rsidRPr="00B54538" w:rsidRDefault="00D05709" w:rsidP="00D05709">
      <w:pPr>
        <w:spacing w:after="0"/>
        <w:rPr>
          <w:szCs w:val="26"/>
        </w:rPr>
      </w:pPr>
    </w:p>
    <w:p w:rsidR="00D05709" w:rsidRDefault="00D05709" w:rsidP="00D05709">
      <w:pPr>
        <w:spacing w:after="0"/>
        <w:rPr>
          <w:b/>
          <w:szCs w:val="26"/>
        </w:rPr>
      </w:pPr>
      <w:r w:rsidRPr="00B54538">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Default="00D05709" w:rsidP="00D05709">
      <w:pPr>
        <w:spacing w:line="264" w:lineRule="auto"/>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the committee notes that, while the ES for the instrument refers to issues raised in the review of the Defence Trade Control Bill, it goes on to state that these issues (and more general stakeholder engagement) will be addressed through the provision of training and materials through the Defence Export Control Office, in consultation with the Strengthened Export Controls Steering Group (the composition of which is not described).</w:t>
      </w:r>
    </w:p>
    <w:p w:rsidR="00D05709" w:rsidRDefault="00D05709" w:rsidP="00D05709">
      <w:pPr>
        <w:spacing w:line="264" w:lineRule="auto"/>
        <w:rPr>
          <w:noProof/>
        </w:rPr>
      </w:pPr>
      <w:r>
        <w:lastRenderedPageBreak/>
        <w:t xml:space="preserve">The committee considers that it is unclear as to why consultation was considered unnecessary or inappropriate in this case.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w:t>
      </w:r>
      <w:r>
        <w:rPr>
          <w:b/>
          <w:noProof/>
        </w:rPr>
        <w:t>, if necessary,</w:t>
      </w:r>
      <w:r w:rsidRPr="00940F8E">
        <w:rPr>
          <w:b/>
          <w:noProof/>
        </w:rPr>
        <w:t xml:space="preserve"> the ES be updated in accordance with the requirements of the </w:t>
      </w:r>
      <w:r w:rsidRPr="00E2599D">
        <w:rPr>
          <w:b/>
          <w:i/>
          <w:noProof/>
        </w:rPr>
        <w:t>Legislative Instruments Act 2003</w:t>
      </w:r>
      <w:r w:rsidRPr="00B33637">
        <w:rPr>
          <w:noProof/>
        </w:rPr>
        <w:t>.</w:t>
      </w:r>
    </w:p>
    <w:p w:rsidR="00D05709" w:rsidRPr="00B54538" w:rsidRDefault="00D05709" w:rsidP="00D05709">
      <w:pPr>
        <w:pStyle w:val="Heading3"/>
        <w:spacing w:before="600"/>
      </w:pPr>
      <w:r w:rsidRPr="00AD48AC">
        <w:rPr>
          <w:noProof/>
        </w:rPr>
        <w:t xml:space="preserve">National Environment Protection (Movement of Controlled Waste between States and Territories) Measure Minor Variation 2012 (No. 1) </w:t>
      </w:r>
      <w:r w:rsidRPr="000E6FB5">
        <w:t>[F2012L02300]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Makes minor editorial changes and corrects typographical err</w:t>
            </w:r>
            <w:r>
              <w:rPr>
                <w:rFonts w:ascii="Times New Roman" w:hAnsi="Times New Roman"/>
                <w:noProof/>
                <w:sz w:val="24"/>
                <w:szCs w:val="24"/>
              </w:rPr>
              <w:t>ors in the principal instrument</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33637" w:rsidRDefault="00D05709" w:rsidP="00D05709">
            <w:pPr>
              <w:pStyle w:val="letterheadbody"/>
              <w:spacing w:line="264" w:lineRule="auto"/>
              <w:ind w:left="0"/>
              <w:rPr>
                <w:rFonts w:ascii="Times New Roman" w:hAnsi="Times New Roman"/>
                <w:i/>
                <w:sz w:val="24"/>
                <w:szCs w:val="24"/>
              </w:rPr>
            </w:pPr>
            <w:r w:rsidRPr="00B33637">
              <w:rPr>
                <w:rFonts w:ascii="Times New Roman" w:hAnsi="Times New Roman"/>
                <w:i/>
                <w:noProof/>
                <w:sz w:val="24"/>
                <w:szCs w:val="24"/>
              </w:rPr>
              <w:t>National Environment Protection Council Act 1994</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Sustainability, Environment, Water, Population and Communities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ISSUES:</w:t>
      </w:r>
    </w:p>
    <w:p w:rsidR="00D05709" w:rsidRPr="00B54538" w:rsidRDefault="00D05709" w:rsidP="00D05709">
      <w:pPr>
        <w:pStyle w:val="Heading4"/>
        <w:numPr>
          <w:ilvl w:val="3"/>
          <w:numId w:val="21"/>
        </w:numPr>
        <w:spacing w:before="120" w:after="120"/>
        <w:rPr>
          <w:noProof/>
        </w:rPr>
      </w:pPr>
      <w:r>
        <w:rPr>
          <w:noProof/>
        </w:rPr>
        <w:t xml:space="preserve">(a) </w:t>
      </w:r>
      <w:r w:rsidRPr="00AD48AC">
        <w:rPr>
          <w:noProof/>
        </w:rPr>
        <w:t>No information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D05709" w:rsidRPr="00AD48AC" w:rsidRDefault="00D05709" w:rsidP="00D05709">
      <w:pPr>
        <w:pStyle w:val="Heading4"/>
        <w:numPr>
          <w:ilvl w:val="3"/>
          <w:numId w:val="21"/>
        </w:numPr>
        <w:spacing w:before="120" w:after="120"/>
        <w:rPr>
          <w:noProof/>
        </w:rPr>
      </w:pPr>
      <w:r>
        <w:rPr>
          <w:noProof/>
        </w:rPr>
        <w:t>(b) No statement of compatibility with human rights</w:t>
      </w:r>
    </w:p>
    <w:p w:rsidR="00D05709" w:rsidRPr="00B33637" w:rsidRDefault="00D05709" w:rsidP="00D05709">
      <w:pPr>
        <w:rPr>
          <w:b/>
          <w:noProof/>
          <w:szCs w:val="26"/>
        </w:rPr>
      </w:pPr>
      <w:r w:rsidRPr="00AD48AC">
        <w:rPr>
          <w:noProof/>
          <w:szCs w:val="26"/>
        </w:rPr>
        <w:t xml:space="preserve">(2) Section 9 of the </w:t>
      </w:r>
      <w:r w:rsidRPr="00B33637">
        <w:rPr>
          <w:i/>
          <w:noProof/>
          <w:szCs w:val="26"/>
        </w:rPr>
        <w:t>Human Rights (Parliamentary Scrutiny) Act 2011</w:t>
      </w:r>
      <w:r w:rsidRPr="00AD48AC">
        <w:rPr>
          <w:noProof/>
          <w:szCs w:val="26"/>
        </w:rPr>
        <w:t xml:space="preserve"> requires a rule-maker to prepare a statement of compatibility with specified human rights for each disallowable legislative instrument. Subsection 9(2) requires the statement of compatibility to include an assessment of whether the legislative instrument is compatible with human rights. No statement of compatibility accompanies this instrument. </w:t>
      </w:r>
      <w:r>
        <w:rPr>
          <w:b/>
          <w:noProof/>
          <w:szCs w:val="26"/>
        </w:rPr>
        <w:t xml:space="preserve">The committee notes that the Parliamentary Joint Committee on </w:t>
      </w:r>
      <w:r>
        <w:rPr>
          <w:b/>
          <w:noProof/>
          <w:szCs w:val="26"/>
        </w:rPr>
        <w:lastRenderedPageBreak/>
        <w:t>Human Rights has identified this issue (First Report of 2013),</w:t>
      </w:r>
      <w:r>
        <w:rPr>
          <w:rStyle w:val="FootnoteReference"/>
          <w:b/>
          <w:noProof/>
          <w:szCs w:val="26"/>
        </w:rPr>
        <w:footnoteReference w:id="7"/>
      </w:r>
      <w:r>
        <w:rPr>
          <w:b/>
          <w:noProof/>
          <w:szCs w:val="26"/>
        </w:rPr>
        <w:t xml:space="preserve"> and will defer to that committee's carriage of the matter.</w:t>
      </w:r>
    </w:p>
    <w:p w:rsidR="00D05709" w:rsidRPr="00B54538" w:rsidRDefault="00D05709" w:rsidP="00D05709">
      <w:pPr>
        <w:pStyle w:val="Heading3"/>
        <w:spacing w:before="600"/>
      </w:pPr>
      <w:r w:rsidRPr="00AD48AC">
        <w:rPr>
          <w:noProof/>
        </w:rPr>
        <w:t>ASQA Authorised Officer Requirements</w:t>
      </w:r>
      <w:r>
        <w:rPr>
          <w:noProof/>
        </w:rPr>
        <w:t xml:space="preserve"> </w:t>
      </w:r>
      <w:r w:rsidRPr="00447368">
        <w:rPr>
          <w:noProof/>
        </w:rPr>
        <w:t>[F2012L02326]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Specifies the experience, training and qualification requirements for persons to be appointed as au</w:t>
            </w:r>
            <w:r>
              <w:rPr>
                <w:rFonts w:ascii="Times New Roman" w:hAnsi="Times New Roman"/>
                <w:noProof/>
                <w:sz w:val="24"/>
                <w:szCs w:val="24"/>
              </w:rPr>
              <w:t xml:space="preserve">thorised officers under the </w:t>
            </w:r>
            <w:r w:rsidRPr="00447368">
              <w:rPr>
                <w:rFonts w:ascii="Times New Roman" w:hAnsi="Times New Roman"/>
                <w:i/>
                <w:noProof/>
                <w:sz w:val="24"/>
                <w:szCs w:val="24"/>
              </w:rPr>
              <w:t>National Vocational Education and Training Regulator Act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447368" w:rsidRDefault="00D05709" w:rsidP="00D05709">
            <w:pPr>
              <w:pStyle w:val="letterheadbody"/>
              <w:spacing w:line="264" w:lineRule="auto"/>
              <w:ind w:left="0"/>
              <w:rPr>
                <w:rFonts w:ascii="Times New Roman" w:hAnsi="Times New Roman"/>
                <w:i/>
                <w:sz w:val="24"/>
                <w:szCs w:val="24"/>
              </w:rPr>
            </w:pPr>
            <w:r w:rsidRPr="00447368">
              <w:rPr>
                <w:rFonts w:ascii="Times New Roman" w:hAnsi="Times New Roman"/>
                <w:i/>
                <w:noProof/>
                <w:sz w:val="24"/>
                <w:szCs w:val="24"/>
              </w:rPr>
              <w:t>National Vocational Education and Training Regulator Act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Industry, Innovation, Science, Research and Tertiary Education</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Unclear term/criteria</w:t>
      </w:r>
    </w:p>
    <w:p w:rsidR="00D05709" w:rsidRDefault="00D05709" w:rsidP="00D05709">
      <w:pPr>
        <w:rPr>
          <w:noProof/>
          <w:szCs w:val="26"/>
        </w:rPr>
      </w:pPr>
      <w:r w:rsidRPr="00AD48AC">
        <w:rPr>
          <w:noProof/>
          <w:szCs w:val="26"/>
        </w:rPr>
        <w:t>Th</w:t>
      </w:r>
      <w:r>
        <w:rPr>
          <w:noProof/>
          <w:szCs w:val="26"/>
        </w:rPr>
        <w:t>e</w:t>
      </w:r>
      <w:r w:rsidRPr="00AD48AC">
        <w:rPr>
          <w:noProof/>
          <w:szCs w:val="26"/>
        </w:rPr>
        <w:t xml:space="preserve"> instrument specifies the experience, training and qualification requirements for persons to be appointed as authorised officers under the </w:t>
      </w:r>
      <w:r w:rsidRPr="00447368">
        <w:rPr>
          <w:i/>
          <w:noProof/>
          <w:szCs w:val="26"/>
        </w:rPr>
        <w:t>National Vocational Education and Training Regulator Act 2011</w:t>
      </w:r>
      <w:r w:rsidRPr="00AD48AC">
        <w:rPr>
          <w:noProof/>
          <w:szCs w:val="26"/>
        </w:rPr>
        <w:t xml:space="preserve">. Item 6(1) states that a person will satisfy the experience requirements if they are able to demonstrate previous experience in specified roles </w:t>
      </w:r>
      <w:r>
        <w:rPr>
          <w:noProof/>
          <w:szCs w:val="26"/>
        </w:rPr>
        <w:t>'</w:t>
      </w:r>
      <w:r w:rsidRPr="00AD48AC">
        <w:rPr>
          <w:noProof/>
          <w:szCs w:val="26"/>
        </w:rPr>
        <w:t>for a length of time deemed acceptable by the Chief Commissioner</w:t>
      </w:r>
      <w:r>
        <w:rPr>
          <w:noProof/>
          <w:szCs w:val="26"/>
        </w:rPr>
        <w:t>', and the ES states that</w:t>
      </w:r>
      <w:r w:rsidRPr="00AD48AC">
        <w:rPr>
          <w:noProof/>
          <w:szCs w:val="26"/>
        </w:rPr>
        <w:t xml:space="preserve"> the relevant length of time is to be determined by the Chief Commissioner. It is thus not clear </w:t>
      </w:r>
      <w:r>
        <w:rPr>
          <w:noProof/>
          <w:szCs w:val="26"/>
        </w:rPr>
        <w:t xml:space="preserve">to the committee </w:t>
      </w:r>
      <w:r w:rsidRPr="00AD48AC">
        <w:rPr>
          <w:noProof/>
          <w:szCs w:val="26"/>
        </w:rPr>
        <w:t>in what manner and form the Chief Commissioner will deem or determine the relevant length of time, or how prospective authorised officers will b</w:t>
      </w:r>
      <w:r>
        <w:rPr>
          <w:noProof/>
          <w:szCs w:val="26"/>
        </w:rPr>
        <w:t xml:space="preserve">e made aware of this criterion. </w:t>
      </w:r>
      <w:r w:rsidRPr="00447368">
        <w:rPr>
          <w:noProof/>
          <w:szCs w:val="26"/>
        </w:rPr>
        <w:t xml:space="preserve">The committee's </w:t>
      </w:r>
      <w:r>
        <w:rPr>
          <w:noProof/>
          <w:szCs w:val="26"/>
        </w:rPr>
        <w:t xml:space="preserve">usual </w:t>
      </w:r>
      <w:r w:rsidRPr="00447368">
        <w:rPr>
          <w:noProof/>
          <w:szCs w:val="26"/>
        </w:rPr>
        <w:t>expectation with regard to instruments that establish criteria guiding administrative decision making is that such criteria are clear and objectively ascertainable on the face of an instrument and its supporting ES</w:t>
      </w:r>
      <w:r>
        <w:rPr>
          <w:noProof/>
          <w:szCs w:val="26"/>
        </w:rPr>
        <w:t xml:space="preserve">. </w:t>
      </w:r>
      <w:r>
        <w:rPr>
          <w:b/>
          <w:noProof/>
          <w:szCs w:val="26"/>
        </w:rPr>
        <w:t>The committee will therefore seek further information from the minister</w:t>
      </w:r>
      <w:r>
        <w:rPr>
          <w:noProof/>
          <w:szCs w:val="26"/>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 xml:space="preserve">Aviation Transport Security Amendment Regulation 2012 (No. 6) [Select Legislative Instrument 2012 No. 304] </w:t>
      </w:r>
      <w:r w:rsidRPr="00C35EA2">
        <w:t>[F2012L02424]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Makes a number of amendmen</w:t>
            </w:r>
            <w:r>
              <w:rPr>
                <w:rFonts w:ascii="Times New Roman" w:hAnsi="Times New Roman"/>
                <w:noProof/>
                <w:sz w:val="24"/>
                <w:szCs w:val="24"/>
              </w:rPr>
              <w:t>ts to the principal regulations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447368" w:rsidRDefault="00D05709" w:rsidP="00D05709">
            <w:pPr>
              <w:pStyle w:val="letterheadbody"/>
              <w:spacing w:line="264" w:lineRule="auto"/>
              <w:ind w:left="0"/>
              <w:rPr>
                <w:rFonts w:ascii="Times New Roman" w:hAnsi="Times New Roman"/>
                <w:i/>
                <w:sz w:val="24"/>
                <w:szCs w:val="24"/>
              </w:rPr>
            </w:pPr>
            <w:r w:rsidRPr="00447368">
              <w:rPr>
                <w:rFonts w:ascii="Times New Roman" w:hAnsi="Times New Roman"/>
                <w:i/>
                <w:noProof/>
                <w:sz w:val="24"/>
                <w:szCs w:val="24"/>
              </w:rPr>
              <w:t>Aviation Transport Security Act 2004</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No information provided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D05709" w:rsidRDefault="00D05709" w:rsidP="00D05709">
      <w:pPr>
        <w:pStyle w:val="Heading3"/>
        <w:spacing w:before="600"/>
        <w:rPr>
          <w:noProof/>
        </w:rPr>
      </w:pPr>
      <w:r>
        <w:rPr>
          <w:noProof/>
        </w:rPr>
        <w:t>Banking, Insurance and Life Insurance (prudential standard) determination No. 2 of 2012 [F2012L02440] and three related instruments</w:t>
      </w:r>
      <w:r>
        <w:rPr>
          <w:rStyle w:val="FootnoteReference"/>
          <w:noProof/>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The instruments determine a</w:t>
            </w:r>
            <w:r>
              <w:rPr>
                <w:rFonts w:ascii="Times New Roman" w:hAnsi="Times New Roman"/>
                <w:noProof/>
                <w:sz w:val="24"/>
                <w:szCs w:val="24"/>
              </w:rPr>
              <w:t xml:space="preserve"> number of prudential standards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15/5</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3A5B41">
              <w:rPr>
                <w:rFonts w:ascii="Times New Roman" w:hAnsi="Times New Roman"/>
                <w:i/>
                <w:noProof/>
                <w:sz w:val="24"/>
                <w:szCs w:val="24"/>
              </w:rPr>
              <w:t>Banking Act 1959</w:t>
            </w:r>
            <w:r w:rsidRPr="00AD48AC">
              <w:rPr>
                <w:rFonts w:ascii="Times New Roman" w:hAnsi="Times New Roman"/>
                <w:noProof/>
                <w:sz w:val="24"/>
                <w:szCs w:val="24"/>
              </w:rPr>
              <w:t xml:space="preserve">; </w:t>
            </w:r>
            <w:r w:rsidRPr="003A5B41">
              <w:rPr>
                <w:rFonts w:ascii="Times New Roman" w:hAnsi="Times New Roman"/>
                <w:i/>
                <w:noProof/>
                <w:sz w:val="24"/>
                <w:szCs w:val="24"/>
              </w:rPr>
              <w:t>Insurance Act 1973</w:t>
            </w:r>
            <w:r w:rsidRPr="00AD48AC">
              <w:rPr>
                <w:rFonts w:ascii="Times New Roman" w:hAnsi="Times New Roman"/>
                <w:noProof/>
                <w:sz w:val="24"/>
                <w:szCs w:val="24"/>
              </w:rPr>
              <w:t xml:space="preserve">; and </w:t>
            </w:r>
            <w:r w:rsidRPr="003A5B41">
              <w:rPr>
                <w:rFonts w:ascii="Times New Roman" w:hAnsi="Times New Roman"/>
                <w:i/>
                <w:noProof/>
                <w:sz w:val="24"/>
                <w:szCs w:val="24"/>
              </w:rPr>
              <w:t>Life Insurance Act 1995</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sidRPr="00B54538">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Default="00D05709" w:rsidP="00D05709">
      <w:pPr>
        <w:rPr>
          <w:noProof/>
          <w:szCs w:val="26"/>
        </w:rPr>
      </w:pPr>
      <w:r>
        <w:t xml:space="preserve">The instruments contain drafting deficiencies, including an unclear expression in the definition of </w:t>
      </w:r>
      <w:r w:rsidRPr="004C2FB7">
        <w:rPr>
          <w:b/>
          <w:i/>
        </w:rPr>
        <w:t>registered life NOHC</w:t>
      </w:r>
      <w:r>
        <w:t xml:space="preserve"> and a typographical error in determination No. 1</w:t>
      </w:r>
      <w:r>
        <w:rPr>
          <w:noProof/>
          <w:szCs w:val="26"/>
        </w:rPr>
        <w:t xml:space="preserve">. </w:t>
      </w:r>
      <w:r w:rsidRPr="003A5B41">
        <w:rPr>
          <w:b/>
          <w:noProof/>
          <w:szCs w:val="26"/>
        </w:rPr>
        <w:t xml:space="preserve">The committee </w:t>
      </w:r>
      <w:r>
        <w:rPr>
          <w:b/>
          <w:noProof/>
          <w:szCs w:val="26"/>
        </w:rPr>
        <w:t>will draw these issues to the attention of the Treasurer</w:t>
      </w:r>
      <w:r w:rsidRPr="00AD48AC">
        <w:rPr>
          <w:noProof/>
          <w:szCs w:val="26"/>
        </w:rPr>
        <w:t>.</w:t>
      </w:r>
    </w:p>
    <w:p w:rsidR="00D05709" w:rsidRPr="00B54538" w:rsidRDefault="00D05709" w:rsidP="00D05709">
      <w:pPr>
        <w:pStyle w:val="Heading3"/>
      </w:pPr>
      <w:r w:rsidRPr="00AD48AC">
        <w:rPr>
          <w:noProof/>
        </w:rPr>
        <w:lastRenderedPageBreak/>
        <w:t>Banking Sector Legislation Amendment Regulation 2012 (No. 1) [Select Legislative Instrument 2012 No. 319]</w:t>
      </w:r>
      <w:r>
        <w:rPr>
          <w:noProof/>
        </w:rPr>
        <w:t xml:space="preserve"> </w:t>
      </w:r>
      <w:r w:rsidRPr="000E6FB5">
        <w:t>[F2012L02397]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principal regulations and the First Home Saver Accounts Regulations 2008 to specify conditions for a number of bank accounts or deposits and First Home Saver Acco</w:t>
            </w:r>
            <w:r>
              <w:rPr>
                <w:rFonts w:ascii="Times New Roman" w:hAnsi="Times New Roman"/>
                <w:noProof/>
                <w:sz w:val="24"/>
                <w:szCs w:val="24"/>
              </w:rPr>
              <w:t>unts to become unclaimed moneys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3A5B41">
              <w:rPr>
                <w:rFonts w:ascii="Times New Roman" w:hAnsi="Times New Roman"/>
                <w:i/>
                <w:noProof/>
                <w:sz w:val="24"/>
                <w:szCs w:val="24"/>
              </w:rPr>
              <w:t>Banking Act 1959</w:t>
            </w:r>
            <w:r w:rsidRPr="00AD48AC">
              <w:rPr>
                <w:rFonts w:ascii="Times New Roman" w:hAnsi="Times New Roman"/>
                <w:noProof/>
                <w:sz w:val="24"/>
                <w:szCs w:val="24"/>
              </w:rPr>
              <w:t xml:space="preserve">; and </w:t>
            </w:r>
            <w:r w:rsidRPr="003A5B41">
              <w:rPr>
                <w:rFonts w:ascii="Times New Roman" w:hAnsi="Times New Roman"/>
                <w:i/>
                <w:noProof/>
                <w:sz w:val="24"/>
                <w:szCs w:val="24"/>
              </w:rPr>
              <w:t>First Home Saver Accounts Act 2008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sidRPr="00B54538">
        <w:rPr>
          <w:b/>
          <w:szCs w:val="26"/>
        </w:rPr>
        <w:t>ISSUE</w:t>
      </w:r>
      <w:r>
        <w:rPr>
          <w:b/>
          <w:szCs w:val="26"/>
        </w:rPr>
        <w:t>S</w:t>
      </w:r>
      <w:r w:rsidRPr="00B54538">
        <w:rPr>
          <w:b/>
          <w:szCs w:val="26"/>
        </w:rPr>
        <w:t>:</w:t>
      </w:r>
    </w:p>
    <w:p w:rsidR="00D05709" w:rsidRPr="00B54538" w:rsidRDefault="00D05709" w:rsidP="00D05709">
      <w:pPr>
        <w:pStyle w:val="Heading4"/>
        <w:numPr>
          <w:ilvl w:val="3"/>
          <w:numId w:val="21"/>
        </w:numPr>
        <w:spacing w:before="120" w:after="120"/>
        <w:rPr>
          <w:noProof/>
        </w:rPr>
      </w:pPr>
      <w:r>
        <w:rPr>
          <w:noProof/>
        </w:rPr>
        <w:t>(a) Commencement</w:t>
      </w:r>
    </w:p>
    <w:p w:rsidR="00D05709" w:rsidRDefault="00D05709" w:rsidP="00D05709">
      <w:pPr>
        <w:rPr>
          <w:noProof/>
          <w:szCs w:val="26"/>
        </w:rPr>
      </w:pPr>
      <w:r>
        <w:rPr>
          <w:noProof/>
          <w:szCs w:val="26"/>
        </w:rPr>
        <w:t>T</w:t>
      </w:r>
      <w:r w:rsidRPr="003A5B41">
        <w:rPr>
          <w:noProof/>
          <w:szCs w:val="26"/>
        </w:rPr>
        <w:t>he instrument inserts into the banking regulations new regulation 20, which specifies accounts and conditions relating to those accounts for the purposes of subsection</w:t>
      </w:r>
      <w:r>
        <w:rPr>
          <w:noProof/>
          <w:szCs w:val="26"/>
        </w:rPr>
        <w:t> </w:t>
      </w:r>
      <w:r w:rsidRPr="003A5B41">
        <w:rPr>
          <w:noProof/>
          <w:szCs w:val="26"/>
        </w:rPr>
        <w:t xml:space="preserve">69(1B) of the </w:t>
      </w:r>
      <w:r w:rsidRPr="003A5B41">
        <w:rPr>
          <w:i/>
          <w:noProof/>
          <w:szCs w:val="26"/>
        </w:rPr>
        <w:t>Banking Act 1959</w:t>
      </w:r>
      <w:r w:rsidRPr="003A5B41">
        <w:rPr>
          <w:noProof/>
          <w:szCs w:val="26"/>
        </w:rPr>
        <w:t>. Subsection 69(1B) is scheduled to commence on 1 July 2013.</w:t>
      </w:r>
      <w:r>
        <w:rPr>
          <w:noProof/>
          <w:szCs w:val="26"/>
        </w:rPr>
        <w:t xml:space="preserve"> </w:t>
      </w:r>
      <w:r w:rsidRPr="003A5B41">
        <w:rPr>
          <w:noProof/>
          <w:szCs w:val="26"/>
        </w:rPr>
        <w:t xml:space="preserve">While the committee understands that the making of instruments prior to the commencement of the relevant empowering provision, as in this case, is </w:t>
      </w:r>
      <w:r>
        <w:rPr>
          <w:noProof/>
          <w:szCs w:val="26"/>
        </w:rPr>
        <w:t xml:space="preserve">authorised </w:t>
      </w:r>
      <w:r w:rsidRPr="003A5B41">
        <w:rPr>
          <w:noProof/>
          <w:szCs w:val="26"/>
        </w:rPr>
        <w:t xml:space="preserve">by section 4 of the </w:t>
      </w:r>
      <w:r w:rsidRPr="003A5B41">
        <w:rPr>
          <w:i/>
          <w:noProof/>
          <w:szCs w:val="26"/>
        </w:rPr>
        <w:t>Acts Interpretation Act 1901</w:t>
      </w:r>
      <w:r w:rsidRPr="003A5B41">
        <w:rPr>
          <w:noProof/>
          <w:szCs w:val="26"/>
        </w:rPr>
        <w:t xml:space="preserve"> (the AIA), </w:t>
      </w:r>
      <w:r>
        <w:rPr>
          <w:noProof/>
          <w:szCs w:val="26"/>
        </w:rPr>
        <w:t>that section also sets out a number of conditions that must be met. The ES that accompanies the instrument does not address whether these conditions</w:t>
      </w:r>
      <w:r w:rsidRPr="003A5B41">
        <w:rPr>
          <w:noProof/>
          <w:szCs w:val="26"/>
        </w:rPr>
        <w:t xml:space="preserve"> </w:t>
      </w:r>
      <w:r>
        <w:rPr>
          <w:noProof/>
          <w:szCs w:val="26"/>
        </w:rPr>
        <w:t xml:space="preserve">are relevant and, if so, have been met in this case. </w:t>
      </w:r>
      <w:r w:rsidRPr="008D5F65">
        <w:rPr>
          <w:b/>
          <w:noProof/>
          <w:szCs w:val="26"/>
        </w:rPr>
        <w:t>T</w:t>
      </w:r>
      <w:r>
        <w:rPr>
          <w:b/>
          <w:noProof/>
          <w:szCs w:val="26"/>
        </w:rPr>
        <w:t>he committee will therefore seek further information from the Treasurer</w:t>
      </w:r>
      <w:r w:rsidRPr="00D83C4B">
        <w:rPr>
          <w:noProof/>
          <w:szCs w:val="26"/>
        </w:rPr>
        <w:t>.</w:t>
      </w:r>
    </w:p>
    <w:p w:rsidR="00D05709" w:rsidRDefault="00D05709" w:rsidP="00D05709">
      <w:pPr>
        <w:pStyle w:val="Heading4"/>
        <w:numPr>
          <w:ilvl w:val="3"/>
          <w:numId w:val="21"/>
        </w:numPr>
        <w:spacing w:before="120" w:after="120"/>
        <w:rPr>
          <w:noProof/>
        </w:rPr>
      </w:pPr>
      <w:r w:rsidRPr="003A5B41">
        <w:rPr>
          <w:noProof/>
        </w:rPr>
        <w:t>(</w:t>
      </w:r>
      <w:r>
        <w:rPr>
          <w:noProof/>
        </w:rPr>
        <w:t>b</w:t>
      </w:r>
      <w:r w:rsidRPr="003A5B41">
        <w:rPr>
          <w:noProof/>
        </w:rPr>
        <w:t xml:space="preserve">) </w:t>
      </w:r>
      <w:r>
        <w:rPr>
          <w:noProof/>
        </w:rPr>
        <w:t>N</w:t>
      </w:r>
      <w:r w:rsidRPr="003A5B41">
        <w:rPr>
          <w:noProof/>
        </w:rPr>
        <w:t>o information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rPr>
        <w:t>Treasurer</w:t>
      </w:r>
      <w:r w:rsidRPr="00940F8E">
        <w:rPr>
          <w:b/>
          <w:noProof/>
        </w:rPr>
        <w:t xml:space="preserve"> and request that the ES be updated in accordance with the requirements of the </w:t>
      </w:r>
      <w:r w:rsidRPr="00E2599D">
        <w:rPr>
          <w:b/>
          <w:i/>
          <w:noProof/>
        </w:rPr>
        <w:t>Legislative Instruments Act 2003</w:t>
      </w:r>
      <w:r>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SSAT Child Support Review General Directions 2012</w:t>
      </w:r>
      <w:r>
        <w:rPr>
          <w:noProof/>
        </w:rPr>
        <w:t xml:space="preserve"> </w:t>
      </w:r>
      <w:r w:rsidRPr="000E6FB5">
        <w:t>[F2012L02459]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Provides for the procedures to be followed in relation to child support review hearings before the Social Security Appeals Tribunal (SSAT)</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126D92" w:rsidRDefault="00D05709" w:rsidP="00D05709">
            <w:pPr>
              <w:pStyle w:val="letterheadbody"/>
              <w:spacing w:line="264" w:lineRule="auto"/>
              <w:ind w:left="0"/>
              <w:rPr>
                <w:rFonts w:ascii="Times New Roman" w:hAnsi="Times New Roman"/>
                <w:i/>
                <w:sz w:val="24"/>
                <w:szCs w:val="24"/>
              </w:rPr>
            </w:pPr>
            <w:r w:rsidRPr="00126D92">
              <w:rPr>
                <w:rFonts w:ascii="Times New Roman" w:hAnsi="Times New Roman"/>
                <w:i/>
                <w:noProof/>
                <w:sz w:val="24"/>
                <w:szCs w:val="24"/>
              </w:rPr>
              <w:t>Child Support (Registration and Collection) Act 1988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Families, Housing, Community Services and Indigenous Affairs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Default="00D05709" w:rsidP="00D05709">
      <w:pPr>
        <w:spacing w:line="264" w:lineRule="auto"/>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 xml:space="preserve">the committee notes that the ES for the instrument states that consultation was not required in this case due to both its urgency and the fact that its effect is 'largely machinery in nature' and 'will not substantially affect or alter reviews by the SSAT'. First, the committee considers that the ES does not adequately explain the circumstances leading to the urgency of the instrument, particularly as to whether there was a reasonable opportunity to anticipate the need for the changes effected by the instrument (arising from the development and passage of the </w:t>
      </w:r>
      <w:r w:rsidRPr="00E95DA8">
        <w:rPr>
          <w:i/>
        </w:rPr>
        <w:t>Social Security and Other Legislation Amendment (Further 2012 Budget and Other Measures) Act 2012</w:t>
      </w:r>
      <w:r>
        <w:t xml:space="preserve">). Second, the committee considers that the statement that the instrument is 'largely machinery' implies that it may also have more substantial effects that could have a bearing on the conclusion that consultation was unnecessary or inappropriate in this case.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w:t>
      </w:r>
      <w:r>
        <w:rPr>
          <w:b/>
          <w:noProof/>
        </w:rPr>
        <w:t xml:space="preserve"> </w:t>
      </w:r>
      <w:r w:rsidRPr="00940F8E">
        <w:rPr>
          <w:b/>
          <w:noProof/>
        </w:rPr>
        <w:t>request that</w:t>
      </w:r>
      <w:r>
        <w:rPr>
          <w:b/>
          <w:noProof/>
        </w:rPr>
        <w:t>, if necessary,</w:t>
      </w:r>
      <w:r w:rsidRPr="00940F8E">
        <w:rPr>
          <w:b/>
          <w:noProof/>
        </w:rPr>
        <w:t xml:space="preserve"> the ES be updated in accordance with the requirements of the </w:t>
      </w:r>
      <w:r w:rsidRPr="00E2599D">
        <w:rPr>
          <w:b/>
          <w:i/>
          <w:noProof/>
        </w:rPr>
        <w:t>Legislative Instruments Act 2003</w:t>
      </w:r>
      <w:r w:rsidRPr="00B33637">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 xml:space="preserve">CASA 390/12 - Instructions - GNSS primary means navigation (B737 NG aircraft) </w:t>
      </w:r>
      <w:r w:rsidRPr="000E6FB5">
        <w:t>[F2012L02428]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Allows Virgin Australia International Airlines B737 NG aircraft that are capable of meeting the applicable Required Navigation Performance to carry out RNAV (GNS</w:t>
            </w:r>
            <w:r>
              <w:rPr>
                <w:rFonts w:ascii="Times New Roman" w:hAnsi="Times New Roman"/>
                <w:noProof/>
                <w:sz w:val="24"/>
                <w:szCs w:val="24"/>
              </w:rPr>
              <w:t>S) approach procedures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Civil Aviation Regulations 1988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D05709" w:rsidRDefault="00D05709" w:rsidP="00D05709">
      <w:pPr>
        <w:spacing w:after="0"/>
        <w:rPr>
          <w:b/>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Default="00D05709" w:rsidP="00D05709">
      <w:pPr>
        <w:spacing w:line="264" w:lineRule="auto"/>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the committee notes that the ES for the instrument states that consultation w</w:t>
      </w:r>
      <w:r w:rsidRPr="001B7BEC">
        <w:t>as not undertaken</w:t>
      </w:r>
      <w:r>
        <w:t>, because t</w:t>
      </w:r>
      <w:r w:rsidRPr="001B7BEC">
        <w:t xml:space="preserve">he instrument is </w:t>
      </w:r>
      <w:r>
        <w:t>'</w:t>
      </w:r>
      <w:r w:rsidRPr="001B7BEC">
        <w:t>consistent with previous instruments issued to Virgin Australia International Airlines Pty Ltd and other Australian airlines</w:t>
      </w:r>
      <w:r>
        <w:t xml:space="preserve"> [and will]…</w:t>
      </w:r>
      <w:r w:rsidRPr="001B7BEC">
        <w:t>allow Virgin Australia International Airlines Pty Ltd to reduce dependence on ground based systems</w:t>
      </w:r>
      <w:r>
        <w:t>'</w:t>
      </w:r>
      <w:r w:rsidRPr="001B7BEC">
        <w:t xml:space="preserve">. While the committee does not usually interpret section 26 as requiring a highly detailed explanation as to why consultation was not undertaken, it considers that </w:t>
      </w:r>
      <w:r>
        <w:t xml:space="preserve">an overly bare or general explanation is </w:t>
      </w:r>
      <w:r w:rsidRPr="001B7BEC">
        <w:t>not sufficient to satisfy the requirement that an ES explain why consultation was not undertaken.</w:t>
      </w:r>
      <w: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w:t>
      </w:r>
      <w:r>
        <w:rPr>
          <w:b/>
          <w:noProof/>
        </w:rPr>
        <w:t xml:space="preserve"> </w:t>
      </w:r>
      <w:r w:rsidRPr="00940F8E">
        <w:rPr>
          <w:b/>
          <w:noProof/>
        </w:rPr>
        <w:t>request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sidRPr="00B33637">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 xml:space="preserve">CASA EX184/12 - Exemption - from standard take-off minima - Virgin Australia International Airlines </w:t>
      </w:r>
      <w:r>
        <w:rPr>
          <w:noProof/>
        </w:rPr>
        <w:t>[F2012L02425]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Allows Virgin Australia International Airlines Pty Ltd to operate B737 NG aircraft in low visibility conditions on the same terms as Virgin Australia Airlines Pty Limited, subject to conditions.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Civil Aviation Safety Regulations 1998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D05709" w:rsidRDefault="00D05709" w:rsidP="00D05709">
      <w:pPr>
        <w:spacing w:after="0"/>
        <w:rPr>
          <w:szCs w:val="26"/>
        </w:rPr>
      </w:pPr>
    </w:p>
    <w:p w:rsidR="00D05709" w:rsidRPr="00242FD6"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Default="00D05709" w:rsidP="00D05709">
      <w:pPr>
        <w:spacing w:line="264" w:lineRule="auto"/>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the committee notes that the ES for the instrument states that consultation w</w:t>
      </w:r>
      <w:r w:rsidRPr="001B7BEC">
        <w:t>as not undertaken</w:t>
      </w:r>
      <w:r>
        <w:t>, because t</w:t>
      </w:r>
      <w:r w:rsidRPr="001B7BEC">
        <w:t xml:space="preserve">he instrument is </w:t>
      </w:r>
      <w:r>
        <w:t>'</w:t>
      </w:r>
      <w:r w:rsidRPr="000665ED">
        <w:t>required by the operator to enable low visibility take-offs inside and outside Australian territory consistent with the standards and requirements specified in the instrument which are not considered prejudicial to the interests of safety</w:t>
      </w:r>
      <w:r>
        <w:t>'</w:t>
      </w:r>
      <w:r w:rsidRPr="001B7BEC">
        <w:t xml:space="preserve">. While the committee does not usually interpret section 26 as requiring a highly detailed explanation as to why consultation was not undertaken, it considers that </w:t>
      </w:r>
      <w:r>
        <w:t xml:space="preserve">an overly bare or general explanation is </w:t>
      </w:r>
      <w:r w:rsidRPr="001B7BEC">
        <w:t>not sufficient to satisfy the requirement that an ES explain why consultation was not undertaken.</w:t>
      </w:r>
      <w: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w:t>
      </w:r>
      <w:r>
        <w:rPr>
          <w:b/>
          <w:noProof/>
        </w:rPr>
        <w:t xml:space="preserve"> </w:t>
      </w:r>
      <w:r w:rsidRPr="00940F8E">
        <w:rPr>
          <w:b/>
          <w:noProof/>
        </w:rPr>
        <w:t xml:space="preserve">request that the ES be updated in accordance with the requirements of the </w:t>
      </w:r>
      <w:r w:rsidRPr="00E2599D">
        <w:rPr>
          <w:b/>
          <w:i/>
          <w:noProof/>
        </w:rPr>
        <w:t>Legislative Instruments Act 2003</w:t>
      </w:r>
      <w:r w:rsidRPr="00B33637">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 xml:space="preserve">Clean Energy Amendment Regulation 2012 (No. 7) [Select Legislative Instrument 2012 No. 289] </w:t>
      </w:r>
      <w:r>
        <w:t>[F2012L02384]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 xml:space="preserve">Amends the Clean Energy Regulations 2011 to establish the liquid fuels Opt-in Scheme and make </w:t>
            </w:r>
            <w:r>
              <w:rPr>
                <w:rFonts w:ascii="Times New Roman" w:hAnsi="Times New Roman"/>
                <w:noProof/>
                <w:sz w:val="24"/>
                <w:szCs w:val="24"/>
              </w:rPr>
              <w:t>other amendments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7A0A79" w:rsidRDefault="00D05709" w:rsidP="00D05709">
            <w:pPr>
              <w:pStyle w:val="letterheadbody"/>
              <w:spacing w:line="264" w:lineRule="auto"/>
              <w:ind w:left="0"/>
              <w:rPr>
                <w:rFonts w:ascii="Times New Roman" w:hAnsi="Times New Roman"/>
                <w:i/>
                <w:sz w:val="24"/>
                <w:szCs w:val="24"/>
              </w:rPr>
            </w:pPr>
            <w:r w:rsidRPr="007A0A79">
              <w:rPr>
                <w:rFonts w:ascii="Times New Roman" w:hAnsi="Times New Roman"/>
                <w:i/>
                <w:noProof/>
                <w:sz w:val="24"/>
                <w:szCs w:val="24"/>
              </w:rPr>
              <w:t>Clean Energy Act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Climate Change and Energy Efficiency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Default="00D05709" w:rsidP="00D05709">
      <w:pPr>
        <w:rPr>
          <w:noProof/>
          <w:szCs w:val="26"/>
        </w:rPr>
      </w:pPr>
      <w:r w:rsidRPr="00AD48AC">
        <w:rPr>
          <w:noProof/>
          <w:szCs w:val="26"/>
        </w:rPr>
        <w:t xml:space="preserve">This instrument inserts a new Division 7 into the Clean Energy Regulations 2011, </w:t>
      </w:r>
      <w:r>
        <w:rPr>
          <w:noProof/>
          <w:szCs w:val="26"/>
        </w:rPr>
        <w:t xml:space="preserve">and </w:t>
      </w:r>
      <w:r w:rsidRPr="00AD48AC">
        <w:rPr>
          <w:noProof/>
          <w:szCs w:val="26"/>
        </w:rPr>
        <w:t>contain</w:t>
      </w:r>
      <w:r>
        <w:rPr>
          <w:noProof/>
          <w:szCs w:val="26"/>
        </w:rPr>
        <w:t>s</w:t>
      </w:r>
      <w:r w:rsidRPr="00AD48AC">
        <w:rPr>
          <w:noProof/>
          <w:szCs w:val="26"/>
        </w:rPr>
        <w:t xml:space="preserve"> a number of definitio</w:t>
      </w:r>
      <w:r>
        <w:rPr>
          <w:noProof/>
          <w:szCs w:val="26"/>
        </w:rPr>
        <w:t>ns. One of these is as follows:</w:t>
      </w:r>
    </w:p>
    <w:p w:rsidR="00D05709" w:rsidRDefault="00D05709" w:rsidP="00D05709">
      <w:pPr>
        <w:pStyle w:val="Quote"/>
        <w:rPr>
          <w:noProof/>
        </w:rPr>
      </w:pPr>
      <w:r w:rsidRPr="00AD48AC">
        <w:rPr>
          <w:noProof/>
        </w:rPr>
        <w:t>joint venture operator, of a GST joint venture, has t</w:t>
      </w:r>
      <w:r>
        <w:rPr>
          <w:noProof/>
        </w:rPr>
        <w:t xml:space="preserve">he same meaning as in the </w:t>
      </w:r>
      <w:r w:rsidRPr="007A0A79">
        <w:rPr>
          <w:i/>
          <w:noProof/>
        </w:rPr>
        <w:t>Fuel Tax Act 2006</w:t>
      </w:r>
    </w:p>
    <w:p w:rsidR="00D05709" w:rsidRPr="00FE6728" w:rsidRDefault="00D05709" w:rsidP="00D05709">
      <w:pPr>
        <w:rPr>
          <w:noProof/>
          <w:szCs w:val="26"/>
        </w:rPr>
      </w:pPr>
      <w:r w:rsidRPr="00AD48AC">
        <w:rPr>
          <w:noProof/>
          <w:szCs w:val="26"/>
        </w:rPr>
        <w:t xml:space="preserve">The relevant definition in the </w:t>
      </w:r>
      <w:r w:rsidRPr="007A0A79">
        <w:rPr>
          <w:i/>
          <w:noProof/>
          <w:szCs w:val="26"/>
        </w:rPr>
        <w:t>Fuel Tax Act 2006</w:t>
      </w:r>
      <w:r>
        <w:rPr>
          <w:noProof/>
          <w:szCs w:val="26"/>
        </w:rPr>
        <w:t xml:space="preserve"> is that '</w:t>
      </w:r>
      <w:r w:rsidRPr="00AD48AC">
        <w:rPr>
          <w:noProof/>
          <w:szCs w:val="26"/>
        </w:rPr>
        <w:t>joint venture operator</w:t>
      </w:r>
      <w:r>
        <w:rPr>
          <w:noProof/>
          <w:szCs w:val="26"/>
        </w:rPr>
        <w:t>'</w:t>
      </w:r>
      <w:r w:rsidRPr="00AD48AC">
        <w:rPr>
          <w:noProof/>
          <w:szCs w:val="26"/>
        </w:rPr>
        <w:t xml:space="preserve"> has the meaning </w:t>
      </w:r>
      <w:r>
        <w:rPr>
          <w:noProof/>
          <w:szCs w:val="26"/>
        </w:rPr>
        <w:t xml:space="preserve">given by section 195-1 of the </w:t>
      </w:r>
      <w:r w:rsidRPr="00AD48AC">
        <w:rPr>
          <w:noProof/>
          <w:szCs w:val="26"/>
        </w:rPr>
        <w:t xml:space="preserve">GST Act. In contrast, the instrument </w:t>
      </w:r>
      <w:r>
        <w:rPr>
          <w:noProof/>
          <w:szCs w:val="26"/>
        </w:rPr>
        <w:t xml:space="preserve">in other cases </w:t>
      </w:r>
      <w:r w:rsidRPr="00AD48AC">
        <w:rPr>
          <w:noProof/>
          <w:szCs w:val="26"/>
        </w:rPr>
        <w:t>provides a more direct definition</w:t>
      </w:r>
      <w:r>
        <w:rPr>
          <w:noProof/>
          <w:szCs w:val="26"/>
        </w:rPr>
        <w:t xml:space="preserve"> to the GST Act, such as for</w:t>
      </w:r>
      <w:r w:rsidRPr="00AD48AC">
        <w:rPr>
          <w:noProof/>
          <w:szCs w:val="26"/>
        </w:rPr>
        <w:t xml:space="preserve"> 'repres</w:t>
      </w:r>
      <w:r>
        <w:rPr>
          <w:noProof/>
          <w:szCs w:val="26"/>
        </w:rPr>
        <w:t xml:space="preserve">entative member, of a GST group', which </w:t>
      </w:r>
      <w:r w:rsidRPr="00AD48AC">
        <w:rPr>
          <w:noProof/>
          <w:szCs w:val="26"/>
        </w:rPr>
        <w:t>has the meaning given by section 195-1 of the GST Act.</w:t>
      </w:r>
      <w:r>
        <w:rPr>
          <w:noProof/>
          <w:szCs w:val="26"/>
        </w:rPr>
        <w:t xml:space="preserve"> The committee considers that it is unclear why divergent approaches have been taken in relation to these definitions. </w:t>
      </w:r>
      <w:r>
        <w:rPr>
          <w:b/>
          <w:noProof/>
          <w:szCs w:val="26"/>
        </w:rPr>
        <w:t>The committee will therefore seek further information from the minister</w:t>
      </w:r>
      <w:r>
        <w:rPr>
          <w:noProof/>
          <w:szCs w:val="26"/>
        </w:rPr>
        <w:t>.</w:t>
      </w:r>
    </w:p>
    <w:p w:rsidR="00D05709" w:rsidRPr="00B54538" w:rsidRDefault="00D05709" w:rsidP="00D05709">
      <w:pPr>
        <w:pStyle w:val="Heading3"/>
        <w:spacing w:before="600"/>
      </w:pPr>
      <w:r w:rsidRPr="00AD48AC">
        <w:rPr>
          <w:noProof/>
        </w:rPr>
        <w:t xml:space="preserve">Corporations Amendment Regulation 2012 (No. 6) Amendment Regulation 2012 (No. 1) [Select Legislative Instrument 2012 No. 308] </w:t>
      </w:r>
      <w:r>
        <w:rPr>
          <w:noProof/>
        </w:rPr>
        <w:t>[F2012L02414]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Corporations Amendment Regulation 2012 (No. 6) to c</w:t>
            </w:r>
            <w:r>
              <w:rPr>
                <w:rFonts w:ascii="Times New Roman" w:hAnsi="Times New Roman"/>
                <w:noProof/>
                <w:sz w:val="24"/>
                <w:szCs w:val="24"/>
              </w:rPr>
              <w:t>orrect a number of deficiencies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1B7BEC" w:rsidRDefault="00D05709" w:rsidP="00D05709">
            <w:pPr>
              <w:pStyle w:val="letterheadbody"/>
              <w:spacing w:line="264" w:lineRule="auto"/>
              <w:ind w:left="0"/>
              <w:rPr>
                <w:rFonts w:ascii="Times New Roman" w:hAnsi="Times New Roman"/>
                <w:i/>
                <w:sz w:val="24"/>
                <w:szCs w:val="24"/>
              </w:rPr>
            </w:pPr>
            <w:r w:rsidRPr="001B7BEC">
              <w:rPr>
                <w:rFonts w:ascii="Times New Roman" w:hAnsi="Times New Roman"/>
                <w:i/>
                <w:noProof/>
                <w:sz w:val="24"/>
                <w:szCs w:val="24"/>
              </w:rPr>
              <w:t>Corporations Act 2001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Default="00D05709" w:rsidP="00D05709">
      <w:pPr>
        <w:spacing w:after="0"/>
        <w:rPr>
          <w:b/>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 xml:space="preserve">No </w:t>
      </w:r>
      <w:r>
        <w:rPr>
          <w:noProof/>
        </w:rPr>
        <w:t xml:space="preserve">information </w:t>
      </w:r>
      <w:r w:rsidRPr="00AD48AC">
        <w:rPr>
          <w:noProof/>
        </w:rPr>
        <w:t>provided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t>
      </w:r>
      <w:r w:rsidRPr="00940F8E">
        <w:rPr>
          <w:b/>
          <w:noProof/>
        </w:rPr>
        <w:lastRenderedPageBreak/>
        <w:t xml:space="preserve">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D05709" w:rsidRPr="00AD48AC" w:rsidRDefault="00D05709" w:rsidP="00D05709">
      <w:pPr>
        <w:pStyle w:val="Heading3"/>
        <w:spacing w:before="600"/>
        <w:rPr>
          <w:noProof/>
        </w:rPr>
      </w:pPr>
      <w:r w:rsidRPr="00AD48AC">
        <w:rPr>
          <w:noProof/>
        </w:rPr>
        <w:t>Family Law Amendment Regulation 2012 (No. 4) [Select Legislative Instrument 2012 No. 278]</w:t>
      </w:r>
      <w:r>
        <w:rPr>
          <w:noProof/>
        </w:rPr>
        <w:t xml:space="preserve"> [F2012L02391]</w:t>
      </w:r>
      <w:r w:rsidRPr="00AD48AC">
        <w:rPr>
          <w:noProof/>
        </w:rPr>
        <w:t>; and</w:t>
      </w:r>
    </w:p>
    <w:p w:rsidR="00D05709" w:rsidRPr="00B54538" w:rsidRDefault="00D05709" w:rsidP="00D05709">
      <w:pPr>
        <w:pStyle w:val="Heading3"/>
      </w:pPr>
      <w:r w:rsidRPr="00AD48AC">
        <w:rPr>
          <w:noProof/>
        </w:rPr>
        <w:t>Federal Court and Federal Magistrates Court Regulation 2012 [Select Legislative Instrument 2012 No. 280]</w:t>
      </w:r>
      <w:r>
        <w:rPr>
          <w:noProof/>
        </w:rPr>
        <w:t xml:space="preserve"> [F2012L02411]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Repeals and replaces the Federal Court of Australia Regulations 2004 and the Federal Magistrates Regulations 2000 with a consolidated regulation for proceedings in the Federal Court of Australia and the Federal</w:t>
            </w:r>
            <w:r>
              <w:rPr>
                <w:rFonts w:ascii="Times New Roman" w:hAnsi="Times New Roman"/>
                <w:noProof/>
                <w:sz w:val="24"/>
                <w:szCs w:val="24"/>
              </w:rPr>
              <w:t xml:space="preserve"> Magistrates Court of Australia</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1B7BEC">
              <w:rPr>
                <w:rFonts w:ascii="Times New Roman" w:hAnsi="Times New Roman"/>
                <w:i/>
                <w:noProof/>
                <w:sz w:val="24"/>
                <w:szCs w:val="24"/>
              </w:rPr>
              <w:t>Federal Court of Australia Act 1976</w:t>
            </w:r>
            <w:r w:rsidRPr="00AD48AC">
              <w:rPr>
                <w:rFonts w:ascii="Times New Roman" w:hAnsi="Times New Roman"/>
                <w:noProof/>
                <w:sz w:val="24"/>
                <w:szCs w:val="24"/>
              </w:rPr>
              <w:t xml:space="preserve">; and </w:t>
            </w:r>
            <w:r w:rsidRPr="001B7BEC">
              <w:rPr>
                <w:rFonts w:ascii="Times New Roman" w:hAnsi="Times New Roman"/>
                <w:i/>
                <w:noProof/>
                <w:sz w:val="24"/>
                <w:szCs w:val="24"/>
              </w:rPr>
              <w:t>Federal Magistrates Act 1999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Attorney-General's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Pr="001B7BEC" w:rsidRDefault="00D05709" w:rsidP="00D05709">
      <w:pPr>
        <w:rPr>
          <w:noProof/>
          <w:szCs w:val="26"/>
        </w:rPr>
      </w:pPr>
      <w:r w:rsidRPr="001B7BEC">
        <w:rPr>
          <w:noProof/>
          <w:szCs w:val="26"/>
        </w:rPr>
        <w:t xml:space="preserve">Item [4] of Schedule 1 to the first instrument mentioned inserts a new regulation 83 into </w:t>
      </w:r>
      <w:r>
        <w:rPr>
          <w:noProof/>
          <w:szCs w:val="26"/>
        </w:rPr>
        <w:t xml:space="preserve">the Family Law Regulations 1984, and </w:t>
      </w:r>
      <w:r w:rsidRPr="001B7BEC">
        <w:rPr>
          <w:noProof/>
          <w:szCs w:val="26"/>
        </w:rPr>
        <w:t>provides:</w:t>
      </w:r>
    </w:p>
    <w:p w:rsidR="00D05709" w:rsidRPr="001B7BEC" w:rsidRDefault="00D05709" w:rsidP="00D05709">
      <w:pPr>
        <w:pStyle w:val="Quote"/>
        <w:rPr>
          <w:noProof/>
        </w:rPr>
      </w:pPr>
      <w:r>
        <w:rPr>
          <w:noProof/>
        </w:rPr>
        <w:t xml:space="preserve">(1) </w:t>
      </w:r>
      <w:r w:rsidRPr="001B7BEC">
        <w:rPr>
          <w:noProof/>
        </w:rPr>
        <w:t>Despite the amendments made by the Family Law Amendment Regulation 2012 (No. 4), these Regulations, as in force immediately before 1 January 2013, (the old Regulations) continue to apply to a fee for a service requested under the old Regulations before 1 January 2013, unless another transitional provision says otherwise.</w:t>
      </w:r>
    </w:p>
    <w:p w:rsidR="00D05709" w:rsidRPr="0005499E" w:rsidRDefault="00D05709" w:rsidP="00D05709">
      <w:pPr>
        <w:rPr>
          <w:noProof/>
        </w:rPr>
      </w:pPr>
      <w:r>
        <w:rPr>
          <w:noProof/>
          <w:szCs w:val="26"/>
        </w:rPr>
        <w:t>The committee notes that</w:t>
      </w:r>
      <w:r w:rsidRPr="001B7BEC">
        <w:rPr>
          <w:noProof/>
          <w:szCs w:val="26"/>
        </w:rPr>
        <w:t xml:space="preserve"> the bracketed phrase </w:t>
      </w:r>
      <w:r>
        <w:rPr>
          <w:noProof/>
          <w:szCs w:val="26"/>
        </w:rPr>
        <w:t>'</w:t>
      </w:r>
      <w:r w:rsidRPr="001B7BEC">
        <w:rPr>
          <w:noProof/>
          <w:szCs w:val="26"/>
        </w:rPr>
        <w:t>(the old Regulations)</w:t>
      </w:r>
      <w:r>
        <w:rPr>
          <w:noProof/>
          <w:szCs w:val="26"/>
        </w:rPr>
        <w:t>'</w:t>
      </w:r>
      <w:r w:rsidRPr="001B7BEC">
        <w:rPr>
          <w:noProof/>
          <w:szCs w:val="26"/>
        </w:rPr>
        <w:t xml:space="preserve"> </w:t>
      </w:r>
      <w:r>
        <w:rPr>
          <w:noProof/>
          <w:szCs w:val="26"/>
        </w:rPr>
        <w:t xml:space="preserve">should presubaly appear before the </w:t>
      </w:r>
      <w:r w:rsidRPr="001B7BEC">
        <w:rPr>
          <w:noProof/>
          <w:szCs w:val="26"/>
        </w:rPr>
        <w:t xml:space="preserve">comma, to make it quite clear that </w:t>
      </w:r>
      <w:r>
        <w:rPr>
          <w:noProof/>
          <w:szCs w:val="26"/>
        </w:rPr>
        <w:t>that phrase refers to the '</w:t>
      </w:r>
      <w:r w:rsidRPr="001B7BEC">
        <w:rPr>
          <w:noProof/>
          <w:szCs w:val="26"/>
        </w:rPr>
        <w:t>Regulations, as in force immediately before 1 January 2013</w:t>
      </w:r>
      <w:r>
        <w:rPr>
          <w:noProof/>
          <w:szCs w:val="26"/>
        </w:rPr>
        <w:t>'</w:t>
      </w:r>
      <w:r w:rsidRPr="001B7BEC">
        <w:rPr>
          <w:noProof/>
          <w:szCs w:val="26"/>
        </w:rPr>
        <w:t>.</w:t>
      </w:r>
      <w:r>
        <w:rPr>
          <w:noProof/>
          <w:szCs w:val="26"/>
        </w:rPr>
        <w:t xml:space="preserve"> </w:t>
      </w:r>
      <w:r w:rsidRPr="001B7BEC">
        <w:rPr>
          <w:noProof/>
          <w:szCs w:val="26"/>
        </w:rPr>
        <w:t xml:space="preserve">The same issue arises in relation to subregulations 5.01(2) and 5.02(2) of </w:t>
      </w:r>
      <w:r>
        <w:rPr>
          <w:noProof/>
          <w:szCs w:val="26"/>
        </w:rPr>
        <w:t xml:space="preserve">the second instrument mentioned. </w:t>
      </w:r>
      <w:r w:rsidRPr="0005499E">
        <w:rPr>
          <w:noProof/>
        </w:rPr>
        <w:t xml:space="preserve">The committee generally raises such matters on an advice-only basis in the interests of ensuring the highest quality of standards of drafting in legislative instruments in accordance with subsection 3(c) of the </w:t>
      </w:r>
      <w:r>
        <w:rPr>
          <w:i/>
          <w:noProof/>
        </w:rPr>
        <w:t>Legislative Instruments Act 2003</w:t>
      </w:r>
      <w:r w:rsidRPr="0005499E">
        <w:rPr>
          <w:noProof/>
        </w:rPr>
        <w:t xml:space="preserve">, which states that </w:t>
      </w:r>
      <w:r>
        <w:rPr>
          <w:noProof/>
        </w:rPr>
        <w:t xml:space="preserve">one of its </w:t>
      </w:r>
      <w:r w:rsidRPr="0005499E">
        <w:rPr>
          <w:noProof/>
        </w:rPr>
        <w:t>object</w:t>
      </w:r>
      <w:r>
        <w:rPr>
          <w:noProof/>
        </w:rPr>
        <w:t>s</w:t>
      </w:r>
      <w:r w:rsidRPr="0005499E">
        <w:rPr>
          <w:noProof/>
        </w:rPr>
        <w:t xml:space="preserve"> is 'encouraging high standards in the drafting of legislative instruments to promote their legal effectiveness, their clarity and their intelligibility to anticipated users'.</w:t>
      </w:r>
      <w:r>
        <w:rPr>
          <w:noProof/>
        </w:rPr>
        <w:t xml:space="preserve"> </w:t>
      </w:r>
      <w:r>
        <w:rPr>
          <w:b/>
          <w:noProof/>
        </w:rPr>
        <w:t>The committee will therefore draw the issue to the Attorney-General's attention</w:t>
      </w:r>
      <w:r>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Foreign Acquisitions and Takeovers Amendment Regulation 2012 (No. 1) [Select Legislative Instrument 2012 No. 309]</w:t>
      </w:r>
      <w:r>
        <w:rPr>
          <w:noProof/>
        </w:rPr>
        <w:t xml:space="preserve"> [F2012L02410]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Foreign Acquisitions and Takeovers Regulations 1</w:t>
            </w:r>
            <w:r>
              <w:rPr>
                <w:rFonts w:ascii="Times New Roman" w:hAnsi="Times New Roman"/>
                <w:noProof/>
                <w:sz w:val="24"/>
                <w:szCs w:val="24"/>
              </w:rPr>
              <w:t>989 to give effect to Australia'</w:t>
            </w:r>
            <w:r w:rsidRPr="00AD48AC">
              <w:rPr>
                <w:rFonts w:ascii="Times New Roman" w:hAnsi="Times New Roman"/>
                <w:noProof/>
                <w:sz w:val="24"/>
                <w:szCs w:val="24"/>
              </w:rPr>
              <w:t>s commitments under the Protocol on Investment to the Australia-New Zealand Closer Eco</w:t>
            </w:r>
            <w:r>
              <w:rPr>
                <w:rFonts w:ascii="Times New Roman" w:hAnsi="Times New Roman"/>
                <w:noProof/>
                <w:sz w:val="24"/>
                <w:szCs w:val="24"/>
              </w:rPr>
              <w:t>nomic Relations Trade Agreement</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624024" w:rsidRDefault="00D05709" w:rsidP="00D05709">
            <w:pPr>
              <w:pStyle w:val="letterheadbody"/>
              <w:spacing w:line="264" w:lineRule="auto"/>
              <w:ind w:left="0"/>
              <w:rPr>
                <w:rFonts w:ascii="Times New Roman" w:hAnsi="Times New Roman"/>
                <w:i/>
                <w:sz w:val="24"/>
                <w:szCs w:val="24"/>
              </w:rPr>
            </w:pPr>
            <w:r w:rsidRPr="00624024">
              <w:rPr>
                <w:rFonts w:ascii="Times New Roman" w:hAnsi="Times New Roman"/>
                <w:i/>
                <w:noProof/>
                <w:sz w:val="24"/>
                <w:szCs w:val="24"/>
              </w:rPr>
              <w:t>Foreign Acquisitions and Takeovers Act 1975</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rPr>
          <w:noProof/>
        </w:rPr>
      </w:pPr>
      <w:r>
        <w:t xml:space="preserve">(a) </w:t>
      </w:r>
      <w:r>
        <w:rPr>
          <w:noProof/>
        </w:rPr>
        <w:t>Drafting</w:t>
      </w:r>
    </w:p>
    <w:p w:rsidR="00D05709" w:rsidRPr="00896F9F" w:rsidRDefault="00D05709" w:rsidP="00D05709">
      <w:pPr>
        <w:rPr>
          <w:noProof/>
          <w:szCs w:val="26"/>
        </w:rPr>
      </w:pPr>
      <w:r>
        <w:rPr>
          <w:noProof/>
          <w:szCs w:val="26"/>
        </w:rPr>
        <w:t xml:space="preserve">The </w:t>
      </w:r>
      <w:r w:rsidRPr="00896F9F">
        <w:rPr>
          <w:noProof/>
          <w:szCs w:val="26"/>
        </w:rPr>
        <w:t>committee notes that section 2 of the instrument provides:</w:t>
      </w:r>
    </w:p>
    <w:p w:rsidR="00D05709" w:rsidRPr="00896F9F" w:rsidRDefault="00D05709" w:rsidP="00D05709">
      <w:pPr>
        <w:pStyle w:val="Quote"/>
        <w:rPr>
          <w:noProof/>
        </w:rPr>
      </w:pPr>
      <w:r w:rsidRPr="00896F9F">
        <w:rPr>
          <w:noProof/>
        </w:rPr>
        <w:t>(1) This regulation commences on the day notified by the Minister in an instrument.</w:t>
      </w:r>
    </w:p>
    <w:p w:rsidR="00D05709" w:rsidRPr="00896F9F" w:rsidRDefault="00D05709" w:rsidP="00D05709">
      <w:pPr>
        <w:pStyle w:val="Quote"/>
        <w:rPr>
          <w:noProof/>
        </w:rPr>
      </w:pPr>
      <w:r w:rsidRPr="00896F9F">
        <w:rPr>
          <w:noProof/>
        </w:rPr>
        <w:t>(2) An instrument made under subsection (1) is a legislative instrument, but neither section 42 (disallowance) nor Part 6 (sunsetting) of the Legislative Instruments Act 2003 applies to the instrument.</w:t>
      </w:r>
    </w:p>
    <w:p w:rsidR="00D05709" w:rsidRDefault="00D05709" w:rsidP="00D05709">
      <w:pPr>
        <w:rPr>
          <w:noProof/>
          <w:szCs w:val="26"/>
        </w:rPr>
      </w:pPr>
      <w:r w:rsidRPr="00896F9F">
        <w:rPr>
          <w:noProof/>
          <w:szCs w:val="26"/>
        </w:rPr>
        <w:t xml:space="preserve">In the committee's experience, declarations as to whether or not a particular instrument is a legislative instrument, and as to the application of section 4 (disallowance) and part 6 of the </w:t>
      </w:r>
      <w:r w:rsidRPr="00896F9F">
        <w:rPr>
          <w:i/>
          <w:noProof/>
          <w:szCs w:val="26"/>
        </w:rPr>
        <w:t>Legislative Instruments Act 2003</w:t>
      </w:r>
      <w:r w:rsidRPr="00896F9F">
        <w:rPr>
          <w:noProof/>
          <w:szCs w:val="26"/>
        </w:rPr>
        <w:t xml:space="preserve"> (the Act), are commonly situated in primary rather than subordinate legislation.</w:t>
      </w:r>
      <w:r>
        <w:rPr>
          <w:noProof/>
          <w:szCs w:val="26"/>
        </w:rPr>
        <w:t xml:space="preserve"> The basis for this approach is not apparent or otherwise addressed in the ES for the instrument. </w:t>
      </w:r>
      <w:r>
        <w:rPr>
          <w:b/>
          <w:noProof/>
          <w:szCs w:val="26"/>
        </w:rPr>
        <w:t>The committee will therefore seek further information from the Assistant Treasurer</w:t>
      </w:r>
      <w:r>
        <w:rPr>
          <w:noProof/>
          <w:szCs w:val="26"/>
        </w:rPr>
        <w:t>.</w:t>
      </w:r>
    </w:p>
    <w:p w:rsidR="00D05709" w:rsidRPr="00B54538" w:rsidRDefault="00D05709" w:rsidP="00D05709">
      <w:pPr>
        <w:pStyle w:val="Heading4"/>
        <w:numPr>
          <w:ilvl w:val="3"/>
          <w:numId w:val="21"/>
        </w:numPr>
        <w:spacing w:before="120" w:after="120"/>
        <w:rPr>
          <w:noProof/>
        </w:rPr>
      </w:pPr>
      <w:r>
        <w:rPr>
          <w:noProof/>
          <w:szCs w:val="26"/>
        </w:rPr>
        <w:t xml:space="preserve">(b) </w:t>
      </w:r>
      <w:r w:rsidRPr="00AD48AC">
        <w:rPr>
          <w:noProof/>
        </w:rPr>
        <w:t>Insufficient information regarding consultation</w:t>
      </w:r>
    </w:p>
    <w:p w:rsidR="00D05709" w:rsidRDefault="00D05709" w:rsidP="00D05709">
      <w:pPr>
        <w:spacing w:line="264" w:lineRule="auto"/>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 xml:space="preserve">With reference to these requirements, </w:t>
      </w:r>
      <w:r>
        <w:t xml:space="preserve">the committee notes that the ES for the instrument states only that </w:t>
      </w:r>
      <w:r w:rsidRPr="000E7DBE">
        <w:t>'the National Interest Analysis provided to the Joint Standing Committee outlines the extensive consultation process undertaken as part of the negotiations</w:t>
      </w:r>
      <w:r>
        <w:t>'</w:t>
      </w:r>
      <w:r w:rsidRPr="001B7BEC">
        <w:t>. While the committee doe</w:t>
      </w:r>
      <w:r>
        <w:t>s not usually interpret section </w:t>
      </w:r>
      <w:r w:rsidRPr="001B7BEC">
        <w:t xml:space="preserve">26 as requiring a highly detailed </w:t>
      </w:r>
      <w:r>
        <w:t xml:space="preserve">description of consultation undertaken (or </w:t>
      </w:r>
      <w:r w:rsidRPr="001B7BEC">
        <w:t>explanation as to why consultation was not undertaken</w:t>
      </w:r>
      <w:r>
        <w:t>)</w:t>
      </w:r>
      <w:r w:rsidRPr="001B7BEC">
        <w:t xml:space="preserve">, it considers that </w:t>
      </w:r>
      <w:r>
        <w:t xml:space="preserve">an overly bare or general explanation is </w:t>
      </w:r>
      <w:r w:rsidRPr="001B7BEC">
        <w:t>not sufficient to satisfy the requirement</w:t>
      </w:r>
      <w:r>
        <w:t xml:space="preserve">s of section 26 of the </w:t>
      </w:r>
      <w:r w:rsidRPr="000E7DBE">
        <w:rPr>
          <w:i/>
          <w:noProof/>
        </w:rPr>
        <w:t>Legislative Instruments Act 2003</w:t>
      </w:r>
      <w:r w:rsidRPr="001B7BEC">
        <w:t>.</w:t>
      </w:r>
      <w:r>
        <w:t xml:space="preserve">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 xml:space="preserve">from </w:t>
      </w:r>
      <w:r w:rsidRPr="00940F8E">
        <w:rPr>
          <w:b/>
          <w:noProof/>
        </w:rPr>
        <w:lastRenderedPageBreak/>
        <w:t xml:space="preserve">the </w:t>
      </w:r>
      <w:r>
        <w:rPr>
          <w:b/>
          <w:noProof/>
        </w:rPr>
        <w:t>Assistant Treasurer</w:t>
      </w:r>
      <w:r w:rsidRPr="00940F8E">
        <w:rPr>
          <w:b/>
          <w:noProof/>
        </w:rPr>
        <w:t xml:space="preserve"> and</w:t>
      </w:r>
      <w:r>
        <w:rPr>
          <w:b/>
          <w:noProof/>
        </w:rPr>
        <w:t xml:space="preserve"> </w:t>
      </w:r>
      <w:r w:rsidRPr="00940F8E">
        <w:rPr>
          <w:b/>
          <w:noProof/>
        </w:rPr>
        <w:t xml:space="preserve">request that the ES be updated in accordance with the requirements of the </w:t>
      </w:r>
      <w:r w:rsidRPr="00E2599D">
        <w:rPr>
          <w:b/>
          <w:i/>
          <w:noProof/>
        </w:rPr>
        <w:t>Legislative Instruments Act 2003</w:t>
      </w:r>
      <w:r w:rsidRPr="00B33637">
        <w:rPr>
          <w:noProof/>
        </w:rPr>
        <w:t>.</w:t>
      </w:r>
    </w:p>
    <w:p w:rsidR="00D05709" w:rsidRPr="00B54538" w:rsidRDefault="00D05709" w:rsidP="00D05709">
      <w:pPr>
        <w:pStyle w:val="Heading3"/>
        <w:spacing w:before="600"/>
      </w:pPr>
      <w:r w:rsidRPr="00AD48AC">
        <w:rPr>
          <w:noProof/>
        </w:rPr>
        <w:t xml:space="preserve">Health Insurance (Diagnostic Imaging Services Table) Amendment Regulation 2012 (No. 1) [Select Legislative Instrument 2012 No. 295] </w:t>
      </w:r>
      <w:r>
        <w:rPr>
          <w:noProof/>
        </w:rPr>
        <w:t>[F2012L02399]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Health Insurance (Diagnostic Imaging Services Table) Regulation 2012 to correct an error i</w:t>
            </w:r>
            <w:r>
              <w:rPr>
                <w:rFonts w:ascii="Times New Roman" w:hAnsi="Times New Roman"/>
                <w:noProof/>
                <w:sz w:val="24"/>
                <w:szCs w:val="24"/>
              </w:rPr>
              <w:t>n the description of item 63513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896F9F" w:rsidRDefault="00D05709" w:rsidP="00D05709">
            <w:pPr>
              <w:pStyle w:val="letterheadbody"/>
              <w:spacing w:line="264" w:lineRule="auto"/>
              <w:ind w:left="0"/>
              <w:rPr>
                <w:rFonts w:ascii="Times New Roman" w:hAnsi="Times New Roman"/>
                <w:i/>
                <w:sz w:val="24"/>
                <w:szCs w:val="24"/>
              </w:rPr>
            </w:pPr>
            <w:r w:rsidRPr="00896F9F">
              <w:rPr>
                <w:rFonts w:ascii="Times New Roman" w:hAnsi="Times New Roman"/>
                <w:i/>
                <w:noProof/>
                <w:sz w:val="24"/>
                <w:szCs w:val="24"/>
              </w:rPr>
              <w:t>Health Insurance Act 1973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Health and Ageing</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sidRPr="00AD48AC">
        <w:rPr>
          <w:noProof/>
          <w:szCs w:val="26"/>
        </w:rPr>
        <w:t xml:space="preserve"> </w:t>
      </w:r>
      <w:r>
        <w:rPr>
          <w:noProof/>
          <w:szCs w:val="26"/>
        </w:rPr>
        <w:t>With reference to these requirements</w:t>
      </w:r>
      <w:r w:rsidRPr="00B64E4B">
        <w:t xml:space="preserve">, the committee notes that on the issue of consultation the ES </w:t>
      </w:r>
      <w:r>
        <w:t xml:space="preserve">for </w:t>
      </w:r>
      <w:r w:rsidRPr="00B64E4B">
        <w:t>the instrument states only that the 'change is a minor amendment to correct an omission in the Principal Regulation'. In the committee's view, this statement is not sufficient to satisfy the requirement that an ES describe the nature of consultation undertaken, or provide an explanation of why consultation was not undertaken.</w:t>
      </w:r>
      <w:r>
        <w:t xml:space="preserve">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 xml:space="preserve">from the minister and request that the ES be updated in accordance with the requirements of the </w:t>
      </w:r>
      <w:r w:rsidRPr="00E2599D">
        <w:rPr>
          <w:b/>
          <w:i/>
          <w:noProof/>
        </w:rPr>
        <w:t>Legislative Instruments Act 2003</w:t>
      </w:r>
      <w:r w:rsidRPr="00B33637">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Health Insurance (General Medical Services Table) Amendment Regulation 2012 (No. 5) [Select Legislative Instrument 2012 No. 296]</w:t>
      </w:r>
      <w:r>
        <w:rPr>
          <w:noProof/>
        </w:rPr>
        <w:t xml:space="preserve"> </w:t>
      </w:r>
      <w:r w:rsidRPr="007A0A79">
        <w:rPr>
          <w:noProof/>
        </w:rPr>
        <w:t>[F2012L02406]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Health Insurance (General Medical Services Table) Regulation 2012 to include a number of minor changes to implement Government p</w:t>
            </w:r>
            <w:r>
              <w:rPr>
                <w:rFonts w:ascii="Times New Roman" w:hAnsi="Times New Roman"/>
                <w:noProof/>
                <w:sz w:val="24"/>
                <w:szCs w:val="24"/>
              </w:rPr>
              <w:t>olicies in relation to Medicare</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7A0A79" w:rsidRDefault="00D05709" w:rsidP="00D05709">
            <w:pPr>
              <w:pStyle w:val="letterheadbody"/>
              <w:spacing w:line="264" w:lineRule="auto"/>
              <w:ind w:left="0"/>
              <w:rPr>
                <w:rFonts w:ascii="Times New Roman" w:hAnsi="Times New Roman"/>
                <w:i/>
                <w:sz w:val="24"/>
                <w:szCs w:val="24"/>
              </w:rPr>
            </w:pPr>
            <w:r w:rsidRPr="007A0A79">
              <w:rPr>
                <w:rFonts w:ascii="Times New Roman" w:hAnsi="Times New Roman"/>
                <w:i/>
                <w:noProof/>
                <w:sz w:val="24"/>
                <w:szCs w:val="24"/>
              </w:rPr>
              <w:t>Health Insurance Act 1973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Health and Ageing</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ISSUES:</w:t>
      </w:r>
    </w:p>
    <w:p w:rsidR="00D05709" w:rsidRPr="00B54538" w:rsidRDefault="00D05709" w:rsidP="00D05709">
      <w:pPr>
        <w:pStyle w:val="Heading4"/>
        <w:numPr>
          <w:ilvl w:val="3"/>
          <w:numId w:val="21"/>
        </w:numPr>
        <w:spacing w:before="120" w:after="120"/>
        <w:rPr>
          <w:noProof/>
        </w:rPr>
      </w:pPr>
      <w:r>
        <w:rPr>
          <w:noProof/>
        </w:rPr>
        <w:t>(a) I</w:t>
      </w:r>
      <w:r w:rsidRPr="00AD48AC">
        <w:rPr>
          <w:noProof/>
        </w:rPr>
        <w:t>nsufficient information regarding consultation</w:t>
      </w:r>
    </w:p>
    <w:p w:rsidR="00D05709" w:rsidRPr="00AD48AC" w:rsidRDefault="00D05709" w:rsidP="00D05709">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rPr>
        <w:t xml:space="preserve"> With reference to these requirements, the committee notes that the ES that accompanies the instrument states only that the 'change is a minor amendment to correct an omission in the Principal Regulation'. In the committee's view, this statement is not sufficient to satisfy the requirement that an ES describe the nature of consultation undertaken, or provide an explanation of why consultation was not undertaken.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from the minister and</w:t>
      </w:r>
      <w:r>
        <w:rPr>
          <w:b/>
          <w:noProof/>
        </w:rPr>
        <w:t xml:space="preserve"> </w:t>
      </w:r>
      <w:r w:rsidRPr="00940F8E">
        <w:rPr>
          <w:b/>
          <w:noProof/>
        </w:rPr>
        <w:t xml:space="preserve">request that the ES be updated in accordance with the requirements of the </w:t>
      </w:r>
      <w:r w:rsidRPr="007A0A79">
        <w:rPr>
          <w:b/>
          <w:i/>
          <w:noProof/>
        </w:rPr>
        <w:t>Legislative Instruments Act 2003</w:t>
      </w:r>
      <w:r>
        <w:rPr>
          <w:noProof/>
        </w:rPr>
        <w:t>.</w:t>
      </w:r>
    </w:p>
    <w:p w:rsidR="00D05709" w:rsidRDefault="00D05709" w:rsidP="00D05709">
      <w:pPr>
        <w:pStyle w:val="Heading4"/>
        <w:numPr>
          <w:ilvl w:val="3"/>
          <w:numId w:val="21"/>
        </w:numPr>
        <w:rPr>
          <w:noProof/>
        </w:rPr>
      </w:pPr>
      <w:r>
        <w:rPr>
          <w:noProof/>
        </w:rPr>
        <w:t>(b) drafting</w:t>
      </w:r>
    </w:p>
    <w:p w:rsidR="00D05709" w:rsidRPr="0005499E" w:rsidRDefault="00D05709" w:rsidP="00D05709">
      <w:pPr>
        <w:pStyle w:val="Level1"/>
        <w:numPr>
          <w:ilvl w:val="0"/>
          <w:numId w:val="0"/>
        </w:numPr>
        <w:rPr>
          <w:noProof/>
        </w:rPr>
      </w:pPr>
      <w:r>
        <w:rPr>
          <w:noProof/>
        </w:rPr>
        <w:t>The committee notes that i</w:t>
      </w:r>
      <w:r w:rsidRPr="00AD48AC">
        <w:rPr>
          <w:noProof/>
        </w:rPr>
        <w:t xml:space="preserve">n item [14] of schedule 1 the reference to </w:t>
      </w:r>
      <w:r>
        <w:rPr>
          <w:noProof/>
        </w:rPr>
        <w:t>'</w:t>
      </w:r>
      <w:r w:rsidRPr="00AD48AC">
        <w:rPr>
          <w:noProof/>
        </w:rPr>
        <w:t>Clause 2.11.1 table, item 389</w:t>
      </w:r>
      <w:r>
        <w:rPr>
          <w:noProof/>
        </w:rPr>
        <w:t>.</w:t>
      </w:r>
      <w:r w:rsidRPr="00AD48AC">
        <w:rPr>
          <w:noProof/>
        </w:rPr>
        <w:t xml:space="preserve"> should presumably be a reference to </w:t>
      </w:r>
      <w:r>
        <w:rPr>
          <w:noProof/>
        </w:rPr>
        <w:t>'</w:t>
      </w:r>
      <w:r w:rsidRPr="00AD48AC">
        <w:rPr>
          <w:noProof/>
        </w:rPr>
        <w:t>clause 2.11.1, table, item 389</w:t>
      </w:r>
      <w:r>
        <w:rPr>
          <w:noProof/>
        </w:rPr>
        <w:t>'</w:t>
      </w:r>
      <w:r w:rsidRPr="00AD48AC">
        <w:rPr>
          <w:noProof/>
        </w:rPr>
        <w:t>.</w:t>
      </w:r>
      <w:r>
        <w:rPr>
          <w:noProof/>
        </w:rPr>
        <w:t xml:space="preserve"> </w:t>
      </w:r>
      <w:r w:rsidRPr="0005499E">
        <w:rPr>
          <w:noProof/>
        </w:rPr>
        <w:t xml:space="preserve">The committee generally raises such matters on an advice-only basis in the interests of ensuring the highest quality of standards of drafting in legislative instruments in accordance with subsection 3(c) of the </w:t>
      </w:r>
      <w:r>
        <w:rPr>
          <w:i/>
          <w:noProof/>
        </w:rPr>
        <w:t>Legislative Instruments Act 2003</w:t>
      </w:r>
      <w:r w:rsidRPr="0005499E">
        <w:rPr>
          <w:noProof/>
        </w:rPr>
        <w:t xml:space="preserve">, which states that </w:t>
      </w:r>
      <w:r>
        <w:rPr>
          <w:noProof/>
        </w:rPr>
        <w:t xml:space="preserve">one of its </w:t>
      </w:r>
      <w:r w:rsidRPr="0005499E">
        <w:rPr>
          <w:noProof/>
        </w:rPr>
        <w:t>object</w:t>
      </w:r>
      <w:r>
        <w:rPr>
          <w:noProof/>
        </w:rPr>
        <w:t>s</w:t>
      </w:r>
      <w:r w:rsidRPr="0005499E">
        <w:rPr>
          <w:noProof/>
        </w:rPr>
        <w:t xml:space="preserve"> is 'encouraging high standards in the drafting of legislative instruments to promote their legal effectiveness, their clarity and their intelligibility to anticipated users'.</w:t>
      </w:r>
      <w:r>
        <w:rPr>
          <w:noProof/>
        </w:rPr>
        <w:t xml:space="preserve"> </w:t>
      </w:r>
      <w:r>
        <w:rPr>
          <w:b/>
          <w:noProof/>
        </w:rPr>
        <w:t>The committee will therefore draw the issue to the minister's attention</w:t>
      </w:r>
      <w:r>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 xml:space="preserve">Legislative Instruments Amendment Regulation 2012 (No. 2) [Select Legislative Instrument 2012 No. 283] </w:t>
      </w:r>
      <w:r>
        <w:rPr>
          <w:noProof/>
        </w:rPr>
        <w:t>[F2012L02376]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Legislative Instruments Regulations 2004 to make technical amendments which relate to amendments made to the Intelligence Services Act 2001 in July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AC5DB8" w:rsidRDefault="00D05709" w:rsidP="00D05709">
            <w:pPr>
              <w:pStyle w:val="letterheadbody"/>
              <w:spacing w:line="264" w:lineRule="auto"/>
              <w:ind w:left="0"/>
              <w:rPr>
                <w:rFonts w:ascii="Times New Roman" w:hAnsi="Times New Roman"/>
                <w:i/>
                <w:sz w:val="24"/>
                <w:szCs w:val="24"/>
              </w:rPr>
            </w:pPr>
            <w:r w:rsidRPr="00AC5DB8">
              <w:rPr>
                <w:rFonts w:ascii="Times New Roman" w:hAnsi="Times New Roman"/>
                <w:i/>
                <w:noProof/>
                <w:sz w:val="24"/>
                <w:szCs w:val="24"/>
              </w:rPr>
              <w:t>Legislative Instruments Act 2003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Attorney-General's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 xml:space="preserve">No </w:t>
      </w:r>
      <w:r>
        <w:rPr>
          <w:noProof/>
        </w:rPr>
        <w:t>information</w:t>
      </w:r>
      <w:r w:rsidRPr="00AD48AC">
        <w:rPr>
          <w:noProof/>
        </w:rPr>
        <w:t xml:space="preserve">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 xml:space="preserve">from the </w:t>
      </w:r>
      <w:r>
        <w:rPr>
          <w:b/>
          <w:noProof/>
        </w:rPr>
        <w:t>Attorney-General</w:t>
      </w:r>
      <w:r w:rsidRPr="00940F8E">
        <w:rPr>
          <w:b/>
          <w:noProof/>
        </w:rPr>
        <w:t xml:space="preserve"> and request that the ES be updated in accordance with the requirements of the </w:t>
      </w:r>
      <w:r w:rsidRPr="00E2599D">
        <w:rPr>
          <w:b/>
          <w:i/>
          <w:noProof/>
        </w:rPr>
        <w:t>Legislative Instruments Act 2003</w:t>
      </w:r>
      <w:r>
        <w:rPr>
          <w:noProof/>
        </w:rPr>
        <w:t>.</w:t>
      </w:r>
    </w:p>
    <w:p w:rsidR="00D05709" w:rsidRPr="00B54538" w:rsidRDefault="00D05709" w:rsidP="00D05709">
      <w:pPr>
        <w:pStyle w:val="Heading3"/>
        <w:spacing w:before="600"/>
      </w:pPr>
      <w:r w:rsidRPr="00AD48AC">
        <w:rPr>
          <w:noProof/>
        </w:rPr>
        <w:t xml:space="preserve">Life Insurance Amendment Regulation 2012 (No. 1) [Select Legislative Instrument 2012 No. 311] </w:t>
      </w:r>
      <w:r>
        <w:rPr>
          <w:noProof/>
        </w:rPr>
        <w:t>[F2012L02401]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 mends the Life Insurance Regulations 1995 to implement a commitment by Australia to allow New Zealand life insurance companies to seek approval to o</w:t>
            </w:r>
            <w:r>
              <w:rPr>
                <w:rFonts w:ascii="Times New Roman" w:hAnsi="Times New Roman"/>
                <w:noProof/>
                <w:sz w:val="24"/>
                <w:szCs w:val="24"/>
              </w:rPr>
              <w:t>perate in Australia as a branch</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7B2516" w:rsidRDefault="00D05709" w:rsidP="00D05709">
            <w:pPr>
              <w:pStyle w:val="letterheadbody"/>
              <w:spacing w:line="264" w:lineRule="auto"/>
              <w:ind w:left="0"/>
              <w:rPr>
                <w:rFonts w:ascii="Times New Roman" w:hAnsi="Times New Roman"/>
                <w:i/>
                <w:sz w:val="24"/>
                <w:szCs w:val="24"/>
              </w:rPr>
            </w:pPr>
            <w:r w:rsidRPr="007B2516">
              <w:rPr>
                <w:rFonts w:ascii="Times New Roman" w:hAnsi="Times New Roman"/>
                <w:i/>
                <w:noProof/>
                <w:sz w:val="24"/>
                <w:szCs w:val="24"/>
              </w:rPr>
              <w:t>Life Insurance Act 1995</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Pr="00AD48AC" w:rsidRDefault="00D05709" w:rsidP="00D05709">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 xml:space="preserve">hy none was undertaken </w:t>
      </w:r>
      <w:r>
        <w:rPr>
          <w:noProof/>
          <w:szCs w:val="26"/>
        </w:rPr>
        <w:lastRenderedPageBreak/>
        <w:t>(section </w:t>
      </w:r>
      <w:r w:rsidRPr="00AE3138">
        <w:rPr>
          <w:noProof/>
          <w:szCs w:val="26"/>
        </w:rPr>
        <w:t>26).</w:t>
      </w:r>
      <w:r>
        <w:rPr>
          <w:noProof/>
        </w:rPr>
        <w:t xml:space="preserve"> With reference to these requirements, the committee notes that the ES that accompanies the instrument states only that </w:t>
      </w:r>
      <w:r w:rsidRPr="00F52808">
        <w:rPr>
          <w:noProof/>
        </w:rPr>
        <w:t>'the National Interest Analysis provided to the Joint Standing Committee outlines the extensive consultation process undertaken as part of the negotiations consultation'</w:t>
      </w:r>
      <w:r>
        <w:rPr>
          <w:noProof/>
        </w:rPr>
        <w:t xml:space="preserve">. In the committee's view, this statement is not sufficient to satisfy the requirement that an ES describe the nature of consultation undertaken or, alternatively, provide an explanation of why consultation was not undertaken. </w:t>
      </w:r>
      <w:r w:rsidRPr="00940F8E">
        <w:rPr>
          <w:b/>
          <w:noProof/>
        </w:rPr>
        <w:t xml:space="preserve">The committee will </w:t>
      </w:r>
      <w:r>
        <w:rPr>
          <w:b/>
          <w:noProof/>
        </w:rPr>
        <w:t xml:space="preserve">therefore </w:t>
      </w:r>
      <w:r w:rsidRPr="00940F8E">
        <w:rPr>
          <w:b/>
          <w:noProof/>
        </w:rPr>
        <w:t xml:space="preserve">seek further </w:t>
      </w:r>
      <w:r>
        <w:rPr>
          <w:b/>
          <w:noProof/>
        </w:rPr>
        <w:t xml:space="preserve">information </w:t>
      </w:r>
      <w:r w:rsidRPr="00940F8E">
        <w:rPr>
          <w:b/>
          <w:noProof/>
        </w:rPr>
        <w:t>from the minister and</w:t>
      </w:r>
      <w:r>
        <w:rPr>
          <w:b/>
          <w:noProof/>
        </w:rPr>
        <w:t xml:space="preserve"> </w:t>
      </w:r>
      <w:r w:rsidRPr="00940F8E">
        <w:rPr>
          <w:b/>
          <w:noProof/>
        </w:rPr>
        <w:t xml:space="preserve">request that the ES be updated in accordance with the requirements of the </w:t>
      </w:r>
      <w:r w:rsidRPr="007A0A79">
        <w:rPr>
          <w:b/>
          <w:i/>
          <w:noProof/>
        </w:rPr>
        <w:t>Legislative Instruments Act 2003</w:t>
      </w:r>
      <w:r>
        <w:rPr>
          <w:noProof/>
        </w:rPr>
        <w:t>.</w:t>
      </w:r>
    </w:p>
    <w:p w:rsidR="00D05709" w:rsidRPr="00B54538" w:rsidRDefault="00D05709" w:rsidP="00D05709">
      <w:pPr>
        <w:pStyle w:val="Heading3"/>
        <w:spacing w:before="600"/>
      </w:pPr>
      <w:r w:rsidRPr="00AD48AC">
        <w:rPr>
          <w:noProof/>
        </w:rPr>
        <w:t xml:space="preserve">Motor Vehicle Standards Amendment Regulation 2012 (No. 1) [Select Legislative Instrument 2012 No. 305] </w:t>
      </w:r>
      <w:r>
        <w:rPr>
          <w:noProof/>
        </w:rPr>
        <w:t>[F2012L02377]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Motor Veh</w:t>
            </w:r>
            <w:r>
              <w:rPr>
                <w:rFonts w:ascii="Times New Roman" w:hAnsi="Times New Roman"/>
                <w:noProof/>
                <w:sz w:val="24"/>
                <w:szCs w:val="24"/>
              </w:rPr>
              <w:t>icle Standards Regulations 1989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F52808" w:rsidRDefault="00D05709" w:rsidP="00D05709">
            <w:pPr>
              <w:pStyle w:val="letterheadbody"/>
              <w:spacing w:line="264" w:lineRule="auto"/>
              <w:ind w:left="0"/>
              <w:rPr>
                <w:rFonts w:ascii="Times New Roman" w:hAnsi="Times New Roman"/>
                <w:i/>
                <w:sz w:val="24"/>
                <w:szCs w:val="24"/>
              </w:rPr>
            </w:pPr>
            <w:r w:rsidRPr="00F52808">
              <w:rPr>
                <w:rFonts w:ascii="Times New Roman" w:hAnsi="Times New Roman"/>
                <w:i/>
                <w:noProof/>
                <w:sz w:val="24"/>
                <w:szCs w:val="24"/>
              </w:rPr>
              <w:t>Motor Vehicle Standards Act 1989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Infrastructure and Transport</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Default="00D05709" w:rsidP="00D05709">
      <w:pPr>
        <w:rPr>
          <w:noProof/>
        </w:rPr>
      </w:pPr>
      <w:r>
        <w:rPr>
          <w:noProof/>
          <w:szCs w:val="26"/>
        </w:rPr>
        <w:t>T</w:t>
      </w:r>
      <w:r w:rsidRPr="00F52808">
        <w:rPr>
          <w:noProof/>
          <w:szCs w:val="26"/>
        </w:rPr>
        <w:t xml:space="preserve">he committee notes that paragraph 6 of the </w:t>
      </w:r>
      <w:r>
        <w:rPr>
          <w:noProof/>
          <w:szCs w:val="26"/>
        </w:rPr>
        <w:t xml:space="preserve">ES </w:t>
      </w:r>
      <w:r w:rsidRPr="00F52808">
        <w:rPr>
          <w:noProof/>
          <w:szCs w:val="26"/>
        </w:rPr>
        <w:t>for this instrument refers to the 'Principle regulations'.</w:t>
      </w:r>
      <w:r w:rsidRPr="00F52808">
        <w:rPr>
          <w:noProof/>
        </w:rPr>
        <w:t xml:space="preserve"> </w:t>
      </w:r>
      <w:r w:rsidRPr="0005499E">
        <w:rPr>
          <w:noProof/>
        </w:rPr>
        <w:t xml:space="preserve">The committee generally raises such matters on an advice-only basis in the interests of ensuring the highest quality of standards of drafting in legislative instruments in accordance with subsection 3(c) of the </w:t>
      </w:r>
      <w:r>
        <w:rPr>
          <w:i/>
          <w:noProof/>
        </w:rPr>
        <w:t>Legislative Instruments Act 2003</w:t>
      </w:r>
      <w:r w:rsidRPr="0005499E">
        <w:rPr>
          <w:noProof/>
        </w:rPr>
        <w:t xml:space="preserve">, which states that </w:t>
      </w:r>
      <w:r>
        <w:rPr>
          <w:noProof/>
        </w:rPr>
        <w:t xml:space="preserve">one of its </w:t>
      </w:r>
      <w:r w:rsidRPr="0005499E">
        <w:rPr>
          <w:noProof/>
        </w:rPr>
        <w:t>object</w:t>
      </w:r>
      <w:r>
        <w:rPr>
          <w:noProof/>
        </w:rPr>
        <w:t>s</w:t>
      </w:r>
      <w:r w:rsidRPr="0005499E">
        <w:rPr>
          <w:noProof/>
        </w:rPr>
        <w:t xml:space="preserve"> is 'encouraging high standards in the drafting of legislative instruments to promote their legal effectiveness, their clarity and their intelligibility to anticipated users'.</w:t>
      </w:r>
      <w:r>
        <w:rPr>
          <w:noProof/>
        </w:rPr>
        <w:t xml:space="preserve"> </w:t>
      </w:r>
      <w:r>
        <w:rPr>
          <w:b/>
          <w:noProof/>
        </w:rPr>
        <w:t>The committee will therefore draw the issue to the minister's attention</w:t>
      </w:r>
      <w:r>
        <w:rPr>
          <w:noProof/>
        </w:rPr>
        <w:t>.</w:t>
      </w:r>
    </w:p>
    <w:p w:rsidR="00D05709" w:rsidRDefault="00D05709" w:rsidP="00D05709">
      <w:pPr>
        <w:spacing w:after="0"/>
        <w:jc w:val="left"/>
        <w:rPr>
          <w:b/>
          <w:noProof/>
          <w:sz w:val="28"/>
        </w:rPr>
      </w:pPr>
      <w:r>
        <w:rPr>
          <w:noProof/>
        </w:rPr>
        <w:br w:type="page"/>
      </w:r>
    </w:p>
    <w:p w:rsidR="00D05709" w:rsidRDefault="00D05709" w:rsidP="00D05709">
      <w:pPr>
        <w:pStyle w:val="Heading3"/>
        <w:rPr>
          <w:noProof/>
        </w:rPr>
      </w:pPr>
      <w:r w:rsidRPr="00AD48AC">
        <w:rPr>
          <w:noProof/>
        </w:rPr>
        <w:lastRenderedPageBreak/>
        <w:t>Retirement Savings Accounts Amendment Regulation 2012 (No. 3) [Select Legislativ</w:t>
      </w:r>
      <w:r>
        <w:rPr>
          <w:noProof/>
        </w:rPr>
        <w:t>e Instrument 2012 No. 315] [F2012L02403]; and</w:t>
      </w:r>
    </w:p>
    <w:p w:rsidR="00D05709" w:rsidRPr="00B54538" w:rsidRDefault="00D05709" w:rsidP="00D05709">
      <w:pPr>
        <w:pStyle w:val="Heading3"/>
      </w:pPr>
      <w:r w:rsidRPr="00AD48AC">
        <w:rPr>
          <w:noProof/>
        </w:rPr>
        <w:t>Superannuation Industry (Supervision)</w:t>
      </w:r>
      <w:r>
        <w:rPr>
          <w:noProof/>
        </w:rPr>
        <w:t xml:space="preserve"> Amendment Regulation 2012 (No. </w:t>
      </w:r>
      <w:r w:rsidRPr="00AD48AC">
        <w:rPr>
          <w:noProof/>
        </w:rPr>
        <w:t>4) [Select Legislative Instrument 2012 No. 316]</w:t>
      </w:r>
      <w:r>
        <w:rPr>
          <w:noProof/>
        </w:rPr>
        <w:t xml:space="preserve"> </w:t>
      </w:r>
      <w:r w:rsidRPr="00CF6D21">
        <w:rPr>
          <w:noProof/>
        </w:rPr>
        <w:t>[F2012L02386]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These instruments amend the Retirement Savings Accounts Regulations 1997 and the Superannuation Industry (Supervision) Reg</w:t>
            </w:r>
            <w:r>
              <w:rPr>
                <w:rFonts w:ascii="Times New Roman" w:hAnsi="Times New Roman"/>
                <w:noProof/>
                <w:sz w:val="24"/>
                <w:szCs w:val="24"/>
              </w:rPr>
              <w:t>ulations 1994 to introduce a 12-</w:t>
            </w:r>
            <w:r w:rsidRPr="00AD48AC">
              <w:rPr>
                <w:rFonts w:ascii="Times New Roman" w:hAnsi="Times New Roman"/>
                <w:noProof/>
                <w:sz w:val="24"/>
                <w:szCs w:val="24"/>
              </w:rPr>
              <w:t>month inactivity test for uncontacta</w:t>
            </w:r>
            <w:r>
              <w:rPr>
                <w:rFonts w:ascii="Times New Roman" w:hAnsi="Times New Roman"/>
                <w:noProof/>
                <w:sz w:val="24"/>
                <w:szCs w:val="24"/>
              </w:rPr>
              <w:t>ble members of a super fund</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F52808">
              <w:rPr>
                <w:rFonts w:ascii="Times New Roman" w:hAnsi="Times New Roman"/>
                <w:i/>
                <w:noProof/>
                <w:sz w:val="24"/>
                <w:szCs w:val="24"/>
              </w:rPr>
              <w:t>Retirement Savings Accounts Act 1997</w:t>
            </w:r>
            <w:r w:rsidRPr="00AD48AC">
              <w:rPr>
                <w:rFonts w:ascii="Times New Roman" w:hAnsi="Times New Roman"/>
                <w:noProof/>
                <w:sz w:val="24"/>
                <w:szCs w:val="24"/>
              </w:rPr>
              <w:t xml:space="preserve">; and </w:t>
            </w:r>
            <w:r w:rsidRPr="00F52808">
              <w:rPr>
                <w:rFonts w:ascii="Times New Roman" w:hAnsi="Times New Roman"/>
                <w:i/>
                <w:noProof/>
                <w:sz w:val="24"/>
                <w:szCs w:val="24"/>
              </w:rPr>
              <w:t>Superannuation Industry (Supervision) Act 1993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Insufficient information regarding consultation</w:t>
      </w:r>
    </w:p>
    <w:p w:rsidR="00D05709" w:rsidRPr="00AD48AC" w:rsidRDefault="00D05709" w:rsidP="00D05709">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Pr>
          <w:noProof/>
        </w:rPr>
        <w:t>With reference to these requirements, the committee notes that t</w:t>
      </w:r>
      <w:r w:rsidRPr="00A41691">
        <w:rPr>
          <w:noProof/>
        </w:rPr>
        <w:t>he instrument address</w:t>
      </w:r>
      <w:r>
        <w:rPr>
          <w:noProof/>
        </w:rPr>
        <w:t>es</w:t>
      </w:r>
      <w:r w:rsidRPr="00A41691">
        <w:rPr>
          <w:noProof/>
        </w:rPr>
        <w:t xml:space="preserve"> the issue of consultation </w:t>
      </w:r>
      <w:r>
        <w:rPr>
          <w:noProof/>
        </w:rPr>
        <w:t xml:space="preserve">only </w:t>
      </w:r>
      <w:r w:rsidRPr="00A41691">
        <w:rPr>
          <w:noProof/>
        </w:rPr>
        <w:t xml:space="preserve">indirectly </w:t>
      </w:r>
      <w:r>
        <w:rPr>
          <w:noProof/>
        </w:rPr>
        <w:t xml:space="preserve">(and </w:t>
      </w:r>
      <w:r w:rsidRPr="00A41691">
        <w:rPr>
          <w:noProof/>
        </w:rPr>
        <w:t>apparently seek</w:t>
      </w:r>
      <w:r>
        <w:rPr>
          <w:noProof/>
        </w:rPr>
        <w:t>s</w:t>
      </w:r>
      <w:r w:rsidRPr="00A41691">
        <w:rPr>
          <w:noProof/>
        </w:rPr>
        <w:t xml:space="preserve"> to rely on an inquiry into the Treasury Legislation Amendment (Unclaimed Money and Other Measures) Bill 2012 conducted by the Senate </w:t>
      </w:r>
      <w:r>
        <w:rPr>
          <w:noProof/>
        </w:rPr>
        <w:t xml:space="preserve">Standing </w:t>
      </w:r>
      <w:r w:rsidRPr="00A41691">
        <w:rPr>
          <w:noProof/>
        </w:rPr>
        <w:t>Committee</w:t>
      </w:r>
      <w:r>
        <w:rPr>
          <w:noProof/>
        </w:rPr>
        <w:t xml:space="preserve"> on Economics)</w:t>
      </w:r>
      <w:r w:rsidRPr="00A41691">
        <w:rPr>
          <w:noProof/>
        </w:rPr>
        <w:t>.</w:t>
      </w:r>
      <w:r>
        <w:rPr>
          <w:noProof/>
        </w:rPr>
        <w:t xml:space="preserve"> </w:t>
      </w:r>
      <w:r w:rsidRPr="00A41691">
        <w:rPr>
          <w:noProof/>
        </w:rPr>
        <w:t xml:space="preserve">In the committee's view, the information provided in the ES is not sufficient to satisfy the requirement that an </w:t>
      </w:r>
      <w:r>
        <w:rPr>
          <w:noProof/>
        </w:rPr>
        <w:t xml:space="preserve">ES </w:t>
      </w:r>
      <w:r w:rsidRPr="00A41691">
        <w:rPr>
          <w:noProof/>
        </w:rPr>
        <w:t>describe the nature of consultation undertaken in relation to the making of an instrument.</w:t>
      </w:r>
      <w:r>
        <w:rPr>
          <w:noProof/>
        </w:rPr>
        <w:t xml:space="preserve"> </w:t>
      </w:r>
      <w:r w:rsidRPr="00940F8E">
        <w:rPr>
          <w:b/>
          <w:noProof/>
        </w:rPr>
        <w:t xml:space="preserve">The committee will </w:t>
      </w:r>
      <w:r>
        <w:rPr>
          <w:b/>
          <w:noProof/>
        </w:rPr>
        <w:t xml:space="preserve">therefore </w:t>
      </w:r>
      <w:r w:rsidRPr="00940F8E">
        <w:rPr>
          <w:b/>
          <w:noProof/>
        </w:rPr>
        <w:t xml:space="preserve">seek further </w:t>
      </w:r>
      <w:r>
        <w:rPr>
          <w:b/>
          <w:noProof/>
        </w:rPr>
        <w:t>information</w:t>
      </w:r>
      <w:r w:rsidRPr="00940F8E">
        <w:rPr>
          <w:b/>
          <w:noProof/>
        </w:rPr>
        <w:t xml:space="preserve"> from the minister and</w:t>
      </w:r>
      <w:r>
        <w:rPr>
          <w:b/>
          <w:noProof/>
        </w:rPr>
        <w:t xml:space="preserve"> </w:t>
      </w:r>
      <w:r w:rsidRPr="00940F8E">
        <w:rPr>
          <w:b/>
          <w:noProof/>
        </w:rPr>
        <w:t xml:space="preserve">request that the ES be updated in accordance with the requirements of the </w:t>
      </w:r>
      <w:r w:rsidRPr="007A0A79">
        <w:rPr>
          <w:b/>
          <w:i/>
          <w:noProof/>
        </w:rPr>
        <w:t>Legislative Instruments Act 2003</w:t>
      </w:r>
      <w:r>
        <w:rPr>
          <w:noProof/>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pPr>
      <w:r w:rsidRPr="00AD48AC">
        <w:rPr>
          <w:noProof/>
        </w:rPr>
        <w:lastRenderedPageBreak/>
        <w:t>Fair Work Legislation Amendment Regulation 2012 (No. 1)</w:t>
      </w:r>
      <w:r>
        <w:rPr>
          <w:noProof/>
        </w:rPr>
        <w:t xml:space="preserve"> </w:t>
      </w:r>
      <w:r w:rsidRPr="00AD48AC">
        <w:rPr>
          <w:noProof/>
        </w:rPr>
        <w:t>[Select Legislative Instrument 2012 No. 32</w:t>
      </w:r>
      <w:r>
        <w:rPr>
          <w:noProof/>
        </w:rPr>
        <w:t>1</w:t>
      </w:r>
      <w:r w:rsidRPr="00AD48AC">
        <w:rPr>
          <w:noProof/>
        </w:rPr>
        <w:t>]</w:t>
      </w:r>
      <w:r>
        <w:rPr>
          <w:noProof/>
        </w:rPr>
        <w:t xml:space="preserve"> </w:t>
      </w:r>
      <w:r w:rsidRPr="00CF6D21">
        <w:rPr>
          <w:noProof/>
        </w:rPr>
        <w:t>[F2012L02417]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Fair Work Regulations 2009, the Fair Work (Registered Organisations) Regulations 2009, the Fair Work (Transitional Provisions and Consequential Amendments) Regulations 2009 and the Occupational Health and Safety (Mari</w:t>
            </w:r>
            <w:r>
              <w:rPr>
                <w:rFonts w:ascii="Times New Roman" w:hAnsi="Times New Roman"/>
                <w:noProof/>
                <w:sz w:val="24"/>
                <w:szCs w:val="24"/>
              </w:rPr>
              <w:t>time Industry) Regulations 1995</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41691">
              <w:rPr>
                <w:rFonts w:ascii="Times New Roman" w:hAnsi="Times New Roman"/>
                <w:i/>
                <w:noProof/>
                <w:sz w:val="24"/>
                <w:szCs w:val="24"/>
              </w:rPr>
              <w:t>Fair Work (Registered Organisations) Act 2009</w:t>
            </w:r>
            <w:r w:rsidRPr="00AD48AC">
              <w:rPr>
                <w:rFonts w:ascii="Times New Roman" w:hAnsi="Times New Roman"/>
                <w:noProof/>
                <w:sz w:val="24"/>
                <w:szCs w:val="24"/>
              </w:rPr>
              <w:t xml:space="preserve">; </w:t>
            </w:r>
            <w:r w:rsidRPr="00A41691">
              <w:rPr>
                <w:rFonts w:ascii="Times New Roman" w:hAnsi="Times New Roman"/>
                <w:i/>
                <w:noProof/>
                <w:sz w:val="24"/>
                <w:szCs w:val="24"/>
              </w:rPr>
              <w:t>Occupational Health and Safety (Maritime Industry) Act 1993</w:t>
            </w:r>
            <w:r w:rsidRPr="00AD48AC">
              <w:rPr>
                <w:rFonts w:ascii="Times New Roman" w:hAnsi="Times New Roman"/>
                <w:noProof/>
                <w:sz w:val="24"/>
                <w:szCs w:val="24"/>
              </w:rPr>
              <w:t xml:space="preserve">; </w:t>
            </w:r>
            <w:r w:rsidRPr="00A41691">
              <w:rPr>
                <w:rFonts w:ascii="Times New Roman" w:hAnsi="Times New Roman"/>
                <w:i/>
                <w:noProof/>
                <w:sz w:val="24"/>
                <w:szCs w:val="24"/>
              </w:rPr>
              <w:t>Fair Work Act 2009</w:t>
            </w:r>
            <w:r w:rsidRPr="00AD48AC">
              <w:rPr>
                <w:rFonts w:ascii="Times New Roman" w:hAnsi="Times New Roman"/>
                <w:noProof/>
                <w:sz w:val="24"/>
                <w:szCs w:val="24"/>
              </w:rPr>
              <w:t xml:space="preserve">; and </w:t>
            </w:r>
            <w:r w:rsidRPr="00A41691">
              <w:rPr>
                <w:rFonts w:ascii="Times New Roman" w:hAnsi="Times New Roman"/>
                <w:i/>
                <w:noProof/>
                <w:sz w:val="24"/>
                <w:szCs w:val="24"/>
              </w:rPr>
              <w:t>Fair Work (Transitional Provisions and Consequential Amendments) Act 2009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Education, Employment and Workplace Relations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Default="00D05709" w:rsidP="00D05709">
      <w:pPr>
        <w:rPr>
          <w:noProof/>
          <w:szCs w:val="26"/>
        </w:rPr>
      </w:pPr>
      <w:r>
        <w:rPr>
          <w:noProof/>
          <w:szCs w:val="26"/>
        </w:rPr>
        <w:t>R</w:t>
      </w:r>
      <w:r w:rsidRPr="00E67E5A">
        <w:rPr>
          <w:noProof/>
          <w:szCs w:val="26"/>
        </w:rPr>
        <w:t xml:space="preserve">egulation 3.16A requires, inter alia, that a protected ballot agent must ensure that in the conduct of an electronic ballot 'there is no way of identifying how any employee has voted'. The committee notes, however, that the ability to identify ballot papers is </w:t>
      </w:r>
      <w:r>
        <w:rPr>
          <w:noProof/>
          <w:szCs w:val="26"/>
        </w:rPr>
        <w:t xml:space="preserve">necessary to </w:t>
      </w:r>
      <w:r w:rsidRPr="00E67E5A">
        <w:rPr>
          <w:noProof/>
          <w:szCs w:val="26"/>
        </w:rPr>
        <w:t>ensur</w:t>
      </w:r>
      <w:r>
        <w:rPr>
          <w:noProof/>
          <w:szCs w:val="26"/>
        </w:rPr>
        <w:t>e</w:t>
      </w:r>
      <w:r w:rsidRPr="00E67E5A">
        <w:rPr>
          <w:noProof/>
          <w:szCs w:val="26"/>
        </w:rPr>
        <w:t xml:space="preserve"> that ballots are conducted fairly. Given also that the regulation later provides that an agent must remove any identifiers from an electronic (and postal) ballot before the scrutineer can </w:t>
      </w:r>
      <w:r>
        <w:rPr>
          <w:noProof/>
          <w:szCs w:val="26"/>
        </w:rPr>
        <w:t xml:space="preserve">examine </w:t>
      </w:r>
      <w:r w:rsidRPr="00E67E5A">
        <w:rPr>
          <w:noProof/>
          <w:szCs w:val="26"/>
        </w:rPr>
        <w:t>them (see</w:t>
      </w:r>
      <w:r>
        <w:rPr>
          <w:noProof/>
          <w:szCs w:val="26"/>
        </w:rPr>
        <w:t>,</w:t>
      </w:r>
      <w:r w:rsidRPr="00E67E5A">
        <w:rPr>
          <w:noProof/>
          <w:szCs w:val="26"/>
        </w:rPr>
        <w:t xml:space="preserve"> for example</w:t>
      </w:r>
      <w:r>
        <w:rPr>
          <w:noProof/>
          <w:szCs w:val="26"/>
        </w:rPr>
        <w:t>,</w:t>
      </w:r>
      <w:r w:rsidRPr="00E67E5A">
        <w:rPr>
          <w:noProof/>
          <w:szCs w:val="26"/>
        </w:rPr>
        <w:t xml:space="preserve"> new paragraph 3.20(6)(a)), it would appear that the intent of regulation 3.16A is rather that electronic (and other identifiable) ballots are able to have identifiers removed (that is, </w:t>
      </w:r>
      <w:r>
        <w:rPr>
          <w:noProof/>
          <w:szCs w:val="26"/>
        </w:rPr>
        <w:t xml:space="preserve">are capable of being </w:t>
      </w:r>
      <w:r w:rsidRPr="00E67E5A">
        <w:rPr>
          <w:noProof/>
          <w:szCs w:val="26"/>
        </w:rPr>
        <w:t>rendered unidentifiable).</w:t>
      </w:r>
      <w:r>
        <w:rPr>
          <w:noProof/>
          <w:szCs w:val="26"/>
        </w:rPr>
        <w:t xml:space="preserve"> </w:t>
      </w:r>
      <w:r>
        <w:rPr>
          <w:b/>
          <w:noProof/>
          <w:szCs w:val="26"/>
        </w:rPr>
        <w:t>The committee will therefore seek further information from the minister</w:t>
      </w:r>
      <w:r>
        <w:rPr>
          <w:noProof/>
          <w:szCs w:val="26"/>
        </w:rPr>
        <w:t>.</w:t>
      </w:r>
    </w:p>
    <w:p w:rsidR="00D05709" w:rsidRPr="00B54538" w:rsidRDefault="00D05709" w:rsidP="00D05709">
      <w:pPr>
        <w:pStyle w:val="Heading3"/>
        <w:spacing w:before="600"/>
      </w:pPr>
      <w:r w:rsidRPr="00AD48AC">
        <w:rPr>
          <w:noProof/>
        </w:rPr>
        <w:t>Fair Work Legislation Amendment Regulation 2012 (No. 2) [Select Legislative Instrument 2012 No. 322]</w:t>
      </w:r>
      <w:r>
        <w:rPr>
          <w:noProof/>
        </w:rPr>
        <w:t xml:space="preserve"> </w:t>
      </w:r>
      <w:r w:rsidRPr="00CF6D21">
        <w:rPr>
          <w:noProof/>
        </w:rPr>
        <w:t>[F2012L02409]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noProof/>
                <w:sz w:val="24"/>
                <w:szCs w:val="24"/>
              </w:rPr>
            </w:pPr>
            <w:r w:rsidRPr="00AD48AC">
              <w:rPr>
                <w:rFonts w:ascii="Times New Roman" w:hAnsi="Times New Roman"/>
                <w:noProof/>
                <w:sz w:val="24"/>
                <w:szCs w:val="24"/>
              </w:rPr>
              <w:t>Amends the Fair Work Regulations 2009 and the Fair Work (Registered O</w:t>
            </w:r>
            <w:r>
              <w:rPr>
                <w:rFonts w:ascii="Times New Roman" w:hAnsi="Times New Roman"/>
                <w:noProof/>
                <w:sz w:val="24"/>
                <w:szCs w:val="24"/>
              </w:rPr>
              <w:t>rganisations) Regulations 2009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E67E5A">
              <w:rPr>
                <w:rFonts w:ascii="Times New Roman" w:hAnsi="Times New Roman"/>
                <w:i/>
                <w:noProof/>
                <w:sz w:val="24"/>
                <w:szCs w:val="24"/>
              </w:rPr>
              <w:t>Fair Work (Registered Organisations) Act 2009</w:t>
            </w:r>
            <w:r w:rsidRPr="00AD48AC">
              <w:rPr>
                <w:rFonts w:ascii="Times New Roman" w:hAnsi="Times New Roman"/>
                <w:noProof/>
                <w:sz w:val="24"/>
                <w:szCs w:val="24"/>
              </w:rPr>
              <w:t xml:space="preserve">; and </w:t>
            </w:r>
            <w:r w:rsidRPr="00E67E5A">
              <w:rPr>
                <w:rFonts w:ascii="Times New Roman" w:hAnsi="Times New Roman"/>
                <w:i/>
                <w:noProof/>
                <w:sz w:val="24"/>
                <w:szCs w:val="24"/>
              </w:rPr>
              <w:t>Fair Work Act 2009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Education, Employment and Workplace Relations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Default="00D05709" w:rsidP="00D05709">
      <w:pPr>
        <w:pStyle w:val="Heading4"/>
        <w:numPr>
          <w:ilvl w:val="3"/>
          <w:numId w:val="21"/>
        </w:numPr>
        <w:spacing w:before="120" w:after="120"/>
        <w:rPr>
          <w:noProof/>
        </w:rPr>
      </w:pPr>
      <w:r>
        <w:rPr>
          <w:noProof/>
        </w:rPr>
        <w:t>Drafting</w:t>
      </w:r>
    </w:p>
    <w:p w:rsidR="00D05709" w:rsidRPr="00E67E5A" w:rsidRDefault="00D05709" w:rsidP="00D05709">
      <w:pPr>
        <w:rPr>
          <w:noProof/>
          <w:szCs w:val="26"/>
        </w:rPr>
      </w:pPr>
      <w:r>
        <w:rPr>
          <w:noProof/>
          <w:szCs w:val="26"/>
        </w:rPr>
        <w:t>Clause (6)(b)(iii) of S</w:t>
      </w:r>
      <w:r w:rsidRPr="00E67E5A">
        <w:rPr>
          <w:noProof/>
          <w:szCs w:val="26"/>
        </w:rPr>
        <w:t xml:space="preserve">chedule 6.1A </w:t>
      </w:r>
      <w:r>
        <w:rPr>
          <w:noProof/>
          <w:szCs w:val="26"/>
        </w:rPr>
        <w:t xml:space="preserve">to the regulation </w:t>
      </w:r>
      <w:r w:rsidRPr="00E67E5A">
        <w:rPr>
          <w:noProof/>
          <w:szCs w:val="26"/>
        </w:rPr>
        <w:t>states, inter alia, that an employee must comply with a direction unless it is 'not appropriate for the employee to perform'. In the committee's view this criterion, depending as it does on the notion of appropriateness, appear</w:t>
      </w:r>
      <w:r>
        <w:rPr>
          <w:noProof/>
          <w:szCs w:val="26"/>
        </w:rPr>
        <w:t>s</w:t>
      </w:r>
      <w:r w:rsidRPr="00E67E5A">
        <w:rPr>
          <w:noProof/>
          <w:szCs w:val="26"/>
        </w:rPr>
        <w:t xml:space="preserve"> to involve a subjective judgement that could give rise to </w:t>
      </w:r>
      <w:r w:rsidRPr="00E67E5A">
        <w:rPr>
          <w:noProof/>
          <w:szCs w:val="26"/>
        </w:rPr>
        <w:lastRenderedPageBreak/>
        <w:t>uncertainty about its application in a given case.</w:t>
      </w:r>
      <w:r>
        <w:rPr>
          <w:noProof/>
          <w:szCs w:val="26"/>
        </w:rPr>
        <w:t xml:space="preserve"> </w:t>
      </w:r>
      <w:r>
        <w:rPr>
          <w:b/>
          <w:noProof/>
          <w:szCs w:val="26"/>
        </w:rPr>
        <w:t>The committee will therefore seek further information from the minsister</w:t>
      </w:r>
      <w:r>
        <w:rPr>
          <w:noProof/>
          <w:szCs w:val="26"/>
        </w:rPr>
        <w:t>.</w:t>
      </w:r>
    </w:p>
    <w:p w:rsidR="00D05709" w:rsidRPr="00B54538" w:rsidRDefault="00D05709" w:rsidP="00D05709">
      <w:pPr>
        <w:pStyle w:val="Heading3"/>
        <w:spacing w:before="600"/>
      </w:pPr>
      <w:r w:rsidRPr="00AD48AC">
        <w:rPr>
          <w:noProof/>
        </w:rPr>
        <w:t>Migration Amendment Regulation 2012 (No. 8) [Select Legislative Instrument 2012 No. 301]</w:t>
      </w:r>
      <w:r>
        <w:rPr>
          <w:noProof/>
        </w:rPr>
        <w:t xml:space="preserve"> </w:t>
      </w:r>
      <w:r w:rsidRPr="00CF6D21">
        <w:rPr>
          <w:noProof/>
        </w:rPr>
        <w:t>[F2012L02381]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Migration Regulations 1994 to strengthen</w:t>
            </w:r>
            <w:r>
              <w:rPr>
                <w:rFonts w:ascii="Times New Roman" w:hAnsi="Times New Roman"/>
                <w:noProof/>
                <w:sz w:val="24"/>
                <w:szCs w:val="24"/>
              </w:rPr>
              <w:t xml:space="preserve"> and improve immigration policy</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250566" w:rsidRDefault="00D05709" w:rsidP="00D05709">
            <w:pPr>
              <w:pStyle w:val="letterheadbody"/>
              <w:spacing w:line="264" w:lineRule="auto"/>
              <w:ind w:left="0"/>
              <w:rPr>
                <w:rFonts w:ascii="Times New Roman" w:hAnsi="Times New Roman"/>
                <w:i/>
                <w:sz w:val="24"/>
                <w:szCs w:val="24"/>
              </w:rPr>
            </w:pPr>
            <w:r w:rsidRPr="00250566">
              <w:rPr>
                <w:rFonts w:ascii="Times New Roman" w:hAnsi="Times New Roman"/>
                <w:i/>
                <w:noProof/>
                <w:sz w:val="24"/>
                <w:szCs w:val="24"/>
              </w:rPr>
              <w:t>Migration Act 1958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Immigration and Citizenship</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Unclear basis for increase in fees</w:t>
      </w:r>
    </w:p>
    <w:p w:rsidR="00D05709" w:rsidRPr="00CF6D21" w:rsidRDefault="00D05709" w:rsidP="00D05709">
      <w:pPr>
        <w:rPr>
          <w:noProof/>
          <w:szCs w:val="26"/>
        </w:rPr>
      </w:pPr>
      <w:r w:rsidRPr="00CF6D21">
        <w:rPr>
          <w:noProof/>
          <w:szCs w:val="26"/>
        </w:rPr>
        <w:t xml:space="preserve">The ES which accompanies the instrument states that </w:t>
      </w:r>
      <w:r>
        <w:rPr>
          <w:noProof/>
          <w:szCs w:val="26"/>
        </w:rPr>
        <w:t>S</w:t>
      </w:r>
      <w:r w:rsidRPr="00CF6D21">
        <w:rPr>
          <w:noProof/>
          <w:szCs w:val="26"/>
        </w:rPr>
        <w:t>chedule 2 of the regulation introduces increases to certain visa application charges (VACs), in one case being an increase of 300 per cent. While these changes are subsequently described as being 'minor or machinery in nature' and as not substantially altering existing arrangements, the ES does not indicate the basis on which the VAC increases were determined.</w:t>
      </w:r>
      <w:r>
        <w:rPr>
          <w:noProof/>
          <w:szCs w:val="26"/>
        </w:rPr>
        <w:t xml:space="preserve"> </w:t>
      </w:r>
      <w:r w:rsidRPr="00CF6D21">
        <w:rPr>
          <w:noProof/>
          <w:szCs w:val="26"/>
        </w:rPr>
        <w:t>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an existing charge, fee or levy).</w:t>
      </w:r>
      <w:r>
        <w:rPr>
          <w:noProof/>
          <w:szCs w:val="26"/>
        </w:rPr>
        <w:t xml:space="preserve"> </w:t>
      </w:r>
      <w:r>
        <w:rPr>
          <w:b/>
          <w:noProof/>
          <w:szCs w:val="26"/>
        </w:rPr>
        <w:t>The committee will therefore seek further information from the minister</w:t>
      </w:r>
      <w:r>
        <w:rPr>
          <w:noProof/>
          <w:szCs w:val="26"/>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spacing w:before="600"/>
      </w:pPr>
      <w:r w:rsidRPr="00AD48AC">
        <w:rPr>
          <w:noProof/>
        </w:rPr>
        <w:lastRenderedPageBreak/>
        <w:t xml:space="preserve">Customs Amendment Regulation 2012 (No. 9) [Select Legislative Instrument 2012 No. 276] </w:t>
      </w:r>
      <w:r w:rsidRPr="00CF6D21">
        <w:rPr>
          <w:noProof/>
        </w:rPr>
        <w:t>[F2012L02382]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 xml:space="preserve">Amends the Customs Regulations 1926 to prescribe the methods by which a notice prohibiting the exportation of goods under new section 112BA of the </w:t>
            </w:r>
            <w:r w:rsidRPr="00CF6D21">
              <w:rPr>
                <w:rFonts w:ascii="Times New Roman" w:hAnsi="Times New Roman"/>
                <w:i/>
                <w:noProof/>
                <w:sz w:val="24"/>
                <w:szCs w:val="24"/>
              </w:rPr>
              <w:t>Customs Act 1901</w:t>
            </w:r>
            <w:r w:rsidRPr="00AD48AC">
              <w:rPr>
                <w:rFonts w:ascii="Times New Roman" w:hAnsi="Times New Roman"/>
                <w:noProof/>
                <w:sz w:val="24"/>
                <w:szCs w:val="24"/>
              </w:rPr>
              <w:t xml:space="preserve"> is to be given, and the time at which such a notice</w:t>
            </w:r>
            <w:r>
              <w:rPr>
                <w:rFonts w:ascii="Times New Roman" w:hAnsi="Times New Roman"/>
                <w:noProof/>
                <w:sz w:val="24"/>
                <w:szCs w:val="24"/>
              </w:rPr>
              <w:t xml:space="preserve"> is taken to have been received</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15</w:t>
            </w:r>
            <w:r>
              <w:rPr>
                <w:rFonts w:ascii="Times New Roman" w:hAnsi="Times New Roman"/>
                <w:noProof/>
                <w:sz w:val="24"/>
                <w:szCs w:val="24"/>
              </w:rPr>
              <w:t xml:space="preserve">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CF6D21" w:rsidRDefault="00D05709" w:rsidP="00D05709">
            <w:pPr>
              <w:pStyle w:val="letterheadbody"/>
              <w:spacing w:line="264" w:lineRule="auto"/>
              <w:ind w:left="0"/>
              <w:rPr>
                <w:rFonts w:ascii="Times New Roman" w:hAnsi="Times New Roman"/>
                <w:i/>
                <w:sz w:val="24"/>
                <w:szCs w:val="24"/>
              </w:rPr>
            </w:pPr>
            <w:r w:rsidRPr="00CF6D21">
              <w:rPr>
                <w:rFonts w:ascii="Times New Roman" w:hAnsi="Times New Roman"/>
                <w:i/>
                <w:noProof/>
                <w:sz w:val="24"/>
                <w:szCs w:val="24"/>
              </w:rPr>
              <w:t>Customs Act 1901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 xml:space="preserve">Attorney-General's  </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Protection of rights</w:t>
      </w:r>
    </w:p>
    <w:p w:rsidR="00D05709" w:rsidRPr="00CF6D21" w:rsidRDefault="00D05709" w:rsidP="00D05709">
      <w:pPr>
        <w:rPr>
          <w:noProof/>
          <w:szCs w:val="26"/>
        </w:rPr>
      </w:pPr>
      <w:r w:rsidRPr="00AD48AC">
        <w:rPr>
          <w:noProof/>
          <w:szCs w:val="26"/>
        </w:rPr>
        <w:t>This instrument prescribes the methods by which a notice prohibiting the exportation of goods from Australia may be given, and the time at which such a notice is taken to have been received. It is an offence to export a good in contravention of any such notice. Paragraph 2(c)(iii) provides for a form of 'constructive notice', whereby a notice given to a 'person who appears to work in a management or executive position' (at a previously notified address for service) will be taken to have been served at the time it was given to that person.</w:t>
      </w:r>
      <w:r>
        <w:rPr>
          <w:noProof/>
          <w:szCs w:val="26"/>
        </w:rPr>
        <w:t xml:space="preserve"> </w:t>
      </w:r>
      <w:r w:rsidRPr="00CF6D21">
        <w:rPr>
          <w:noProof/>
          <w:szCs w:val="26"/>
        </w:rPr>
        <w:t>In the committee's view, it is not clear why there is not a more stringent requirement to ascertain whether a person to whom a notice is given in such cases is in fact in a management or executive position, particularly given that it is an offence to export a good in contravention of any such notice.</w:t>
      </w:r>
      <w:r>
        <w:rPr>
          <w:noProof/>
          <w:szCs w:val="26"/>
        </w:rPr>
        <w:t xml:space="preserve"> </w:t>
      </w:r>
      <w:r>
        <w:rPr>
          <w:b/>
          <w:noProof/>
          <w:szCs w:val="26"/>
        </w:rPr>
        <w:t>The committee will therefore seek further information from the mininster</w:t>
      </w:r>
      <w:r>
        <w:rPr>
          <w:noProof/>
          <w:szCs w:val="26"/>
        </w:rPr>
        <w:t>.</w:t>
      </w:r>
    </w:p>
    <w:p w:rsidR="00D05709" w:rsidRPr="00B54538" w:rsidRDefault="00D05709" w:rsidP="00D05709">
      <w:pPr>
        <w:pStyle w:val="Heading3"/>
        <w:spacing w:before="600"/>
      </w:pPr>
      <w:r w:rsidRPr="00AD48AC">
        <w:rPr>
          <w:noProof/>
        </w:rPr>
        <w:t>Trans-Tasman Proceedings Legislation</w:t>
      </w:r>
      <w:r>
        <w:rPr>
          <w:noProof/>
        </w:rPr>
        <w:t xml:space="preserve"> Amendment Regulation 2012 (No. </w:t>
      </w:r>
      <w:r w:rsidRPr="00AD48AC">
        <w:rPr>
          <w:noProof/>
        </w:rPr>
        <w:t>2) [S</w:t>
      </w:r>
      <w:r>
        <w:rPr>
          <w:noProof/>
        </w:rPr>
        <w:t xml:space="preserve">elect Legislative </w:t>
      </w:r>
      <w:r w:rsidRPr="00AD48AC">
        <w:rPr>
          <w:noProof/>
        </w:rPr>
        <w:t>I</w:t>
      </w:r>
      <w:r>
        <w:rPr>
          <w:noProof/>
        </w:rPr>
        <w:t xml:space="preserve">nstrument </w:t>
      </w:r>
      <w:r w:rsidRPr="00AD48AC">
        <w:rPr>
          <w:noProof/>
        </w:rPr>
        <w:t>2012 No. 284]</w:t>
      </w:r>
      <w:r>
        <w:rPr>
          <w:noProof/>
        </w:rPr>
        <w:t xml:space="preserve"> </w:t>
      </w:r>
      <w:r w:rsidRPr="00C77BC5">
        <w:rPr>
          <w:noProof/>
        </w:rPr>
        <w:t>[F2012L02412]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noProof/>
                <w:sz w:val="24"/>
                <w:szCs w:val="24"/>
              </w:rPr>
            </w:pPr>
            <w:r w:rsidRPr="00AD48AC">
              <w:rPr>
                <w:rFonts w:ascii="Times New Roman" w:hAnsi="Times New Roman"/>
                <w:noProof/>
                <w:sz w:val="24"/>
                <w:szCs w:val="24"/>
              </w:rPr>
              <w:t>Amends three principal regulations to provide for fees for the filing of applications under th</w:t>
            </w:r>
            <w:r>
              <w:rPr>
                <w:rFonts w:ascii="Times New Roman" w:hAnsi="Times New Roman"/>
                <w:noProof/>
                <w:sz w:val="24"/>
                <w:szCs w:val="24"/>
              </w:rPr>
              <w:t xml:space="preserve">e </w:t>
            </w:r>
            <w:r w:rsidRPr="00CF6D21">
              <w:rPr>
                <w:rFonts w:ascii="Times New Roman" w:hAnsi="Times New Roman"/>
                <w:i/>
                <w:noProof/>
                <w:sz w:val="24"/>
                <w:szCs w:val="24"/>
              </w:rPr>
              <w:t>Trans-Tasman Proceedings Act 2010</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D46E1A">
              <w:rPr>
                <w:rFonts w:ascii="Times New Roman" w:hAnsi="Times New Roman"/>
                <w:i/>
                <w:noProof/>
                <w:sz w:val="24"/>
                <w:szCs w:val="24"/>
              </w:rPr>
              <w:t>Family Law Act 1975</w:t>
            </w:r>
            <w:r w:rsidRPr="00AD48AC">
              <w:rPr>
                <w:rFonts w:ascii="Times New Roman" w:hAnsi="Times New Roman"/>
                <w:noProof/>
                <w:sz w:val="24"/>
                <w:szCs w:val="24"/>
              </w:rPr>
              <w:t xml:space="preserve">; </w:t>
            </w:r>
            <w:r w:rsidRPr="00D46E1A">
              <w:rPr>
                <w:rFonts w:ascii="Times New Roman" w:hAnsi="Times New Roman"/>
                <w:i/>
                <w:noProof/>
                <w:sz w:val="24"/>
                <w:szCs w:val="24"/>
              </w:rPr>
              <w:t>Federal Court of Australia Act 1976</w:t>
            </w:r>
            <w:r w:rsidRPr="00AD48AC">
              <w:rPr>
                <w:rFonts w:ascii="Times New Roman" w:hAnsi="Times New Roman"/>
                <w:noProof/>
                <w:sz w:val="24"/>
                <w:szCs w:val="24"/>
              </w:rPr>
              <w:t xml:space="preserve">; </w:t>
            </w:r>
            <w:r w:rsidRPr="00D46E1A">
              <w:rPr>
                <w:rFonts w:ascii="Times New Roman" w:hAnsi="Times New Roman"/>
                <w:i/>
                <w:noProof/>
                <w:sz w:val="24"/>
                <w:szCs w:val="24"/>
              </w:rPr>
              <w:t>Federal Magistrates Act 1999</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Attorney-General's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Unclear basis for increase in fees</w:t>
      </w:r>
    </w:p>
    <w:p w:rsidR="00D05709" w:rsidRDefault="00D05709" w:rsidP="00D05709">
      <w:pPr>
        <w:rPr>
          <w:noProof/>
          <w:szCs w:val="26"/>
        </w:rPr>
      </w:pPr>
      <w:r w:rsidRPr="004507D8">
        <w:rPr>
          <w:noProof/>
          <w:szCs w:val="26"/>
        </w:rPr>
        <w:t>The ES which accompanies the instrument does not appear to indicate the basis on which the fees</w:t>
      </w:r>
      <w:r>
        <w:rPr>
          <w:noProof/>
          <w:szCs w:val="26"/>
        </w:rPr>
        <w:t xml:space="preserve"> being introduced</w:t>
      </w:r>
      <w:r w:rsidRPr="004507D8">
        <w:rPr>
          <w:noProof/>
          <w:szCs w:val="26"/>
        </w:rPr>
        <w:t xml:space="preserve"> have been set or calculated, or to describe the new fees relative to those which have been replaced.</w:t>
      </w:r>
      <w:r>
        <w:rPr>
          <w:noProof/>
          <w:szCs w:val="26"/>
        </w:rPr>
        <w:t xml:space="preserve"> </w:t>
      </w:r>
      <w:r w:rsidRPr="00CF6D21">
        <w:rPr>
          <w:noProof/>
          <w:szCs w:val="26"/>
        </w:rPr>
        <w:t xml:space="preserve">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w:t>
      </w:r>
      <w:r w:rsidRPr="00CF6D21">
        <w:rPr>
          <w:noProof/>
          <w:szCs w:val="26"/>
        </w:rPr>
        <w:lastRenderedPageBreak/>
        <w:t>those cases where there is an adjustment to an existing charge, fee or levy).</w:t>
      </w:r>
      <w:r>
        <w:rPr>
          <w:noProof/>
          <w:szCs w:val="26"/>
        </w:rPr>
        <w:t xml:space="preserve"> </w:t>
      </w:r>
      <w:r>
        <w:rPr>
          <w:b/>
          <w:noProof/>
          <w:szCs w:val="26"/>
        </w:rPr>
        <w:t>The committee will therefore seek further information from the Attorney-General</w:t>
      </w:r>
      <w:r>
        <w:rPr>
          <w:noProof/>
          <w:szCs w:val="26"/>
        </w:rPr>
        <w:t>.</w:t>
      </w:r>
    </w:p>
    <w:p w:rsidR="00D05709" w:rsidRPr="00B54538" w:rsidRDefault="00D05709" w:rsidP="00D05709">
      <w:pPr>
        <w:pStyle w:val="Heading3"/>
      </w:pPr>
      <w:r w:rsidRPr="00AD48AC">
        <w:rPr>
          <w:noProof/>
        </w:rPr>
        <w:t>Work Health and Safety Amendment Regulation 2012 (No. 1) [S</w:t>
      </w:r>
      <w:r>
        <w:rPr>
          <w:noProof/>
        </w:rPr>
        <w:t xml:space="preserve">elect Legislative </w:t>
      </w:r>
      <w:r w:rsidRPr="00AD48AC">
        <w:rPr>
          <w:noProof/>
        </w:rPr>
        <w:t>I</w:t>
      </w:r>
      <w:r>
        <w:rPr>
          <w:noProof/>
        </w:rPr>
        <w:t>nstrument</w:t>
      </w:r>
      <w:r w:rsidRPr="00AD48AC">
        <w:rPr>
          <w:noProof/>
        </w:rPr>
        <w:t xml:space="preserve"> 2012 No 291] </w:t>
      </w:r>
      <w:r w:rsidRPr="00C77BC5">
        <w:rPr>
          <w:noProof/>
        </w:rPr>
        <w:t>[F2012L02438]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Amends the Work Health and Safety Regulations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noProof/>
                <w:sz w:val="24"/>
                <w:szCs w:val="24"/>
              </w:rPr>
              <w:t>15 May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7A136E" w:rsidRDefault="00D05709" w:rsidP="00D05709">
            <w:pPr>
              <w:pStyle w:val="letterheadbody"/>
              <w:spacing w:line="264" w:lineRule="auto"/>
              <w:ind w:left="0"/>
              <w:rPr>
                <w:rFonts w:ascii="Times New Roman" w:hAnsi="Times New Roman"/>
                <w:i/>
                <w:sz w:val="24"/>
                <w:szCs w:val="24"/>
              </w:rPr>
            </w:pPr>
            <w:r w:rsidRPr="007A136E">
              <w:rPr>
                <w:rFonts w:ascii="Times New Roman" w:hAnsi="Times New Roman"/>
                <w:i/>
                <w:noProof/>
                <w:sz w:val="24"/>
                <w:szCs w:val="24"/>
              </w:rPr>
              <w:t>Work Health and Safety Act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Education, Employment and Workplace Relations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AD48AC">
        <w:rPr>
          <w:noProof/>
        </w:rPr>
        <w:t>Unclear basis for calculating a fee</w:t>
      </w:r>
    </w:p>
    <w:p w:rsidR="00D05709" w:rsidRDefault="00D05709" w:rsidP="00D05709">
      <w:pPr>
        <w:rPr>
          <w:noProof/>
          <w:szCs w:val="26"/>
        </w:rPr>
      </w:pPr>
      <w:r>
        <w:rPr>
          <w:noProof/>
          <w:szCs w:val="26"/>
        </w:rPr>
        <w:t>T</w:t>
      </w:r>
      <w:r w:rsidRPr="00C77BC5">
        <w:rPr>
          <w:noProof/>
          <w:szCs w:val="26"/>
        </w:rPr>
        <w:t>he regulation, inter alia, introduces a new fee for the issue of a general construction induction card. Howe</w:t>
      </w:r>
      <w:r>
        <w:rPr>
          <w:noProof/>
          <w:szCs w:val="26"/>
        </w:rPr>
        <w:t xml:space="preserve">ver, the </w:t>
      </w:r>
      <w:r w:rsidRPr="00C77BC5">
        <w:rPr>
          <w:noProof/>
          <w:szCs w:val="26"/>
        </w:rPr>
        <w:t xml:space="preserve">ES </w:t>
      </w:r>
      <w:r>
        <w:rPr>
          <w:noProof/>
          <w:szCs w:val="26"/>
        </w:rPr>
        <w:t xml:space="preserve">for </w:t>
      </w:r>
      <w:r w:rsidRPr="00C77BC5">
        <w:rPr>
          <w:noProof/>
          <w:szCs w:val="26"/>
        </w:rPr>
        <w:t>the instrument does not appear to indicate the basis on which the new fee has been set or calculated.</w:t>
      </w:r>
      <w:r>
        <w:rPr>
          <w:noProof/>
          <w:szCs w:val="26"/>
        </w:rPr>
        <w:t xml:space="preserve"> </w:t>
      </w:r>
      <w:r w:rsidRPr="00CF6D21">
        <w:rPr>
          <w:noProof/>
          <w:szCs w:val="26"/>
        </w:rPr>
        <w:t>The committee's usual expectation in cases where an instrument of delegation legislation introduces or adjusts a charge, fee or levy is that the relevant ES makes clear on its face the basis on which that charge, fee or levy has been calculated (in addition to the quantum of the relative change in those cases where there is an adjustment to an existing charge, fee or levy).</w:t>
      </w:r>
      <w:r>
        <w:rPr>
          <w:noProof/>
          <w:szCs w:val="26"/>
        </w:rPr>
        <w:t xml:space="preserve"> </w:t>
      </w:r>
      <w:r>
        <w:rPr>
          <w:b/>
          <w:noProof/>
          <w:szCs w:val="26"/>
        </w:rPr>
        <w:t>The committee will therefore seek further information from the minister</w:t>
      </w:r>
      <w:r>
        <w:rPr>
          <w:noProof/>
          <w:szCs w:val="26"/>
        </w:rPr>
        <w:t>.</w:t>
      </w:r>
    </w:p>
    <w:p w:rsidR="00D05709" w:rsidRPr="00B54538" w:rsidRDefault="00D05709" w:rsidP="00D05709">
      <w:pPr>
        <w:pStyle w:val="Heading3"/>
        <w:spacing w:before="600"/>
      </w:pPr>
      <w:r w:rsidRPr="00AD48AC">
        <w:rPr>
          <w:noProof/>
        </w:rPr>
        <w:t xml:space="preserve">Determination to Reduce Appropriations Upon Request (No. 11 of 2011-2012) </w:t>
      </w:r>
      <w:r>
        <w:rPr>
          <w:noProof/>
        </w:rPr>
        <w:t>[F2012L01927]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Reduces departmental appropriation items for the Department of Foreign Affairs and Trade by specified amounts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5</w:t>
            </w:r>
            <w:r>
              <w:rPr>
                <w:rFonts w:ascii="Times New Roman" w:hAnsi="Times New Roman"/>
                <w:noProof/>
                <w:sz w:val="24"/>
                <w:szCs w:val="24"/>
              </w:rPr>
              <w:t xml:space="preserve"> February </w:t>
            </w:r>
            <w:r w:rsidRPr="00AD48AC">
              <w:rPr>
                <w:rFonts w:ascii="Times New Roman" w:hAnsi="Times New Roman"/>
                <w:noProof/>
                <w:sz w:val="24"/>
                <w:szCs w:val="24"/>
              </w:rPr>
              <w:t>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36255">
              <w:rPr>
                <w:rFonts w:ascii="Times New Roman" w:hAnsi="Times New Roman"/>
                <w:i/>
                <w:noProof/>
                <w:sz w:val="24"/>
                <w:szCs w:val="24"/>
              </w:rPr>
              <w:t>Appropriation Act (No. 1) 2009-2010</w:t>
            </w:r>
            <w:r w:rsidRPr="00A36255">
              <w:rPr>
                <w:rFonts w:ascii="Times New Roman" w:hAnsi="Times New Roman"/>
                <w:noProof/>
                <w:sz w:val="24"/>
                <w:szCs w:val="24"/>
              </w:rPr>
              <w:t>;</w:t>
            </w:r>
            <w:r>
              <w:rPr>
                <w:rFonts w:ascii="Times New Roman" w:hAnsi="Times New Roman"/>
                <w:i/>
                <w:noProof/>
                <w:sz w:val="24"/>
                <w:szCs w:val="24"/>
              </w:rPr>
              <w:t xml:space="preserve"> </w:t>
            </w:r>
            <w:r w:rsidRPr="00AD48AC">
              <w:rPr>
                <w:rFonts w:ascii="Times New Roman" w:hAnsi="Times New Roman"/>
                <w:noProof/>
                <w:sz w:val="24"/>
                <w:szCs w:val="24"/>
              </w:rPr>
              <w:t xml:space="preserve">and </w:t>
            </w:r>
            <w:r w:rsidRPr="00A36255">
              <w:rPr>
                <w:rFonts w:ascii="Times New Roman" w:hAnsi="Times New Roman"/>
                <w:i/>
                <w:noProof/>
                <w:sz w:val="24"/>
                <w:szCs w:val="24"/>
              </w:rPr>
              <w:t>Appropriation Act (No. 1) 2010-2011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AD48AC">
              <w:rPr>
                <w:rFonts w:ascii="Times New Roman" w:hAnsi="Times New Roman"/>
                <w:noProof/>
                <w:sz w:val="24"/>
                <w:szCs w:val="24"/>
              </w:rPr>
              <w:t>Finance and Deregulation</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Drafting</w:t>
      </w:r>
    </w:p>
    <w:p w:rsidR="00D05709" w:rsidRPr="006C3C16" w:rsidRDefault="00D05709" w:rsidP="00D05709">
      <w:pPr>
        <w:rPr>
          <w:szCs w:val="26"/>
        </w:rPr>
      </w:pPr>
      <w:r w:rsidRPr="0005499E">
        <w:rPr>
          <w:noProof/>
        </w:rPr>
        <w:t xml:space="preserve">The committee raises </w:t>
      </w:r>
      <w:r>
        <w:rPr>
          <w:noProof/>
        </w:rPr>
        <w:t xml:space="preserve">the following </w:t>
      </w:r>
      <w:r w:rsidRPr="0005499E">
        <w:rPr>
          <w:noProof/>
        </w:rPr>
        <w:t xml:space="preserve">matters in the interests of ensuring the highest quality of standards of drafting in legislative instruments in accordance with subsection 3(c) of the </w:t>
      </w:r>
      <w:r>
        <w:rPr>
          <w:i/>
          <w:noProof/>
        </w:rPr>
        <w:t>Legislative Instruments Act 2003</w:t>
      </w:r>
      <w:r w:rsidRPr="0005499E">
        <w:rPr>
          <w:noProof/>
        </w:rPr>
        <w:t xml:space="preserve">, which states that </w:t>
      </w:r>
      <w:r>
        <w:rPr>
          <w:noProof/>
        </w:rPr>
        <w:t xml:space="preserve">one of its </w:t>
      </w:r>
      <w:r w:rsidRPr="0005499E">
        <w:rPr>
          <w:noProof/>
        </w:rPr>
        <w:t>object</w:t>
      </w:r>
      <w:r>
        <w:rPr>
          <w:noProof/>
        </w:rPr>
        <w:t>s</w:t>
      </w:r>
      <w:r w:rsidRPr="0005499E">
        <w:rPr>
          <w:noProof/>
        </w:rPr>
        <w:t xml:space="preserve"> is 'encouraging high standards in the drafting of legislative instruments to promote their legal effectiveness, their clarity and their intelligibility to anticipated users'.</w:t>
      </w:r>
      <w:r>
        <w:rPr>
          <w:noProof/>
        </w:rPr>
        <w:t xml:space="preserve"> </w:t>
      </w:r>
      <w:r>
        <w:rPr>
          <w:noProof/>
          <w:szCs w:val="26"/>
        </w:rPr>
        <w:t>First, t</w:t>
      </w:r>
      <w:r w:rsidRPr="00A36255">
        <w:rPr>
          <w:noProof/>
          <w:szCs w:val="26"/>
        </w:rPr>
        <w:t xml:space="preserve">he committee notes that amending instruments generally contain an amendment instruction in the place of the heading in </w:t>
      </w:r>
      <w:r>
        <w:rPr>
          <w:noProof/>
          <w:szCs w:val="26"/>
        </w:rPr>
        <w:t>S</w:t>
      </w:r>
      <w:r w:rsidRPr="00A36255">
        <w:rPr>
          <w:noProof/>
          <w:szCs w:val="26"/>
        </w:rPr>
        <w:t>chedule 1</w:t>
      </w:r>
      <w:r>
        <w:rPr>
          <w:noProof/>
          <w:szCs w:val="26"/>
        </w:rPr>
        <w:t xml:space="preserve"> of this instrument</w:t>
      </w:r>
      <w:r w:rsidRPr="00A36255">
        <w:rPr>
          <w:noProof/>
          <w:szCs w:val="26"/>
        </w:rPr>
        <w:t xml:space="preserve">, </w:t>
      </w:r>
      <w:r>
        <w:rPr>
          <w:noProof/>
          <w:szCs w:val="26"/>
        </w:rPr>
        <w:t xml:space="preserve">which reads: </w:t>
      </w:r>
      <w:r w:rsidRPr="00A36255">
        <w:rPr>
          <w:noProof/>
          <w:szCs w:val="26"/>
        </w:rPr>
        <w:t>[1] DEFENCE PORTFOLIO</w:t>
      </w:r>
      <w:r>
        <w:rPr>
          <w:noProof/>
          <w:szCs w:val="26"/>
        </w:rPr>
        <w:t>.</w:t>
      </w:r>
      <w:r w:rsidRPr="00A36255">
        <w:rPr>
          <w:noProof/>
          <w:szCs w:val="26"/>
        </w:rPr>
        <w:t xml:space="preserve"> While section 7 of the instrum</w:t>
      </w:r>
      <w:r>
        <w:rPr>
          <w:noProof/>
          <w:szCs w:val="26"/>
        </w:rPr>
        <w:t>ent provides for the effect of S</w:t>
      </w:r>
      <w:r w:rsidRPr="00A36255">
        <w:rPr>
          <w:noProof/>
          <w:szCs w:val="26"/>
        </w:rPr>
        <w:t xml:space="preserve">chedule 1, </w:t>
      </w:r>
      <w:r>
        <w:rPr>
          <w:noProof/>
          <w:szCs w:val="26"/>
        </w:rPr>
        <w:t xml:space="preserve">it is not clear to </w:t>
      </w:r>
      <w:r w:rsidRPr="00A36255">
        <w:rPr>
          <w:noProof/>
          <w:szCs w:val="26"/>
        </w:rPr>
        <w:t xml:space="preserve">the </w:t>
      </w:r>
      <w:r>
        <w:rPr>
          <w:noProof/>
          <w:szCs w:val="26"/>
        </w:rPr>
        <w:t xml:space="preserve">committee how the amendment in </w:t>
      </w:r>
      <w:r>
        <w:rPr>
          <w:noProof/>
          <w:szCs w:val="26"/>
        </w:rPr>
        <w:lastRenderedPageBreak/>
        <w:t>S</w:t>
      </w:r>
      <w:r w:rsidRPr="00A36255">
        <w:rPr>
          <w:noProof/>
          <w:szCs w:val="26"/>
        </w:rPr>
        <w:t>chedule 1 is actually effected via the drafting construction of the instrument.</w:t>
      </w:r>
      <w:r>
        <w:rPr>
          <w:noProof/>
          <w:szCs w:val="26"/>
        </w:rPr>
        <w:t xml:space="preserve"> Second, </w:t>
      </w:r>
      <w:r w:rsidRPr="00A36255">
        <w:rPr>
          <w:noProof/>
          <w:szCs w:val="26"/>
        </w:rPr>
        <w:t>the committee notes that section 8 of</w:t>
      </w:r>
      <w:r>
        <w:rPr>
          <w:noProof/>
          <w:szCs w:val="26"/>
        </w:rPr>
        <w:t xml:space="preserve"> the instrument also refers to S</w:t>
      </w:r>
      <w:r w:rsidRPr="00A36255">
        <w:rPr>
          <w:noProof/>
          <w:szCs w:val="26"/>
        </w:rPr>
        <w:t>chedule 1 of the instrument</w:t>
      </w:r>
      <w:r>
        <w:rPr>
          <w:noProof/>
          <w:szCs w:val="26"/>
        </w:rPr>
        <w:t>. It is not clear to the committee</w:t>
      </w:r>
      <w:r w:rsidRPr="00A36255">
        <w:rPr>
          <w:noProof/>
          <w:szCs w:val="26"/>
        </w:rPr>
        <w:t xml:space="preserve"> whether this should in fact be a reference to </w:t>
      </w:r>
      <w:r>
        <w:rPr>
          <w:noProof/>
          <w:szCs w:val="26"/>
        </w:rPr>
        <w:t>S</w:t>
      </w:r>
      <w:r w:rsidRPr="00A36255">
        <w:rPr>
          <w:noProof/>
          <w:szCs w:val="26"/>
        </w:rPr>
        <w:t>chedule 2 (and, if so, whether this would lead to any undermining of the legal effect of the instrument).</w:t>
      </w:r>
      <w:r>
        <w:rPr>
          <w:noProof/>
          <w:szCs w:val="26"/>
        </w:rPr>
        <w:t xml:space="preserve"> Last, and </w:t>
      </w:r>
      <w:r w:rsidRPr="00A36255">
        <w:rPr>
          <w:noProof/>
          <w:szCs w:val="26"/>
        </w:rPr>
        <w:t xml:space="preserve">what may be a related question, the committee has not been able to </w:t>
      </w:r>
      <w:r>
        <w:rPr>
          <w:noProof/>
          <w:szCs w:val="26"/>
        </w:rPr>
        <w:t>identify what the reference in S</w:t>
      </w:r>
      <w:r w:rsidRPr="00A36255">
        <w:rPr>
          <w:noProof/>
          <w:szCs w:val="26"/>
        </w:rPr>
        <w:t>chedule 2 to 'the other departmental item' in fact relates.</w:t>
      </w:r>
      <w:r>
        <w:rPr>
          <w:noProof/>
          <w:szCs w:val="26"/>
        </w:rPr>
        <w:t xml:space="preserve"> </w:t>
      </w:r>
      <w:r>
        <w:rPr>
          <w:b/>
          <w:noProof/>
          <w:szCs w:val="26"/>
        </w:rPr>
        <w:t>The committee will therefore seek further information from the minister</w:t>
      </w:r>
      <w:r>
        <w:rPr>
          <w:noProof/>
          <w:szCs w:val="26"/>
        </w:rPr>
        <w:t>.</w:t>
      </w:r>
    </w:p>
    <w:p w:rsidR="00D05709" w:rsidRDefault="00D05709" w:rsidP="00C41D15">
      <w:pPr>
        <w:sectPr w:rsidR="00D05709" w:rsidSect="00D0570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202" w:left="1440" w:header="1134" w:footer="720" w:gutter="0"/>
          <w:pgNumType w:start="1"/>
          <w:cols w:space="720"/>
          <w:titlePg/>
        </w:sectPr>
      </w:pPr>
    </w:p>
    <w:p w:rsidR="00D05709" w:rsidRDefault="00D05709" w:rsidP="00D05709">
      <w:pPr>
        <w:pStyle w:val="Heading1"/>
      </w:pPr>
      <w:r>
        <w:lastRenderedPageBreak/>
        <w:t>Chapter 2</w:t>
      </w:r>
    </w:p>
    <w:p w:rsidR="00D05709" w:rsidRDefault="00D05709" w:rsidP="00D05709">
      <w:pPr>
        <w:pStyle w:val="Heading2"/>
      </w:pPr>
      <w:r>
        <w:t>Concluded matters</w:t>
      </w:r>
    </w:p>
    <w:p w:rsidR="00D05709" w:rsidRDefault="00D05709" w:rsidP="00D05709">
      <w:pPr>
        <w:pStyle w:val="Level1"/>
        <w:numPr>
          <w:ilvl w:val="0"/>
          <w:numId w:val="0"/>
        </w:numPr>
      </w:pPr>
      <w:r>
        <w:t xml:space="preserve">This chapter lists matters previously raised by the committee and considered at its meeting on </w:t>
      </w:r>
      <w:r w:rsidRPr="004A0279">
        <w:rPr>
          <w:b/>
        </w:rPr>
        <w:t>7</w:t>
      </w:r>
      <w:r w:rsidRPr="00C6376A">
        <w:rPr>
          <w:b/>
        </w:rPr>
        <w:t xml:space="preserve"> </w:t>
      </w:r>
      <w:r>
        <w:rPr>
          <w:b/>
        </w:rPr>
        <w:t xml:space="preserve">February </w:t>
      </w:r>
      <w:r w:rsidRPr="00EF32A2">
        <w:rPr>
          <w:b/>
        </w:rPr>
        <w:t>201</w:t>
      </w:r>
      <w:r>
        <w:rPr>
          <w:b/>
        </w:rPr>
        <w:t>3</w:t>
      </w:r>
      <w:r>
        <w:t>. The committee has concluded its interest in these matters on the basis of responses received from ministers or relevant instrument-makers.</w:t>
      </w:r>
    </w:p>
    <w:p w:rsidR="00D05709" w:rsidRPr="00967479" w:rsidRDefault="00D05709" w:rsidP="00D05709">
      <w:pPr>
        <w:pStyle w:val="Level1"/>
        <w:numPr>
          <w:ilvl w:val="0"/>
          <w:numId w:val="0"/>
        </w:numPr>
      </w:pPr>
      <w:r w:rsidRPr="00967479">
        <w:t>Correspondence relating to these matters is included at A</w:t>
      </w:r>
      <w:r>
        <w:t>ppendix 3</w:t>
      </w:r>
      <w:r w:rsidRPr="00967479">
        <w:t>.</w:t>
      </w:r>
    </w:p>
    <w:p w:rsidR="00D05709" w:rsidRPr="00492C31" w:rsidRDefault="00D05709" w:rsidP="00D05709">
      <w:pPr>
        <w:pStyle w:val="Heading3"/>
        <w:spacing w:before="240"/>
      </w:pPr>
      <w:r w:rsidRPr="00492C31">
        <w:rPr>
          <w:noProof/>
        </w:rPr>
        <w:t>Interim (Small Pelagic Fishery) Declaration 2012</w:t>
      </w:r>
      <w:r>
        <w:rPr>
          <w:noProof/>
        </w:rPr>
        <w:t xml:space="preserve"> [</w:t>
      </w:r>
      <w:r w:rsidRPr="00492C31">
        <w:rPr>
          <w:noProof/>
        </w:rPr>
        <w:t>F2012L01901</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492C31" w:rsidTr="00D05709">
        <w:tc>
          <w:tcPr>
            <w:tcW w:w="2552" w:type="dxa"/>
          </w:tcPr>
          <w:p w:rsidR="00D05709" w:rsidRPr="00492C31" w:rsidRDefault="00D05709" w:rsidP="00D05709">
            <w:pPr>
              <w:pStyle w:val="letterheadbody"/>
              <w:spacing w:line="264" w:lineRule="auto"/>
              <w:ind w:left="0"/>
              <w:rPr>
                <w:rFonts w:ascii="Times New Roman" w:hAnsi="Times New Roman"/>
                <w:b/>
                <w:sz w:val="24"/>
                <w:szCs w:val="24"/>
              </w:rPr>
            </w:pPr>
            <w:r w:rsidRPr="00492C31">
              <w:rPr>
                <w:rFonts w:ascii="Times New Roman" w:hAnsi="Times New Roman"/>
                <w:b/>
                <w:sz w:val="24"/>
                <w:szCs w:val="24"/>
              </w:rPr>
              <w:t>Purpose</w:t>
            </w:r>
          </w:p>
        </w:tc>
        <w:tc>
          <w:tcPr>
            <w:tcW w:w="6520" w:type="dxa"/>
          </w:tcPr>
          <w:p w:rsidR="00D05709" w:rsidRPr="00492C31" w:rsidRDefault="00D05709" w:rsidP="00D05709">
            <w:pPr>
              <w:pStyle w:val="letterheadbody"/>
              <w:spacing w:line="264" w:lineRule="auto"/>
              <w:ind w:left="0"/>
              <w:rPr>
                <w:rFonts w:ascii="Times New Roman" w:hAnsi="Times New Roman"/>
                <w:sz w:val="24"/>
                <w:szCs w:val="24"/>
              </w:rPr>
            </w:pPr>
            <w:r w:rsidRPr="00492C31">
              <w:rPr>
                <w:rFonts w:ascii="Times New Roman" w:hAnsi="Times New Roman"/>
                <w:noProof/>
                <w:sz w:val="24"/>
                <w:szCs w:val="24"/>
              </w:rPr>
              <w:t>Declares a specified type of commercial fishing activity and thus prohibits fishing by large mid-water trawl freezer vessels in the Small Pelagic Fi</w:t>
            </w:r>
            <w:r>
              <w:rPr>
                <w:rFonts w:ascii="Times New Roman" w:hAnsi="Times New Roman"/>
                <w:noProof/>
                <w:sz w:val="24"/>
                <w:szCs w:val="24"/>
              </w:rPr>
              <w:t>shery for a period of 60 days</w:t>
            </w:r>
          </w:p>
        </w:tc>
      </w:tr>
      <w:tr w:rsidR="00D05709" w:rsidRPr="00492C31" w:rsidTr="00D05709">
        <w:tc>
          <w:tcPr>
            <w:tcW w:w="2552" w:type="dxa"/>
          </w:tcPr>
          <w:p w:rsidR="00D05709" w:rsidRPr="00492C31" w:rsidRDefault="00D05709" w:rsidP="00D05709">
            <w:pPr>
              <w:pStyle w:val="letterheadbody"/>
              <w:spacing w:line="264" w:lineRule="auto"/>
              <w:ind w:left="0"/>
              <w:rPr>
                <w:rFonts w:ascii="Times New Roman" w:hAnsi="Times New Roman"/>
                <w:sz w:val="24"/>
                <w:szCs w:val="24"/>
              </w:rPr>
            </w:pPr>
            <w:r w:rsidRPr="00492C31">
              <w:rPr>
                <w:rFonts w:ascii="Times New Roman" w:hAnsi="Times New Roman"/>
                <w:b/>
                <w:sz w:val="24"/>
                <w:szCs w:val="24"/>
              </w:rPr>
              <w:t>Last day to disallow</w:t>
            </w:r>
            <w:r>
              <w:rPr>
                <w:rStyle w:val="FootnoteReference"/>
                <w:rFonts w:ascii="Times New Roman" w:hAnsi="Times New Roman"/>
                <w:b/>
                <w:sz w:val="24"/>
                <w:szCs w:val="24"/>
              </w:rPr>
              <w:footnoteReference w:id="9"/>
            </w:r>
          </w:p>
        </w:tc>
        <w:tc>
          <w:tcPr>
            <w:tcW w:w="6520" w:type="dxa"/>
          </w:tcPr>
          <w:p w:rsidR="00D05709" w:rsidRPr="00492C31" w:rsidRDefault="00D05709" w:rsidP="00D05709">
            <w:pPr>
              <w:pStyle w:val="letterheadbody"/>
              <w:spacing w:line="264" w:lineRule="auto"/>
              <w:ind w:left="0"/>
              <w:rPr>
                <w:rFonts w:ascii="Times New Roman" w:hAnsi="Times New Roman"/>
                <w:sz w:val="24"/>
                <w:szCs w:val="24"/>
              </w:rPr>
            </w:pPr>
            <w:r w:rsidRPr="00492C31">
              <w:rPr>
                <w:rFonts w:ascii="Times New Roman" w:hAnsi="Times New Roman"/>
                <w:noProof/>
                <w:sz w:val="24"/>
                <w:szCs w:val="24"/>
              </w:rPr>
              <w:t>5 February 2013</w:t>
            </w:r>
          </w:p>
        </w:tc>
      </w:tr>
      <w:tr w:rsidR="00D05709" w:rsidRPr="00492C31" w:rsidTr="00D05709">
        <w:tc>
          <w:tcPr>
            <w:tcW w:w="2552" w:type="dxa"/>
          </w:tcPr>
          <w:p w:rsidR="00D05709" w:rsidRPr="00492C31" w:rsidRDefault="00D05709" w:rsidP="00D05709">
            <w:pPr>
              <w:pStyle w:val="letterheadbody"/>
              <w:spacing w:line="264" w:lineRule="auto"/>
              <w:ind w:left="0"/>
              <w:rPr>
                <w:rFonts w:ascii="Times New Roman" w:hAnsi="Times New Roman"/>
                <w:b/>
                <w:sz w:val="24"/>
                <w:szCs w:val="24"/>
              </w:rPr>
            </w:pPr>
            <w:r w:rsidRPr="00492C31">
              <w:rPr>
                <w:rFonts w:ascii="Times New Roman" w:hAnsi="Times New Roman"/>
                <w:b/>
                <w:sz w:val="24"/>
                <w:szCs w:val="24"/>
              </w:rPr>
              <w:t>Authorising legislation</w:t>
            </w:r>
          </w:p>
        </w:tc>
        <w:tc>
          <w:tcPr>
            <w:tcW w:w="6520" w:type="dxa"/>
          </w:tcPr>
          <w:p w:rsidR="00D05709" w:rsidRPr="00492C31" w:rsidRDefault="00D05709" w:rsidP="00D05709">
            <w:pPr>
              <w:pStyle w:val="letterheadbody"/>
              <w:spacing w:line="264" w:lineRule="auto"/>
              <w:ind w:left="0"/>
              <w:rPr>
                <w:rFonts w:ascii="Times New Roman" w:hAnsi="Times New Roman"/>
                <w:i/>
                <w:sz w:val="24"/>
                <w:szCs w:val="24"/>
              </w:rPr>
            </w:pPr>
            <w:r w:rsidRPr="00492C31">
              <w:rPr>
                <w:rFonts w:ascii="Times New Roman" w:hAnsi="Times New Roman"/>
                <w:i/>
                <w:noProof/>
                <w:sz w:val="24"/>
                <w:szCs w:val="24"/>
              </w:rPr>
              <w:t>Environment Protection and Biodiversity Conservation Act 1999</w:t>
            </w:r>
          </w:p>
        </w:tc>
      </w:tr>
      <w:tr w:rsidR="00D05709" w:rsidRPr="00492C31" w:rsidTr="00D05709">
        <w:tc>
          <w:tcPr>
            <w:tcW w:w="2552" w:type="dxa"/>
          </w:tcPr>
          <w:p w:rsidR="00D05709" w:rsidRPr="00492C31" w:rsidRDefault="00D05709" w:rsidP="00D05709">
            <w:pPr>
              <w:pStyle w:val="letterheadbody"/>
              <w:spacing w:line="264" w:lineRule="auto"/>
              <w:ind w:left="0"/>
              <w:rPr>
                <w:rFonts w:ascii="Times New Roman" w:hAnsi="Times New Roman"/>
                <w:b/>
                <w:sz w:val="24"/>
                <w:szCs w:val="24"/>
              </w:rPr>
            </w:pPr>
            <w:r w:rsidRPr="00492C31">
              <w:rPr>
                <w:rFonts w:ascii="Times New Roman" w:hAnsi="Times New Roman"/>
                <w:b/>
                <w:sz w:val="24"/>
                <w:szCs w:val="24"/>
              </w:rPr>
              <w:t>Department</w:t>
            </w:r>
          </w:p>
        </w:tc>
        <w:tc>
          <w:tcPr>
            <w:tcW w:w="6520" w:type="dxa"/>
          </w:tcPr>
          <w:p w:rsidR="00D05709" w:rsidRPr="00492C31" w:rsidRDefault="00D05709" w:rsidP="00D05709">
            <w:pPr>
              <w:pStyle w:val="letterheadbody"/>
              <w:spacing w:line="264" w:lineRule="auto"/>
              <w:ind w:left="0"/>
              <w:rPr>
                <w:rFonts w:ascii="Times New Roman" w:hAnsi="Times New Roman"/>
                <w:sz w:val="24"/>
                <w:szCs w:val="24"/>
              </w:rPr>
            </w:pPr>
            <w:r w:rsidRPr="00492C31">
              <w:rPr>
                <w:rFonts w:ascii="Times New Roman" w:hAnsi="Times New Roman"/>
                <w:noProof/>
                <w:sz w:val="24"/>
                <w:szCs w:val="24"/>
              </w:rPr>
              <w:t>Sustainability, Environment, Water, Population and Communities</w:t>
            </w:r>
          </w:p>
        </w:tc>
      </w:tr>
    </w:tbl>
    <w:p w:rsidR="00D05709" w:rsidRPr="00492C31" w:rsidRDefault="00D05709" w:rsidP="00D05709">
      <w:pPr>
        <w:spacing w:after="0"/>
        <w:rPr>
          <w:szCs w:val="26"/>
        </w:rPr>
      </w:pPr>
    </w:p>
    <w:p w:rsidR="00D05709" w:rsidRDefault="00D05709" w:rsidP="00D05709">
      <w:pPr>
        <w:spacing w:after="0"/>
        <w:rPr>
          <w:b/>
          <w:szCs w:val="26"/>
        </w:rPr>
      </w:pPr>
      <w:r w:rsidRPr="00492C31">
        <w:rPr>
          <w:b/>
          <w:szCs w:val="26"/>
        </w:rPr>
        <w:t>ISSUE:</w:t>
      </w:r>
    </w:p>
    <w:p w:rsidR="00D05709" w:rsidRPr="00492C31" w:rsidRDefault="00D05709" w:rsidP="00D05709">
      <w:pPr>
        <w:pStyle w:val="Heading4"/>
        <w:numPr>
          <w:ilvl w:val="3"/>
          <w:numId w:val="21"/>
        </w:numPr>
        <w:spacing w:before="120" w:after="120"/>
        <w:rPr>
          <w:noProof/>
        </w:rPr>
      </w:pPr>
      <w:r w:rsidRPr="00492C31">
        <w:rPr>
          <w:noProof/>
        </w:rPr>
        <w:t>Insufficient information regarding consultation</w:t>
      </w:r>
    </w:p>
    <w:p w:rsidR="00D05709" w:rsidRDefault="00D05709" w:rsidP="00D05709">
      <w:pPr>
        <w:pStyle w:val="Level1"/>
        <w:numPr>
          <w:ilvl w:val="0"/>
          <w:numId w:val="0"/>
        </w:numPr>
        <w:rPr>
          <w:noProof/>
          <w:szCs w:val="26"/>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szCs w:val="26"/>
        </w:rPr>
        <w:t>explanatory statement (</w:t>
      </w:r>
      <w:r w:rsidRPr="00AE3138">
        <w:rPr>
          <w:noProof/>
          <w:szCs w:val="26"/>
        </w:rPr>
        <w:t>ES</w:t>
      </w:r>
      <w:r>
        <w:rPr>
          <w:noProof/>
          <w:szCs w:val="26"/>
        </w:rPr>
        <w:t>)</w:t>
      </w:r>
      <w:r w:rsidRPr="00AE3138">
        <w:rPr>
          <w:noProof/>
          <w:szCs w:val="26"/>
        </w:rPr>
        <w:t xml:space="preserve"> which must accompany an instrument is required to describe the nature of any consultation that has been carried out or, if there has been no consultation, to explain why none was undertaken (s</w:t>
      </w:r>
      <w:r>
        <w:rPr>
          <w:noProof/>
          <w:szCs w:val="26"/>
        </w:rPr>
        <w:t>ection </w:t>
      </w:r>
      <w:r w:rsidRPr="00AE3138">
        <w:rPr>
          <w:noProof/>
          <w:szCs w:val="26"/>
        </w:rPr>
        <w:t>26).</w:t>
      </w:r>
      <w:r>
        <w:rPr>
          <w:rStyle w:val="FootnoteReference"/>
          <w:noProof/>
          <w:szCs w:val="26"/>
        </w:rPr>
        <w:footnoteReference w:id="10"/>
      </w:r>
      <w:r w:rsidRPr="00AD48AC">
        <w:rPr>
          <w:noProof/>
          <w:szCs w:val="26"/>
        </w:rPr>
        <w:t xml:space="preserve"> </w:t>
      </w:r>
      <w:r>
        <w:rPr>
          <w:noProof/>
          <w:szCs w:val="26"/>
        </w:rPr>
        <w:t xml:space="preserve">With reference to these requirements, </w:t>
      </w:r>
      <w:r>
        <w:rPr>
          <w:noProof/>
        </w:rPr>
        <w:t>the committee notes that</w:t>
      </w:r>
      <w:r w:rsidRPr="00492C31">
        <w:rPr>
          <w:noProof/>
          <w:szCs w:val="26"/>
        </w:rPr>
        <w:t xml:space="preserve"> ES </w:t>
      </w:r>
      <w:r>
        <w:rPr>
          <w:noProof/>
          <w:szCs w:val="26"/>
        </w:rPr>
        <w:t xml:space="preserve">for the instrument </w:t>
      </w:r>
      <w:r w:rsidRPr="00492C31">
        <w:rPr>
          <w:noProof/>
          <w:szCs w:val="26"/>
        </w:rPr>
        <w:t xml:space="preserve">does not indicate whether there was consultation with any operators of large mid-water trawl freezer vessels </w:t>
      </w:r>
      <w:r>
        <w:rPr>
          <w:noProof/>
          <w:szCs w:val="26"/>
        </w:rPr>
        <w:t xml:space="preserve">whose interests would be </w:t>
      </w:r>
      <w:r w:rsidRPr="00492C31">
        <w:rPr>
          <w:noProof/>
          <w:szCs w:val="26"/>
        </w:rPr>
        <w:t xml:space="preserve">affected by the interim prohibition or, if there was no such consultation, explain why none was undertaken </w:t>
      </w:r>
      <w:r w:rsidRPr="005174FE">
        <w:rPr>
          <w:b/>
          <w:noProof/>
          <w:szCs w:val="26"/>
        </w:rPr>
        <w:t>[t</w:t>
      </w:r>
      <w:r w:rsidRPr="00137F46">
        <w:rPr>
          <w:b/>
          <w:noProof/>
          <w:szCs w:val="26"/>
        </w:rPr>
        <w:t xml:space="preserve">he committee </w:t>
      </w:r>
      <w:r>
        <w:rPr>
          <w:b/>
          <w:noProof/>
          <w:szCs w:val="26"/>
        </w:rPr>
        <w:t xml:space="preserve">sought </w:t>
      </w:r>
      <w:r w:rsidRPr="00137F46">
        <w:rPr>
          <w:b/>
          <w:noProof/>
          <w:szCs w:val="26"/>
        </w:rPr>
        <w:t>further information from the minister</w:t>
      </w:r>
      <w:r>
        <w:rPr>
          <w:b/>
          <w:noProof/>
          <w:szCs w:val="26"/>
        </w:rPr>
        <w:t>]</w:t>
      </w:r>
      <w:r w:rsidRPr="00137F46">
        <w:rPr>
          <w:b/>
          <w:noProof/>
          <w:szCs w:val="26"/>
        </w:rPr>
        <w:t>.</w:t>
      </w:r>
    </w:p>
    <w:p w:rsidR="00D05709" w:rsidRDefault="00D05709" w:rsidP="00D05709">
      <w:pPr>
        <w:spacing w:after="0"/>
        <w:jc w:val="left"/>
        <w:rPr>
          <w:b/>
          <w:noProof/>
          <w:szCs w:val="26"/>
        </w:rPr>
      </w:pPr>
      <w:r>
        <w:rPr>
          <w:b/>
          <w:noProof/>
          <w:szCs w:val="26"/>
        </w:rPr>
        <w:br w:type="page"/>
      </w:r>
    </w:p>
    <w:p w:rsidR="00D05709" w:rsidRPr="00D7776C" w:rsidRDefault="00D05709" w:rsidP="00D05709">
      <w:pPr>
        <w:spacing w:after="120"/>
        <w:rPr>
          <w:b/>
          <w:noProof/>
          <w:szCs w:val="26"/>
        </w:rPr>
      </w:pPr>
      <w:r w:rsidRPr="00D7776C">
        <w:rPr>
          <w:b/>
          <w:noProof/>
          <w:szCs w:val="26"/>
        </w:rPr>
        <w:lastRenderedPageBreak/>
        <w:t>MINISTER'S RESPONSE:</w:t>
      </w:r>
    </w:p>
    <w:p w:rsidR="00D05709" w:rsidRPr="00D7776C" w:rsidRDefault="00D05709" w:rsidP="00D05709">
      <w:pPr>
        <w:spacing w:after="120"/>
        <w:rPr>
          <w:noProof/>
          <w:szCs w:val="26"/>
        </w:rPr>
      </w:pPr>
      <w:r w:rsidRPr="000C3BAE">
        <w:rPr>
          <w:noProof/>
          <w:szCs w:val="26"/>
        </w:rPr>
        <w:t>The minister advise</w:t>
      </w:r>
      <w:r>
        <w:rPr>
          <w:noProof/>
          <w:szCs w:val="26"/>
        </w:rPr>
        <w:t>d</w:t>
      </w:r>
      <w:r w:rsidRPr="000C3BAE">
        <w:rPr>
          <w:noProof/>
          <w:szCs w:val="26"/>
        </w:rPr>
        <w:t xml:space="preserve"> that consultation with parties other than the Minister for Agriculture, Fisheries and Forestry was considered </w:t>
      </w:r>
      <w:r>
        <w:rPr>
          <w:noProof/>
          <w:szCs w:val="26"/>
        </w:rPr>
        <w:t xml:space="preserve">to be innapropriate </w:t>
      </w:r>
      <w:r w:rsidRPr="000C3BAE">
        <w:rPr>
          <w:noProof/>
          <w:szCs w:val="26"/>
        </w:rPr>
        <w:t xml:space="preserve">as the interim instrument was required as a matter of urgency. </w:t>
      </w:r>
      <w:r>
        <w:rPr>
          <w:noProof/>
          <w:szCs w:val="26"/>
        </w:rPr>
        <w:t>However, w</w:t>
      </w:r>
      <w:r w:rsidRPr="000C3BAE">
        <w:rPr>
          <w:noProof/>
          <w:szCs w:val="26"/>
        </w:rPr>
        <w:t>ider consultation ha</w:t>
      </w:r>
      <w:r>
        <w:rPr>
          <w:noProof/>
          <w:szCs w:val="26"/>
        </w:rPr>
        <w:t>d</w:t>
      </w:r>
      <w:r w:rsidRPr="000C3BAE">
        <w:rPr>
          <w:noProof/>
          <w:szCs w:val="26"/>
        </w:rPr>
        <w:t xml:space="preserve"> since taken place in the development of a final instrument.</w:t>
      </w:r>
    </w:p>
    <w:p w:rsidR="00D05709" w:rsidRPr="00D7776C" w:rsidRDefault="00D05709" w:rsidP="00D05709">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the minister for his response and has concluded its interest in the matter</w:t>
      </w:r>
      <w:r>
        <w:rPr>
          <w:noProof/>
          <w:szCs w:val="26"/>
        </w:rPr>
        <w:t>.</w:t>
      </w:r>
    </w:p>
    <w:p w:rsidR="00D05709" w:rsidRPr="00B54538" w:rsidRDefault="00D05709" w:rsidP="00D05709">
      <w:pPr>
        <w:pStyle w:val="Heading3"/>
        <w:spacing w:before="600"/>
      </w:pPr>
      <w:r w:rsidRPr="00457181">
        <w:rPr>
          <w:noProof/>
        </w:rPr>
        <w:t>Financial Management and Accountability Amendment Regulation 2012 (No. 7) [Select Legislative Instrument 2012 No. 229]</w:t>
      </w:r>
      <w:r>
        <w:rPr>
          <w:noProof/>
        </w:rPr>
        <w:t xml:space="preserve"> [</w:t>
      </w:r>
      <w:r w:rsidRPr="00F57E3B">
        <w:rPr>
          <w:noProof/>
        </w:rPr>
        <w:t>F2012L01988</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Adds one new Government program to Part 4 of Schedule 1AA to the </w:t>
            </w:r>
            <w:r w:rsidRPr="0088320D">
              <w:rPr>
                <w:rFonts w:ascii="Times New Roman" w:hAnsi="Times New Roman"/>
                <w:noProof/>
                <w:sz w:val="24"/>
                <w:szCs w:val="24"/>
              </w:rPr>
              <w:t>Financial Management and Accountability Regulations 1997</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5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D7776C" w:rsidRDefault="00D05709" w:rsidP="00D05709">
            <w:pPr>
              <w:pStyle w:val="letterheadbody"/>
              <w:spacing w:line="264" w:lineRule="auto"/>
              <w:ind w:left="0"/>
              <w:rPr>
                <w:rFonts w:ascii="Times New Roman" w:hAnsi="Times New Roman"/>
                <w:i/>
                <w:sz w:val="24"/>
                <w:szCs w:val="24"/>
              </w:rPr>
            </w:pPr>
            <w:r w:rsidRPr="00D7776C">
              <w:rPr>
                <w:rFonts w:ascii="Times New Roman" w:hAnsi="Times New Roman"/>
                <w:i/>
                <w:noProof/>
                <w:sz w:val="24"/>
                <w:szCs w:val="24"/>
              </w:rPr>
              <w:t>Financial Management and Accountability Act 1997</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Finance and Deregulation</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Insufficent</w:t>
      </w:r>
      <w:r w:rsidRPr="00457181">
        <w:rPr>
          <w:noProof/>
        </w:rPr>
        <w:t xml:space="preserve"> information regarding program</w:t>
      </w:r>
    </w:p>
    <w:p w:rsidR="00D05709" w:rsidRDefault="00D05709" w:rsidP="00D05709">
      <w:pPr>
        <w:pStyle w:val="Level1"/>
        <w:numPr>
          <w:ilvl w:val="0"/>
          <w:numId w:val="0"/>
        </w:numPr>
        <w:spacing w:after="120"/>
        <w:rPr>
          <w:noProof/>
        </w:rPr>
      </w:pPr>
      <w:r w:rsidRPr="00457181">
        <w:rPr>
          <w:noProof/>
        </w:rPr>
        <w:t xml:space="preserve">The amendment relies on section 32B of the </w:t>
      </w:r>
      <w:r w:rsidRPr="00137F46">
        <w:rPr>
          <w:i/>
          <w:noProof/>
        </w:rPr>
        <w:t>Financial Management and Accountability Act 1997</w:t>
      </w:r>
      <w:r>
        <w:rPr>
          <w:noProof/>
        </w:rPr>
        <w:t xml:space="preserve">, which </w:t>
      </w:r>
      <w:r w:rsidRPr="00457181">
        <w:rPr>
          <w:noProof/>
        </w:rPr>
        <w:t>provide</w:t>
      </w:r>
      <w:r>
        <w:rPr>
          <w:noProof/>
        </w:rPr>
        <w:t>s</w:t>
      </w:r>
      <w:r w:rsidRPr="00457181">
        <w:rPr>
          <w:noProof/>
        </w:rPr>
        <w:t xml:space="preserve"> </w:t>
      </w:r>
      <w:r>
        <w:rPr>
          <w:noProof/>
        </w:rPr>
        <w:t xml:space="preserve">legislative </w:t>
      </w:r>
      <w:r w:rsidRPr="00457181">
        <w:rPr>
          <w:noProof/>
        </w:rPr>
        <w:t xml:space="preserve">authority for the Government to spend </w:t>
      </w:r>
      <w:r>
        <w:rPr>
          <w:noProof/>
        </w:rPr>
        <w:t xml:space="preserve">monies </w:t>
      </w:r>
      <w:r w:rsidRPr="00457181">
        <w:rPr>
          <w:noProof/>
        </w:rPr>
        <w:t>on programs listed in Schedule 1AA</w:t>
      </w:r>
      <w:r>
        <w:rPr>
          <w:noProof/>
        </w:rPr>
        <w:t xml:space="preserve"> to </w:t>
      </w:r>
      <w:r w:rsidRPr="0088320D">
        <w:rPr>
          <w:noProof/>
        </w:rPr>
        <w:t>Financial Management and Accountability Regulations 1997</w:t>
      </w:r>
      <w:r w:rsidRPr="00457181">
        <w:rPr>
          <w:noProof/>
        </w:rPr>
        <w:t xml:space="preserve">. Section 32B was introduced in response to the decision of the High Court in </w:t>
      </w:r>
      <w:r w:rsidRPr="00137F46">
        <w:rPr>
          <w:i/>
          <w:noProof/>
        </w:rPr>
        <w:t>Williams v Commonwealth</w:t>
      </w:r>
      <w:r w:rsidRPr="00137F46">
        <w:rPr>
          <w:noProof/>
        </w:rPr>
        <w:t xml:space="preserve"> (</w:t>
      </w:r>
      <w:r>
        <w:rPr>
          <w:noProof/>
        </w:rPr>
        <w:t>[2012] HCA </w:t>
      </w:r>
      <w:r w:rsidRPr="00137F46">
        <w:rPr>
          <w:noProof/>
        </w:rPr>
        <w:t>23</w:t>
      </w:r>
      <w:r>
        <w:rPr>
          <w:noProof/>
        </w:rPr>
        <w:t>) in June 2012</w:t>
      </w:r>
      <w:r w:rsidRPr="00457181">
        <w:rPr>
          <w:noProof/>
        </w:rPr>
        <w:t>.</w:t>
      </w:r>
      <w:r>
        <w:rPr>
          <w:noProof/>
        </w:rPr>
        <w:t xml:space="preserve"> </w:t>
      </w:r>
      <w:r w:rsidRPr="00457181">
        <w:rPr>
          <w:noProof/>
        </w:rPr>
        <w:t xml:space="preserve">The new program has the objective of providing financial assistance to persons acquiring Commonwealth real property. </w:t>
      </w:r>
      <w:r>
        <w:rPr>
          <w:noProof/>
        </w:rPr>
        <w:t>However, n</w:t>
      </w:r>
      <w:r w:rsidRPr="00457181">
        <w:rPr>
          <w:noProof/>
        </w:rPr>
        <w:t>o further information is supplied about th</w:t>
      </w:r>
      <w:r>
        <w:rPr>
          <w:noProof/>
        </w:rPr>
        <w:t xml:space="preserve">e nature of the </w:t>
      </w:r>
      <w:r w:rsidRPr="00457181">
        <w:rPr>
          <w:noProof/>
        </w:rPr>
        <w:t>program</w:t>
      </w:r>
      <w:r>
        <w:rPr>
          <w:noProof/>
        </w:rPr>
        <w:t xml:space="preserve">, such as </w:t>
      </w:r>
      <w:r w:rsidRPr="00457181">
        <w:rPr>
          <w:noProof/>
        </w:rPr>
        <w:t xml:space="preserve">how decisions are </w:t>
      </w:r>
      <w:r>
        <w:rPr>
          <w:noProof/>
        </w:rPr>
        <w:t xml:space="preserve">to be </w:t>
      </w:r>
      <w:r w:rsidRPr="00457181">
        <w:rPr>
          <w:noProof/>
        </w:rPr>
        <w:t xml:space="preserve">made about the provision of financial assistance, the criteria for </w:t>
      </w:r>
      <w:r>
        <w:rPr>
          <w:noProof/>
        </w:rPr>
        <w:t xml:space="preserve">decisions regarding </w:t>
      </w:r>
      <w:r w:rsidRPr="00457181">
        <w:rPr>
          <w:noProof/>
        </w:rPr>
        <w:t>the provision of assistance</w:t>
      </w:r>
      <w:r>
        <w:rPr>
          <w:noProof/>
        </w:rPr>
        <w:t xml:space="preserve"> and</w:t>
      </w:r>
      <w:r w:rsidRPr="00457181">
        <w:rPr>
          <w:noProof/>
        </w:rPr>
        <w:t xml:space="preserve"> whether independent review is available in respect of those decisions </w:t>
      </w:r>
      <w:r>
        <w:rPr>
          <w:b/>
          <w:noProof/>
        </w:rPr>
        <w:t>[t</w:t>
      </w:r>
      <w:r w:rsidRPr="00A53114">
        <w:rPr>
          <w:b/>
          <w:noProof/>
        </w:rPr>
        <w:t xml:space="preserve">he committee </w:t>
      </w:r>
      <w:r>
        <w:rPr>
          <w:b/>
          <w:noProof/>
        </w:rPr>
        <w:t xml:space="preserve">sought </w:t>
      </w:r>
      <w:r w:rsidRPr="00A53114">
        <w:rPr>
          <w:b/>
          <w:noProof/>
        </w:rPr>
        <w:t>further information from the minister</w:t>
      </w:r>
      <w:r>
        <w:rPr>
          <w:b/>
          <w:noProof/>
        </w:rPr>
        <w:t>]</w:t>
      </w:r>
      <w:r>
        <w:rPr>
          <w:noProof/>
        </w:rPr>
        <w:t>.</w:t>
      </w:r>
    </w:p>
    <w:p w:rsidR="00D05709" w:rsidRPr="00D7776C" w:rsidRDefault="00D05709" w:rsidP="00D05709">
      <w:pPr>
        <w:spacing w:after="120"/>
        <w:rPr>
          <w:b/>
          <w:noProof/>
          <w:szCs w:val="26"/>
        </w:rPr>
      </w:pPr>
      <w:r w:rsidRPr="00D7776C">
        <w:rPr>
          <w:b/>
          <w:noProof/>
          <w:szCs w:val="26"/>
        </w:rPr>
        <w:t>MINISTER'S RESPONSE:</w:t>
      </w:r>
    </w:p>
    <w:p w:rsidR="00D05709" w:rsidRDefault="00D05709" w:rsidP="00D05709">
      <w:pPr>
        <w:rPr>
          <w:noProof/>
          <w:szCs w:val="26"/>
        </w:rPr>
      </w:pPr>
      <w:r w:rsidRPr="00DF2D84">
        <w:rPr>
          <w:noProof/>
          <w:szCs w:val="26"/>
        </w:rPr>
        <w:t>The minister advise</w:t>
      </w:r>
      <w:r>
        <w:rPr>
          <w:noProof/>
          <w:szCs w:val="26"/>
        </w:rPr>
        <w:t>d</w:t>
      </w:r>
      <w:r w:rsidRPr="00DF2D84">
        <w:rPr>
          <w:noProof/>
          <w:szCs w:val="26"/>
        </w:rPr>
        <w:t xml:space="preserve"> that the </w:t>
      </w:r>
      <w:r>
        <w:rPr>
          <w:noProof/>
          <w:szCs w:val="26"/>
        </w:rPr>
        <w:t>amendment was necessary to allow the Government to provide financial assistance to persons acquiring Commonwealth real property, including in relation to the acquisition of, and maintenance and compliance with legal requirements associated with, a property (for example, to undertake capital maintenance to maintain the heritage status of the property). The factors to be taken into account in any decision to provide such financial assistance would be: whether and for how long a property was surplus to requirements; the cost to the Commonwealth of managing a property and the potential for cost recovery; and the fact that the market value of a property could not be obtained through its sale on the open market due to social or community considerations.</w:t>
      </w:r>
    </w:p>
    <w:p w:rsidR="00D05709" w:rsidRPr="00092E25" w:rsidRDefault="00D05709" w:rsidP="00D05709">
      <w:pPr>
        <w:spacing w:after="120"/>
        <w:rPr>
          <w:noProof/>
          <w:szCs w:val="26"/>
        </w:rPr>
      </w:pPr>
      <w:r>
        <w:rPr>
          <w:noProof/>
          <w:szCs w:val="26"/>
        </w:rPr>
        <w:lastRenderedPageBreak/>
        <w:t xml:space="preserve">In relation to the availability of independent merits review of decisions to provide assistance under the program, the minister advised that such decisions involved the allocation of finite resources and were therefore not suitable for merits review (such as by the Administrative Appeals Tribunal (AAT)). Decisions under items listed in Schedule 1AA of the </w:t>
      </w:r>
      <w:r w:rsidRPr="0088320D">
        <w:rPr>
          <w:noProof/>
        </w:rPr>
        <w:t>Financial Management and Accountability Regulations 1997</w:t>
      </w:r>
      <w:r>
        <w:rPr>
          <w:noProof/>
        </w:rPr>
        <w:t xml:space="preserve"> had been specifically excluded from judicial review under the </w:t>
      </w:r>
      <w:r>
        <w:rPr>
          <w:i/>
          <w:noProof/>
        </w:rPr>
        <w:t>Adminstrative Decisions (Judicial Review) Act 1997</w:t>
      </w:r>
      <w:r>
        <w:rPr>
          <w:noProof/>
        </w:rPr>
        <w:t xml:space="preserve"> (ADJR Act). However, review may be available under section 39B of the </w:t>
      </w:r>
      <w:r w:rsidRPr="00092E25">
        <w:rPr>
          <w:i/>
          <w:noProof/>
        </w:rPr>
        <w:t>Judiciary Act 1903</w:t>
      </w:r>
      <w:r>
        <w:rPr>
          <w:noProof/>
        </w:rPr>
        <w:t xml:space="preserve"> and section 75(v) of the Constitution, in addition to recourse to the Ombudsman.</w:t>
      </w:r>
    </w:p>
    <w:p w:rsidR="00D05709" w:rsidRPr="00D7776C" w:rsidRDefault="00D05709" w:rsidP="00D05709">
      <w:pPr>
        <w:spacing w:after="120"/>
        <w:rPr>
          <w:b/>
          <w:noProof/>
          <w:szCs w:val="26"/>
        </w:rPr>
      </w:pPr>
      <w:r w:rsidRPr="00D7776C">
        <w:rPr>
          <w:b/>
          <w:noProof/>
          <w:szCs w:val="26"/>
        </w:rPr>
        <w:t>COMMITTEE RESPONSE:</w:t>
      </w:r>
    </w:p>
    <w:p w:rsidR="00D05709" w:rsidRPr="005174FE" w:rsidRDefault="00D05709" w:rsidP="00D05709">
      <w:pPr>
        <w:rPr>
          <w:b/>
          <w:noProof/>
          <w:szCs w:val="26"/>
          <w:highlight w:val="yellow"/>
        </w:rPr>
      </w:pPr>
      <w:r w:rsidRPr="000C3BAE">
        <w:rPr>
          <w:b/>
          <w:noProof/>
          <w:szCs w:val="26"/>
        </w:rPr>
        <w:t xml:space="preserve">The committee thanks </w:t>
      </w:r>
      <w:r>
        <w:rPr>
          <w:b/>
          <w:noProof/>
          <w:szCs w:val="26"/>
        </w:rPr>
        <w:t>the minister for her response and has concluded its interest in the matter</w:t>
      </w:r>
      <w:r>
        <w:rPr>
          <w:noProof/>
          <w:szCs w:val="26"/>
        </w:rPr>
        <w:t xml:space="preserve">. </w:t>
      </w:r>
      <w:r w:rsidRPr="005174FE">
        <w:rPr>
          <w:b/>
          <w:noProof/>
          <w:szCs w:val="26"/>
        </w:rPr>
        <w:t>However,</w:t>
      </w:r>
      <w:r>
        <w:rPr>
          <w:noProof/>
          <w:szCs w:val="26"/>
        </w:rPr>
        <w:t xml:space="preserve"> </w:t>
      </w:r>
      <w:r w:rsidRPr="005174FE">
        <w:rPr>
          <w:b/>
          <w:noProof/>
          <w:szCs w:val="26"/>
        </w:rPr>
        <w:t>the</w:t>
      </w:r>
      <w:r>
        <w:rPr>
          <w:noProof/>
          <w:szCs w:val="26"/>
        </w:rPr>
        <w:t xml:space="preserve"> </w:t>
      </w:r>
      <w:r>
        <w:rPr>
          <w:b/>
          <w:noProof/>
          <w:szCs w:val="26"/>
        </w:rPr>
        <w:t xml:space="preserve">committee notes the concerns of the Senate Scrutiny of Bills Committee regarding the justification for excluding from the ADJR Act decisions under items listed in Schedule 1AA to the </w:t>
      </w:r>
      <w:r w:rsidRPr="005174FE">
        <w:rPr>
          <w:b/>
          <w:noProof/>
          <w:szCs w:val="26"/>
        </w:rPr>
        <w:t>Financial Management and Accountability Regulations 1997</w:t>
      </w:r>
      <w:r>
        <w:rPr>
          <w:b/>
          <w:noProof/>
          <w:szCs w:val="26"/>
        </w:rPr>
        <w:t>, and draws the attention of senators to the comments of that committee on the Financial Framework Legislation Amendment Bill 2012 in its Eleventh Report of 2012 (19 September 2012).</w:t>
      </w:r>
    </w:p>
    <w:p w:rsidR="00D05709" w:rsidRPr="00B54538" w:rsidRDefault="00D05709" w:rsidP="00D05709">
      <w:pPr>
        <w:pStyle w:val="Heading3"/>
        <w:spacing w:before="600"/>
      </w:pPr>
      <w:r w:rsidRPr="00457181">
        <w:rPr>
          <w:noProof/>
        </w:rPr>
        <w:t>Greenhouse and Energy Minimum Standards Regulation 2012 [Select Legislative Instrument 2012 No. 239]</w:t>
      </w:r>
      <w:r>
        <w:rPr>
          <w:noProof/>
        </w:rPr>
        <w:t xml:space="preserve"> [</w:t>
      </w:r>
      <w:r w:rsidRPr="00166FC0">
        <w:rPr>
          <w:noProof/>
        </w:rPr>
        <w:t>F2012L02037</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Specifies the circumstances in which the Greenhouse and Energy Minimum Standards Regulator may exempt product models from compliance with obligations under the </w:t>
            </w:r>
            <w:r w:rsidRPr="00D7776C">
              <w:rPr>
                <w:rFonts w:ascii="Times New Roman" w:hAnsi="Times New Roman"/>
                <w:i/>
                <w:noProof/>
                <w:sz w:val="24"/>
                <w:szCs w:val="24"/>
              </w:rPr>
              <w:t>Greenhouse and En</w:t>
            </w:r>
            <w:r>
              <w:rPr>
                <w:rFonts w:ascii="Times New Roman" w:hAnsi="Times New Roman"/>
                <w:i/>
                <w:noProof/>
                <w:sz w:val="24"/>
                <w:szCs w:val="24"/>
              </w:rPr>
              <w:t xml:space="preserve">ergy Minimum Standards Act </w:t>
            </w:r>
            <w:r w:rsidRPr="00D7776C">
              <w:rPr>
                <w:rFonts w:ascii="Times New Roman" w:hAnsi="Times New Roman"/>
                <w:i/>
                <w:noProof/>
                <w:sz w:val="24"/>
                <w:szCs w:val="24"/>
              </w:rPr>
              <w:t>2012</w:t>
            </w:r>
            <w:r>
              <w:rPr>
                <w:rFonts w:ascii="Times New Roman" w:hAnsi="Times New Roman"/>
                <w:noProof/>
                <w:sz w:val="24"/>
                <w:szCs w:val="24"/>
              </w:rPr>
              <w:t xml:space="preserve"> </w:t>
            </w:r>
            <w:r w:rsidRPr="00457181">
              <w:rPr>
                <w:rFonts w:ascii="Times New Roman" w:hAnsi="Times New Roman"/>
                <w:noProof/>
                <w:sz w:val="24"/>
                <w:szCs w:val="24"/>
              </w:rPr>
              <w:t xml:space="preserve">and prescribes matters which a person must provide when applying to register a product model under </w:t>
            </w:r>
            <w:r>
              <w:rPr>
                <w:rFonts w:ascii="Times New Roman" w:hAnsi="Times New Roman"/>
                <w:noProof/>
                <w:sz w:val="24"/>
                <w:szCs w:val="24"/>
              </w:rPr>
              <w:t xml:space="preserve">that </w:t>
            </w:r>
            <w:r w:rsidRPr="00457181">
              <w:rPr>
                <w:rFonts w:ascii="Times New Roman" w:hAnsi="Times New Roman"/>
                <w:noProof/>
                <w:sz w:val="24"/>
                <w:szCs w:val="24"/>
              </w:rPr>
              <w:t>Act</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25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D7776C" w:rsidRDefault="00D05709" w:rsidP="00D05709">
            <w:pPr>
              <w:pStyle w:val="letterheadbody"/>
              <w:spacing w:line="264" w:lineRule="auto"/>
              <w:ind w:left="0"/>
              <w:rPr>
                <w:rFonts w:ascii="Times New Roman" w:hAnsi="Times New Roman"/>
                <w:i/>
                <w:sz w:val="24"/>
                <w:szCs w:val="24"/>
              </w:rPr>
            </w:pPr>
            <w:r w:rsidRPr="00D7776C">
              <w:rPr>
                <w:rFonts w:ascii="Times New Roman" w:hAnsi="Times New Roman"/>
                <w:i/>
                <w:noProof/>
                <w:sz w:val="24"/>
                <w:szCs w:val="24"/>
              </w:rPr>
              <w:t>Greenhouse and Energy Minimum Standards Act 2012</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Climate Change and Energy Efficiency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Availability of merits review</w:t>
      </w:r>
    </w:p>
    <w:p w:rsidR="00D05709" w:rsidRPr="00B54538" w:rsidRDefault="00D05709" w:rsidP="00D05709">
      <w:pPr>
        <w:rPr>
          <w:szCs w:val="26"/>
        </w:rPr>
      </w:pPr>
      <w:r w:rsidRPr="00457181">
        <w:rPr>
          <w:noProof/>
          <w:szCs w:val="26"/>
        </w:rPr>
        <w:t>Part 4 of th</w:t>
      </w:r>
      <w:r>
        <w:rPr>
          <w:noProof/>
          <w:szCs w:val="26"/>
        </w:rPr>
        <w:t>e</w:t>
      </w:r>
      <w:r w:rsidRPr="00457181">
        <w:rPr>
          <w:noProof/>
          <w:szCs w:val="26"/>
        </w:rPr>
        <w:t xml:space="preserve"> regulation specifies the circumstances in which the Greenhouse and Energy Minimum Standards Regulator may exempt product models from compliance with obligations under the </w:t>
      </w:r>
      <w:r w:rsidRPr="00FA7E38">
        <w:rPr>
          <w:i/>
          <w:noProof/>
          <w:szCs w:val="26"/>
        </w:rPr>
        <w:t>Greenhouse and Energy Minimum Standards Act 2012</w:t>
      </w:r>
      <w:r w:rsidRPr="00457181">
        <w:rPr>
          <w:noProof/>
          <w:szCs w:val="26"/>
        </w:rPr>
        <w:t xml:space="preserve">. </w:t>
      </w:r>
      <w:r>
        <w:rPr>
          <w:noProof/>
          <w:szCs w:val="26"/>
        </w:rPr>
        <w:t>However, i</w:t>
      </w:r>
      <w:r w:rsidRPr="00457181">
        <w:rPr>
          <w:noProof/>
          <w:szCs w:val="26"/>
        </w:rPr>
        <w:t xml:space="preserve">t is not clear </w:t>
      </w:r>
      <w:r>
        <w:rPr>
          <w:noProof/>
          <w:szCs w:val="26"/>
        </w:rPr>
        <w:t xml:space="preserve">on the face of the instrument and its ES </w:t>
      </w:r>
      <w:r w:rsidRPr="00457181">
        <w:rPr>
          <w:noProof/>
          <w:szCs w:val="26"/>
        </w:rPr>
        <w:t xml:space="preserve">whether a decision by the </w:t>
      </w:r>
      <w:r w:rsidRPr="00F56DA6">
        <w:rPr>
          <w:noProof/>
          <w:szCs w:val="26"/>
        </w:rPr>
        <w:t>G</w:t>
      </w:r>
      <w:r>
        <w:rPr>
          <w:noProof/>
          <w:szCs w:val="26"/>
        </w:rPr>
        <w:t xml:space="preserve">reenhouse and </w:t>
      </w:r>
      <w:r w:rsidRPr="00F56DA6">
        <w:rPr>
          <w:noProof/>
          <w:szCs w:val="26"/>
        </w:rPr>
        <w:t>E</w:t>
      </w:r>
      <w:r>
        <w:rPr>
          <w:noProof/>
          <w:szCs w:val="26"/>
        </w:rPr>
        <w:t>nergy Minimum Standards (GE</w:t>
      </w:r>
      <w:r w:rsidRPr="00F56DA6">
        <w:rPr>
          <w:noProof/>
          <w:szCs w:val="26"/>
        </w:rPr>
        <w:t>MS</w:t>
      </w:r>
      <w:r>
        <w:rPr>
          <w:noProof/>
          <w:szCs w:val="26"/>
        </w:rPr>
        <w:t>)</w:t>
      </w:r>
      <w:r w:rsidRPr="00F56DA6">
        <w:rPr>
          <w:noProof/>
          <w:szCs w:val="26"/>
        </w:rPr>
        <w:t xml:space="preserve"> </w:t>
      </w:r>
      <w:r>
        <w:rPr>
          <w:noProof/>
          <w:szCs w:val="26"/>
        </w:rPr>
        <w:t>R</w:t>
      </w:r>
      <w:r w:rsidRPr="00457181">
        <w:rPr>
          <w:noProof/>
          <w:szCs w:val="26"/>
        </w:rPr>
        <w:t xml:space="preserve">egulator under Part </w:t>
      </w:r>
      <w:r>
        <w:rPr>
          <w:noProof/>
          <w:szCs w:val="26"/>
        </w:rPr>
        <w:t>4 is reviewable</w:t>
      </w:r>
      <w:r w:rsidRPr="00457181">
        <w:rPr>
          <w:noProof/>
          <w:szCs w:val="26"/>
        </w:rPr>
        <w:t xml:space="preserve"> </w:t>
      </w:r>
      <w:r>
        <w:rPr>
          <w:b/>
          <w:noProof/>
          <w:szCs w:val="26"/>
        </w:rPr>
        <w:t>[the committee sought further information from the parliamentary secretary]</w:t>
      </w:r>
      <w:r w:rsidRPr="00457181">
        <w:rPr>
          <w:noProof/>
          <w:szCs w:val="26"/>
        </w:rPr>
        <w:t>.</w:t>
      </w:r>
    </w:p>
    <w:p w:rsidR="00D05709" w:rsidRDefault="00D05709" w:rsidP="00D05709">
      <w:pPr>
        <w:spacing w:after="0"/>
        <w:jc w:val="left"/>
        <w:rPr>
          <w:b/>
          <w:noProof/>
          <w:szCs w:val="26"/>
        </w:rPr>
      </w:pPr>
      <w:r>
        <w:rPr>
          <w:b/>
          <w:noProof/>
          <w:szCs w:val="26"/>
        </w:rPr>
        <w:br w:type="page"/>
      </w:r>
    </w:p>
    <w:p w:rsidR="00D05709" w:rsidRPr="00D7776C" w:rsidRDefault="00D05709" w:rsidP="00D05709">
      <w:pPr>
        <w:spacing w:after="120"/>
        <w:rPr>
          <w:b/>
          <w:noProof/>
          <w:szCs w:val="26"/>
        </w:rPr>
      </w:pPr>
      <w:r>
        <w:rPr>
          <w:b/>
          <w:noProof/>
          <w:szCs w:val="26"/>
        </w:rPr>
        <w:lastRenderedPageBreak/>
        <w:t>PARLIAMENTARY SECRETARY</w:t>
      </w:r>
      <w:r w:rsidRPr="00D7776C">
        <w:rPr>
          <w:b/>
          <w:noProof/>
          <w:szCs w:val="26"/>
        </w:rPr>
        <w:t>'S RESPONSE:</w:t>
      </w:r>
    </w:p>
    <w:p w:rsidR="00D05709" w:rsidRPr="00D7776C" w:rsidRDefault="00D05709" w:rsidP="00D05709">
      <w:pPr>
        <w:spacing w:after="120"/>
        <w:rPr>
          <w:noProof/>
          <w:szCs w:val="26"/>
        </w:rPr>
      </w:pPr>
      <w:r w:rsidRPr="00F56DA6">
        <w:rPr>
          <w:noProof/>
          <w:szCs w:val="26"/>
        </w:rPr>
        <w:t>The parliamentary secretary advise</w:t>
      </w:r>
      <w:r>
        <w:rPr>
          <w:noProof/>
          <w:szCs w:val="26"/>
        </w:rPr>
        <w:t>d</w:t>
      </w:r>
      <w:r w:rsidRPr="00F56DA6">
        <w:rPr>
          <w:noProof/>
          <w:szCs w:val="26"/>
        </w:rPr>
        <w:t xml:space="preserve"> that a decision to exempt a model from a </w:t>
      </w:r>
      <w:r>
        <w:rPr>
          <w:noProof/>
          <w:szCs w:val="26"/>
        </w:rPr>
        <w:t>GE</w:t>
      </w:r>
      <w:r w:rsidRPr="00F56DA6">
        <w:rPr>
          <w:noProof/>
          <w:szCs w:val="26"/>
        </w:rPr>
        <w:t>MS determination is not subject to review. Th</w:t>
      </w:r>
      <w:r>
        <w:rPr>
          <w:noProof/>
          <w:szCs w:val="26"/>
        </w:rPr>
        <w:t xml:space="preserve">is arises from </w:t>
      </w:r>
      <w:r w:rsidRPr="00F56DA6">
        <w:rPr>
          <w:noProof/>
          <w:szCs w:val="26"/>
        </w:rPr>
        <w:t xml:space="preserve">section </w:t>
      </w:r>
      <w:r>
        <w:rPr>
          <w:noProof/>
          <w:szCs w:val="26"/>
        </w:rPr>
        <w:t>164</w:t>
      </w:r>
      <w:r w:rsidRPr="00F56DA6">
        <w:rPr>
          <w:noProof/>
          <w:szCs w:val="26"/>
        </w:rPr>
        <w:t xml:space="preserve"> of the </w:t>
      </w:r>
      <w:r w:rsidRPr="00F56DA6">
        <w:rPr>
          <w:i/>
          <w:noProof/>
          <w:szCs w:val="26"/>
        </w:rPr>
        <w:t>Greenhouse and Energy Minimum Standards Act 2012</w:t>
      </w:r>
      <w:r>
        <w:rPr>
          <w:noProof/>
          <w:szCs w:val="26"/>
        </w:rPr>
        <w:t xml:space="preserve">, which sets out those </w:t>
      </w:r>
      <w:r w:rsidRPr="00F56DA6">
        <w:rPr>
          <w:noProof/>
          <w:szCs w:val="26"/>
        </w:rPr>
        <w:t xml:space="preserve">decisions </w:t>
      </w:r>
      <w:r>
        <w:rPr>
          <w:noProof/>
          <w:szCs w:val="26"/>
        </w:rPr>
        <w:t xml:space="preserve">of the GEMS Regulator that are subject to review by the AAT. A decision to exempt a model from a GEMS determination is made under subsection 37(1) and is not a </w:t>
      </w:r>
      <w:r w:rsidRPr="00F56DA6">
        <w:rPr>
          <w:noProof/>
          <w:szCs w:val="26"/>
        </w:rPr>
        <w:t>reviewable decision under section 164.</w:t>
      </w:r>
    </w:p>
    <w:p w:rsidR="00D05709" w:rsidRDefault="00D05709" w:rsidP="00D05709">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the parliamentary secretary for his response and has concluded its interest in the matter</w:t>
      </w:r>
      <w:r>
        <w:rPr>
          <w:noProof/>
          <w:szCs w:val="26"/>
        </w:rPr>
        <w:t>.</w:t>
      </w:r>
    </w:p>
    <w:p w:rsidR="00D05709" w:rsidRDefault="00D05709" w:rsidP="00D05709">
      <w:pPr>
        <w:pStyle w:val="Heading3"/>
        <w:spacing w:before="600"/>
        <w:rPr>
          <w:noProof/>
          <w:lang w:eastAsia="en-AU"/>
        </w:rPr>
      </w:pPr>
      <w:r w:rsidRPr="00457181">
        <w:rPr>
          <w:noProof/>
          <w:lang w:eastAsia="en-AU"/>
        </w:rPr>
        <w:t>ASI</w:t>
      </w:r>
      <w:r>
        <w:rPr>
          <w:noProof/>
          <w:lang w:eastAsia="en-AU"/>
        </w:rPr>
        <w:t>C Class Order [CO 12/1266] [</w:t>
      </w:r>
      <w:r w:rsidRPr="00166FC0">
        <w:rPr>
          <w:noProof/>
          <w:lang w:eastAsia="en-AU"/>
        </w:rPr>
        <w:t>F2012L01918</w:t>
      </w:r>
      <w:r>
        <w:rPr>
          <w:noProof/>
          <w:lang w:eastAsia="en-AU"/>
        </w:rPr>
        <w:t>]; and</w:t>
      </w:r>
    </w:p>
    <w:p w:rsidR="00D05709" w:rsidRPr="00B54538" w:rsidRDefault="00D05709" w:rsidP="00D05709">
      <w:pPr>
        <w:pStyle w:val="Heading3"/>
      </w:pPr>
      <w:r w:rsidRPr="00457181">
        <w:rPr>
          <w:noProof/>
          <w:lang w:eastAsia="en-AU"/>
        </w:rPr>
        <w:t>ASIC Class Order [CO 12/1267]</w:t>
      </w:r>
      <w:r>
        <w:rPr>
          <w:noProof/>
          <w:lang w:eastAsia="en-AU"/>
        </w:rPr>
        <w:t xml:space="preserve"> [</w:t>
      </w:r>
      <w:r w:rsidRPr="00166FC0">
        <w:rPr>
          <w:noProof/>
          <w:lang w:eastAsia="en-AU"/>
        </w:rPr>
        <w:t>F2012L01919</w:t>
      </w:r>
      <w:r>
        <w:rPr>
          <w:noProof/>
          <w:lang w:eastAsia="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Amends several class orders </w:t>
            </w:r>
            <w:r>
              <w:rPr>
                <w:rFonts w:ascii="Times New Roman" w:hAnsi="Times New Roman"/>
                <w:noProof/>
                <w:sz w:val="24"/>
                <w:szCs w:val="24"/>
              </w:rPr>
              <w:t>(</w:t>
            </w:r>
            <w:r w:rsidRPr="00457181">
              <w:rPr>
                <w:rFonts w:ascii="Times New Roman" w:hAnsi="Times New Roman"/>
                <w:noProof/>
                <w:sz w:val="24"/>
                <w:szCs w:val="24"/>
              </w:rPr>
              <w:t xml:space="preserve">to correct an unintended consequence </w:t>
            </w:r>
            <w:r>
              <w:rPr>
                <w:rFonts w:ascii="Times New Roman" w:hAnsi="Times New Roman"/>
                <w:noProof/>
                <w:sz w:val="24"/>
                <w:szCs w:val="24"/>
              </w:rPr>
              <w:t>of a previous amendment)</w:t>
            </w:r>
            <w:r w:rsidRPr="00457181">
              <w:rPr>
                <w:rFonts w:ascii="Times New Roman" w:hAnsi="Times New Roman"/>
                <w:noProof/>
                <w:sz w:val="24"/>
                <w:szCs w:val="24"/>
              </w:rPr>
              <w:t xml:space="preserve"> to exempt foreign financial services provider</w:t>
            </w:r>
            <w:r>
              <w:rPr>
                <w:rFonts w:ascii="Times New Roman" w:hAnsi="Times New Roman"/>
                <w:noProof/>
                <w:sz w:val="24"/>
                <w:szCs w:val="24"/>
              </w:rPr>
              <w:t>s</w:t>
            </w:r>
            <w:r w:rsidRPr="00457181">
              <w:rPr>
                <w:rFonts w:ascii="Times New Roman" w:hAnsi="Times New Roman"/>
                <w:noProof/>
                <w:sz w:val="24"/>
                <w:szCs w:val="24"/>
              </w:rPr>
              <w:t xml:space="preserve"> </w:t>
            </w:r>
            <w:r>
              <w:rPr>
                <w:rFonts w:ascii="Times New Roman" w:hAnsi="Times New Roman"/>
                <w:noProof/>
                <w:sz w:val="24"/>
                <w:szCs w:val="24"/>
              </w:rPr>
              <w:t xml:space="preserve">from the requirement to </w:t>
            </w:r>
            <w:r w:rsidRPr="00457181">
              <w:rPr>
                <w:rFonts w:ascii="Times New Roman" w:hAnsi="Times New Roman"/>
                <w:noProof/>
                <w:sz w:val="24"/>
                <w:szCs w:val="24"/>
              </w:rPr>
              <w:t xml:space="preserve">notify ASIC of significant investigations </w:t>
            </w:r>
            <w:r>
              <w:rPr>
                <w:rFonts w:ascii="Times New Roman" w:hAnsi="Times New Roman"/>
                <w:noProof/>
                <w:sz w:val="24"/>
                <w:szCs w:val="24"/>
              </w:rPr>
              <w:t xml:space="preserve">where </w:t>
            </w:r>
            <w:r w:rsidRPr="00457181">
              <w:rPr>
                <w:rFonts w:ascii="Times New Roman" w:hAnsi="Times New Roman"/>
                <w:noProof/>
                <w:sz w:val="24"/>
                <w:szCs w:val="24"/>
              </w:rPr>
              <w:t>this is prohibited by foreign law</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5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D7776C" w:rsidRDefault="00D05709" w:rsidP="00D05709">
            <w:pPr>
              <w:pStyle w:val="letterheadbody"/>
              <w:spacing w:line="264" w:lineRule="auto"/>
              <w:ind w:left="0"/>
              <w:rPr>
                <w:rFonts w:ascii="Times New Roman" w:hAnsi="Times New Roman"/>
                <w:i/>
                <w:sz w:val="24"/>
                <w:szCs w:val="24"/>
              </w:rPr>
            </w:pPr>
            <w:r w:rsidRPr="00D7776C">
              <w:rPr>
                <w:rFonts w:ascii="Times New Roman" w:hAnsi="Times New Roman"/>
                <w:i/>
                <w:noProof/>
                <w:sz w:val="24"/>
                <w:szCs w:val="24"/>
              </w:rPr>
              <w:t>Corporations Act 2001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457181">
        <w:rPr>
          <w:noProof/>
        </w:rPr>
        <w:t>Whether any person has been disadvantaged by previous operation of the order</w:t>
      </w:r>
    </w:p>
    <w:p w:rsidR="00D05709" w:rsidRDefault="00D05709" w:rsidP="00D05709">
      <w:pPr>
        <w:spacing w:after="120"/>
        <w:rPr>
          <w:noProof/>
          <w:szCs w:val="26"/>
          <w:lang w:eastAsia="en-AU"/>
        </w:rPr>
      </w:pPr>
      <w:r>
        <w:rPr>
          <w:noProof/>
          <w:szCs w:val="26"/>
          <w:lang w:eastAsia="en-AU"/>
        </w:rPr>
        <w:t>T</w:t>
      </w:r>
      <w:r w:rsidRPr="00B1273B">
        <w:rPr>
          <w:noProof/>
          <w:szCs w:val="26"/>
          <w:lang w:eastAsia="en-AU"/>
        </w:rPr>
        <w:t xml:space="preserve">he amendments made by the two class orders were considered necessary to </w:t>
      </w:r>
      <w:r w:rsidRPr="00457181">
        <w:rPr>
          <w:noProof/>
          <w:szCs w:val="26"/>
          <w:lang w:eastAsia="en-AU"/>
        </w:rPr>
        <w:t xml:space="preserve">to correct the unintended consequence of a previous amendment which required exempt foreign financial services providers and exempt foreign collective investment scheme operators to notify ASIC of significant investigations. The unintended </w:t>
      </w:r>
      <w:r>
        <w:rPr>
          <w:noProof/>
          <w:szCs w:val="26"/>
          <w:lang w:eastAsia="en-AU"/>
        </w:rPr>
        <w:t xml:space="preserve">consequence </w:t>
      </w:r>
      <w:r w:rsidRPr="00457181">
        <w:rPr>
          <w:noProof/>
          <w:szCs w:val="26"/>
          <w:lang w:eastAsia="en-AU"/>
        </w:rPr>
        <w:t xml:space="preserve">was that such notifications could be in breach of foreign law. </w:t>
      </w:r>
      <w:r w:rsidRPr="00B1273B">
        <w:rPr>
          <w:noProof/>
          <w:szCs w:val="26"/>
          <w:lang w:eastAsia="en-AU"/>
        </w:rPr>
        <w:t>In such cases, in which an instrument is corrective in nature, it is the committee's usual expectation that the acco</w:t>
      </w:r>
      <w:r>
        <w:rPr>
          <w:noProof/>
          <w:szCs w:val="26"/>
          <w:lang w:eastAsia="en-AU"/>
        </w:rPr>
        <w:t xml:space="preserve">mpanying </w:t>
      </w:r>
      <w:r w:rsidRPr="00B1273B">
        <w:rPr>
          <w:noProof/>
          <w:szCs w:val="26"/>
          <w:lang w:eastAsia="en-AU"/>
        </w:rPr>
        <w:t xml:space="preserve">ES address the question of whether any person or entity was disadvantaged by any unintended </w:t>
      </w:r>
      <w:r>
        <w:rPr>
          <w:noProof/>
          <w:szCs w:val="26"/>
          <w:lang w:eastAsia="en-AU"/>
        </w:rPr>
        <w:t xml:space="preserve">consequence </w:t>
      </w:r>
      <w:r w:rsidRPr="00B1273B">
        <w:rPr>
          <w:noProof/>
          <w:szCs w:val="26"/>
          <w:lang w:eastAsia="en-AU"/>
        </w:rPr>
        <w:t>of the previous amendment and, if so, whether and what steps have been taken to address any such disadvantage</w:t>
      </w:r>
      <w:r>
        <w:rPr>
          <w:noProof/>
          <w:szCs w:val="26"/>
          <w:lang w:eastAsia="en-AU"/>
        </w:rPr>
        <w:t xml:space="preserve"> </w:t>
      </w:r>
      <w:r>
        <w:rPr>
          <w:b/>
          <w:noProof/>
          <w:szCs w:val="26"/>
          <w:lang w:eastAsia="en-AU"/>
        </w:rPr>
        <w:t>[t</w:t>
      </w:r>
      <w:r w:rsidRPr="00B1273B">
        <w:rPr>
          <w:b/>
          <w:noProof/>
          <w:szCs w:val="26"/>
          <w:lang w:eastAsia="en-AU"/>
        </w:rPr>
        <w:t xml:space="preserve">he committee </w:t>
      </w:r>
      <w:r>
        <w:rPr>
          <w:b/>
          <w:noProof/>
          <w:szCs w:val="26"/>
          <w:lang w:eastAsia="en-AU"/>
        </w:rPr>
        <w:t xml:space="preserve">sought further information from </w:t>
      </w:r>
      <w:r w:rsidRPr="00B1273B">
        <w:rPr>
          <w:b/>
          <w:noProof/>
          <w:szCs w:val="26"/>
          <w:lang w:eastAsia="en-AU"/>
        </w:rPr>
        <w:t xml:space="preserve">the </w:t>
      </w:r>
      <w:r>
        <w:rPr>
          <w:b/>
          <w:noProof/>
          <w:szCs w:val="26"/>
          <w:lang w:eastAsia="en-AU"/>
        </w:rPr>
        <w:t>parliamentary secretary]</w:t>
      </w:r>
      <w:r>
        <w:rPr>
          <w:noProof/>
          <w:szCs w:val="26"/>
          <w:lang w:eastAsia="en-AU"/>
        </w:rPr>
        <w:t>.</w:t>
      </w:r>
    </w:p>
    <w:p w:rsidR="00D05709" w:rsidRPr="00D7776C" w:rsidRDefault="00D05709" w:rsidP="00D05709">
      <w:pPr>
        <w:spacing w:after="120"/>
        <w:rPr>
          <w:b/>
          <w:noProof/>
          <w:szCs w:val="26"/>
        </w:rPr>
      </w:pPr>
      <w:r>
        <w:rPr>
          <w:b/>
          <w:noProof/>
          <w:szCs w:val="26"/>
        </w:rPr>
        <w:t>PARLIAMENTARY SECRETARY</w:t>
      </w:r>
      <w:r w:rsidRPr="00D7776C">
        <w:rPr>
          <w:b/>
          <w:noProof/>
          <w:szCs w:val="26"/>
        </w:rPr>
        <w:t>'S RESPONSE:</w:t>
      </w:r>
    </w:p>
    <w:p w:rsidR="00D05709" w:rsidRPr="00D7776C" w:rsidRDefault="00D05709" w:rsidP="00457DCF">
      <w:pPr>
        <w:spacing w:after="120"/>
        <w:rPr>
          <w:noProof/>
          <w:szCs w:val="26"/>
        </w:rPr>
      </w:pPr>
      <w:r>
        <w:rPr>
          <w:noProof/>
          <w:szCs w:val="26"/>
        </w:rPr>
        <w:t xml:space="preserve">The </w:t>
      </w:r>
      <w:r w:rsidRPr="00F21886">
        <w:rPr>
          <w:noProof/>
          <w:szCs w:val="26"/>
        </w:rPr>
        <w:t>parliamentary secretary advise</w:t>
      </w:r>
      <w:r>
        <w:rPr>
          <w:noProof/>
          <w:szCs w:val="26"/>
        </w:rPr>
        <w:t>d</w:t>
      </w:r>
      <w:r w:rsidRPr="00F21886">
        <w:rPr>
          <w:noProof/>
          <w:szCs w:val="26"/>
        </w:rPr>
        <w:t xml:space="preserve"> that </w:t>
      </w:r>
      <w:r>
        <w:rPr>
          <w:noProof/>
          <w:szCs w:val="26"/>
        </w:rPr>
        <w:t xml:space="preserve">persons or entities that could have been disadvantaged were any that became obliged to notify ASIC that the person or entity was the subject of a significant investigation by an overseas regulator relating to the provision of financial services in a foreign jurisdiction, and who was prohibited by foreign law from giving that notification. ASIC had advised that it was aware of only one entity to which these circumstances applied, and in that case the entity obtained </w:t>
      </w:r>
      <w:r>
        <w:rPr>
          <w:noProof/>
          <w:szCs w:val="26"/>
        </w:rPr>
        <w:lastRenderedPageBreak/>
        <w:t>the permission of the relevant foreign authority to publicly disclose the investigation. The entity was therefore able to comply with both foreign law and the requirement to notify ASIC.</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 xml:space="preserve">the </w:t>
      </w:r>
      <w:r w:rsidRPr="00F21886">
        <w:rPr>
          <w:b/>
          <w:noProof/>
          <w:szCs w:val="26"/>
        </w:rPr>
        <w:t>parliamentary secretary</w:t>
      </w:r>
      <w:r>
        <w:rPr>
          <w:b/>
          <w:noProof/>
          <w:szCs w:val="26"/>
        </w:rPr>
        <w:t xml:space="preserve"> for his response and has concluded its interest in the matter</w:t>
      </w:r>
      <w:r>
        <w:rPr>
          <w:noProof/>
          <w:szCs w:val="26"/>
        </w:rPr>
        <w:t>.</w:t>
      </w:r>
    </w:p>
    <w:p w:rsidR="00D05709" w:rsidRPr="00B54538" w:rsidRDefault="00D05709" w:rsidP="00D05709">
      <w:pPr>
        <w:pStyle w:val="Heading3"/>
        <w:spacing w:before="600"/>
      </w:pPr>
      <w:r w:rsidRPr="00457181">
        <w:rPr>
          <w:noProof/>
        </w:rPr>
        <w:t xml:space="preserve">Professional Standards Scheme Legislation Amendment Regulation 2012 (No. 1) [Select Legislative Instrument 2012 No. 247] </w:t>
      </w:r>
      <w:r>
        <w:rPr>
          <w:noProof/>
        </w:rPr>
        <w:t>[</w:t>
      </w:r>
      <w:r w:rsidRPr="00BB5E50">
        <w:rPr>
          <w:noProof/>
        </w:rPr>
        <w:t>F2012L02102</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Prescribes two</w:t>
            </w:r>
            <w:r>
              <w:rPr>
                <w:rFonts w:ascii="Times New Roman" w:hAnsi="Times New Roman"/>
                <w:noProof/>
                <w:sz w:val="24"/>
                <w:szCs w:val="24"/>
              </w:rPr>
              <w:t xml:space="preserve"> professional standards schemes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27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D7776C">
              <w:rPr>
                <w:rFonts w:ascii="Times New Roman" w:hAnsi="Times New Roman"/>
                <w:i/>
                <w:noProof/>
                <w:sz w:val="24"/>
                <w:szCs w:val="24"/>
              </w:rPr>
              <w:t>Competition and Consumer Act 2010</w:t>
            </w:r>
            <w:r w:rsidRPr="00457181">
              <w:rPr>
                <w:rFonts w:ascii="Times New Roman" w:hAnsi="Times New Roman"/>
                <w:noProof/>
                <w:sz w:val="24"/>
                <w:szCs w:val="24"/>
              </w:rPr>
              <w:t xml:space="preserve">; </w:t>
            </w:r>
            <w:r w:rsidRPr="00D7776C">
              <w:rPr>
                <w:rFonts w:ascii="Times New Roman" w:hAnsi="Times New Roman"/>
                <w:i/>
                <w:noProof/>
                <w:sz w:val="24"/>
                <w:szCs w:val="24"/>
              </w:rPr>
              <w:t>Australian Securities and Investments Commission Act 2001</w:t>
            </w:r>
            <w:r w:rsidRPr="00457181">
              <w:rPr>
                <w:rFonts w:ascii="Times New Roman" w:hAnsi="Times New Roman"/>
                <w:noProof/>
                <w:sz w:val="24"/>
                <w:szCs w:val="24"/>
              </w:rPr>
              <w:t xml:space="preserve">; and </w:t>
            </w:r>
            <w:r w:rsidRPr="00D7776C">
              <w:rPr>
                <w:rFonts w:ascii="Times New Roman" w:hAnsi="Times New Roman"/>
                <w:i/>
                <w:noProof/>
                <w:sz w:val="24"/>
                <w:szCs w:val="24"/>
              </w:rPr>
              <w:t>Corporations Act 2001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Treasury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t>No information regarding c</w:t>
      </w:r>
      <w:r w:rsidRPr="00457181">
        <w:rPr>
          <w:noProof/>
        </w:rPr>
        <w:t>onsultation</w:t>
      </w:r>
    </w:p>
    <w:p w:rsidR="00D05709" w:rsidRDefault="00D05709" w:rsidP="00457DCF">
      <w:pPr>
        <w:spacing w:after="120"/>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w:t>
      </w:r>
      <w:r w:rsidRPr="00AE3138">
        <w:rPr>
          <w:szCs w:val="26"/>
        </w:rPr>
        <w:t>business</w:t>
      </w:r>
      <w:r w:rsidRPr="00AE3138">
        <w:rPr>
          <w:noProof/>
          <w:szCs w:val="26"/>
        </w:rPr>
        <w:t>. Section 18 of the Act,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Pr>
          <w:b/>
          <w:noProof/>
          <w:szCs w:val="26"/>
        </w:rPr>
        <w:t>[t</w:t>
      </w:r>
      <w:r w:rsidRPr="00940F8E">
        <w:rPr>
          <w:b/>
          <w:noProof/>
        </w:rPr>
        <w:t xml:space="preserve">he committee </w:t>
      </w:r>
      <w:r>
        <w:rPr>
          <w:b/>
          <w:noProof/>
        </w:rPr>
        <w:t>sought</w:t>
      </w:r>
      <w:r w:rsidRPr="00940F8E">
        <w:rPr>
          <w:b/>
          <w:noProof/>
        </w:rPr>
        <w:t xml:space="preserve"> further </w:t>
      </w:r>
      <w:r>
        <w:rPr>
          <w:b/>
          <w:noProof/>
        </w:rPr>
        <w:t xml:space="preserve">information </w:t>
      </w:r>
      <w:r w:rsidRPr="00940F8E">
        <w:rPr>
          <w:b/>
          <w:noProof/>
        </w:rPr>
        <w:t xml:space="preserve">from the </w:t>
      </w:r>
      <w:r>
        <w:rPr>
          <w:b/>
          <w:noProof/>
        </w:rPr>
        <w:t>parliamentary secretary</w:t>
      </w:r>
      <w:r w:rsidRPr="00940F8E">
        <w:rPr>
          <w:b/>
          <w:noProof/>
        </w:rPr>
        <w:t xml:space="preserve"> and reques</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rPr>
        <w:t>]</w:t>
      </w:r>
      <w:r>
        <w:rPr>
          <w:noProof/>
        </w:rPr>
        <w:t>.</w:t>
      </w:r>
    </w:p>
    <w:p w:rsidR="00D05709" w:rsidRPr="00D7776C" w:rsidRDefault="00D05709" w:rsidP="00457DCF">
      <w:pPr>
        <w:spacing w:after="120"/>
        <w:rPr>
          <w:b/>
          <w:noProof/>
          <w:szCs w:val="26"/>
        </w:rPr>
      </w:pPr>
      <w:r>
        <w:rPr>
          <w:b/>
          <w:noProof/>
          <w:szCs w:val="26"/>
        </w:rPr>
        <w:t>PARLIAMENTARY SECRETARY</w:t>
      </w:r>
      <w:r w:rsidRPr="00D7776C">
        <w:rPr>
          <w:b/>
          <w:noProof/>
          <w:szCs w:val="26"/>
        </w:rPr>
        <w:t>'S RESPONSE:</w:t>
      </w:r>
    </w:p>
    <w:p w:rsidR="00D05709" w:rsidRPr="00C71EC0" w:rsidRDefault="00D05709" w:rsidP="00457DCF">
      <w:pPr>
        <w:spacing w:after="120"/>
        <w:rPr>
          <w:noProof/>
          <w:szCs w:val="26"/>
        </w:rPr>
      </w:pPr>
      <w:r>
        <w:rPr>
          <w:noProof/>
          <w:szCs w:val="26"/>
        </w:rPr>
        <w:t>T</w:t>
      </w:r>
      <w:r w:rsidRPr="00F91305">
        <w:rPr>
          <w:noProof/>
          <w:szCs w:val="26"/>
        </w:rPr>
        <w:t>he parliamentary secretary advise</w:t>
      </w:r>
      <w:r>
        <w:rPr>
          <w:noProof/>
          <w:szCs w:val="26"/>
        </w:rPr>
        <w:t>d</w:t>
      </w:r>
      <w:r w:rsidRPr="00F91305">
        <w:rPr>
          <w:noProof/>
          <w:szCs w:val="26"/>
        </w:rPr>
        <w:t xml:space="preserve"> </w:t>
      </w:r>
      <w:r>
        <w:rPr>
          <w:noProof/>
          <w:szCs w:val="26"/>
        </w:rPr>
        <w:t xml:space="preserve">that, prior to prescribing a scheme, the </w:t>
      </w:r>
      <w:r w:rsidRPr="00F91305">
        <w:rPr>
          <w:noProof/>
          <w:szCs w:val="26"/>
        </w:rPr>
        <w:t>Professional Standards Council s</w:t>
      </w:r>
      <w:r>
        <w:rPr>
          <w:noProof/>
          <w:szCs w:val="26"/>
        </w:rPr>
        <w:t>eeks</w:t>
      </w:r>
      <w:r w:rsidRPr="00F91305">
        <w:rPr>
          <w:noProof/>
          <w:szCs w:val="26"/>
        </w:rPr>
        <w:t xml:space="preserve"> the opinion of independent actuarial consultants and call</w:t>
      </w:r>
      <w:r>
        <w:rPr>
          <w:noProof/>
          <w:szCs w:val="26"/>
        </w:rPr>
        <w:t>s</w:t>
      </w:r>
      <w:r w:rsidRPr="00F91305">
        <w:rPr>
          <w:noProof/>
          <w:szCs w:val="26"/>
        </w:rPr>
        <w:t xml:space="preserve"> for public comment </w:t>
      </w:r>
      <w:r>
        <w:rPr>
          <w:noProof/>
          <w:szCs w:val="26"/>
        </w:rPr>
        <w:t xml:space="preserve">via public notification in major newspapers in the relevant jurisdiction. Given this, further consultation in relation to the making of the insrument was considered unecessary (as per section 18(2)(e) of the </w:t>
      </w:r>
      <w:r>
        <w:rPr>
          <w:i/>
          <w:noProof/>
          <w:szCs w:val="26"/>
        </w:rPr>
        <w:t>Legislative Instruments Act 2003</w:t>
      </w:r>
      <w:r>
        <w:rPr>
          <w:noProof/>
          <w:szCs w:val="26"/>
        </w:rPr>
        <w:t xml:space="preserve">). The parliamentary secretary provided an assurance that future ESs would provide information regarding consultation in accordance with the requirements of the </w:t>
      </w:r>
      <w:r>
        <w:rPr>
          <w:i/>
          <w:noProof/>
          <w:szCs w:val="26"/>
        </w:rPr>
        <w:t>Legislative Instruments Act 2003</w:t>
      </w:r>
      <w:r>
        <w:rPr>
          <w:noProof/>
          <w:szCs w:val="26"/>
        </w:rPr>
        <w:t>.</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 xml:space="preserve">the </w:t>
      </w:r>
      <w:r w:rsidRPr="00F21886">
        <w:rPr>
          <w:b/>
          <w:noProof/>
          <w:szCs w:val="26"/>
        </w:rPr>
        <w:t>parliamentary secretary</w:t>
      </w:r>
      <w:r>
        <w:rPr>
          <w:b/>
          <w:noProof/>
          <w:szCs w:val="26"/>
        </w:rPr>
        <w:t xml:space="preserve"> for his response and has concluded its interest in the matter</w:t>
      </w:r>
      <w:r>
        <w:rPr>
          <w:noProof/>
          <w:szCs w:val="26"/>
        </w:rPr>
        <w:t>.</w:t>
      </w:r>
    </w:p>
    <w:p w:rsidR="00D05709" w:rsidRPr="00B54538" w:rsidRDefault="00D05709" w:rsidP="00D05709">
      <w:pPr>
        <w:pStyle w:val="Heading3"/>
        <w:spacing w:before="0"/>
      </w:pPr>
      <w:r w:rsidRPr="00457181">
        <w:rPr>
          <w:noProof/>
        </w:rPr>
        <w:lastRenderedPageBreak/>
        <w:t>Residential Care Subsidy Amendment Principles 2012 (No. 3)</w:t>
      </w:r>
      <w:r>
        <w:rPr>
          <w:noProof/>
        </w:rPr>
        <w:t xml:space="preserve"> [F2012L02057]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Specifies matters to which the Secretary must have regard in determining that the daily income reduction for a care recipient is taken to be zero</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25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492C31" w:rsidRDefault="00D05709" w:rsidP="00D05709">
            <w:pPr>
              <w:pStyle w:val="letterheadbody"/>
              <w:spacing w:line="264" w:lineRule="auto"/>
              <w:ind w:left="0"/>
              <w:rPr>
                <w:rFonts w:ascii="Times New Roman" w:hAnsi="Times New Roman"/>
                <w:i/>
                <w:sz w:val="24"/>
                <w:szCs w:val="24"/>
              </w:rPr>
            </w:pPr>
            <w:r w:rsidRPr="00492C31">
              <w:rPr>
                <w:rFonts w:ascii="Times New Roman" w:hAnsi="Times New Roman"/>
                <w:i/>
                <w:noProof/>
                <w:sz w:val="24"/>
                <w:szCs w:val="24"/>
              </w:rPr>
              <w:t>Aged Care Act 1997</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Health and Ageing</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Pr>
          <w:noProof/>
        </w:rPr>
        <w:t>Insuffucient information regarding consultation</w:t>
      </w:r>
    </w:p>
    <w:p w:rsidR="00D05709" w:rsidRDefault="00D05709" w:rsidP="00457DCF">
      <w:pPr>
        <w:spacing w:after="120" w:line="264" w:lineRule="auto"/>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w:t>
      </w:r>
      <w:r w:rsidRPr="00AE3138">
        <w:rPr>
          <w:szCs w:val="26"/>
        </w:rPr>
        <w:t>business</w:t>
      </w:r>
      <w:r w:rsidRPr="00AE3138">
        <w:rPr>
          <w:noProof/>
          <w:szCs w:val="26"/>
        </w:rPr>
        <w:t>. Section 18 of the Act,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w:t>
      </w:r>
      <w:r w:rsidRPr="00AD48AC">
        <w:rPr>
          <w:noProof/>
          <w:szCs w:val="26"/>
        </w:rPr>
        <w:t xml:space="preserve"> </w:t>
      </w:r>
      <w:r>
        <w:rPr>
          <w:noProof/>
          <w:szCs w:val="26"/>
        </w:rPr>
        <w:t xml:space="preserve">With reference to these requirements, </w:t>
      </w:r>
      <w:r>
        <w:t xml:space="preserve">the committee notes that the ES for the instrument states only that </w:t>
      </w:r>
      <w:r w:rsidRPr="00457181">
        <w:rPr>
          <w:noProof/>
          <w:szCs w:val="26"/>
        </w:rPr>
        <w:t xml:space="preserve">consultation </w:t>
      </w:r>
      <w:r>
        <w:rPr>
          <w:noProof/>
          <w:szCs w:val="26"/>
        </w:rPr>
        <w:t xml:space="preserve">was not </w:t>
      </w:r>
      <w:r w:rsidRPr="00457181">
        <w:rPr>
          <w:noProof/>
          <w:szCs w:val="26"/>
        </w:rPr>
        <w:t>undertaken regarding</w:t>
      </w:r>
      <w:r>
        <w:rPr>
          <w:noProof/>
          <w:szCs w:val="26"/>
        </w:rPr>
        <w:t xml:space="preserve"> the amendments because they '</w:t>
      </w:r>
      <w:r w:rsidRPr="00457181">
        <w:rPr>
          <w:noProof/>
          <w:szCs w:val="26"/>
        </w:rPr>
        <w:t>do not impose any disadvantage on any person other than the Commonwealth</w:t>
      </w:r>
      <w:r>
        <w:rPr>
          <w:noProof/>
          <w:szCs w:val="26"/>
        </w:rPr>
        <w:t>'</w:t>
      </w:r>
      <w:r w:rsidRPr="00457181">
        <w:rPr>
          <w:noProof/>
          <w:szCs w:val="26"/>
        </w:rPr>
        <w:t>.</w:t>
      </w:r>
      <w:r>
        <w:rPr>
          <w:noProof/>
          <w:szCs w:val="26"/>
        </w:rPr>
        <w:t xml:space="preserve"> </w:t>
      </w:r>
      <w:r>
        <w:t xml:space="preserve">The committee considers that, without further </w:t>
      </w:r>
      <w:r w:rsidRPr="00457181">
        <w:rPr>
          <w:noProof/>
          <w:szCs w:val="26"/>
        </w:rPr>
        <w:t>information</w:t>
      </w:r>
      <w:r>
        <w:rPr>
          <w:noProof/>
          <w:szCs w:val="26"/>
        </w:rPr>
        <w:t>,</w:t>
      </w:r>
      <w:r w:rsidRPr="00457181">
        <w:rPr>
          <w:noProof/>
          <w:szCs w:val="26"/>
        </w:rPr>
        <w:t xml:space="preserve"> it is difficult to ascertain what impact</w:t>
      </w:r>
      <w:r>
        <w:rPr>
          <w:noProof/>
          <w:szCs w:val="26"/>
        </w:rPr>
        <w:t>,</w:t>
      </w:r>
      <w:r w:rsidRPr="00457181">
        <w:rPr>
          <w:noProof/>
          <w:szCs w:val="26"/>
        </w:rPr>
        <w:t xml:space="preserve"> advantageous or otherwise</w:t>
      </w:r>
      <w:r>
        <w:rPr>
          <w:noProof/>
          <w:szCs w:val="26"/>
        </w:rPr>
        <w:t>,</w:t>
      </w:r>
      <w:r w:rsidRPr="00457181">
        <w:rPr>
          <w:noProof/>
          <w:szCs w:val="26"/>
        </w:rPr>
        <w:t xml:space="preserve"> the</w:t>
      </w:r>
      <w:r>
        <w:rPr>
          <w:noProof/>
          <w:szCs w:val="26"/>
        </w:rPr>
        <w:t xml:space="preserve"> amendments might have</w:t>
      </w:r>
      <w:r>
        <w:rPr>
          <w:b/>
        </w:rPr>
        <w:t xml:space="preserve"> [t</w:t>
      </w:r>
      <w:r w:rsidRPr="00940F8E">
        <w:rPr>
          <w:b/>
          <w:noProof/>
        </w:rPr>
        <w:t xml:space="preserve">he committee </w:t>
      </w:r>
      <w:r>
        <w:rPr>
          <w:b/>
          <w:noProof/>
        </w:rPr>
        <w:t xml:space="preserve">sought further information </w:t>
      </w:r>
      <w:r w:rsidRPr="00940F8E">
        <w:rPr>
          <w:b/>
          <w:noProof/>
        </w:rPr>
        <w:t>from the minister and</w:t>
      </w:r>
      <w:r>
        <w:rPr>
          <w:b/>
          <w:noProof/>
        </w:rPr>
        <w:t xml:space="preserve"> requested that, if necessary,</w:t>
      </w:r>
      <w:r w:rsidRPr="00940F8E">
        <w:rPr>
          <w:b/>
          <w:noProof/>
        </w:rPr>
        <w:t xml:space="preserve"> the ES be updated in accordance with the requirements of the </w:t>
      </w:r>
      <w:r w:rsidRPr="007A0A79">
        <w:rPr>
          <w:b/>
          <w:i/>
          <w:noProof/>
        </w:rPr>
        <w:t>Legislative Instruments Act 2003</w:t>
      </w:r>
      <w:r>
        <w:rPr>
          <w:b/>
          <w:noProof/>
        </w:rPr>
        <w:t>]</w:t>
      </w:r>
      <w:r>
        <w:rPr>
          <w:noProof/>
        </w:rPr>
        <w:t>.</w:t>
      </w:r>
    </w:p>
    <w:p w:rsidR="00D05709" w:rsidRPr="00D7776C" w:rsidRDefault="00D05709" w:rsidP="00457DCF">
      <w:pPr>
        <w:spacing w:after="120"/>
        <w:rPr>
          <w:b/>
          <w:noProof/>
          <w:szCs w:val="26"/>
        </w:rPr>
      </w:pPr>
      <w:r w:rsidRPr="00D7776C">
        <w:rPr>
          <w:b/>
          <w:noProof/>
          <w:szCs w:val="26"/>
        </w:rPr>
        <w:t>MINISTER'S RESPONSE:</w:t>
      </w:r>
    </w:p>
    <w:p w:rsidR="00D05709" w:rsidRPr="00D7776C" w:rsidRDefault="00D05709" w:rsidP="00457DCF">
      <w:pPr>
        <w:spacing w:after="120"/>
        <w:rPr>
          <w:noProof/>
          <w:szCs w:val="26"/>
        </w:rPr>
      </w:pPr>
      <w:r w:rsidRPr="00C7635E">
        <w:rPr>
          <w:noProof/>
          <w:szCs w:val="26"/>
        </w:rPr>
        <w:t>The minister advise</w:t>
      </w:r>
      <w:r>
        <w:rPr>
          <w:noProof/>
          <w:szCs w:val="26"/>
        </w:rPr>
        <w:t>d</w:t>
      </w:r>
      <w:r w:rsidRPr="00C7635E">
        <w:rPr>
          <w:noProof/>
          <w:szCs w:val="26"/>
        </w:rPr>
        <w:t xml:space="preserve"> that the </w:t>
      </w:r>
      <w:r>
        <w:rPr>
          <w:noProof/>
          <w:szCs w:val="26"/>
        </w:rPr>
        <w:t>criteria specified in the instrument are the same criteria as are applied for other hardship determinations in relation to the waiver of income tested fees, and had been inserted into the principles simply for the avoidance of doubt. The criteria would be applied in individual cases to adjusting a person's requirement to pay the basic daily fee or an income tested fee for residential aged care. Given that the instrument was effectively clarifying the prior application of the criteria to decisions to waive the income tested fee, the minister had considered that no person would be subject to any disadvantage, and therefore concluded that consultation was unecessary</w:t>
      </w:r>
      <w:r w:rsidRPr="00C7635E">
        <w:rPr>
          <w:noProof/>
          <w:szCs w:val="26"/>
        </w:rPr>
        <w:t>.</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the minister for his response and has concluded its interest in the matter</w:t>
      </w:r>
      <w:r>
        <w:rPr>
          <w:noProof/>
          <w:szCs w:val="26"/>
        </w:rPr>
        <w:t>.</w:t>
      </w:r>
    </w:p>
    <w:p w:rsidR="00D05709" w:rsidRPr="00B54538" w:rsidRDefault="00D05709" w:rsidP="00D05709">
      <w:pPr>
        <w:pStyle w:val="Heading3"/>
        <w:spacing w:before="0"/>
      </w:pPr>
      <w:r w:rsidRPr="00457181">
        <w:rPr>
          <w:noProof/>
        </w:rPr>
        <w:lastRenderedPageBreak/>
        <w:t>Greenhouse and Energy Minimum Standards (Air Conditioners and Heat Pumps) Determination 2012</w:t>
      </w:r>
      <w:r>
        <w:rPr>
          <w:noProof/>
        </w:rPr>
        <w:t xml:space="preserve"> [</w:t>
      </w:r>
      <w:r w:rsidRPr="00725ACE">
        <w:rPr>
          <w:noProof/>
        </w:rPr>
        <w:t>F2012L02129</w:t>
      </w:r>
      <w:r>
        <w:rPr>
          <w:noProof/>
        </w:rPr>
        <w:t>] and four related instruments</w:t>
      </w:r>
      <w:r>
        <w:rPr>
          <w:rStyle w:val="FootnoteReference"/>
          <w:noProof/>
        </w:rPr>
        <w:footnoteReference w:id="1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These instruments specify minimum energy efficiency, energy labelling and product performance requirements, and associated requirements for conductin</w:t>
            </w:r>
            <w:r>
              <w:rPr>
                <w:rFonts w:ascii="Times New Roman" w:hAnsi="Times New Roman"/>
                <w:noProof/>
                <w:sz w:val="24"/>
                <w:szCs w:val="24"/>
              </w:rPr>
              <w:t>g tests, for various appliances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28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Greenhouse and Energy Minimum Standards Act 2012</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Climate Change and Energy Efficiency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t>Drafting</w:t>
      </w:r>
    </w:p>
    <w:p w:rsidR="00D05709" w:rsidRPr="0083098B" w:rsidRDefault="00D05709" w:rsidP="00457DCF">
      <w:pPr>
        <w:spacing w:after="120"/>
        <w:rPr>
          <w:noProof/>
          <w:szCs w:val="26"/>
        </w:rPr>
      </w:pPr>
      <w:r>
        <w:rPr>
          <w:noProof/>
          <w:szCs w:val="26"/>
        </w:rPr>
        <w:t>T</w:t>
      </w:r>
      <w:r w:rsidRPr="00457181">
        <w:rPr>
          <w:noProof/>
          <w:szCs w:val="26"/>
        </w:rPr>
        <w:t>he front page of the firs</w:t>
      </w:r>
      <w:r>
        <w:rPr>
          <w:noProof/>
          <w:szCs w:val="26"/>
        </w:rPr>
        <w:t>t determination has the words '</w:t>
      </w:r>
      <w:r w:rsidRPr="00457181">
        <w:rPr>
          <w:noProof/>
          <w:szCs w:val="26"/>
        </w:rPr>
        <w:t>DRAFT ONLY</w:t>
      </w:r>
      <w:r>
        <w:rPr>
          <w:noProof/>
          <w:szCs w:val="26"/>
        </w:rPr>
        <w:t>' in the footer; and</w:t>
      </w:r>
      <w:r w:rsidRPr="00457181">
        <w:rPr>
          <w:noProof/>
          <w:szCs w:val="26"/>
        </w:rPr>
        <w:t xml:space="preserve"> </w:t>
      </w:r>
      <w:r>
        <w:rPr>
          <w:noProof/>
          <w:szCs w:val="26"/>
        </w:rPr>
        <w:t>the</w:t>
      </w:r>
      <w:r w:rsidRPr="00457181">
        <w:rPr>
          <w:noProof/>
          <w:szCs w:val="26"/>
        </w:rPr>
        <w:t xml:space="preserve"> final page </w:t>
      </w:r>
      <w:r>
        <w:rPr>
          <w:noProof/>
          <w:szCs w:val="26"/>
        </w:rPr>
        <w:t xml:space="preserve">of the remaining </w:t>
      </w:r>
      <w:r w:rsidRPr="00457181">
        <w:rPr>
          <w:noProof/>
          <w:szCs w:val="26"/>
        </w:rPr>
        <w:t xml:space="preserve">remaining determinations has the words </w:t>
      </w:r>
      <w:r>
        <w:rPr>
          <w:noProof/>
          <w:szCs w:val="26"/>
        </w:rPr>
        <w:t>'</w:t>
      </w:r>
      <w:r w:rsidRPr="00457181">
        <w:rPr>
          <w:noProof/>
          <w:szCs w:val="26"/>
        </w:rPr>
        <w:t>DRAFT ONLY</w:t>
      </w:r>
      <w:r>
        <w:rPr>
          <w:noProof/>
          <w:szCs w:val="26"/>
        </w:rPr>
        <w:t>'</w:t>
      </w:r>
      <w:r w:rsidRPr="00457181">
        <w:rPr>
          <w:noProof/>
          <w:szCs w:val="26"/>
        </w:rPr>
        <w:t xml:space="preserve"> in the footer. </w:t>
      </w:r>
      <w:r>
        <w:rPr>
          <w:noProof/>
          <w:szCs w:val="26"/>
        </w:rPr>
        <w:t xml:space="preserve">In such cases, the committee generally inquires as to whether the version of the instrument it has received is in fact the final approved version. </w:t>
      </w:r>
      <w:r>
        <w:rPr>
          <w:b/>
          <w:noProof/>
          <w:szCs w:val="26"/>
        </w:rPr>
        <w:t>[the committee sought further information from the parliamentary secretary]</w:t>
      </w:r>
      <w:r>
        <w:rPr>
          <w:noProof/>
          <w:szCs w:val="26"/>
        </w:rPr>
        <w:t>.</w:t>
      </w:r>
    </w:p>
    <w:p w:rsidR="00D05709" w:rsidRPr="00D7776C" w:rsidRDefault="00D05709" w:rsidP="00457DCF">
      <w:pPr>
        <w:spacing w:after="120"/>
        <w:rPr>
          <w:b/>
          <w:noProof/>
          <w:szCs w:val="26"/>
        </w:rPr>
      </w:pPr>
      <w:r>
        <w:rPr>
          <w:b/>
          <w:noProof/>
          <w:szCs w:val="26"/>
        </w:rPr>
        <w:t>PARLIAMENTARY SECRETARY</w:t>
      </w:r>
      <w:r w:rsidRPr="00D7776C">
        <w:rPr>
          <w:b/>
          <w:noProof/>
          <w:szCs w:val="26"/>
        </w:rPr>
        <w:t>'S RESPONSE:</w:t>
      </w:r>
    </w:p>
    <w:p w:rsidR="00D05709" w:rsidRPr="00D7776C" w:rsidRDefault="00D05709" w:rsidP="00457DCF">
      <w:pPr>
        <w:spacing w:after="120"/>
        <w:rPr>
          <w:noProof/>
          <w:szCs w:val="26"/>
        </w:rPr>
      </w:pPr>
      <w:r w:rsidRPr="00D7666D">
        <w:rPr>
          <w:noProof/>
          <w:szCs w:val="26"/>
        </w:rPr>
        <w:t>The parliamentary secretary confirm</w:t>
      </w:r>
      <w:r>
        <w:rPr>
          <w:noProof/>
          <w:szCs w:val="26"/>
        </w:rPr>
        <w:t>ed</w:t>
      </w:r>
      <w:r w:rsidRPr="00D7666D">
        <w:rPr>
          <w:noProof/>
          <w:szCs w:val="26"/>
        </w:rPr>
        <w:t xml:space="preserve"> that the instruments received by the committee were the final approved versions. </w:t>
      </w:r>
      <w:r>
        <w:rPr>
          <w:noProof/>
          <w:szCs w:val="26"/>
        </w:rPr>
        <w:t>T</w:t>
      </w:r>
      <w:r w:rsidRPr="00D7666D">
        <w:rPr>
          <w:noProof/>
          <w:szCs w:val="26"/>
        </w:rPr>
        <w:t xml:space="preserve">he words 'DRAFT ONLY' </w:t>
      </w:r>
      <w:r>
        <w:rPr>
          <w:noProof/>
          <w:szCs w:val="26"/>
        </w:rPr>
        <w:t xml:space="preserve">had been inadvertently </w:t>
      </w:r>
      <w:r w:rsidRPr="00D7666D">
        <w:rPr>
          <w:noProof/>
          <w:szCs w:val="26"/>
        </w:rPr>
        <w:t xml:space="preserve">missed in the final proof-reading of the documents, </w:t>
      </w:r>
      <w:r>
        <w:rPr>
          <w:noProof/>
          <w:szCs w:val="26"/>
        </w:rPr>
        <w:t xml:space="preserve">and had since </w:t>
      </w:r>
      <w:r w:rsidRPr="00D7666D">
        <w:rPr>
          <w:noProof/>
          <w:szCs w:val="26"/>
        </w:rPr>
        <w:t>been removed from the versions</w:t>
      </w:r>
      <w:r>
        <w:rPr>
          <w:noProof/>
          <w:szCs w:val="26"/>
        </w:rPr>
        <w:t xml:space="preserve"> of the instruments published on the Federal rRegister of Legislative Instruments (FRLI)</w:t>
      </w:r>
      <w:r w:rsidRPr="00D7666D">
        <w:rPr>
          <w:noProof/>
          <w:szCs w:val="26"/>
        </w:rPr>
        <w:t>.</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 xml:space="preserve">the </w:t>
      </w:r>
      <w:r w:rsidRPr="00F21886">
        <w:rPr>
          <w:b/>
          <w:noProof/>
          <w:szCs w:val="26"/>
        </w:rPr>
        <w:t>parliamentary secretary</w:t>
      </w:r>
      <w:r>
        <w:rPr>
          <w:b/>
          <w:noProof/>
          <w:szCs w:val="26"/>
        </w:rPr>
        <w:t xml:space="preserve"> for his response and has concluded its interest in the matter</w:t>
      </w:r>
      <w:r>
        <w:rPr>
          <w:noProof/>
          <w:szCs w:val="26"/>
        </w:rPr>
        <w:t>.</w:t>
      </w:r>
    </w:p>
    <w:p w:rsidR="00D05709" w:rsidRDefault="00D05709" w:rsidP="00D05709">
      <w:pPr>
        <w:spacing w:after="0"/>
        <w:jc w:val="left"/>
        <w:rPr>
          <w:b/>
          <w:noProof/>
          <w:sz w:val="28"/>
          <w:lang w:eastAsia="en-AU"/>
        </w:rPr>
      </w:pPr>
      <w:r>
        <w:rPr>
          <w:noProof/>
          <w:lang w:eastAsia="en-AU"/>
        </w:rPr>
        <w:br w:type="page"/>
      </w:r>
    </w:p>
    <w:p w:rsidR="00D05709" w:rsidRPr="00B54538" w:rsidRDefault="00D05709" w:rsidP="00D05709">
      <w:pPr>
        <w:pStyle w:val="Heading3"/>
        <w:spacing w:before="600"/>
      </w:pPr>
      <w:r w:rsidRPr="00457181">
        <w:rPr>
          <w:noProof/>
          <w:lang w:eastAsia="en-AU"/>
        </w:rPr>
        <w:lastRenderedPageBreak/>
        <w:t xml:space="preserve">High Court Rules 2004 (Amendment) (November 2012) </w:t>
      </w:r>
      <w:r>
        <w:rPr>
          <w:noProof/>
          <w:lang w:eastAsia="en-AU"/>
        </w:rPr>
        <w:t>[</w:t>
      </w:r>
      <w:r w:rsidRPr="00725ACE">
        <w:rPr>
          <w:noProof/>
          <w:lang w:eastAsia="en-AU"/>
        </w:rPr>
        <w:t>F2012L02165</w:t>
      </w:r>
      <w:r>
        <w:rPr>
          <w:noProof/>
          <w:lang w:eastAsia="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Specifies a revised schedule of fees for work done or service performed in respect of proceedings</w:t>
            </w:r>
            <w:r>
              <w:rPr>
                <w:rFonts w:ascii="Times New Roman" w:hAnsi="Times New Roman"/>
                <w:noProof/>
                <w:sz w:val="24"/>
                <w:szCs w:val="24"/>
              </w:rPr>
              <w:t xml:space="preserve"> in the High Court of Australia</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12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Judiciary Act 1903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Attorney-General's</w:t>
            </w:r>
          </w:p>
        </w:tc>
      </w:tr>
    </w:tbl>
    <w:p w:rsidR="00D05709" w:rsidRPr="00B54538" w:rsidRDefault="00D05709" w:rsidP="00D05709">
      <w:pPr>
        <w:spacing w:after="0"/>
        <w:rPr>
          <w:szCs w:val="26"/>
        </w:rPr>
      </w:pPr>
    </w:p>
    <w:p w:rsidR="00D05709" w:rsidRDefault="00D05709" w:rsidP="00D05709">
      <w:pPr>
        <w:spacing w:after="0"/>
        <w:rPr>
          <w:noProof/>
          <w:szCs w:val="26"/>
        </w:rPr>
      </w:pPr>
      <w:r>
        <w:rPr>
          <w:b/>
          <w:szCs w:val="26"/>
        </w:rPr>
        <w:t>ISSUES:</w:t>
      </w:r>
    </w:p>
    <w:p w:rsidR="00D05709" w:rsidRPr="00B54538" w:rsidRDefault="00D05709" w:rsidP="00D05709">
      <w:pPr>
        <w:pStyle w:val="Heading4"/>
        <w:numPr>
          <w:ilvl w:val="3"/>
          <w:numId w:val="21"/>
        </w:numPr>
        <w:spacing w:before="120" w:after="120"/>
        <w:rPr>
          <w:noProof/>
        </w:rPr>
      </w:pPr>
      <w:r>
        <w:rPr>
          <w:noProof/>
        </w:rPr>
        <w:t xml:space="preserve">(a) </w:t>
      </w:r>
      <w:r w:rsidRPr="00310C67">
        <w:rPr>
          <w:noProof/>
        </w:rPr>
        <w:t>Unclear basis for calculation of fees</w:t>
      </w:r>
    </w:p>
    <w:p w:rsidR="00D05709" w:rsidRPr="00126D5E" w:rsidRDefault="00D05709" w:rsidP="00D05709">
      <w:pPr>
        <w:rPr>
          <w:noProof/>
          <w:szCs w:val="26"/>
          <w:lang w:eastAsia="en-AU"/>
        </w:rPr>
      </w:pPr>
      <w:r>
        <w:rPr>
          <w:noProof/>
          <w:szCs w:val="26"/>
          <w:lang w:eastAsia="en-AU"/>
        </w:rPr>
        <w:t>T</w:t>
      </w:r>
      <w:r w:rsidRPr="00457181">
        <w:rPr>
          <w:noProof/>
          <w:szCs w:val="26"/>
          <w:lang w:eastAsia="en-AU"/>
        </w:rPr>
        <w:t>he ES notes that the new schedule of fees implements 2.7</w:t>
      </w:r>
      <w:r>
        <w:rPr>
          <w:noProof/>
          <w:szCs w:val="26"/>
          <w:lang w:eastAsia="en-AU"/>
        </w:rPr>
        <w:t xml:space="preserve"> per cent</w:t>
      </w:r>
      <w:r w:rsidRPr="00457181">
        <w:rPr>
          <w:noProof/>
          <w:szCs w:val="26"/>
          <w:lang w:eastAsia="en-AU"/>
        </w:rPr>
        <w:t xml:space="preserve"> increase as recommended by the Joint Costs Advisory Committee. </w:t>
      </w:r>
      <w:r>
        <w:rPr>
          <w:noProof/>
          <w:szCs w:val="26"/>
          <w:lang w:eastAsia="en-AU"/>
        </w:rPr>
        <w:t>However, t</w:t>
      </w:r>
      <w:r w:rsidRPr="00457181">
        <w:rPr>
          <w:noProof/>
          <w:szCs w:val="26"/>
          <w:lang w:eastAsia="en-AU"/>
        </w:rPr>
        <w:t>he ES does not indicate the basis for this</w:t>
      </w:r>
      <w:r>
        <w:rPr>
          <w:noProof/>
          <w:szCs w:val="26"/>
          <w:lang w:eastAsia="en-AU"/>
        </w:rPr>
        <w:t xml:space="preserve"> </w:t>
      </w:r>
      <w:r w:rsidRPr="00457181">
        <w:rPr>
          <w:noProof/>
          <w:szCs w:val="26"/>
          <w:lang w:eastAsia="en-AU"/>
        </w:rPr>
        <w:t>increase.</w:t>
      </w:r>
      <w:r>
        <w:rPr>
          <w:noProof/>
          <w:szCs w:val="26"/>
          <w:lang w:eastAsia="en-AU"/>
        </w:rPr>
        <w:t xml:space="preserve"> </w:t>
      </w:r>
      <w:r w:rsidRPr="00126D5E">
        <w:rPr>
          <w:noProof/>
          <w:szCs w:val="26"/>
          <w:lang w:eastAsia="en-AU"/>
        </w:rPr>
        <w:t>The committee's usual expectation in cases where an instrument introduces or adjusts a fee or levy is that the relevant ES makes clear on its face the basis on which the new fee or levy has been calculated</w:t>
      </w:r>
      <w:r>
        <w:rPr>
          <w:noProof/>
          <w:szCs w:val="26"/>
          <w:lang w:eastAsia="en-AU"/>
        </w:rPr>
        <w:t xml:space="preserve"> </w:t>
      </w:r>
      <w:r>
        <w:rPr>
          <w:b/>
          <w:noProof/>
          <w:szCs w:val="26"/>
          <w:lang w:eastAsia="en-AU"/>
        </w:rPr>
        <w:t>[the committee sought further information from the Principal Registrar]</w:t>
      </w:r>
      <w:r>
        <w:rPr>
          <w:noProof/>
          <w:szCs w:val="26"/>
          <w:lang w:eastAsia="en-AU"/>
        </w:rPr>
        <w:t>.</w:t>
      </w:r>
    </w:p>
    <w:p w:rsidR="00D05709" w:rsidRDefault="00D05709" w:rsidP="00D05709">
      <w:pPr>
        <w:pStyle w:val="Heading4"/>
        <w:numPr>
          <w:ilvl w:val="3"/>
          <w:numId w:val="21"/>
        </w:numPr>
        <w:spacing w:before="120" w:after="120"/>
        <w:rPr>
          <w:noProof/>
          <w:szCs w:val="26"/>
          <w:lang w:eastAsia="en-AU"/>
        </w:rPr>
      </w:pPr>
      <w:r w:rsidRPr="00457181">
        <w:rPr>
          <w:noProof/>
        </w:rPr>
        <w:t>(</w:t>
      </w:r>
      <w:r>
        <w:rPr>
          <w:noProof/>
        </w:rPr>
        <w:t>b</w:t>
      </w:r>
      <w:r w:rsidRPr="00457181">
        <w:rPr>
          <w:noProof/>
        </w:rPr>
        <w:t xml:space="preserve">) </w:t>
      </w:r>
      <w:r>
        <w:rPr>
          <w:noProof/>
        </w:rPr>
        <w:t>Drafting</w:t>
      </w:r>
    </w:p>
    <w:p w:rsidR="00D05709" w:rsidRPr="00BE5C2C" w:rsidRDefault="00D05709" w:rsidP="00D05709">
      <w:pPr>
        <w:rPr>
          <w:b/>
          <w:noProof/>
          <w:szCs w:val="26"/>
          <w:lang w:eastAsia="en-AU"/>
        </w:rPr>
      </w:pPr>
      <w:r>
        <w:rPr>
          <w:noProof/>
          <w:szCs w:val="26"/>
          <w:lang w:eastAsia="en-AU"/>
        </w:rPr>
        <w:t xml:space="preserve">The </w:t>
      </w:r>
      <w:r w:rsidRPr="00457181">
        <w:rPr>
          <w:noProof/>
          <w:szCs w:val="26"/>
          <w:lang w:eastAsia="en-AU"/>
        </w:rPr>
        <w:t xml:space="preserve">making statement </w:t>
      </w:r>
      <w:r>
        <w:rPr>
          <w:noProof/>
          <w:szCs w:val="26"/>
          <w:lang w:eastAsia="en-AU"/>
        </w:rPr>
        <w:t xml:space="preserve">for the instrument states only that the instrument is made under the </w:t>
      </w:r>
      <w:r w:rsidRPr="00126D5E">
        <w:rPr>
          <w:i/>
          <w:noProof/>
          <w:szCs w:val="26"/>
          <w:lang w:eastAsia="en-AU"/>
        </w:rPr>
        <w:t>Judiciary Act 1903</w:t>
      </w:r>
      <w:r w:rsidRPr="00457181">
        <w:rPr>
          <w:noProof/>
          <w:szCs w:val="26"/>
          <w:lang w:eastAsia="en-AU"/>
        </w:rPr>
        <w:t xml:space="preserve">, </w:t>
      </w:r>
      <w:r>
        <w:rPr>
          <w:noProof/>
          <w:szCs w:val="26"/>
          <w:lang w:eastAsia="en-AU"/>
        </w:rPr>
        <w:t xml:space="preserve">and does not contain a specific reference </w:t>
      </w:r>
      <w:r w:rsidRPr="00457181">
        <w:rPr>
          <w:noProof/>
          <w:szCs w:val="26"/>
          <w:lang w:eastAsia="en-AU"/>
        </w:rPr>
        <w:t>to the provision under which</w:t>
      </w:r>
      <w:r>
        <w:rPr>
          <w:noProof/>
          <w:szCs w:val="26"/>
          <w:lang w:eastAsia="en-AU"/>
        </w:rPr>
        <w:t xml:space="preserve"> it is made (</w:t>
      </w:r>
      <w:r w:rsidRPr="00457181">
        <w:rPr>
          <w:noProof/>
          <w:szCs w:val="26"/>
          <w:lang w:eastAsia="en-AU"/>
        </w:rPr>
        <w:t>section 86</w:t>
      </w:r>
      <w:r>
        <w:rPr>
          <w:noProof/>
          <w:szCs w:val="26"/>
          <w:lang w:eastAsia="en-AU"/>
        </w:rPr>
        <w:t>)</w:t>
      </w:r>
      <w:r w:rsidRPr="00457181">
        <w:rPr>
          <w:noProof/>
          <w:szCs w:val="26"/>
          <w:lang w:eastAsia="en-AU"/>
        </w:rPr>
        <w:t>.</w:t>
      </w:r>
      <w:r>
        <w:rPr>
          <w:noProof/>
          <w:szCs w:val="26"/>
          <w:lang w:eastAsia="en-AU"/>
        </w:rPr>
        <w:t xml:space="preserve"> The committee considers that an instrument and its ES should identify clearly the legislative authority for the making of the insreument, and </w:t>
      </w:r>
      <w:r w:rsidRPr="00BE5C2C">
        <w:rPr>
          <w:noProof/>
          <w:szCs w:val="26"/>
          <w:lang w:eastAsia="en-AU"/>
        </w:rPr>
        <w:t xml:space="preserve">generally raises such matters in the interests of ensuring the highest quality of standards of drafting in legislative instruments in accordance with subsection 3(c) of the </w:t>
      </w:r>
      <w:r w:rsidRPr="00BE5C2C">
        <w:rPr>
          <w:i/>
          <w:noProof/>
          <w:szCs w:val="26"/>
          <w:lang w:eastAsia="en-AU"/>
        </w:rPr>
        <w:t>Legislative Instruments Act 2003</w:t>
      </w:r>
      <w:r w:rsidRPr="00BE5C2C">
        <w:rPr>
          <w:noProof/>
          <w:szCs w:val="26"/>
          <w:lang w:eastAsia="en-AU"/>
        </w:rPr>
        <w:t>, which states that an object of the Act is 'encouraging high standards in the drafting of legislative instruments to promote their legal effectiveness, their clarity and their intelligibility to anticipated users'</w:t>
      </w:r>
      <w:r>
        <w:rPr>
          <w:noProof/>
          <w:szCs w:val="26"/>
          <w:lang w:eastAsia="en-AU"/>
        </w:rPr>
        <w:t xml:space="preserve"> </w:t>
      </w:r>
      <w:r>
        <w:rPr>
          <w:b/>
          <w:noProof/>
          <w:szCs w:val="26"/>
          <w:lang w:eastAsia="en-AU"/>
        </w:rPr>
        <w:t>[t</w:t>
      </w:r>
      <w:r w:rsidRPr="00E90A2F">
        <w:rPr>
          <w:b/>
          <w:noProof/>
          <w:szCs w:val="26"/>
        </w:rPr>
        <w:t>he committee dr</w:t>
      </w:r>
      <w:r>
        <w:rPr>
          <w:b/>
          <w:noProof/>
          <w:szCs w:val="26"/>
        </w:rPr>
        <w:t>e</w:t>
      </w:r>
      <w:r w:rsidRPr="00E90A2F">
        <w:rPr>
          <w:b/>
          <w:noProof/>
          <w:szCs w:val="26"/>
        </w:rPr>
        <w:t>w this issue to the attention of the</w:t>
      </w:r>
      <w:r>
        <w:rPr>
          <w:b/>
          <w:noProof/>
          <w:szCs w:val="26"/>
        </w:rPr>
        <w:t xml:space="preserve"> Principal Registrar]</w:t>
      </w:r>
      <w:r w:rsidRPr="00310C67">
        <w:rPr>
          <w:noProof/>
          <w:szCs w:val="26"/>
        </w:rPr>
        <w:t>.</w:t>
      </w:r>
    </w:p>
    <w:p w:rsidR="00D05709" w:rsidRDefault="00D05709" w:rsidP="00D05709">
      <w:pPr>
        <w:pStyle w:val="Heading4"/>
        <w:numPr>
          <w:ilvl w:val="3"/>
          <w:numId w:val="21"/>
        </w:numPr>
        <w:spacing w:before="120" w:after="120"/>
        <w:rPr>
          <w:noProof/>
          <w:szCs w:val="26"/>
          <w:lang w:eastAsia="en-AU"/>
        </w:rPr>
      </w:pPr>
      <w:r w:rsidRPr="00457181">
        <w:rPr>
          <w:noProof/>
        </w:rPr>
        <w:t>(</w:t>
      </w:r>
      <w:r>
        <w:rPr>
          <w:noProof/>
        </w:rPr>
        <w:t>c</w:t>
      </w:r>
      <w:r w:rsidRPr="00457181">
        <w:rPr>
          <w:noProof/>
        </w:rPr>
        <w:t>) No information regarding consultation</w:t>
      </w:r>
    </w:p>
    <w:p w:rsidR="00D05709" w:rsidRDefault="00D05709" w:rsidP="00D05709">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w:t>
      </w:r>
      <w:r>
        <w:rPr>
          <w:noProof/>
          <w:szCs w:val="26"/>
        </w:rPr>
        <w:t>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Pr>
          <w:b/>
          <w:noProof/>
          <w:szCs w:val="26"/>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w:t>
      </w:r>
      <w:r>
        <w:rPr>
          <w:b/>
          <w:noProof/>
        </w:rPr>
        <w:t xml:space="preserve">Principal Registrar </w:t>
      </w:r>
      <w:r w:rsidRPr="00940F8E">
        <w:rPr>
          <w:b/>
          <w:noProof/>
        </w:rPr>
        <w:t>and reques</w:t>
      </w:r>
      <w:r>
        <w:rPr>
          <w:b/>
          <w:noProof/>
        </w:rPr>
        <w:t>ed</w:t>
      </w:r>
      <w:r w:rsidRPr="00940F8E">
        <w:rPr>
          <w:b/>
          <w:noProof/>
        </w:rPr>
        <w:t xml:space="preserve"> that</w:t>
      </w:r>
      <w:r>
        <w:rPr>
          <w:b/>
          <w:noProof/>
        </w:rPr>
        <w:t>, if necessary,</w:t>
      </w:r>
      <w:r w:rsidRPr="00940F8E">
        <w:rPr>
          <w:b/>
          <w:noProof/>
        </w:rPr>
        <w:t xml:space="preserve"> the ES be updated in accordance with the requirements of the </w:t>
      </w:r>
      <w:r w:rsidRPr="00E2599D">
        <w:rPr>
          <w:b/>
          <w:i/>
          <w:noProof/>
        </w:rPr>
        <w:t>Legislative Instruments Act 2003</w:t>
      </w:r>
      <w:r>
        <w:rPr>
          <w:b/>
          <w:noProof/>
        </w:rPr>
        <w:t>]</w:t>
      </w:r>
      <w:r>
        <w:rPr>
          <w:noProof/>
        </w:rPr>
        <w:t>.</w:t>
      </w:r>
    </w:p>
    <w:p w:rsidR="00D05709" w:rsidRPr="00B54538" w:rsidRDefault="00D05709" w:rsidP="00D05709">
      <w:pPr>
        <w:pStyle w:val="Heading4"/>
        <w:numPr>
          <w:ilvl w:val="3"/>
          <w:numId w:val="21"/>
        </w:numPr>
        <w:spacing w:before="120" w:after="120"/>
        <w:rPr>
          <w:noProof/>
        </w:rPr>
      </w:pPr>
      <w:r w:rsidRPr="00457181">
        <w:rPr>
          <w:noProof/>
        </w:rPr>
        <w:lastRenderedPageBreak/>
        <w:t>(</w:t>
      </w:r>
      <w:r>
        <w:rPr>
          <w:noProof/>
        </w:rPr>
        <w:t>d</w:t>
      </w:r>
      <w:r w:rsidRPr="00457181">
        <w:rPr>
          <w:noProof/>
        </w:rPr>
        <w:t>) No statement of compatibility with human rights</w:t>
      </w:r>
    </w:p>
    <w:p w:rsidR="00D05709" w:rsidRPr="00BE5C2C" w:rsidRDefault="00D05709" w:rsidP="00457DCF">
      <w:pPr>
        <w:spacing w:after="120"/>
        <w:rPr>
          <w:noProof/>
          <w:szCs w:val="26"/>
          <w:lang w:eastAsia="en-AU"/>
        </w:rPr>
      </w:pPr>
      <w:r>
        <w:rPr>
          <w:noProof/>
          <w:szCs w:val="26"/>
          <w:lang w:eastAsia="en-AU"/>
        </w:rPr>
        <w:t>S</w:t>
      </w:r>
      <w:r w:rsidRPr="00457181">
        <w:rPr>
          <w:noProof/>
          <w:szCs w:val="26"/>
          <w:lang w:eastAsia="en-AU"/>
        </w:rPr>
        <w:t xml:space="preserve">ection 9 of the </w:t>
      </w:r>
      <w:r w:rsidRPr="00BE5C2C">
        <w:rPr>
          <w:i/>
          <w:noProof/>
          <w:szCs w:val="26"/>
          <w:lang w:eastAsia="en-AU"/>
        </w:rPr>
        <w:t>Human Rights (Parliamentary Scrutiny) Act 2011</w:t>
      </w:r>
      <w:r w:rsidRPr="00457181">
        <w:rPr>
          <w:noProof/>
          <w:szCs w:val="26"/>
          <w:lang w:eastAsia="en-AU"/>
        </w:rPr>
        <w:t xml:space="preserve"> requires a rule-maker to prepare a statement of compatibility with specified human rights for each disallowable legislative instrument. No statement of compatibility has been supp</w:t>
      </w:r>
      <w:r>
        <w:rPr>
          <w:noProof/>
          <w:szCs w:val="26"/>
          <w:lang w:eastAsia="en-AU"/>
        </w:rPr>
        <w:t xml:space="preserve">lied with these amendment rules </w:t>
      </w:r>
      <w:r>
        <w:rPr>
          <w:b/>
          <w:noProof/>
          <w:szCs w:val="26"/>
          <w:lang w:eastAsia="en-AU"/>
        </w:rPr>
        <w:t>[the committee sought further information from the Principal Registrar]</w:t>
      </w:r>
      <w:r>
        <w:rPr>
          <w:noProof/>
          <w:szCs w:val="26"/>
          <w:lang w:eastAsia="en-AU"/>
        </w:rPr>
        <w:t>.</w:t>
      </w:r>
    </w:p>
    <w:p w:rsidR="00D05709" w:rsidRPr="00D7776C" w:rsidRDefault="00D05709" w:rsidP="00457DCF">
      <w:pPr>
        <w:spacing w:after="120"/>
        <w:rPr>
          <w:b/>
          <w:noProof/>
          <w:szCs w:val="26"/>
        </w:rPr>
      </w:pPr>
      <w:r>
        <w:rPr>
          <w:b/>
          <w:noProof/>
          <w:szCs w:val="26"/>
        </w:rPr>
        <w:t>PRINCIPAL REGISTRA</w:t>
      </w:r>
      <w:r w:rsidRPr="00D7776C">
        <w:rPr>
          <w:b/>
          <w:noProof/>
          <w:szCs w:val="26"/>
        </w:rPr>
        <w:t>R'S RESPONSE:</w:t>
      </w:r>
    </w:p>
    <w:p w:rsidR="00D05709" w:rsidRPr="00D7666D" w:rsidRDefault="00D05709" w:rsidP="00D05709">
      <w:pPr>
        <w:rPr>
          <w:noProof/>
          <w:szCs w:val="26"/>
        </w:rPr>
      </w:pPr>
      <w:r>
        <w:rPr>
          <w:noProof/>
          <w:szCs w:val="26"/>
        </w:rPr>
        <w:t>In relation to issue (a), the Principal Registrar advised</w:t>
      </w:r>
      <w:r w:rsidRPr="00D7666D">
        <w:rPr>
          <w:noProof/>
          <w:szCs w:val="26"/>
        </w:rPr>
        <w:t xml:space="preserve"> </w:t>
      </w:r>
      <w:r>
        <w:rPr>
          <w:noProof/>
          <w:szCs w:val="26"/>
        </w:rPr>
        <w:t xml:space="preserve">that </w:t>
      </w:r>
      <w:r w:rsidRPr="00D7666D">
        <w:rPr>
          <w:noProof/>
          <w:szCs w:val="26"/>
        </w:rPr>
        <w:t xml:space="preserve">increase </w:t>
      </w:r>
      <w:r>
        <w:rPr>
          <w:noProof/>
          <w:szCs w:val="26"/>
        </w:rPr>
        <w:t xml:space="preserve">to the schedule of </w:t>
      </w:r>
      <w:r w:rsidRPr="00D7666D">
        <w:rPr>
          <w:noProof/>
          <w:szCs w:val="26"/>
        </w:rPr>
        <w:t xml:space="preserve">fees </w:t>
      </w:r>
      <w:r>
        <w:rPr>
          <w:noProof/>
          <w:szCs w:val="26"/>
        </w:rPr>
        <w:t xml:space="preserve">was a 'mechanistic' amendment adopting the recommendations of the </w:t>
      </w:r>
      <w:r w:rsidRPr="00D7666D">
        <w:rPr>
          <w:noProof/>
          <w:szCs w:val="26"/>
        </w:rPr>
        <w:t>Joint Costs Advisory Committee (JCAC)</w:t>
      </w:r>
      <w:r>
        <w:rPr>
          <w:noProof/>
          <w:szCs w:val="26"/>
        </w:rPr>
        <w:t xml:space="preserve">, and provided a copy of the </w:t>
      </w:r>
      <w:r w:rsidRPr="00D7666D">
        <w:rPr>
          <w:noProof/>
          <w:szCs w:val="26"/>
        </w:rPr>
        <w:t>JCAC report</w:t>
      </w:r>
      <w:r>
        <w:rPr>
          <w:noProof/>
          <w:szCs w:val="26"/>
        </w:rPr>
        <w:t xml:space="preserve"> containing the formula applied to the annual review of the schedule of fees. The Principal Registrar indicated that the Court would be willing to include this information in future ESs, noting that this may increase their length and complexity.</w:t>
      </w:r>
    </w:p>
    <w:p w:rsidR="00D05709" w:rsidRPr="00D7666D" w:rsidRDefault="00D05709" w:rsidP="00D05709">
      <w:pPr>
        <w:rPr>
          <w:noProof/>
          <w:szCs w:val="26"/>
        </w:rPr>
      </w:pPr>
      <w:r>
        <w:rPr>
          <w:noProof/>
          <w:szCs w:val="26"/>
        </w:rPr>
        <w:t>In relation to issue (b), the Principal Registrar advised that the Court would be willing in future to include specific reference to the authorising provision(s) under which a rule was made.</w:t>
      </w:r>
    </w:p>
    <w:p w:rsidR="00D05709" w:rsidRDefault="00D05709" w:rsidP="00D05709">
      <w:pPr>
        <w:rPr>
          <w:noProof/>
          <w:szCs w:val="26"/>
        </w:rPr>
      </w:pPr>
      <w:r>
        <w:rPr>
          <w:noProof/>
          <w:szCs w:val="26"/>
        </w:rPr>
        <w:t>In relation to issue (c), the Principal Registrar advised that in conducting its annual review the longstanding practice of the JCAC was to invite the Attorney-General's Department, the Law Council of Australia, the National Association of Community Legal Aid Centres and the National legal Aid to make submissions to the review. The Principal Registrar indicated that the Court would be willing to provide information on consultation in ESs in future.</w:t>
      </w:r>
    </w:p>
    <w:p w:rsidR="00D05709" w:rsidRPr="00D7776C" w:rsidRDefault="00D05709" w:rsidP="00457DCF">
      <w:pPr>
        <w:spacing w:after="120"/>
        <w:rPr>
          <w:noProof/>
          <w:szCs w:val="26"/>
        </w:rPr>
      </w:pPr>
      <w:r>
        <w:rPr>
          <w:noProof/>
          <w:szCs w:val="26"/>
        </w:rPr>
        <w:t xml:space="preserve">In relation to issue (d), the Principal Registrar advised that, in the course of drafting the instrument, the Office of Legislative Drafting and Publishing (OLDP) had advised that the requirement to provide a statement of compatibility did not apply to rules of court made by a federal court (including the High Court). This was because a precondition of the requirement was that the instrument in question be a 'legislative instrument' to which section 42 of the </w:t>
      </w:r>
      <w:r>
        <w:rPr>
          <w:i/>
          <w:noProof/>
          <w:szCs w:val="26"/>
        </w:rPr>
        <w:t>Legislative Instruments Act 2003</w:t>
      </w:r>
      <w:r>
        <w:rPr>
          <w:noProof/>
          <w:szCs w:val="26"/>
        </w:rPr>
        <w:t xml:space="preserve"> applies (that is, the instrument is subject to disallowance under that Act). As section 9 of the </w:t>
      </w:r>
      <w:r>
        <w:rPr>
          <w:i/>
          <w:noProof/>
          <w:szCs w:val="26"/>
        </w:rPr>
        <w:t>Legislative Instruments Act 2003</w:t>
      </w:r>
      <w:r>
        <w:rPr>
          <w:noProof/>
          <w:szCs w:val="26"/>
        </w:rPr>
        <w:t xml:space="preserve"> provides that rules of court are not legislative instruments for the purposes of that Act, a statement of compatibility was not required in respect of the current instrument.</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the Principal Registrar for his response and has concluded its interest in the matter</w:t>
      </w:r>
      <w:r>
        <w:rPr>
          <w:noProof/>
          <w:szCs w:val="26"/>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spacing w:before="600"/>
      </w:pPr>
      <w:r w:rsidRPr="00457181">
        <w:rPr>
          <w:noProof/>
        </w:rPr>
        <w:lastRenderedPageBreak/>
        <w:t>Carbon Credits (Carbon Farming Initiative) (Conservative Estimates, Projections or Assumptions: Greenhouse Friendly Initiative Transitional Crediting Calculation (Alternative Waste Treatment) Determination 2012</w:t>
      </w:r>
      <w:r>
        <w:rPr>
          <w:noProof/>
        </w:rPr>
        <w:t xml:space="preserve"> [</w:t>
      </w:r>
      <w:r w:rsidRPr="00725ACE">
        <w:rPr>
          <w:noProof/>
        </w:rPr>
        <w:t>F2012L02191</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Determines that a specified estimate for alternative waste treatment projects transitioning from the Greenhouse Frie</w:t>
            </w:r>
            <w:r>
              <w:rPr>
                <w:rFonts w:ascii="Times New Roman" w:hAnsi="Times New Roman"/>
                <w:noProof/>
                <w:sz w:val="24"/>
                <w:szCs w:val="24"/>
              </w:rPr>
              <w:t>ndly initiative is conservative</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18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Carbon Credits (Carbon Farming Initiative) Act 2011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Climate Change and Energy Efficiency</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t>No information regarding c</w:t>
      </w:r>
      <w:r w:rsidRPr="00457181">
        <w:rPr>
          <w:noProof/>
        </w:rPr>
        <w:t>onsultation</w:t>
      </w:r>
    </w:p>
    <w:p w:rsidR="00D05709" w:rsidRDefault="00D05709" w:rsidP="00457DCF">
      <w:pPr>
        <w:spacing w:after="120"/>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Pr>
          <w:b/>
          <w:noProof/>
          <w:szCs w:val="26"/>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w:t>
      </w:r>
      <w:r>
        <w:rPr>
          <w:b/>
          <w:noProof/>
        </w:rPr>
        <w:t>parliamentary secretary</w:t>
      </w:r>
      <w:r w:rsidRPr="00940F8E">
        <w:rPr>
          <w:b/>
          <w:noProof/>
        </w:rPr>
        <w:t xml:space="preserve"> and reques</w:t>
      </w:r>
      <w:r>
        <w:rPr>
          <w:b/>
          <w:noProof/>
        </w:rPr>
        <w:t>ed</w:t>
      </w:r>
      <w:r w:rsidRPr="00940F8E">
        <w:rPr>
          <w:b/>
          <w:noProof/>
        </w:rPr>
        <w:t xml:space="preserve"> that the ES be updated in accordance with the requirements of the </w:t>
      </w:r>
      <w:r w:rsidRPr="00E2599D">
        <w:rPr>
          <w:b/>
          <w:i/>
          <w:noProof/>
        </w:rPr>
        <w:t>Legislative Instruments Act 2003</w:t>
      </w:r>
      <w:r>
        <w:rPr>
          <w:b/>
          <w:noProof/>
        </w:rPr>
        <w:t>]</w:t>
      </w:r>
      <w:r>
        <w:rPr>
          <w:noProof/>
        </w:rPr>
        <w:t>.</w:t>
      </w:r>
    </w:p>
    <w:p w:rsidR="00D05709" w:rsidRPr="00D7776C" w:rsidRDefault="00D05709" w:rsidP="00457DCF">
      <w:pPr>
        <w:spacing w:after="120"/>
        <w:rPr>
          <w:b/>
          <w:noProof/>
          <w:szCs w:val="26"/>
        </w:rPr>
      </w:pPr>
      <w:r>
        <w:rPr>
          <w:b/>
          <w:noProof/>
          <w:szCs w:val="26"/>
        </w:rPr>
        <w:t>PARLIAMENTARY SECRETARY</w:t>
      </w:r>
      <w:r w:rsidRPr="00D7776C">
        <w:rPr>
          <w:b/>
          <w:noProof/>
          <w:szCs w:val="26"/>
        </w:rPr>
        <w:t>'S RESPONSE:</w:t>
      </w:r>
    </w:p>
    <w:p w:rsidR="00D05709" w:rsidRPr="00D7776C" w:rsidRDefault="00D05709" w:rsidP="00457DCF">
      <w:pPr>
        <w:spacing w:after="120"/>
        <w:rPr>
          <w:noProof/>
          <w:szCs w:val="26"/>
        </w:rPr>
      </w:pPr>
      <w:r w:rsidRPr="00D7666D">
        <w:rPr>
          <w:noProof/>
          <w:szCs w:val="26"/>
        </w:rPr>
        <w:t>The</w:t>
      </w:r>
      <w:r>
        <w:rPr>
          <w:noProof/>
          <w:szCs w:val="26"/>
        </w:rPr>
        <w:t xml:space="preserve"> parliamentary secretary advised</w:t>
      </w:r>
      <w:r w:rsidRPr="00D7666D">
        <w:rPr>
          <w:noProof/>
          <w:szCs w:val="26"/>
        </w:rPr>
        <w:t xml:space="preserve"> that the department sought public submissions on the instrument's approach to crediting</w:t>
      </w:r>
      <w:r>
        <w:rPr>
          <w:noProof/>
          <w:szCs w:val="26"/>
        </w:rPr>
        <w:t>, which was published on the department's website for two separate 40-day periods as componenets of the methodology proposals for legacy alternative waste treatment</w:t>
      </w:r>
      <w:r w:rsidRPr="00D7666D">
        <w:rPr>
          <w:noProof/>
          <w:szCs w:val="26"/>
        </w:rPr>
        <w:t xml:space="preserve">. </w:t>
      </w:r>
      <w:r>
        <w:rPr>
          <w:noProof/>
          <w:szCs w:val="26"/>
        </w:rPr>
        <w:t>The s</w:t>
      </w:r>
      <w:r w:rsidRPr="00D7666D">
        <w:rPr>
          <w:noProof/>
          <w:szCs w:val="26"/>
        </w:rPr>
        <w:t xml:space="preserve">ubmissions received </w:t>
      </w:r>
      <w:r>
        <w:rPr>
          <w:noProof/>
          <w:szCs w:val="26"/>
        </w:rPr>
        <w:t xml:space="preserve">were a </w:t>
      </w:r>
      <w:r w:rsidRPr="00D7666D">
        <w:rPr>
          <w:noProof/>
          <w:szCs w:val="26"/>
        </w:rPr>
        <w:t>contribut</w:t>
      </w:r>
      <w:r>
        <w:rPr>
          <w:noProof/>
          <w:szCs w:val="26"/>
        </w:rPr>
        <w:t xml:space="preserve">ing factor </w:t>
      </w:r>
      <w:r w:rsidRPr="00D7666D">
        <w:rPr>
          <w:noProof/>
          <w:szCs w:val="26"/>
        </w:rPr>
        <w:t xml:space="preserve">to the instrument's creation. The </w:t>
      </w:r>
      <w:r>
        <w:rPr>
          <w:noProof/>
          <w:szCs w:val="26"/>
        </w:rPr>
        <w:t xml:space="preserve">parliamentary secretary further advised that the </w:t>
      </w:r>
      <w:r w:rsidRPr="00D7666D">
        <w:rPr>
          <w:noProof/>
          <w:szCs w:val="26"/>
        </w:rPr>
        <w:t>ES ha</w:t>
      </w:r>
      <w:r>
        <w:rPr>
          <w:noProof/>
          <w:szCs w:val="26"/>
        </w:rPr>
        <w:t>d</w:t>
      </w:r>
      <w:r w:rsidRPr="00D7666D">
        <w:rPr>
          <w:noProof/>
          <w:szCs w:val="26"/>
        </w:rPr>
        <w:t xml:space="preserve"> been amended</w:t>
      </w:r>
      <w:r>
        <w:rPr>
          <w:noProof/>
          <w:szCs w:val="26"/>
        </w:rPr>
        <w:t xml:space="preserve"> to include information regarding</w:t>
      </w:r>
      <w:r w:rsidRPr="00D7666D">
        <w:rPr>
          <w:noProof/>
          <w:szCs w:val="26"/>
        </w:rPr>
        <w:t xml:space="preserve"> consultation</w:t>
      </w:r>
      <w:r>
        <w:rPr>
          <w:noProof/>
          <w:szCs w:val="26"/>
        </w:rPr>
        <w:t xml:space="preserve"> in accordance with the requirements of the </w:t>
      </w:r>
      <w:r>
        <w:rPr>
          <w:i/>
          <w:noProof/>
          <w:szCs w:val="26"/>
        </w:rPr>
        <w:t>Legislative Instruments Act 2003</w:t>
      </w:r>
      <w:r w:rsidRPr="00D7666D">
        <w:rPr>
          <w:noProof/>
          <w:szCs w:val="26"/>
        </w:rPr>
        <w:t>.</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 xml:space="preserve">the </w:t>
      </w:r>
      <w:r w:rsidRPr="00F21886">
        <w:rPr>
          <w:b/>
          <w:noProof/>
          <w:szCs w:val="26"/>
        </w:rPr>
        <w:t>parliamentary secretary</w:t>
      </w:r>
      <w:r>
        <w:rPr>
          <w:b/>
          <w:noProof/>
          <w:szCs w:val="26"/>
        </w:rPr>
        <w:t xml:space="preserve"> for his response and has concluded its interest in the matter</w:t>
      </w:r>
      <w:r>
        <w:rPr>
          <w:noProof/>
          <w:szCs w:val="26"/>
        </w:rPr>
        <w:t>.</w:t>
      </w:r>
    </w:p>
    <w:p w:rsidR="00D05709" w:rsidRDefault="00D05709" w:rsidP="00D05709">
      <w:pPr>
        <w:spacing w:after="0"/>
        <w:jc w:val="left"/>
        <w:rPr>
          <w:b/>
          <w:noProof/>
          <w:sz w:val="28"/>
        </w:rPr>
      </w:pPr>
      <w:r>
        <w:rPr>
          <w:noProof/>
        </w:rPr>
        <w:br w:type="page"/>
      </w:r>
    </w:p>
    <w:p w:rsidR="00D05709" w:rsidRPr="00B54538" w:rsidRDefault="00D05709" w:rsidP="00D05709">
      <w:pPr>
        <w:pStyle w:val="Heading3"/>
        <w:spacing w:before="600"/>
      </w:pPr>
      <w:r w:rsidRPr="00457181">
        <w:rPr>
          <w:noProof/>
        </w:rPr>
        <w:lastRenderedPageBreak/>
        <w:t>Defence Determination 2012/65, Cad</w:t>
      </w:r>
      <w:r>
        <w:rPr>
          <w:noProof/>
        </w:rPr>
        <w:t>et forces allowance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Specifies adjustments to the </w:t>
            </w:r>
            <w:r>
              <w:rPr>
                <w:rFonts w:ascii="Times New Roman" w:hAnsi="Times New Roman"/>
                <w:noProof/>
                <w:sz w:val="24"/>
                <w:szCs w:val="24"/>
              </w:rPr>
              <w:t>rates of cadet forces allowance</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14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Defence Act 1903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Defence</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310C67">
        <w:rPr>
          <w:noProof/>
        </w:rPr>
        <w:t xml:space="preserve">Unclear basis for calculation of </w:t>
      </w:r>
    </w:p>
    <w:p w:rsidR="00D05709" w:rsidRPr="00126D5E" w:rsidRDefault="00D05709" w:rsidP="00457DCF">
      <w:pPr>
        <w:spacing w:after="120"/>
        <w:rPr>
          <w:noProof/>
          <w:szCs w:val="26"/>
          <w:lang w:eastAsia="en-AU"/>
        </w:rPr>
      </w:pPr>
      <w:r>
        <w:rPr>
          <w:noProof/>
          <w:szCs w:val="26"/>
        </w:rPr>
        <w:t xml:space="preserve">The ES for the instrument notes that the </w:t>
      </w:r>
      <w:r w:rsidRPr="00457181">
        <w:rPr>
          <w:noProof/>
          <w:szCs w:val="26"/>
        </w:rPr>
        <w:t>determination specifies a 2.5</w:t>
      </w:r>
      <w:r>
        <w:rPr>
          <w:noProof/>
          <w:szCs w:val="26"/>
        </w:rPr>
        <w:t xml:space="preserve"> per cent </w:t>
      </w:r>
      <w:r w:rsidRPr="00457181">
        <w:rPr>
          <w:noProof/>
          <w:szCs w:val="26"/>
        </w:rPr>
        <w:t xml:space="preserve">increase in the </w:t>
      </w:r>
      <w:r>
        <w:rPr>
          <w:noProof/>
          <w:szCs w:val="26"/>
        </w:rPr>
        <w:t>rates of cadet forces allowance, following</w:t>
      </w:r>
      <w:r w:rsidRPr="00457181">
        <w:rPr>
          <w:noProof/>
          <w:szCs w:val="26"/>
        </w:rPr>
        <w:t xml:space="preserve"> an annual review of the allowance</w:t>
      </w:r>
      <w:r>
        <w:rPr>
          <w:noProof/>
          <w:szCs w:val="26"/>
        </w:rPr>
        <w:t xml:space="preserve">. However, the ES </w:t>
      </w:r>
      <w:r w:rsidRPr="00457181">
        <w:rPr>
          <w:noProof/>
          <w:szCs w:val="26"/>
        </w:rPr>
        <w:t xml:space="preserve">does not indicate the basis on which this increase was determined. </w:t>
      </w:r>
      <w:r w:rsidRPr="00126D5E">
        <w:rPr>
          <w:noProof/>
          <w:szCs w:val="26"/>
          <w:lang w:eastAsia="en-AU"/>
        </w:rPr>
        <w:t xml:space="preserve">The committee's usual expectation in cases where an instrument introduces or adjusts </w:t>
      </w:r>
      <w:r>
        <w:rPr>
          <w:noProof/>
          <w:szCs w:val="26"/>
          <w:lang w:eastAsia="en-AU"/>
        </w:rPr>
        <w:t xml:space="preserve">an allowance or entitlement </w:t>
      </w:r>
      <w:r w:rsidRPr="00126D5E">
        <w:rPr>
          <w:noProof/>
          <w:szCs w:val="26"/>
          <w:lang w:eastAsia="en-AU"/>
        </w:rPr>
        <w:t xml:space="preserve">is that the relevant ES makes clear on its face the basis on which the new </w:t>
      </w:r>
      <w:r>
        <w:rPr>
          <w:noProof/>
          <w:szCs w:val="26"/>
          <w:lang w:eastAsia="en-AU"/>
        </w:rPr>
        <w:t xml:space="preserve">rate </w:t>
      </w:r>
      <w:r w:rsidRPr="00126D5E">
        <w:rPr>
          <w:noProof/>
          <w:szCs w:val="26"/>
          <w:lang w:eastAsia="en-AU"/>
        </w:rPr>
        <w:t>has been calculated</w:t>
      </w:r>
      <w:r>
        <w:rPr>
          <w:noProof/>
          <w:szCs w:val="26"/>
          <w:lang w:eastAsia="en-AU"/>
        </w:rPr>
        <w:t xml:space="preserve"> </w:t>
      </w:r>
      <w:r>
        <w:rPr>
          <w:b/>
          <w:noProof/>
          <w:szCs w:val="26"/>
          <w:lang w:eastAsia="en-AU"/>
        </w:rPr>
        <w:t>[the committee sought further information from the parliamentary secretary]</w:t>
      </w:r>
      <w:r>
        <w:rPr>
          <w:noProof/>
          <w:szCs w:val="26"/>
          <w:lang w:eastAsia="en-AU"/>
        </w:rPr>
        <w:t>.</w:t>
      </w:r>
    </w:p>
    <w:p w:rsidR="00D05709" w:rsidRPr="00D7776C" w:rsidRDefault="00D05709" w:rsidP="00457DCF">
      <w:pPr>
        <w:spacing w:after="120"/>
        <w:rPr>
          <w:b/>
          <w:noProof/>
          <w:szCs w:val="26"/>
        </w:rPr>
      </w:pPr>
      <w:r>
        <w:rPr>
          <w:b/>
          <w:noProof/>
          <w:szCs w:val="26"/>
        </w:rPr>
        <w:t>PARLIAMENTARY SECRETARY</w:t>
      </w:r>
      <w:r w:rsidRPr="00D7776C">
        <w:rPr>
          <w:b/>
          <w:noProof/>
          <w:szCs w:val="26"/>
        </w:rPr>
        <w:t>'S RESPONSE:</w:t>
      </w:r>
    </w:p>
    <w:p w:rsidR="00D05709" w:rsidRPr="00D7776C" w:rsidRDefault="00D05709" w:rsidP="00457DCF">
      <w:pPr>
        <w:spacing w:after="120"/>
        <w:rPr>
          <w:noProof/>
          <w:szCs w:val="26"/>
        </w:rPr>
      </w:pPr>
      <w:r w:rsidRPr="00D7666D">
        <w:rPr>
          <w:noProof/>
          <w:szCs w:val="26"/>
        </w:rPr>
        <w:t>The parliamentary secretary advise</w:t>
      </w:r>
      <w:r>
        <w:rPr>
          <w:noProof/>
          <w:szCs w:val="26"/>
        </w:rPr>
        <w:t>d</w:t>
      </w:r>
      <w:r w:rsidRPr="00D7666D">
        <w:rPr>
          <w:noProof/>
          <w:szCs w:val="26"/>
        </w:rPr>
        <w:t xml:space="preserve"> that the allowance was adjusted </w:t>
      </w:r>
      <w:r>
        <w:rPr>
          <w:noProof/>
          <w:szCs w:val="26"/>
        </w:rPr>
        <w:t>by</w:t>
      </w:r>
      <w:r w:rsidRPr="00D7666D">
        <w:rPr>
          <w:noProof/>
          <w:szCs w:val="26"/>
        </w:rPr>
        <w:t xml:space="preserve"> the same percentage as the general salary increase provided </w:t>
      </w:r>
      <w:r>
        <w:rPr>
          <w:noProof/>
          <w:szCs w:val="26"/>
        </w:rPr>
        <w:t xml:space="preserve">to the Australian Defence Force, in keeping with the </w:t>
      </w:r>
      <w:r w:rsidRPr="00D7666D">
        <w:rPr>
          <w:noProof/>
          <w:szCs w:val="26"/>
        </w:rPr>
        <w:t xml:space="preserve">method </w:t>
      </w:r>
      <w:r>
        <w:rPr>
          <w:noProof/>
          <w:szCs w:val="26"/>
        </w:rPr>
        <w:t xml:space="preserve">that </w:t>
      </w:r>
      <w:r w:rsidRPr="00D7666D">
        <w:rPr>
          <w:noProof/>
          <w:szCs w:val="26"/>
        </w:rPr>
        <w:t xml:space="preserve">has been used to calculate the allowance since 2010. The parliamentary secretary </w:t>
      </w:r>
      <w:r>
        <w:rPr>
          <w:noProof/>
          <w:szCs w:val="26"/>
        </w:rPr>
        <w:t xml:space="preserve">further </w:t>
      </w:r>
      <w:r w:rsidRPr="00D7666D">
        <w:rPr>
          <w:noProof/>
          <w:szCs w:val="26"/>
        </w:rPr>
        <w:t>advise</w:t>
      </w:r>
      <w:r>
        <w:rPr>
          <w:noProof/>
          <w:szCs w:val="26"/>
        </w:rPr>
        <w:t>d</w:t>
      </w:r>
      <w:r w:rsidRPr="00D7666D">
        <w:rPr>
          <w:noProof/>
          <w:szCs w:val="26"/>
        </w:rPr>
        <w:t xml:space="preserve"> that ESs for future changes to this allowance </w:t>
      </w:r>
      <w:r>
        <w:rPr>
          <w:noProof/>
          <w:szCs w:val="26"/>
        </w:rPr>
        <w:t xml:space="preserve">would </w:t>
      </w:r>
      <w:r w:rsidRPr="00D7666D">
        <w:rPr>
          <w:noProof/>
          <w:szCs w:val="26"/>
        </w:rPr>
        <w:t>detail the methodology used to calculate the amount of allowance.</w:t>
      </w:r>
    </w:p>
    <w:p w:rsidR="00D05709" w:rsidRPr="00D7776C" w:rsidRDefault="00D05709" w:rsidP="00457DCF">
      <w:pPr>
        <w:spacing w:after="120"/>
        <w:rPr>
          <w:b/>
          <w:noProof/>
          <w:szCs w:val="26"/>
        </w:rPr>
      </w:pPr>
      <w:r w:rsidRPr="00D7776C">
        <w:rPr>
          <w:b/>
          <w:noProof/>
          <w:szCs w:val="26"/>
        </w:rPr>
        <w:t>COMMITTEE RESPONSE:</w:t>
      </w:r>
    </w:p>
    <w:p w:rsidR="00D05709" w:rsidRDefault="00D05709" w:rsidP="00D05709">
      <w:pPr>
        <w:rPr>
          <w:b/>
          <w:noProof/>
          <w:szCs w:val="26"/>
          <w:highlight w:val="yellow"/>
        </w:rPr>
      </w:pPr>
      <w:r w:rsidRPr="000C3BAE">
        <w:rPr>
          <w:b/>
          <w:noProof/>
          <w:szCs w:val="26"/>
        </w:rPr>
        <w:t xml:space="preserve">The committee thanks </w:t>
      </w:r>
      <w:r>
        <w:rPr>
          <w:b/>
          <w:noProof/>
          <w:szCs w:val="26"/>
        </w:rPr>
        <w:t xml:space="preserve">the </w:t>
      </w:r>
      <w:r w:rsidRPr="00F21886">
        <w:rPr>
          <w:b/>
          <w:noProof/>
          <w:szCs w:val="26"/>
        </w:rPr>
        <w:t>parliamentary secretary</w:t>
      </w:r>
      <w:r>
        <w:rPr>
          <w:b/>
          <w:noProof/>
          <w:szCs w:val="26"/>
        </w:rPr>
        <w:t xml:space="preserve"> for his response and has concluded its interest in the matter</w:t>
      </w:r>
      <w:r>
        <w:rPr>
          <w:noProof/>
          <w:szCs w:val="26"/>
        </w:rPr>
        <w:t>.</w:t>
      </w:r>
    </w:p>
    <w:p w:rsidR="00D05709" w:rsidRPr="00B54538" w:rsidRDefault="00D05709" w:rsidP="00D05709">
      <w:pPr>
        <w:pStyle w:val="Heading3"/>
        <w:spacing w:before="600"/>
      </w:pPr>
      <w:r w:rsidRPr="00457181">
        <w:rPr>
          <w:noProof/>
        </w:rPr>
        <w:t>Customs Amendment Regulation 2012 (No. 8) [Select Legislative Instrument 2012 No. 249]</w:t>
      </w:r>
      <w:r>
        <w:rPr>
          <w:noProof/>
        </w:rPr>
        <w:t xml:space="preserve"> [F2012L02159]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Amends the drawback provisions in the principal regulations as they apply to tobacco and tobacco products, and makes related </w:t>
            </w:r>
            <w:r>
              <w:rPr>
                <w:rFonts w:ascii="Times New Roman" w:hAnsi="Times New Roman"/>
                <w:noProof/>
                <w:sz w:val="24"/>
                <w:szCs w:val="24"/>
              </w:rPr>
              <w:t>amendments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12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Customs Act 1901</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Attorney-General's</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457181">
        <w:rPr>
          <w:noProof/>
        </w:rPr>
        <w:t>Adequacy of consultation</w:t>
      </w:r>
    </w:p>
    <w:p w:rsidR="00D05709" w:rsidRDefault="00D05709" w:rsidP="00457DCF">
      <w:pPr>
        <w:spacing w:after="120"/>
        <w:rPr>
          <w:noProof/>
          <w:szCs w:val="26"/>
        </w:rPr>
      </w:pPr>
      <w:r w:rsidRPr="00457181">
        <w:rPr>
          <w:noProof/>
          <w:szCs w:val="26"/>
        </w:rPr>
        <w:t>The ES to this instrument states that no consultation was undertaken</w:t>
      </w:r>
      <w:r>
        <w:rPr>
          <w:noProof/>
          <w:szCs w:val="26"/>
        </w:rPr>
        <w:t xml:space="preserve"> because the amendments are of '</w:t>
      </w:r>
      <w:r w:rsidRPr="00457181">
        <w:rPr>
          <w:noProof/>
          <w:szCs w:val="26"/>
        </w:rPr>
        <w:t>a minor or machinery nature</w:t>
      </w:r>
      <w:r>
        <w:rPr>
          <w:noProof/>
          <w:szCs w:val="26"/>
        </w:rPr>
        <w:t>'</w:t>
      </w:r>
      <w:r w:rsidRPr="00457181">
        <w:rPr>
          <w:noProof/>
          <w:szCs w:val="26"/>
        </w:rPr>
        <w:t xml:space="preserve">. </w:t>
      </w:r>
      <w:r>
        <w:rPr>
          <w:noProof/>
          <w:szCs w:val="26"/>
        </w:rPr>
        <w:t xml:space="preserve">While the committee recognises that this </w:t>
      </w:r>
      <w:r w:rsidRPr="00457181">
        <w:rPr>
          <w:noProof/>
          <w:szCs w:val="26"/>
        </w:rPr>
        <w:t xml:space="preserve">is a </w:t>
      </w:r>
      <w:r>
        <w:rPr>
          <w:noProof/>
          <w:szCs w:val="26"/>
        </w:rPr>
        <w:t xml:space="preserve">common and </w:t>
      </w:r>
      <w:r w:rsidRPr="00457181">
        <w:rPr>
          <w:noProof/>
          <w:szCs w:val="26"/>
        </w:rPr>
        <w:t xml:space="preserve">recognised </w:t>
      </w:r>
      <w:r>
        <w:rPr>
          <w:noProof/>
          <w:szCs w:val="26"/>
        </w:rPr>
        <w:t xml:space="preserve">reson </w:t>
      </w:r>
      <w:r w:rsidRPr="00457181">
        <w:rPr>
          <w:noProof/>
          <w:szCs w:val="26"/>
        </w:rPr>
        <w:t>for not undertaking consultation (</w:t>
      </w:r>
      <w:r>
        <w:rPr>
          <w:noProof/>
          <w:szCs w:val="26"/>
        </w:rPr>
        <w:t xml:space="preserve">as per </w:t>
      </w:r>
      <w:r w:rsidRPr="00457181">
        <w:rPr>
          <w:noProof/>
          <w:szCs w:val="26"/>
        </w:rPr>
        <w:t>s</w:t>
      </w:r>
      <w:r>
        <w:rPr>
          <w:noProof/>
          <w:szCs w:val="26"/>
        </w:rPr>
        <w:t>ection </w:t>
      </w:r>
      <w:r w:rsidRPr="00457181">
        <w:rPr>
          <w:noProof/>
          <w:szCs w:val="26"/>
        </w:rPr>
        <w:t xml:space="preserve">18(2)(a) of the </w:t>
      </w:r>
      <w:r w:rsidRPr="00BB5E50">
        <w:rPr>
          <w:i/>
          <w:noProof/>
          <w:szCs w:val="26"/>
        </w:rPr>
        <w:t>Legislative Instruments Act 2003</w:t>
      </w:r>
      <w:r w:rsidRPr="00457181">
        <w:rPr>
          <w:noProof/>
          <w:szCs w:val="26"/>
        </w:rPr>
        <w:t>)</w:t>
      </w:r>
      <w:r>
        <w:rPr>
          <w:noProof/>
          <w:szCs w:val="26"/>
        </w:rPr>
        <w:t xml:space="preserve">, </w:t>
      </w:r>
      <w:r w:rsidRPr="00457181">
        <w:rPr>
          <w:noProof/>
          <w:szCs w:val="26"/>
        </w:rPr>
        <w:t xml:space="preserve">the ES </w:t>
      </w:r>
      <w:r>
        <w:rPr>
          <w:noProof/>
          <w:szCs w:val="26"/>
        </w:rPr>
        <w:t xml:space="preserve">elsewhere </w:t>
      </w:r>
      <w:r w:rsidRPr="00457181">
        <w:rPr>
          <w:noProof/>
          <w:szCs w:val="26"/>
        </w:rPr>
        <w:t>sta</w:t>
      </w:r>
      <w:r>
        <w:rPr>
          <w:noProof/>
          <w:szCs w:val="26"/>
        </w:rPr>
        <w:t xml:space="preserve">tes that </w:t>
      </w:r>
      <w:r>
        <w:rPr>
          <w:noProof/>
          <w:szCs w:val="26"/>
        </w:rPr>
        <w:lastRenderedPageBreak/>
        <w:t>the amendments impose '</w:t>
      </w:r>
      <w:r w:rsidRPr="00457181">
        <w:rPr>
          <w:noProof/>
          <w:szCs w:val="26"/>
        </w:rPr>
        <w:t>more stringent requirements</w:t>
      </w:r>
      <w:r>
        <w:rPr>
          <w:noProof/>
          <w:szCs w:val="26"/>
        </w:rPr>
        <w:t>'</w:t>
      </w:r>
      <w:r w:rsidRPr="00457181">
        <w:rPr>
          <w:noProof/>
          <w:szCs w:val="26"/>
        </w:rPr>
        <w:t xml:space="preserve"> regarding the payment of a drawback for tobacco and tobacco products. For example, the time period within which a person may make a claim for drawback i</w:t>
      </w:r>
      <w:r>
        <w:rPr>
          <w:noProof/>
          <w:szCs w:val="26"/>
        </w:rPr>
        <w:t>s reduced from four years to 12 </w:t>
      </w:r>
      <w:r w:rsidRPr="00457181">
        <w:rPr>
          <w:noProof/>
          <w:szCs w:val="26"/>
        </w:rPr>
        <w:t>months.</w:t>
      </w:r>
      <w:r>
        <w:rPr>
          <w:noProof/>
          <w:szCs w:val="26"/>
        </w:rPr>
        <w:t xml:space="preserve"> In the committee's view, it is </w:t>
      </w:r>
      <w:r w:rsidRPr="00457181">
        <w:rPr>
          <w:noProof/>
          <w:szCs w:val="26"/>
        </w:rPr>
        <w:t xml:space="preserve">not clear how the imposition of more stringent requirements such as this can be described as </w:t>
      </w:r>
      <w:r>
        <w:rPr>
          <w:noProof/>
          <w:szCs w:val="26"/>
        </w:rPr>
        <w:t>'</w:t>
      </w:r>
      <w:r w:rsidRPr="00457181">
        <w:rPr>
          <w:noProof/>
          <w:szCs w:val="26"/>
        </w:rPr>
        <w:t>minor or machinery</w:t>
      </w:r>
      <w:r>
        <w:rPr>
          <w:noProof/>
          <w:szCs w:val="26"/>
        </w:rPr>
        <w:t xml:space="preserve">', and it follows that there is a question as to whether </w:t>
      </w:r>
      <w:r w:rsidRPr="00457181">
        <w:rPr>
          <w:noProof/>
          <w:szCs w:val="26"/>
        </w:rPr>
        <w:t xml:space="preserve">consultation </w:t>
      </w:r>
      <w:r>
        <w:rPr>
          <w:noProof/>
          <w:szCs w:val="26"/>
        </w:rPr>
        <w:t xml:space="preserve">would have been appropriate in relation to </w:t>
      </w:r>
      <w:r w:rsidRPr="00457181">
        <w:rPr>
          <w:noProof/>
          <w:szCs w:val="26"/>
        </w:rPr>
        <w:t>these amendments</w:t>
      </w:r>
      <w:r>
        <w:rPr>
          <w:noProof/>
          <w:szCs w:val="26"/>
        </w:rPr>
        <w:t xml:space="preserve"> </w:t>
      </w:r>
      <w:r>
        <w:rPr>
          <w:b/>
          <w:noProof/>
          <w:szCs w:val="26"/>
        </w:rPr>
        <w:t>[the committee sought further information from the Attorney-General]</w:t>
      </w:r>
      <w:r w:rsidRPr="00457181">
        <w:rPr>
          <w:noProof/>
          <w:szCs w:val="26"/>
        </w:rPr>
        <w:t>.</w:t>
      </w:r>
    </w:p>
    <w:p w:rsidR="00D05709" w:rsidRPr="00D7776C" w:rsidRDefault="00D05709" w:rsidP="00457DCF">
      <w:pPr>
        <w:spacing w:after="120"/>
        <w:rPr>
          <w:b/>
          <w:noProof/>
          <w:szCs w:val="26"/>
        </w:rPr>
      </w:pPr>
      <w:r>
        <w:rPr>
          <w:b/>
          <w:noProof/>
          <w:szCs w:val="26"/>
        </w:rPr>
        <w:t xml:space="preserve">MINISTER'S </w:t>
      </w:r>
      <w:r w:rsidRPr="00D7776C">
        <w:rPr>
          <w:b/>
          <w:noProof/>
          <w:szCs w:val="26"/>
        </w:rPr>
        <w:t>RESPONSE:</w:t>
      </w:r>
    </w:p>
    <w:p w:rsidR="00D05709" w:rsidRPr="00D7776C" w:rsidRDefault="00D05709" w:rsidP="00457DCF">
      <w:pPr>
        <w:spacing w:after="120"/>
        <w:rPr>
          <w:noProof/>
          <w:szCs w:val="26"/>
        </w:rPr>
      </w:pPr>
      <w:r w:rsidRPr="008C66BA">
        <w:rPr>
          <w:noProof/>
          <w:szCs w:val="26"/>
        </w:rPr>
        <w:t xml:space="preserve">The </w:t>
      </w:r>
      <w:r>
        <w:rPr>
          <w:noProof/>
          <w:szCs w:val="26"/>
        </w:rPr>
        <w:t xml:space="preserve">Minister for Home Affairs responded, and </w:t>
      </w:r>
      <w:r w:rsidRPr="008C66BA">
        <w:rPr>
          <w:noProof/>
          <w:szCs w:val="26"/>
        </w:rPr>
        <w:t>advise</w:t>
      </w:r>
      <w:r>
        <w:rPr>
          <w:noProof/>
          <w:szCs w:val="26"/>
        </w:rPr>
        <w:t>d</w:t>
      </w:r>
      <w:r w:rsidRPr="008C66BA">
        <w:rPr>
          <w:noProof/>
          <w:szCs w:val="26"/>
        </w:rPr>
        <w:t xml:space="preserve"> that the impact of the reduced time period in which a person may claim for drawback was considered to be minor and would have affected less than </w:t>
      </w:r>
      <w:r>
        <w:rPr>
          <w:noProof/>
          <w:szCs w:val="26"/>
        </w:rPr>
        <w:t xml:space="preserve">only </w:t>
      </w:r>
      <w:r w:rsidRPr="008C66BA">
        <w:rPr>
          <w:noProof/>
          <w:szCs w:val="26"/>
        </w:rPr>
        <w:t xml:space="preserve">0.5 per cent of all claims made since October 2005. The minister </w:t>
      </w:r>
      <w:r>
        <w:rPr>
          <w:noProof/>
          <w:szCs w:val="26"/>
        </w:rPr>
        <w:t xml:space="preserve">further </w:t>
      </w:r>
      <w:r w:rsidRPr="008C66BA">
        <w:rPr>
          <w:noProof/>
          <w:szCs w:val="26"/>
        </w:rPr>
        <w:t>note</w:t>
      </w:r>
      <w:r>
        <w:rPr>
          <w:noProof/>
          <w:szCs w:val="26"/>
        </w:rPr>
        <w:t>d</w:t>
      </w:r>
      <w:r w:rsidRPr="008C66BA">
        <w:rPr>
          <w:noProof/>
          <w:szCs w:val="26"/>
        </w:rPr>
        <w:t xml:space="preserve"> that industry </w:t>
      </w:r>
      <w:r>
        <w:rPr>
          <w:noProof/>
          <w:szCs w:val="26"/>
        </w:rPr>
        <w:t xml:space="preserve">had been </w:t>
      </w:r>
      <w:r w:rsidRPr="008C66BA">
        <w:rPr>
          <w:noProof/>
          <w:szCs w:val="26"/>
        </w:rPr>
        <w:t>consulted and supported the proposed changes to the drawback and refund provisions.</w:t>
      </w:r>
    </w:p>
    <w:p w:rsidR="00D05709" w:rsidRPr="00D7776C" w:rsidRDefault="00D05709" w:rsidP="00457DCF">
      <w:pPr>
        <w:spacing w:after="120"/>
        <w:rPr>
          <w:b/>
          <w:noProof/>
          <w:szCs w:val="26"/>
        </w:rPr>
      </w:pPr>
      <w:r w:rsidRPr="00D7776C">
        <w:rPr>
          <w:b/>
          <w:noProof/>
          <w:szCs w:val="26"/>
        </w:rPr>
        <w:t>COMMITTEE RESPONSE:</w:t>
      </w:r>
    </w:p>
    <w:p w:rsidR="00D05709" w:rsidRPr="008C66BA" w:rsidRDefault="00D05709" w:rsidP="00457DCF">
      <w:pPr>
        <w:spacing w:after="120"/>
        <w:rPr>
          <w:b/>
          <w:noProof/>
          <w:szCs w:val="26"/>
        </w:rPr>
      </w:pPr>
      <w:r w:rsidRPr="008C66BA">
        <w:rPr>
          <w:b/>
          <w:noProof/>
          <w:szCs w:val="26"/>
        </w:rPr>
        <w:t xml:space="preserve">The committee thanks the </w:t>
      </w:r>
      <w:r>
        <w:rPr>
          <w:b/>
          <w:noProof/>
          <w:szCs w:val="26"/>
        </w:rPr>
        <w:t xml:space="preserve">minister </w:t>
      </w:r>
      <w:r w:rsidRPr="008C66BA">
        <w:rPr>
          <w:b/>
          <w:noProof/>
          <w:szCs w:val="26"/>
        </w:rPr>
        <w:t xml:space="preserve">for </w:t>
      </w:r>
      <w:r>
        <w:rPr>
          <w:b/>
          <w:noProof/>
          <w:szCs w:val="26"/>
        </w:rPr>
        <w:t xml:space="preserve">his </w:t>
      </w:r>
      <w:r w:rsidRPr="008C66BA">
        <w:rPr>
          <w:b/>
          <w:noProof/>
          <w:szCs w:val="26"/>
        </w:rPr>
        <w:t>response and has concluded its interest in the matter.</w:t>
      </w:r>
    </w:p>
    <w:p w:rsidR="00D05709" w:rsidRPr="00B54538" w:rsidRDefault="00D05709" w:rsidP="00D05709">
      <w:pPr>
        <w:pStyle w:val="Heading3"/>
        <w:spacing w:before="600"/>
      </w:pPr>
      <w:r w:rsidRPr="00457181">
        <w:rPr>
          <w:noProof/>
        </w:rPr>
        <w:t>Financial Management and Accountability Amendment Regulation 2012 (No. 8) [Select Legislative Instrument 2012 No. 248]</w:t>
      </w:r>
      <w:r>
        <w:rPr>
          <w:noProof/>
        </w:rPr>
        <w:t xml:space="preserve"> [</w:t>
      </w:r>
      <w:r w:rsidRPr="007F20F2">
        <w:rPr>
          <w:noProof/>
        </w:rPr>
        <w:t>F2012L02091</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Adds one new Government program to Part 4 of Schedule 1AA to the principal regulations, and amends </w:t>
            </w:r>
            <w:r>
              <w:rPr>
                <w:rFonts w:ascii="Times New Roman" w:hAnsi="Times New Roman"/>
                <w:noProof/>
                <w:sz w:val="24"/>
                <w:szCs w:val="24"/>
              </w:rPr>
              <w:t>an existing program description</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27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Financial Management and Accountability Act 1997</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Finance and Deregulation</w:t>
            </w:r>
          </w:p>
        </w:tc>
      </w:tr>
    </w:tbl>
    <w:p w:rsidR="00D05709" w:rsidRDefault="00D05709" w:rsidP="00D05709">
      <w:pPr>
        <w:spacing w:after="0"/>
        <w:rPr>
          <w:b/>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457181">
        <w:rPr>
          <w:noProof/>
        </w:rPr>
        <w:t>Lack of information regarding administration of program</w:t>
      </w:r>
    </w:p>
    <w:p w:rsidR="00D05709" w:rsidRDefault="00D05709" w:rsidP="00457DCF">
      <w:pPr>
        <w:pStyle w:val="Level1"/>
        <w:numPr>
          <w:ilvl w:val="0"/>
          <w:numId w:val="0"/>
        </w:numPr>
        <w:rPr>
          <w:b/>
          <w:noProof/>
          <w:szCs w:val="26"/>
        </w:rPr>
      </w:pPr>
      <w:r w:rsidRPr="00457181">
        <w:rPr>
          <w:noProof/>
        </w:rPr>
        <w:t xml:space="preserve">The amendment relies on section 32B of the </w:t>
      </w:r>
      <w:r w:rsidRPr="00137F46">
        <w:rPr>
          <w:i/>
          <w:noProof/>
        </w:rPr>
        <w:t>Financial Management and Accountability Act 1997</w:t>
      </w:r>
      <w:r>
        <w:rPr>
          <w:noProof/>
        </w:rPr>
        <w:t xml:space="preserve">, which </w:t>
      </w:r>
      <w:r w:rsidRPr="00457181">
        <w:rPr>
          <w:noProof/>
        </w:rPr>
        <w:t>provide</w:t>
      </w:r>
      <w:r>
        <w:rPr>
          <w:noProof/>
        </w:rPr>
        <w:t>s</w:t>
      </w:r>
      <w:r w:rsidRPr="00457181">
        <w:rPr>
          <w:noProof/>
        </w:rPr>
        <w:t xml:space="preserve"> </w:t>
      </w:r>
      <w:r>
        <w:rPr>
          <w:noProof/>
        </w:rPr>
        <w:t xml:space="preserve">legislative </w:t>
      </w:r>
      <w:r w:rsidRPr="00457181">
        <w:rPr>
          <w:noProof/>
        </w:rPr>
        <w:t xml:space="preserve">authority for the Government to spend </w:t>
      </w:r>
      <w:r>
        <w:rPr>
          <w:noProof/>
        </w:rPr>
        <w:t xml:space="preserve">monies </w:t>
      </w:r>
      <w:r w:rsidRPr="00457181">
        <w:rPr>
          <w:noProof/>
        </w:rPr>
        <w:t>on programs listed in Schedule 1AA</w:t>
      </w:r>
      <w:r>
        <w:rPr>
          <w:noProof/>
        </w:rPr>
        <w:t xml:space="preserve"> to </w:t>
      </w:r>
      <w:r w:rsidRPr="0088320D">
        <w:rPr>
          <w:noProof/>
        </w:rPr>
        <w:t>Financial Management and Accountability Regulations 1997</w:t>
      </w:r>
      <w:r w:rsidRPr="00457181">
        <w:rPr>
          <w:noProof/>
        </w:rPr>
        <w:t xml:space="preserve">. Section 32B was introduced in response to the decision of the High Court in </w:t>
      </w:r>
      <w:r w:rsidRPr="00137F46">
        <w:rPr>
          <w:i/>
          <w:noProof/>
        </w:rPr>
        <w:t>Williams v Commonwealth</w:t>
      </w:r>
      <w:r w:rsidRPr="00137F46">
        <w:rPr>
          <w:noProof/>
        </w:rPr>
        <w:t xml:space="preserve"> (</w:t>
      </w:r>
      <w:r>
        <w:rPr>
          <w:noProof/>
        </w:rPr>
        <w:t>[2012] HCA </w:t>
      </w:r>
      <w:r w:rsidRPr="00137F46">
        <w:rPr>
          <w:noProof/>
        </w:rPr>
        <w:t>23</w:t>
      </w:r>
      <w:r>
        <w:rPr>
          <w:noProof/>
        </w:rPr>
        <w:t>) in June 2012</w:t>
      </w:r>
      <w:r w:rsidRPr="00457181">
        <w:rPr>
          <w:noProof/>
        </w:rPr>
        <w:t>.</w:t>
      </w:r>
      <w:r>
        <w:rPr>
          <w:noProof/>
        </w:rPr>
        <w:t xml:space="preserve"> </w:t>
      </w:r>
      <w:r w:rsidRPr="00457181">
        <w:rPr>
          <w:noProof/>
        </w:rPr>
        <w:t>The program</w:t>
      </w:r>
      <w:r w:rsidRPr="00237F60">
        <w:rPr>
          <w:noProof/>
          <w:szCs w:val="26"/>
        </w:rPr>
        <w:t xml:space="preserve"> </w:t>
      </w:r>
      <w:r w:rsidRPr="00457181">
        <w:rPr>
          <w:noProof/>
          <w:szCs w:val="26"/>
        </w:rPr>
        <w:t>that is amended by this amendment regulation involves a number of payment arrangements f</w:t>
      </w:r>
      <w:r>
        <w:rPr>
          <w:noProof/>
          <w:szCs w:val="26"/>
        </w:rPr>
        <w:t>or the Mature-Age Participation</w:t>
      </w:r>
      <w:r w:rsidRPr="00457181">
        <w:rPr>
          <w:noProof/>
          <w:szCs w:val="26"/>
        </w:rPr>
        <w:t>–Assistance Program</w:t>
      </w:r>
      <w:r>
        <w:rPr>
          <w:noProof/>
          <w:szCs w:val="26"/>
        </w:rPr>
        <w:t>.</w:t>
      </w:r>
      <w:r w:rsidRPr="00457181">
        <w:rPr>
          <w:noProof/>
        </w:rPr>
        <w:t xml:space="preserve"> </w:t>
      </w:r>
      <w:r>
        <w:rPr>
          <w:noProof/>
        </w:rPr>
        <w:t>However, n</w:t>
      </w:r>
      <w:r w:rsidRPr="00457181">
        <w:rPr>
          <w:noProof/>
        </w:rPr>
        <w:t>o further information is supplied about th</w:t>
      </w:r>
      <w:r>
        <w:rPr>
          <w:noProof/>
        </w:rPr>
        <w:t xml:space="preserve">e nature of the </w:t>
      </w:r>
      <w:r w:rsidRPr="00457181">
        <w:rPr>
          <w:noProof/>
        </w:rPr>
        <w:t>program</w:t>
      </w:r>
      <w:r>
        <w:rPr>
          <w:noProof/>
        </w:rPr>
        <w:t xml:space="preserve">, such as </w:t>
      </w:r>
      <w:r w:rsidRPr="00457181">
        <w:rPr>
          <w:noProof/>
        </w:rPr>
        <w:t xml:space="preserve">how decisions are </w:t>
      </w:r>
      <w:r>
        <w:rPr>
          <w:noProof/>
        </w:rPr>
        <w:t xml:space="preserve">to be </w:t>
      </w:r>
      <w:r w:rsidRPr="00457181">
        <w:rPr>
          <w:noProof/>
        </w:rPr>
        <w:t xml:space="preserve">made </w:t>
      </w:r>
      <w:r w:rsidRPr="00457181">
        <w:rPr>
          <w:noProof/>
          <w:szCs w:val="26"/>
        </w:rPr>
        <w:t>made about the provision of financial assistance under the various sub-programs</w:t>
      </w:r>
      <w:r w:rsidRPr="00457181">
        <w:rPr>
          <w:noProof/>
        </w:rPr>
        <w:t xml:space="preserve">, the criteria for </w:t>
      </w:r>
      <w:r>
        <w:rPr>
          <w:noProof/>
        </w:rPr>
        <w:t xml:space="preserve">decisions regarding </w:t>
      </w:r>
      <w:r w:rsidRPr="00457181">
        <w:rPr>
          <w:noProof/>
        </w:rPr>
        <w:t>the provision of assistance</w:t>
      </w:r>
      <w:r>
        <w:rPr>
          <w:noProof/>
        </w:rPr>
        <w:t xml:space="preserve"> and</w:t>
      </w:r>
      <w:r w:rsidRPr="00457181">
        <w:rPr>
          <w:noProof/>
        </w:rPr>
        <w:t xml:space="preserve"> whether independent review is available in respect of those decisions </w:t>
      </w:r>
      <w:r>
        <w:rPr>
          <w:b/>
          <w:noProof/>
        </w:rPr>
        <w:t>[t</w:t>
      </w:r>
      <w:r w:rsidRPr="00A53114">
        <w:rPr>
          <w:b/>
          <w:noProof/>
        </w:rPr>
        <w:t xml:space="preserve">he committee </w:t>
      </w:r>
      <w:r>
        <w:rPr>
          <w:b/>
          <w:noProof/>
        </w:rPr>
        <w:t xml:space="preserve">sought </w:t>
      </w:r>
      <w:r w:rsidRPr="00A53114">
        <w:rPr>
          <w:b/>
          <w:noProof/>
        </w:rPr>
        <w:t>further information from the minister</w:t>
      </w:r>
      <w:r>
        <w:rPr>
          <w:b/>
          <w:noProof/>
        </w:rPr>
        <w:t>]</w:t>
      </w:r>
      <w:r>
        <w:rPr>
          <w:noProof/>
        </w:rPr>
        <w:t>.</w:t>
      </w:r>
      <w:r>
        <w:rPr>
          <w:b/>
          <w:noProof/>
          <w:szCs w:val="26"/>
        </w:rPr>
        <w:br w:type="page"/>
      </w:r>
    </w:p>
    <w:p w:rsidR="00D05709" w:rsidRPr="00D7776C" w:rsidRDefault="00D05709" w:rsidP="00457DCF">
      <w:pPr>
        <w:spacing w:after="120"/>
        <w:rPr>
          <w:b/>
          <w:noProof/>
          <w:szCs w:val="26"/>
        </w:rPr>
      </w:pPr>
      <w:r w:rsidRPr="00D7776C">
        <w:rPr>
          <w:b/>
          <w:noProof/>
          <w:szCs w:val="26"/>
        </w:rPr>
        <w:lastRenderedPageBreak/>
        <w:t>MINISTER'S RESPONSE:</w:t>
      </w:r>
    </w:p>
    <w:p w:rsidR="00D05709" w:rsidRDefault="00D05709" w:rsidP="00D05709">
      <w:pPr>
        <w:rPr>
          <w:noProof/>
          <w:szCs w:val="26"/>
        </w:rPr>
      </w:pPr>
      <w:r w:rsidRPr="008C66BA">
        <w:rPr>
          <w:noProof/>
          <w:szCs w:val="26"/>
        </w:rPr>
        <w:t>The minister advise</w:t>
      </w:r>
      <w:r>
        <w:rPr>
          <w:noProof/>
          <w:szCs w:val="26"/>
        </w:rPr>
        <w:t>d</w:t>
      </w:r>
      <w:r w:rsidRPr="008C66BA">
        <w:rPr>
          <w:noProof/>
          <w:szCs w:val="26"/>
        </w:rPr>
        <w:t xml:space="preserve"> that </w:t>
      </w:r>
      <w:r>
        <w:rPr>
          <w:noProof/>
          <w:szCs w:val="26"/>
        </w:rPr>
        <w:t>the instrument effectively broadened the description of the Mature-Age Participation</w:t>
      </w:r>
      <w:r w:rsidRPr="00457181">
        <w:rPr>
          <w:noProof/>
          <w:szCs w:val="26"/>
        </w:rPr>
        <w:t>–Assistance Program</w:t>
      </w:r>
      <w:r>
        <w:rPr>
          <w:noProof/>
          <w:szCs w:val="26"/>
        </w:rPr>
        <w:t xml:space="preserve"> to ensure that the description adequately covered the range of subprograms under the program. The subprograms were Experience+Jobs Bonus, Corporate Champions, Mature Age Participation—Job Seeker Assistance Program and Mature Age Communications Strategy, and each of these had a specific allocation and guidelines or processes (such as tender) to guide the allocation of assistance (described in detail in the minister's letter).</w:t>
      </w:r>
    </w:p>
    <w:p w:rsidR="00D05709" w:rsidRPr="00092E25" w:rsidRDefault="00D05709" w:rsidP="00457DCF">
      <w:pPr>
        <w:spacing w:after="120"/>
        <w:rPr>
          <w:noProof/>
          <w:szCs w:val="26"/>
        </w:rPr>
      </w:pPr>
      <w:r>
        <w:rPr>
          <w:noProof/>
          <w:szCs w:val="26"/>
        </w:rPr>
        <w:t xml:space="preserve">In relation to the availability of independent merits review of decisions to provide assistance under the program or subprograms, the minister advised that such decisions involved the allocation of finite resources and were therefore not suitable for merits review (such as by the AAT). Decisions under items listed in Schedule 1AA of the </w:t>
      </w:r>
      <w:r w:rsidRPr="0088320D">
        <w:rPr>
          <w:noProof/>
        </w:rPr>
        <w:t>Financial Management and Accountability Regulations 1997</w:t>
      </w:r>
      <w:r>
        <w:rPr>
          <w:noProof/>
        </w:rPr>
        <w:t xml:space="preserve"> had been specifically excluded from judicial review under the </w:t>
      </w:r>
      <w:r>
        <w:rPr>
          <w:i/>
          <w:noProof/>
        </w:rPr>
        <w:t>Adminstrative Decisions (Judicial Review) Act 1997</w:t>
      </w:r>
      <w:r>
        <w:rPr>
          <w:noProof/>
        </w:rPr>
        <w:t xml:space="preserve"> (ADJR Act). However, review may be available under section 39B of the </w:t>
      </w:r>
      <w:r w:rsidRPr="00092E25">
        <w:rPr>
          <w:i/>
          <w:noProof/>
        </w:rPr>
        <w:t>Judiciary Act 1903</w:t>
      </w:r>
      <w:r>
        <w:rPr>
          <w:noProof/>
        </w:rPr>
        <w:t xml:space="preserve"> and section 75(v) of the Constitution, in addition to recourse to the Ombudsman.</w:t>
      </w:r>
    </w:p>
    <w:p w:rsidR="00D05709" w:rsidRPr="00457DCF" w:rsidRDefault="00D05709" w:rsidP="00457DCF">
      <w:pPr>
        <w:spacing w:after="120"/>
        <w:rPr>
          <w:b/>
          <w:noProof/>
          <w:szCs w:val="26"/>
        </w:rPr>
      </w:pPr>
      <w:r w:rsidRPr="00457DCF">
        <w:rPr>
          <w:b/>
          <w:noProof/>
          <w:szCs w:val="26"/>
        </w:rPr>
        <w:t>COMMITTEE RESPONSE:</w:t>
      </w:r>
    </w:p>
    <w:p w:rsidR="00D05709" w:rsidRDefault="00D05709" w:rsidP="00D05709">
      <w:pPr>
        <w:rPr>
          <w:b/>
          <w:noProof/>
          <w:szCs w:val="26"/>
        </w:rPr>
      </w:pPr>
      <w:r w:rsidRPr="000C3BAE">
        <w:rPr>
          <w:b/>
          <w:noProof/>
          <w:szCs w:val="26"/>
        </w:rPr>
        <w:t xml:space="preserve">The committee thanks </w:t>
      </w:r>
      <w:r>
        <w:rPr>
          <w:b/>
          <w:noProof/>
          <w:szCs w:val="26"/>
        </w:rPr>
        <w:t>the minister for her response and has concluded its interest in the matter</w:t>
      </w:r>
      <w:r>
        <w:rPr>
          <w:noProof/>
          <w:szCs w:val="26"/>
        </w:rPr>
        <w:t xml:space="preserve">. </w:t>
      </w:r>
      <w:r w:rsidRPr="005174FE">
        <w:rPr>
          <w:b/>
          <w:noProof/>
          <w:szCs w:val="26"/>
        </w:rPr>
        <w:t>However,</w:t>
      </w:r>
      <w:r>
        <w:rPr>
          <w:noProof/>
          <w:szCs w:val="26"/>
        </w:rPr>
        <w:t xml:space="preserve"> </w:t>
      </w:r>
      <w:r w:rsidRPr="005174FE">
        <w:rPr>
          <w:b/>
          <w:noProof/>
          <w:szCs w:val="26"/>
        </w:rPr>
        <w:t>the</w:t>
      </w:r>
      <w:r>
        <w:rPr>
          <w:noProof/>
          <w:szCs w:val="26"/>
        </w:rPr>
        <w:t xml:space="preserve"> </w:t>
      </w:r>
      <w:r>
        <w:rPr>
          <w:b/>
          <w:noProof/>
          <w:szCs w:val="26"/>
        </w:rPr>
        <w:t xml:space="preserve">committee notes the concerns of the Senate Scrutiny of Bills Committee regarding the justification for excluding from the ADJR Act decisions under items listed in Schedule 1AA to the </w:t>
      </w:r>
      <w:r w:rsidRPr="005174FE">
        <w:rPr>
          <w:b/>
          <w:noProof/>
          <w:szCs w:val="26"/>
        </w:rPr>
        <w:t>Financial Management and Accountability Regulations 1997</w:t>
      </w:r>
      <w:r>
        <w:rPr>
          <w:b/>
          <w:noProof/>
          <w:szCs w:val="26"/>
        </w:rPr>
        <w:t>, and draws the attention of senators to the comments of that committee on the Financial Framework Legislation Amendment Bill 2012 in its Eleventh Report of 2012 (19 September 2012).</w:t>
      </w:r>
    </w:p>
    <w:p w:rsidR="00D05709" w:rsidRPr="00B54538" w:rsidRDefault="00D05709" w:rsidP="00D05709">
      <w:pPr>
        <w:pStyle w:val="Heading3"/>
        <w:spacing w:before="600"/>
      </w:pPr>
      <w:r w:rsidRPr="00457181">
        <w:rPr>
          <w:noProof/>
        </w:rPr>
        <w:t xml:space="preserve">Migration Amendment Regulation 2012 (No. 5) [Select Legislative Instrument 2012 No. 230] </w:t>
      </w:r>
      <w:r>
        <w:rPr>
          <w:noProof/>
        </w:rPr>
        <w:t>[</w:t>
      </w:r>
      <w:r w:rsidRPr="007F20F2">
        <w:rPr>
          <w:noProof/>
        </w:rPr>
        <w:t>F2012L01961</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 xml:space="preserve">Amends the principal regulations to define the term </w:t>
            </w:r>
            <w:r>
              <w:rPr>
                <w:rFonts w:ascii="Times New Roman" w:hAnsi="Times New Roman"/>
                <w:noProof/>
                <w:sz w:val="24"/>
                <w:szCs w:val="24"/>
              </w:rPr>
              <w:t>'</w:t>
            </w:r>
            <w:r w:rsidRPr="00457181">
              <w:rPr>
                <w:rFonts w:ascii="Times New Roman" w:hAnsi="Times New Roman"/>
                <w:noProof/>
                <w:sz w:val="24"/>
                <w:szCs w:val="24"/>
              </w:rPr>
              <w:t>irregular maritime arrival</w:t>
            </w:r>
            <w:r>
              <w:rPr>
                <w:rFonts w:ascii="Times New Roman" w:hAnsi="Times New Roman"/>
                <w:noProof/>
                <w:sz w:val="24"/>
                <w:szCs w:val="24"/>
              </w:rPr>
              <w:t>'</w:t>
            </w:r>
            <w:r w:rsidRPr="00457181">
              <w:rPr>
                <w:rFonts w:ascii="Times New Roman" w:hAnsi="Times New Roman"/>
                <w:noProof/>
                <w:sz w:val="24"/>
                <w:szCs w:val="24"/>
              </w:rPr>
              <w:t xml:space="preserve"> and to provide for consequential matters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5 February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BB5E50" w:rsidRDefault="00D05709" w:rsidP="00D05709">
            <w:pPr>
              <w:pStyle w:val="letterheadbody"/>
              <w:spacing w:line="264" w:lineRule="auto"/>
              <w:ind w:left="0"/>
              <w:rPr>
                <w:rFonts w:ascii="Times New Roman" w:hAnsi="Times New Roman"/>
                <w:i/>
                <w:sz w:val="24"/>
                <w:szCs w:val="24"/>
              </w:rPr>
            </w:pPr>
            <w:r w:rsidRPr="00BB5E50">
              <w:rPr>
                <w:rFonts w:ascii="Times New Roman" w:hAnsi="Times New Roman"/>
                <w:i/>
                <w:noProof/>
                <w:sz w:val="24"/>
                <w:szCs w:val="24"/>
              </w:rPr>
              <w:t>Migration Act 1958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Immigration and Citizenship</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492C31" w:rsidRDefault="00D05709" w:rsidP="00D05709">
      <w:pPr>
        <w:pStyle w:val="Heading4"/>
        <w:numPr>
          <w:ilvl w:val="3"/>
          <w:numId w:val="21"/>
        </w:numPr>
        <w:spacing w:before="120" w:after="120"/>
        <w:rPr>
          <w:noProof/>
        </w:rPr>
      </w:pPr>
      <w:r w:rsidRPr="00492C31">
        <w:rPr>
          <w:noProof/>
        </w:rPr>
        <w:t>Insufficient information regarding consultation</w:t>
      </w:r>
    </w:p>
    <w:p w:rsidR="00D05709" w:rsidRDefault="00D05709" w:rsidP="00457DCF">
      <w:pPr>
        <w:spacing w:after="120"/>
        <w:rPr>
          <w:noProof/>
          <w:szCs w:val="26"/>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w:t>
      </w:r>
      <w:r w:rsidRPr="00AE3138">
        <w:rPr>
          <w:noProof/>
          <w:szCs w:val="26"/>
        </w:rPr>
        <w:lastRenderedPageBreak/>
        <w:t>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With reference to these requirements, </w:t>
      </w:r>
      <w:r>
        <w:rPr>
          <w:noProof/>
        </w:rPr>
        <w:t>the committee notes that</w:t>
      </w:r>
      <w:r w:rsidRPr="00492C31">
        <w:rPr>
          <w:noProof/>
          <w:szCs w:val="26"/>
        </w:rPr>
        <w:t xml:space="preserve"> </w:t>
      </w:r>
      <w:r>
        <w:rPr>
          <w:noProof/>
          <w:szCs w:val="26"/>
        </w:rPr>
        <w:t xml:space="preserve">the </w:t>
      </w:r>
      <w:r w:rsidRPr="00492C31">
        <w:rPr>
          <w:noProof/>
          <w:szCs w:val="26"/>
        </w:rPr>
        <w:t xml:space="preserve">ES </w:t>
      </w:r>
      <w:r>
        <w:rPr>
          <w:noProof/>
          <w:szCs w:val="26"/>
        </w:rPr>
        <w:t>for the instrument states that it wa</w:t>
      </w:r>
      <w:r w:rsidRPr="00457181">
        <w:rPr>
          <w:noProof/>
          <w:szCs w:val="26"/>
        </w:rPr>
        <w:t>s made in response to the Report of the Expert Panel on Asylum Seekers</w:t>
      </w:r>
      <w:r>
        <w:rPr>
          <w:noProof/>
          <w:szCs w:val="26"/>
        </w:rPr>
        <w:t xml:space="preserve"> and,</w:t>
      </w:r>
      <w:r w:rsidRPr="00457181">
        <w:rPr>
          <w:noProof/>
          <w:szCs w:val="26"/>
        </w:rPr>
        <w:t xml:space="preserve"> due </w:t>
      </w:r>
      <w:r>
        <w:rPr>
          <w:noProof/>
          <w:szCs w:val="26"/>
        </w:rPr>
        <w:t xml:space="preserve">to </w:t>
      </w:r>
      <w:r w:rsidRPr="00457181">
        <w:rPr>
          <w:noProof/>
          <w:szCs w:val="26"/>
        </w:rPr>
        <w:t>the urgency of giving effect to that report</w:t>
      </w:r>
      <w:r>
        <w:rPr>
          <w:noProof/>
          <w:szCs w:val="26"/>
        </w:rPr>
        <w:t>'s recommendations</w:t>
      </w:r>
      <w:r w:rsidRPr="00457181">
        <w:rPr>
          <w:noProof/>
          <w:szCs w:val="26"/>
        </w:rPr>
        <w:t xml:space="preserve">, no consultation </w:t>
      </w:r>
      <w:r>
        <w:rPr>
          <w:noProof/>
          <w:szCs w:val="26"/>
        </w:rPr>
        <w:t xml:space="preserve">was undertaken in relation to </w:t>
      </w:r>
      <w:r w:rsidRPr="00457181">
        <w:rPr>
          <w:noProof/>
          <w:szCs w:val="26"/>
        </w:rPr>
        <w:t xml:space="preserve">the instrument </w:t>
      </w:r>
      <w:r>
        <w:rPr>
          <w:noProof/>
          <w:szCs w:val="26"/>
        </w:rPr>
        <w:t>(</w:t>
      </w:r>
      <w:r w:rsidRPr="00457181">
        <w:rPr>
          <w:noProof/>
          <w:szCs w:val="26"/>
        </w:rPr>
        <w:t xml:space="preserve">beyond that </w:t>
      </w:r>
      <w:r>
        <w:rPr>
          <w:noProof/>
          <w:szCs w:val="26"/>
        </w:rPr>
        <w:t xml:space="preserve">undertaken </w:t>
      </w:r>
      <w:r w:rsidRPr="00457181">
        <w:rPr>
          <w:noProof/>
          <w:szCs w:val="26"/>
        </w:rPr>
        <w:t>by the Expert Panel</w:t>
      </w:r>
      <w:r>
        <w:rPr>
          <w:noProof/>
          <w:szCs w:val="26"/>
        </w:rPr>
        <w:t xml:space="preserve">). However, no indication is given as to the reason for the need to give urgent effect to the report's recommendations and, to </w:t>
      </w:r>
      <w:r w:rsidRPr="00457181">
        <w:rPr>
          <w:noProof/>
          <w:szCs w:val="26"/>
        </w:rPr>
        <w:t xml:space="preserve">the extent that </w:t>
      </w:r>
      <w:r>
        <w:rPr>
          <w:noProof/>
          <w:szCs w:val="26"/>
        </w:rPr>
        <w:t xml:space="preserve">the </w:t>
      </w:r>
      <w:r w:rsidRPr="00457181">
        <w:rPr>
          <w:noProof/>
          <w:szCs w:val="26"/>
        </w:rPr>
        <w:t xml:space="preserve">consultation conducted by the </w:t>
      </w:r>
      <w:r>
        <w:rPr>
          <w:noProof/>
          <w:szCs w:val="26"/>
        </w:rPr>
        <w:t>Expert Panel is being relied on,</w:t>
      </w:r>
      <w:r w:rsidRPr="00457181">
        <w:rPr>
          <w:noProof/>
          <w:szCs w:val="26"/>
        </w:rPr>
        <w:t xml:space="preserve"> the nature of that consultation</w:t>
      </w:r>
      <w:r>
        <w:rPr>
          <w:noProof/>
          <w:szCs w:val="26"/>
        </w:rPr>
        <w:t xml:space="preserve"> is not described</w:t>
      </w:r>
      <w:r w:rsidRPr="005174FE">
        <w:rPr>
          <w:b/>
          <w:noProof/>
          <w:szCs w:val="26"/>
        </w:rPr>
        <w:t xml:space="preserve"> [t</w:t>
      </w:r>
      <w:r w:rsidRPr="00137F46">
        <w:rPr>
          <w:b/>
          <w:noProof/>
          <w:szCs w:val="26"/>
        </w:rPr>
        <w:t xml:space="preserve">he committee </w:t>
      </w:r>
      <w:r>
        <w:rPr>
          <w:b/>
          <w:noProof/>
          <w:szCs w:val="26"/>
        </w:rPr>
        <w:t xml:space="preserve">sought </w:t>
      </w:r>
      <w:r w:rsidRPr="00137F46">
        <w:rPr>
          <w:b/>
          <w:noProof/>
          <w:szCs w:val="26"/>
        </w:rPr>
        <w:t>further information from the minister</w:t>
      </w:r>
      <w:r>
        <w:rPr>
          <w:b/>
          <w:noProof/>
          <w:szCs w:val="26"/>
        </w:rPr>
        <w:t>]</w:t>
      </w:r>
      <w:r w:rsidRPr="00137F46">
        <w:rPr>
          <w:b/>
          <w:noProof/>
          <w:szCs w:val="26"/>
        </w:rPr>
        <w:t>.</w:t>
      </w:r>
    </w:p>
    <w:p w:rsidR="00D05709" w:rsidRPr="00D7776C" w:rsidRDefault="00D05709" w:rsidP="00457DCF">
      <w:pPr>
        <w:spacing w:after="120"/>
        <w:rPr>
          <w:b/>
          <w:noProof/>
          <w:szCs w:val="26"/>
        </w:rPr>
      </w:pPr>
      <w:r w:rsidRPr="00D7776C">
        <w:rPr>
          <w:b/>
          <w:noProof/>
          <w:szCs w:val="26"/>
        </w:rPr>
        <w:t>MINISTER'S RESPONSE:</w:t>
      </w:r>
    </w:p>
    <w:p w:rsidR="00D05709" w:rsidRPr="00D7776C" w:rsidRDefault="00D05709" w:rsidP="00457DCF">
      <w:pPr>
        <w:spacing w:after="120"/>
        <w:rPr>
          <w:noProof/>
          <w:szCs w:val="26"/>
        </w:rPr>
      </w:pPr>
      <w:r w:rsidRPr="00257291">
        <w:rPr>
          <w:noProof/>
          <w:szCs w:val="26"/>
        </w:rPr>
        <w:t>The minister advise</w:t>
      </w:r>
      <w:r>
        <w:rPr>
          <w:noProof/>
          <w:szCs w:val="26"/>
        </w:rPr>
        <w:t>d</w:t>
      </w:r>
      <w:r w:rsidRPr="00257291">
        <w:rPr>
          <w:noProof/>
          <w:szCs w:val="26"/>
        </w:rPr>
        <w:t xml:space="preserve"> that the instrument was made following the government's decision on 13 August 2012 to immediately implement certain recommendations of the Expert Panel in order to deter people from attempting dangerous maritime voyages to Australia. In preparing its report, the </w:t>
      </w:r>
      <w:r>
        <w:rPr>
          <w:noProof/>
          <w:szCs w:val="26"/>
        </w:rPr>
        <w:t xml:space="preserve">Expert </w:t>
      </w:r>
      <w:r w:rsidRPr="00257291">
        <w:rPr>
          <w:noProof/>
          <w:szCs w:val="26"/>
        </w:rPr>
        <w:t>Panel held meetings with key stakeholders and representatives with some refugee communities in Australia and called for and received more than 550 written submissions on asylum issues.</w:t>
      </w:r>
    </w:p>
    <w:p w:rsidR="00D05709" w:rsidRPr="00D7776C" w:rsidRDefault="00D05709" w:rsidP="00457DCF">
      <w:pPr>
        <w:spacing w:after="120"/>
        <w:rPr>
          <w:b/>
          <w:noProof/>
          <w:szCs w:val="26"/>
        </w:rPr>
      </w:pPr>
      <w:r w:rsidRPr="00D7776C">
        <w:rPr>
          <w:b/>
          <w:noProof/>
          <w:szCs w:val="26"/>
        </w:rPr>
        <w:t>COMMITTEE RESPONSE:</w:t>
      </w:r>
    </w:p>
    <w:p w:rsidR="00D05709" w:rsidRPr="008C66BA" w:rsidRDefault="00D05709" w:rsidP="00D05709">
      <w:pPr>
        <w:rPr>
          <w:b/>
          <w:noProof/>
          <w:szCs w:val="26"/>
        </w:rPr>
      </w:pPr>
      <w:r w:rsidRPr="008C66BA">
        <w:rPr>
          <w:b/>
          <w:noProof/>
          <w:szCs w:val="26"/>
        </w:rPr>
        <w:t xml:space="preserve">The committee </w:t>
      </w:r>
      <w:r>
        <w:rPr>
          <w:b/>
          <w:noProof/>
          <w:szCs w:val="26"/>
        </w:rPr>
        <w:t>thanks the minister for his</w:t>
      </w:r>
      <w:r w:rsidRPr="008C66BA">
        <w:rPr>
          <w:b/>
          <w:noProof/>
          <w:szCs w:val="26"/>
        </w:rPr>
        <w:t xml:space="preserve"> response and has concluded its interest in the matter.</w:t>
      </w:r>
    </w:p>
    <w:p w:rsidR="00D05709" w:rsidRPr="00B54538" w:rsidRDefault="00D05709" w:rsidP="00D05709">
      <w:pPr>
        <w:pStyle w:val="Heading3"/>
        <w:spacing w:before="600"/>
      </w:pPr>
      <w:r w:rsidRPr="00457181">
        <w:rPr>
          <w:noProof/>
        </w:rPr>
        <w:t>CASA 364/12 - Direction - number of cabin attendants (National Jet Systems)</w:t>
      </w:r>
      <w:r>
        <w:rPr>
          <w:noProof/>
        </w:rPr>
        <w:t xml:space="preserve"> [</w:t>
      </w:r>
      <w:r w:rsidRPr="007F20F2">
        <w:rPr>
          <w:noProof/>
        </w:rPr>
        <w:t>F2012L02169</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Permits a named operator to operate a certain type of aircraft with l</w:t>
            </w:r>
            <w:r>
              <w:rPr>
                <w:rFonts w:ascii="Times New Roman" w:hAnsi="Times New Roman"/>
                <w:noProof/>
                <w:sz w:val="24"/>
                <w:szCs w:val="24"/>
              </w:rPr>
              <w:t>ess than three cabin attendants</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12 March 2013</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Civil Aviation Regulations 1988</w:t>
            </w:r>
          </w:p>
        </w:tc>
      </w:tr>
      <w:tr w:rsidR="00D05709" w:rsidRPr="00B54538" w:rsidTr="00D05709">
        <w:tc>
          <w:tcPr>
            <w:tcW w:w="2552" w:type="dxa"/>
          </w:tcPr>
          <w:p w:rsidR="00D05709" w:rsidRPr="003B6490" w:rsidRDefault="00D05709" w:rsidP="00D0570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D05709" w:rsidRPr="003B6490" w:rsidRDefault="00D05709" w:rsidP="00D05709">
            <w:pPr>
              <w:pStyle w:val="letterheadbody"/>
              <w:spacing w:line="264" w:lineRule="auto"/>
              <w:ind w:left="0"/>
              <w:rPr>
                <w:rFonts w:ascii="Times New Roman" w:hAnsi="Times New Roman"/>
                <w:sz w:val="24"/>
                <w:szCs w:val="24"/>
              </w:rPr>
            </w:pPr>
            <w:r w:rsidRPr="00457181">
              <w:rPr>
                <w:rFonts w:ascii="Times New Roman" w:hAnsi="Times New Roman"/>
                <w:noProof/>
                <w:sz w:val="24"/>
                <w:szCs w:val="24"/>
              </w:rPr>
              <w:t>Infrastructure and Transport</w:t>
            </w:r>
          </w:p>
        </w:tc>
      </w:tr>
    </w:tbl>
    <w:p w:rsidR="00D05709" w:rsidRPr="00B54538" w:rsidRDefault="00D05709" w:rsidP="00D05709">
      <w:pPr>
        <w:spacing w:after="0"/>
        <w:rPr>
          <w:szCs w:val="26"/>
        </w:rPr>
      </w:pPr>
    </w:p>
    <w:p w:rsidR="00D05709" w:rsidRDefault="00D05709" w:rsidP="00D05709">
      <w:pPr>
        <w:spacing w:after="0"/>
        <w:rPr>
          <w:b/>
          <w:szCs w:val="26"/>
        </w:rPr>
      </w:pPr>
      <w:r>
        <w:rPr>
          <w:b/>
          <w:szCs w:val="26"/>
        </w:rPr>
        <w:t>ISSUE:</w:t>
      </w:r>
    </w:p>
    <w:p w:rsidR="00D05709" w:rsidRPr="00B54538" w:rsidRDefault="00D05709" w:rsidP="00D05709">
      <w:pPr>
        <w:pStyle w:val="Heading4"/>
        <w:numPr>
          <w:ilvl w:val="3"/>
          <w:numId w:val="21"/>
        </w:numPr>
        <w:spacing w:before="120" w:after="120"/>
        <w:rPr>
          <w:noProof/>
        </w:rPr>
      </w:pPr>
      <w:r w:rsidRPr="00457181">
        <w:rPr>
          <w:noProof/>
        </w:rPr>
        <w:t>Timetable for making of substantive amendments to orders</w:t>
      </w:r>
    </w:p>
    <w:p w:rsidR="00D05709" w:rsidRPr="004D4041" w:rsidRDefault="00D05709" w:rsidP="00457DCF">
      <w:pPr>
        <w:spacing w:after="120"/>
        <w:rPr>
          <w:noProof/>
          <w:szCs w:val="26"/>
        </w:rPr>
      </w:pPr>
      <w:r w:rsidRPr="00457181">
        <w:rPr>
          <w:noProof/>
          <w:szCs w:val="26"/>
        </w:rPr>
        <w:t>Th</w:t>
      </w:r>
      <w:r>
        <w:rPr>
          <w:noProof/>
          <w:szCs w:val="26"/>
        </w:rPr>
        <w:t>e</w:t>
      </w:r>
      <w:r w:rsidRPr="00457181">
        <w:rPr>
          <w:noProof/>
          <w:szCs w:val="26"/>
        </w:rPr>
        <w:t xml:space="preserve"> instrument specifies the minimum number of cabin attendants required on specified aircraft operated by a particular operator</w:t>
      </w:r>
      <w:r>
        <w:rPr>
          <w:noProof/>
          <w:szCs w:val="26"/>
        </w:rPr>
        <w:t>, and</w:t>
      </w:r>
      <w:r w:rsidRPr="00457181">
        <w:rPr>
          <w:noProof/>
          <w:szCs w:val="26"/>
        </w:rPr>
        <w:t xml:space="preserve"> revokes and replaces a previous instrument </w:t>
      </w:r>
      <w:r>
        <w:rPr>
          <w:noProof/>
          <w:szCs w:val="26"/>
        </w:rPr>
        <w:t xml:space="preserve">of </w:t>
      </w:r>
      <w:r w:rsidRPr="00457181">
        <w:rPr>
          <w:noProof/>
          <w:szCs w:val="26"/>
        </w:rPr>
        <w:t xml:space="preserve">similar effect. In doing so, the instrument grants an exemption from Civil Aviation Order 20.16.3. The ES for this instrument states that CASA is investigating amendments to </w:t>
      </w:r>
      <w:r>
        <w:rPr>
          <w:noProof/>
          <w:szCs w:val="26"/>
        </w:rPr>
        <w:t xml:space="preserve">that </w:t>
      </w:r>
      <w:r w:rsidRPr="00457181">
        <w:rPr>
          <w:noProof/>
          <w:szCs w:val="26"/>
        </w:rPr>
        <w:t>Civil Aviation Order so as to avoid the need for individual exemptions.</w:t>
      </w:r>
      <w:r>
        <w:rPr>
          <w:noProof/>
          <w:szCs w:val="26"/>
        </w:rPr>
        <w:t xml:space="preserve"> </w:t>
      </w:r>
      <w:r w:rsidRPr="00457181">
        <w:rPr>
          <w:noProof/>
          <w:szCs w:val="26"/>
        </w:rPr>
        <w:t xml:space="preserve">The committee </w:t>
      </w:r>
      <w:r>
        <w:rPr>
          <w:noProof/>
          <w:szCs w:val="26"/>
        </w:rPr>
        <w:t xml:space="preserve">generally prefers that exemptions are not used or do not operate as de facto amendments to principal legislation, and </w:t>
      </w:r>
      <w:r w:rsidRPr="00457181">
        <w:rPr>
          <w:noProof/>
          <w:szCs w:val="26"/>
        </w:rPr>
        <w:t xml:space="preserve">has previously written to the minister </w:t>
      </w:r>
      <w:r>
        <w:rPr>
          <w:noProof/>
          <w:szCs w:val="26"/>
        </w:rPr>
        <w:t xml:space="preserve">as to the continued need for exemptions with a similar purpose to the present instrument, and </w:t>
      </w:r>
      <w:r w:rsidRPr="00457181">
        <w:rPr>
          <w:noProof/>
          <w:szCs w:val="26"/>
        </w:rPr>
        <w:t xml:space="preserve">seeking advice as to the progress on the amendments to </w:t>
      </w:r>
      <w:r w:rsidRPr="00457181">
        <w:rPr>
          <w:noProof/>
          <w:szCs w:val="26"/>
        </w:rPr>
        <w:lastRenderedPageBreak/>
        <w:t>Civil Aviation Order</w:t>
      </w:r>
      <w:r>
        <w:rPr>
          <w:noProof/>
          <w:szCs w:val="26"/>
        </w:rPr>
        <w:t xml:space="preserve"> </w:t>
      </w:r>
      <w:r w:rsidRPr="00457181">
        <w:rPr>
          <w:noProof/>
          <w:szCs w:val="26"/>
        </w:rPr>
        <w:t>20.16.3</w:t>
      </w:r>
      <w:r>
        <w:rPr>
          <w:noProof/>
          <w:szCs w:val="26"/>
        </w:rPr>
        <w:t xml:space="preserve"> [</w:t>
      </w:r>
      <w:r w:rsidRPr="004D4041">
        <w:rPr>
          <w:b/>
          <w:noProof/>
          <w:szCs w:val="26"/>
        </w:rPr>
        <w:t>the committee sought</w:t>
      </w:r>
      <w:r>
        <w:rPr>
          <w:noProof/>
          <w:szCs w:val="26"/>
        </w:rPr>
        <w:t xml:space="preserve"> </w:t>
      </w:r>
      <w:r w:rsidRPr="004D4041">
        <w:rPr>
          <w:b/>
          <w:noProof/>
          <w:szCs w:val="26"/>
        </w:rPr>
        <w:t xml:space="preserve">further </w:t>
      </w:r>
      <w:r>
        <w:rPr>
          <w:b/>
          <w:noProof/>
          <w:szCs w:val="26"/>
        </w:rPr>
        <w:t>information from the minister]</w:t>
      </w:r>
      <w:r>
        <w:rPr>
          <w:noProof/>
          <w:szCs w:val="26"/>
        </w:rPr>
        <w:t>.</w:t>
      </w:r>
    </w:p>
    <w:p w:rsidR="00D05709" w:rsidRPr="00D7776C" w:rsidRDefault="00D05709" w:rsidP="00457DCF">
      <w:pPr>
        <w:spacing w:after="120"/>
        <w:rPr>
          <w:b/>
          <w:noProof/>
          <w:szCs w:val="26"/>
        </w:rPr>
      </w:pPr>
      <w:r w:rsidRPr="00D7776C">
        <w:rPr>
          <w:b/>
          <w:noProof/>
          <w:szCs w:val="26"/>
        </w:rPr>
        <w:t>MINISTER'S RESPONSE:</w:t>
      </w:r>
    </w:p>
    <w:p w:rsidR="00D05709" w:rsidRPr="00D7776C" w:rsidRDefault="00D05709" w:rsidP="00457DCF">
      <w:pPr>
        <w:spacing w:after="120"/>
        <w:rPr>
          <w:noProof/>
          <w:szCs w:val="26"/>
        </w:rPr>
      </w:pPr>
      <w:r w:rsidRPr="00257291">
        <w:rPr>
          <w:noProof/>
          <w:szCs w:val="26"/>
        </w:rPr>
        <w:t>The minister advise</w:t>
      </w:r>
      <w:r>
        <w:rPr>
          <w:noProof/>
          <w:szCs w:val="26"/>
        </w:rPr>
        <w:t>d</w:t>
      </w:r>
      <w:r w:rsidRPr="00257291">
        <w:rPr>
          <w:noProof/>
          <w:szCs w:val="26"/>
        </w:rPr>
        <w:t xml:space="preserve"> that progress on this issue is dependent on the progress of </w:t>
      </w:r>
      <w:r>
        <w:rPr>
          <w:noProof/>
          <w:szCs w:val="26"/>
        </w:rPr>
        <w:t xml:space="preserve">developing </w:t>
      </w:r>
      <w:r w:rsidRPr="00257291">
        <w:rPr>
          <w:noProof/>
          <w:szCs w:val="26"/>
        </w:rPr>
        <w:t xml:space="preserve">the proposed Civil Aviation Safety Regulations Part 121 'Air Transport Operations – Large Aeroplanes'. </w:t>
      </w:r>
      <w:r>
        <w:rPr>
          <w:noProof/>
          <w:szCs w:val="26"/>
        </w:rPr>
        <w:t>Development of this p</w:t>
      </w:r>
      <w:r w:rsidRPr="00257291">
        <w:rPr>
          <w:noProof/>
          <w:szCs w:val="26"/>
        </w:rPr>
        <w:t xml:space="preserve">art </w:t>
      </w:r>
      <w:r>
        <w:rPr>
          <w:noProof/>
          <w:szCs w:val="26"/>
        </w:rPr>
        <w:t xml:space="preserve">would </w:t>
      </w:r>
      <w:r w:rsidRPr="00257291">
        <w:rPr>
          <w:noProof/>
          <w:szCs w:val="26"/>
        </w:rPr>
        <w:t>be progressed in 2013.</w:t>
      </w:r>
    </w:p>
    <w:p w:rsidR="00D05709" w:rsidRPr="00D7776C" w:rsidRDefault="00D05709" w:rsidP="00457DCF">
      <w:pPr>
        <w:spacing w:after="120"/>
        <w:rPr>
          <w:b/>
          <w:noProof/>
          <w:szCs w:val="26"/>
        </w:rPr>
      </w:pPr>
      <w:r w:rsidRPr="00D7776C">
        <w:rPr>
          <w:b/>
          <w:noProof/>
          <w:szCs w:val="26"/>
        </w:rPr>
        <w:t>COMMITTEE RESPONSE:</w:t>
      </w:r>
    </w:p>
    <w:p w:rsidR="00D05709" w:rsidRPr="008C66BA" w:rsidRDefault="00D05709" w:rsidP="00D05709">
      <w:pPr>
        <w:rPr>
          <w:b/>
          <w:noProof/>
          <w:szCs w:val="26"/>
        </w:rPr>
      </w:pPr>
      <w:r w:rsidRPr="008C66BA">
        <w:rPr>
          <w:b/>
          <w:noProof/>
          <w:szCs w:val="26"/>
        </w:rPr>
        <w:t xml:space="preserve">The committee </w:t>
      </w:r>
      <w:r>
        <w:rPr>
          <w:b/>
          <w:noProof/>
          <w:szCs w:val="26"/>
        </w:rPr>
        <w:t>thanks the minister for his</w:t>
      </w:r>
      <w:r w:rsidRPr="008C66BA">
        <w:rPr>
          <w:b/>
          <w:noProof/>
          <w:szCs w:val="26"/>
        </w:rPr>
        <w:t xml:space="preserve"> response and has concluded its interest in the matter.</w:t>
      </w:r>
    </w:p>
    <w:p w:rsidR="00457DCF" w:rsidRDefault="00457DCF">
      <w:pPr>
        <w:spacing w:after="0"/>
        <w:jc w:val="left"/>
      </w:pPr>
      <w:r>
        <w:br w:type="page"/>
      </w:r>
    </w:p>
    <w:p w:rsidR="00457DCF" w:rsidRDefault="00457DCF" w:rsidP="00C41D15"/>
    <w:p w:rsidR="007D72F8" w:rsidRDefault="007D72F8" w:rsidP="00C41D15">
      <w:pPr>
        <w:sectPr w:rsidR="007D72F8" w:rsidSect="00D0570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25"/>
          <w:cols w:space="708"/>
          <w:titlePg/>
          <w:docGrid w:linePitch="360"/>
        </w:sectPr>
      </w:pPr>
    </w:p>
    <w:p w:rsidR="001D4EA9" w:rsidRDefault="001D4EA9" w:rsidP="001D4EA9">
      <w:pPr>
        <w:pStyle w:val="Heading1"/>
        <w:tabs>
          <w:tab w:val="left" w:pos="284"/>
        </w:tabs>
      </w:pPr>
      <w:r>
        <w:lastRenderedPageBreak/>
        <w:t>Appendix 1</w:t>
      </w:r>
    </w:p>
    <w:p w:rsidR="001D4EA9" w:rsidRDefault="001D4EA9" w:rsidP="001D4EA9">
      <w:pPr>
        <w:pStyle w:val="Heading2"/>
        <w:tabs>
          <w:tab w:val="left" w:pos="284"/>
        </w:tabs>
      </w:pPr>
      <w:r>
        <w:t>Index of instruments scrutinised</w:t>
      </w:r>
    </w:p>
    <w:p w:rsidR="001D4EA9" w:rsidRDefault="001D4EA9" w:rsidP="001D4EA9">
      <w:pPr>
        <w:tabs>
          <w:tab w:val="left" w:pos="284"/>
        </w:tabs>
      </w:pPr>
      <w:r>
        <w:t xml:space="preserve">The following instruments were considered by the committee at its meeting on </w:t>
      </w:r>
      <w:r>
        <w:rPr>
          <w:b/>
        </w:rPr>
        <w:t>7 </w:t>
      </w:r>
      <w:r w:rsidRPr="00CD7603">
        <w:rPr>
          <w:b/>
        </w:rPr>
        <w:t>February 2013</w:t>
      </w:r>
      <w:r>
        <w:t>.</w:t>
      </w:r>
    </w:p>
    <w:p w:rsidR="001D4EA9" w:rsidRDefault="001D4EA9" w:rsidP="001D4EA9">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12"/>
      </w:r>
      <w:r w:rsidRPr="005B5F6E">
        <w:t xml:space="preserve"> Instruments may be located on FRLI by entering the relevant FRLI number into the FRLI search field (the FRLI number is shown in square brackets after the name of each instrument listed below).</w:t>
      </w:r>
    </w:p>
    <w:p w:rsidR="001D4EA9" w:rsidRPr="00C45C72" w:rsidRDefault="001D4EA9" w:rsidP="001D4EA9">
      <w:pPr>
        <w:pStyle w:val="Heading3"/>
        <w:tabs>
          <w:tab w:val="left" w:pos="284"/>
        </w:tabs>
        <w:spacing w:before="360" w:after="360"/>
        <w:jc w:val="center"/>
        <w:rPr>
          <w:u w:val="single"/>
        </w:rPr>
      </w:pPr>
      <w:r w:rsidRPr="00C45C72">
        <w:rPr>
          <w:u w:val="single"/>
        </w:rPr>
        <w:t xml:space="preserve">Instruments received week ending </w:t>
      </w:r>
      <w:r>
        <w:rPr>
          <w:u w:val="single"/>
        </w:rPr>
        <w:t>30 November 2012</w:t>
      </w:r>
    </w:p>
    <w:p w:rsidR="001D4EA9" w:rsidRPr="0086597E" w:rsidRDefault="001D4EA9" w:rsidP="001D4EA9">
      <w:pPr>
        <w:tabs>
          <w:tab w:val="left" w:pos="284"/>
        </w:tabs>
        <w:spacing w:after="120"/>
        <w:ind w:right="-45"/>
        <w:rPr>
          <w:sz w:val="24"/>
          <w:szCs w:val="24"/>
        </w:rPr>
      </w:pPr>
      <w:r w:rsidRPr="0086597E">
        <w:rPr>
          <w:b/>
          <w:i/>
          <w:sz w:val="24"/>
          <w:szCs w:val="24"/>
        </w:rPr>
        <w:t>Australian Crime Commission Act 2002</w:t>
      </w:r>
    </w:p>
    <w:p w:rsidR="001D4EA9" w:rsidRPr="00F4410A" w:rsidRDefault="001D4EA9" w:rsidP="001D4EA9">
      <w:pPr>
        <w:tabs>
          <w:tab w:val="left" w:pos="284"/>
        </w:tabs>
        <w:spacing w:after="0"/>
        <w:ind w:right="-46"/>
        <w:rPr>
          <w:sz w:val="22"/>
          <w:szCs w:val="22"/>
        </w:rPr>
      </w:pPr>
      <w:r w:rsidRPr="00F4410A">
        <w:rPr>
          <w:sz w:val="22"/>
          <w:szCs w:val="22"/>
        </w:rPr>
        <w:t>Australian Crime Commission Amendment Regulation 2012 (No. 2) [Select Legislative Instrument 2012 No. 269] [F2012L02242]</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Australian Meat and Live-stock Industry Act 1997</w:t>
      </w:r>
    </w:p>
    <w:p w:rsidR="001D4EA9" w:rsidRPr="00F4410A" w:rsidRDefault="001D4EA9" w:rsidP="001D4EA9">
      <w:pPr>
        <w:tabs>
          <w:tab w:val="left" w:pos="142"/>
        </w:tabs>
        <w:spacing w:after="0"/>
        <w:ind w:right="-46"/>
        <w:rPr>
          <w:sz w:val="22"/>
          <w:szCs w:val="22"/>
        </w:rPr>
      </w:pPr>
      <w:r w:rsidRPr="00F4410A">
        <w:rPr>
          <w:sz w:val="22"/>
          <w:szCs w:val="22"/>
        </w:rPr>
        <w:t>Australian Meat and Live-stock Industry (Sheepmeat and Goatmeat Export to the European Union – Quota Year 2013) Order 2012 [F2012L02274]</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Australian Prudential Regulation Authority Act 1998</w:t>
      </w:r>
    </w:p>
    <w:p w:rsidR="001D4EA9" w:rsidRPr="00F4410A" w:rsidRDefault="001D4EA9" w:rsidP="001D4EA9">
      <w:pPr>
        <w:tabs>
          <w:tab w:val="left" w:pos="284"/>
        </w:tabs>
        <w:spacing w:after="0"/>
        <w:ind w:right="-46"/>
        <w:rPr>
          <w:sz w:val="22"/>
          <w:szCs w:val="22"/>
        </w:rPr>
      </w:pPr>
      <w:r w:rsidRPr="00F4410A">
        <w:rPr>
          <w:sz w:val="22"/>
          <w:szCs w:val="22"/>
        </w:rPr>
        <w:t>Australian Prudential Regulation Authority (confidentiality) determination No. 25 of 2012 [F2012L02264]</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Aviation Transport Security Act 2004</w:t>
      </w:r>
    </w:p>
    <w:p w:rsidR="001D4EA9" w:rsidRPr="00F4410A" w:rsidRDefault="001D4EA9" w:rsidP="001D4EA9">
      <w:pPr>
        <w:tabs>
          <w:tab w:val="left" w:pos="142"/>
        </w:tabs>
        <w:spacing w:after="0"/>
        <w:ind w:right="-46"/>
        <w:rPr>
          <w:sz w:val="22"/>
          <w:szCs w:val="22"/>
        </w:rPr>
      </w:pPr>
      <w:r w:rsidRPr="00F4410A">
        <w:rPr>
          <w:sz w:val="22"/>
          <w:szCs w:val="22"/>
        </w:rPr>
        <w:t>Aviation Transport Security Amendment Regulation 2012 (No. 5) [Select Legislative Instrument 2012 No. 257] [F2012L02247]</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b/>
          <w:i/>
          <w:sz w:val="24"/>
          <w:szCs w:val="24"/>
        </w:rPr>
      </w:pPr>
      <w:r w:rsidRPr="0086597E">
        <w:rPr>
          <w:b/>
          <w:i/>
          <w:sz w:val="24"/>
          <w:szCs w:val="24"/>
        </w:rPr>
        <w:t>Broadcasting Services Act 1992</w:t>
      </w:r>
    </w:p>
    <w:p w:rsidR="001D4EA9" w:rsidRPr="00F4410A" w:rsidRDefault="001D4EA9" w:rsidP="001D4EA9">
      <w:pPr>
        <w:spacing w:after="60"/>
        <w:ind w:right="-46"/>
        <w:rPr>
          <w:sz w:val="22"/>
          <w:szCs w:val="22"/>
        </w:rPr>
      </w:pPr>
      <w:r w:rsidRPr="00F4410A">
        <w:rPr>
          <w:sz w:val="22"/>
          <w:szCs w:val="22"/>
        </w:rPr>
        <w:t>Television Licence Area Plan (Broken Hill) Variation 2012 [F2012L02259]</w:t>
      </w:r>
    </w:p>
    <w:p w:rsidR="001D4EA9" w:rsidRPr="00F4410A" w:rsidRDefault="001D4EA9" w:rsidP="001D4EA9">
      <w:pPr>
        <w:spacing w:after="60"/>
        <w:ind w:right="-46"/>
        <w:rPr>
          <w:sz w:val="22"/>
          <w:szCs w:val="22"/>
        </w:rPr>
      </w:pPr>
      <w:r w:rsidRPr="00F4410A">
        <w:rPr>
          <w:sz w:val="22"/>
          <w:szCs w:val="22"/>
        </w:rPr>
        <w:t>Television Licence Area Plan (Riverland) Variation 2012 [F2012L02252]</w:t>
      </w:r>
    </w:p>
    <w:p w:rsidR="001D4EA9" w:rsidRPr="00F4410A" w:rsidRDefault="001D4EA9" w:rsidP="001D4EA9">
      <w:pPr>
        <w:spacing w:after="0"/>
        <w:ind w:right="-46"/>
        <w:rPr>
          <w:sz w:val="22"/>
          <w:szCs w:val="22"/>
        </w:rPr>
      </w:pPr>
      <w:r w:rsidRPr="00F4410A">
        <w:rPr>
          <w:sz w:val="22"/>
          <w:szCs w:val="22"/>
        </w:rPr>
        <w:t>Television Licence Area Plan (Spencer Gulf) Variation 2012 [F2012L02255]</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Civil Aviation Act 1988</w:t>
      </w:r>
    </w:p>
    <w:p w:rsidR="001D4EA9" w:rsidRPr="00F4410A" w:rsidRDefault="001D4EA9" w:rsidP="001D4EA9">
      <w:pPr>
        <w:spacing w:after="60"/>
        <w:ind w:right="-46"/>
        <w:rPr>
          <w:sz w:val="22"/>
          <w:szCs w:val="22"/>
        </w:rPr>
      </w:pPr>
      <w:r w:rsidRPr="00F4410A">
        <w:rPr>
          <w:sz w:val="22"/>
          <w:szCs w:val="22"/>
        </w:rPr>
        <w:t>CASA EX168/12 – Exemption – from standard take-off and landing minima – AirBridgeCargo Airlines Ltd [F2012L02265]</w:t>
      </w:r>
    </w:p>
    <w:p w:rsidR="001D4EA9" w:rsidRPr="00F4410A" w:rsidRDefault="001D4EA9" w:rsidP="001D4EA9">
      <w:pPr>
        <w:spacing w:after="0"/>
        <w:ind w:right="-46"/>
        <w:rPr>
          <w:sz w:val="22"/>
          <w:szCs w:val="22"/>
        </w:rPr>
      </w:pPr>
      <w:r w:rsidRPr="00F4410A">
        <w:rPr>
          <w:sz w:val="22"/>
          <w:szCs w:val="22"/>
        </w:rPr>
        <w:t>CASA EX170/12 – Exemption – of authorised flying instructors employed by Singapore Flying College Pte Ltd [F2012L02268]</w:t>
      </w:r>
    </w:p>
    <w:p w:rsidR="001D4EA9" w:rsidRPr="007E1B02" w:rsidRDefault="001D4EA9" w:rsidP="001D4EA9">
      <w:pPr>
        <w:tabs>
          <w:tab w:val="left" w:pos="284"/>
        </w:tabs>
        <w:spacing w:after="0"/>
        <w:ind w:right="-46"/>
        <w:rPr>
          <w:sz w:val="20"/>
        </w:rPr>
      </w:pPr>
    </w:p>
    <w:p w:rsidR="001D4EA9" w:rsidRDefault="001D4EA9" w:rsidP="001D4EA9">
      <w:pPr>
        <w:spacing w:after="0"/>
        <w:jc w:val="left"/>
        <w:rPr>
          <w:b/>
          <w:i/>
          <w:sz w:val="24"/>
          <w:szCs w:val="24"/>
        </w:rPr>
      </w:pPr>
      <w:r>
        <w:rPr>
          <w:b/>
          <w:i/>
          <w:sz w:val="24"/>
          <w:szCs w:val="24"/>
        </w:rPr>
        <w:br w:type="page"/>
      </w:r>
    </w:p>
    <w:p w:rsidR="001D4EA9" w:rsidRPr="0086597E" w:rsidRDefault="001D4EA9" w:rsidP="001D4EA9">
      <w:pPr>
        <w:tabs>
          <w:tab w:val="left" w:pos="284"/>
        </w:tabs>
        <w:spacing w:after="120"/>
        <w:ind w:right="-45"/>
        <w:rPr>
          <w:sz w:val="24"/>
          <w:szCs w:val="24"/>
        </w:rPr>
      </w:pPr>
      <w:r w:rsidRPr="0086597E">
        <w:rPr>
          <w:b/>
          <w:i/>
          <w:sz w:val="24"/>
          <w:szCs w:val="24"/>
        </w:rPr>
        <w:lastRenderedPageBreak/>
        <w:t>C</w:t>
      </w:r>
      <w:bookmarkStart w:id="8" w:name="_GoBack"/>
      <w:bookmarkEnd w:id="8"/>
      <w:r w:rsidRPr="0086597E">
        <w:rPr>
          <w:b/>
          <w:i/>
          <w:sz w:val="24"/>
          <w:szCs w:val="24"/>
        </w:rPr>
        <w:t>limate Change Authority Act 2011</w:t>
      </w:r>
    </w:p>
    <w:p w:rsidR="001D4EA9" w:rsidRPr="00F4410A" w:rsidRDefault="001D4EA9" w:rsidP="001D4EA9">
      <w:pPr>
        <w:spacing w:after="0"/>
        <w:ind w:right="-46"/>
        <w:rPr>
          <w:sz w:val="22"/>
          <w:szCs w:val="22"/>
        </w:rPr>
      </w:pPr>
      <w:r w:rsidRPr="00F4410A">
        <w:rPr>
          <w:sz w:val="22"/>
          <w:szCs w:val="22"/>
        </w:rPr>
        <w:t>Climate Change Authority Act 2011 – specification under section 62(1)(c) – National Wildlife Corridors [F2012L02262]</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Corporations Act 2001</w:t>
      </w:r>
    </w:p>
    <w:p w:rsidR="001D4EA9" w:rsidRPr="00F4410A" w:rsidRDefault="001D4EA9" w:rsidP="001D4EA9">
      <w:pPr>
        <w:spacing w:after="60"/>
        <w:ind w:right="-46"/>
        <w:rPr>
          <w:sz w:val="22"/>
          <w:szCs w:val="22"/>
        </w:rPr>
      </w:pPr>
      <w:r w:rsidRPr="00F4410A">
        <w:rPr>
          <w:sz w:val="22"/>
          <w:szCs w:val="22"/>
        </w:rPr>
        <w:t>ASIC Market Integrity Rules (ASX Market) Amendment 2012 (No. 3) [F2012L02248]</w:t>
      </w:r>
    </w:p>
    <w:p w:rsidR="001D4EA9" w:rsidRPr="00F4410A" w:rsidRDefault="001D4EA9" w:rsidP="001D4EA9">
      <w:pPr>
        <w:spacing w:after="60"/>
        <w:ind w:right="-46"/>
        <w:rPr>
          <w:sz w:val="22"/>
          <w:szCs w:val="22"/>
        </w:rPr>
      </w:pPr>
      <w:r w:rsidRPr="00F4410A">
        <w:rPr>
          <w:sz w:val="22"/>
          <w:szCs w:val="22"/>
        </w:rPr>
        <w:t>ASIC Market Integrity Rules (Chi-X Australian Market) Amendment 2012 (No. 3) [F2012L02251]</w:t>
      </w:r>
    </w:p>
    <w:p w:rsidR="001D4EA9" w:rsidRPr="00F4410A" w:rsidRDefault="001D4EA9" w:rsidP="001D4EA9">
      <w:pPr>
        <w:spacing w:after="60"/>
        <w:ind w:right="-46"/>
        <w:rPr>
          <w:sz w:val="22"/>
          <w:szCs w:val="22"/>
        </w:rPr>
      </w:pPr>
      <w:r w:rsidRPr="00F4410A">
        <w:rPr>
          <w:sz w:val="22"/>
          <w:szCs w:val="22"/>
        </w:rPr>
        <w:t>ASIC Market Integrity Rules (Competition in Exchange Markets) Amendment 2012 (No. 1) [F2012L02250]</w:t>
      </w:r>
    </w:p>
    <w:p w:rsidR="001D4EA9" w:rsidRPr="00F4410A" w:rsidRDefault="001D4EA9" w:rsidP="001D4EA9">
      <w:pPr>
        <w:spacing w:after="60"/>
        <w:ind w:right="-46"/>
        <w:rPr>
          <w:sz w:val="22"/>
          <w:szCs w:val="22"/>
        </w:rPr>
      </w:pPr>
      <w:r w:rsidRPr="00F4410A">
        <w:rPr>
          <w:sz w:val="22"/>
          <w:szCs w:val="22"/>
        </w:rPr>
        <w:t>Corporations Amendment Regulations 2010 (No. 3) Amendment Regulation 2012 (No. 2) [Select Legislative Instrument 2012 No. 266] [F2012L02245]</w:t>
      </w:r>
    </w:p>
    <w:p w:rsidR="001D4EA9" w:rsidRPr="00F4410A" w:rsidRDefault="001D4EA9" w:rsidP="001D4EA9">
      <w:pPr>
        <w:spacing w:after="60"/>
        <w:ind w:right="-46"/>
        <w:rPr>
          <w:sz w:val="22"/>
          <w:szCs w:val="22"/>
        </w:rPr>
      </w:pPr>
      <w:r w:rsidRPr="00F4410A">
        <w:rPr>
          <w:sz w:val="22"/>
          <w:szCs w:val="22"/>
        </w:rPr>
        <w:t>Corporations Amendment Regulation 2012 (No. 9) [Select Legislative Instrument 2012 No. 267]</w:t>
      </w:r>
      <w:r>
        <w:rPr>
          <w:sz w:val="22"/>
          <w:szCs w:val="22"/>
        </w:rPr>
        <w:t xml:space="preserve"> </w:t>
      </w:r>
      <w:r w:rsidRPr="00F4410A">
        <w:rPr>
          <w:sz w:val="22"/>
          <w:szCs w:val="22"/>
        </w:rPr>
        <w:t>[F2012L02235]</w:t>
      </w:r>
    </w:p>
    <w:p w:rsidR="001D4EA9" w:rsidRPr="00F4410A" w:rsidRDefault="001D4EA9" w:rsidP="001D4EA9">
      <w:pPr>
        <w:spacing w:after="0"/>
        <w:ind w:right="-46"/>
        <w:rPr>
          <w:sz w:val="22"/>
          <w:szCs w:val="22"/>
        </w:rPr>
      </w:pPr>
      <w:r w:rsidRPr="00F4410A">
        <w:rPr>
          <w:sz w:val="22"/>
          <w:szCs w:val="22"/>
        </w:rPr>
        <w:t>Corporations Amendment Regulation 2012 (No. 10) [Select Legislative Instrument 2012 No. 268]</w:t>
      </w:r>
      <w:r>
        <w:rPr>
          <w:sz w:val="22"/>
          <w:szCs w:val="22"/>
        </w:rPr>
        <w:t xml:space="preserve"> </w:t>
      </w:r>
      <w:r w:rsidRPr="00F4410A">
        <w:rPr>
          <w:sz w:val="22"/>
          <w:szCs w:val="22"/>
        </w:rPr>
        <w:t>[F2012L02261]</w:t>
      </w:r>
    </w:p>
    <w:p w:rsidR="001D4EA9" w:rsidRPr="0086597E" w:rsidRDefault="001D4EA9" w:rsidP="001D4EA9">
      <w:pPr>
        <w:tabs>
          <w:tab w:val="left" w:pos="284"/>
        </w:tabs>
        <w:spacing w:after="0"/>
        <w:ind w:right="-46"/>
        <w:rPr>
          <w:sz w:val="24"/>
          <w:szCs w:val="24"/>
        </w:rPr>
      </w:pPr>
    </w:p>
    <w:p w:rsidR="001D4EA9" w:rsidRPr="0086597E" w:rsidRDefault="001D4EA9" w:rsidP="001D4EA9">
      <w:pPr>
        <w:tabs>
          <w:tab w:val="left" w:pos="284"/>
        </w:tabs>
        <w:spacing w:after="120"/>
        <w:ind w:right="-45"/>
        <w:rPr>
          <w:sz w:val="24"/>
          <w:szCs w:val="24"/>
        </w:rPr>
      </w:pPr>
      <w:r w:rsidRPr="0086597E">
        <w:rPr>
          <w:b/>
          <w:i/>
          <w:sz w:val="24"/>
          <w:szCs w:val="24"/>
        </w:rPr>
        <w:t>Defence Act 1903</w:t>
      </w:r>
    </w:p>
    <w:p w:rsidR="001D4EA9" w:rsidRPr="00F4410A" w:rsidRDefault="001D4EA9" w:rsidP="001D4EA9">
      <w:pPr>
        <w:spacing w:after="60"/>
        <w:ind w:right="-46"/>
        <w:rPr>
          <w:sz w:val="22"/>
          <w:szCs w:val="22"/>
        </w:rPr>
      </w:pPr>
      <w:r w:rsidRPr="00F4410A">
        <w:rPr>
          <w:sz w:val="22"/>
          <w:szCs w:val="22"/>
        </w:rPr>
        <w:t>Defence Determination 2012/66, Senior officer transitional bonus – amendment</w:t>
      </w:r>
    </w:p>
    <w:p w:rsidR="001D4EA9" w:rsidRPr="00F4410A" w:rsidRDefault="001D4EA9" w:rsidP="001D4EA9">
      <w:pPr>
        <w:spacing w:after="0"/>
        <w:ind w:right="-46"/>
        <w:rPr>
          <w:sz w:val="22"/>
          <w:szCs w:val="22"/>
        </w:rPr>
      </w:pPr>
      <w:r w:rsidRPr="00F4410A">
        <w:rPr>
          <w:sz w:val="22"/>
          <w:szCs w:val="22"/>
        </w:rPr>
        <w:t>Defence Determination 2012/67, Carer's leave – amendment</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Fair Work (Transitional Provisions and Consequential Amendments) Act 2009</w:t>
      </w:r>
    </w:p>
    <w:p w:rsidR="001D4EA9" w:rsidRPr="00F4410A" w:rsidRDefault="001D4EA9" w:rsidP="001D4EA9">
      <w:pPr>
        <w:spacing w:after="0"/>
        <w:ind w:right="-46"/>
        <w:rPr>
          <w:sz w:val="22"/>
          <w:szCs w:val="22"/>
        </w:rPr>
      </w:pPr>
      <w:r w:rsidRPr="00F4410A">
        <w:rPr>
          <w:sz w:val="22"/>
          <w:szCs w:val="22"/>
        </w:rPr>
        <w:t>Fair Work (Transitional Provisions and Consequential Amendments) Amendment Regulation 2012 (No. 2) [Select Legislative Instrument 2012 No. 270] [F2012L02260]</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Fisheries Management Act 1991</w:t>
      </w:r>
    </w:p>
    <w:p w:rsidR="001D4EA9" w:rsidRPr="00F4410A" w:rsidRDefault="001D4EA9" w:rsidP="001D4EA9">
      <w:pPr>
        <w:spacing w:after="0"/>
        <w:ind w:right="-46"/>
        <w:rPr>
          <w:sz w:val="22"/>
          <w:szCs w:val="22"/>
        </w:rPr>
      </w:pPr>
      <w:r w:rsidRPr="00F4410A">
        <w:rPr>
          <w:sz w:val="22"/>
          <w:szCs w:val="22"/>
        </w:rPr>
        <w:t>Heard Island and McDonald Islands Fishery Total Allowable Catch Determination 2012 [F2012L02257]</w:t>
      </w:r>
    </w:p>
    <w:p w:rsidR="001D4EA9" w:rsidRPr="007E1B02"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Fuel Quality Standards Act 2000</w:t>
      </w:r>
    </w:p>
    <w:p w:rsidR="001D4EA9" w:rsidRPr="00F4410A" w:rsidRDefault="001D4EA9" w:rsidP="001D4EA9">
      <w:pPr>
        <w:spacing w:after="0"/>
        <w:ind w:right="-46"/>
        <w:rPr>
          <w:sz w:val="22"/>
          <w:szCs w:val="22"/>
        </w:rPr>
      </w:pPr>
      <w:r w:rsidRPr="00F4410A">
        <w:rPr>
          <w:sz w:val="22"/>
          <w:szCs w:val="22"/>
        </w:rPr>
        <w:t xml:space="preserve">Fuel Quality Standards Amendment Regulation 2012 (No. 1) [Select </w:t>
      </w:r>
      <w:r>
        <w:rPr>
          <w:sz w:val="22"/>
          <w:szCs w:val="22"/>
        </w:rPr>
        <w:t>Legislative Instrument 2012 No. </w:t>
      </w:r>
      <w:r w:rsidRPr="00F4410A">
        <w:rPr>
          <w:sz w:val="22"/>
          <w:szCs w:val="22"/>
        </w:rPr>
        <w:t>259] [F2012L02266]</w:t>
      </w:r>
    </w:p>
    <w:p w:rsidR="001D4EA9" w:rsidRPr="0086597E"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Fuel Tax Act 2006</w:t>
      </w:r>
    </w:p>
    <w:p w:rsidR="001D4EA9" w:rsidRPr="00F4410A" w:rsidRDefault="001D4EA9" w:rsidP="001D4EA9">
      <w:pPr>
        <w:spacing w:after="0"/>
        <w:ind w:right="-46"/>
        <w:rPr>
          <w:sz w:val="22"/>
          <w:szCs w:val="22"/>
        </w:rPr>
      </w:pPr>
      <w:r w:rsidRPr="00F4410A">
        <w:rPr>
          <w:sz w:val="22"/>
          <w:szCs w:val="22"/>
        </w:rPr>
        <w:t>Fuel Tax Act 2006 – Correcting Fuel Tax Errors Determination (No. 1) 2012 [F2012L02279]</w:t>
      </w:r>
    </w:p>
    <w:p w:rsidR="001D4EA9" w:rsidRPr="0086597E" w:rsidRDefault="001D4EA9" w:rsidP="001D4EA9">
      <w:pPr>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Health Insurance Act 1973</w:t>
      </w:r>
    </w:p>
    <w:p w:rsidR="001D4EA9" w:rsidRPr="00F4410A" w:rsidRDefault="001D4EA9" w:rsidP="001D4EA9">
      <w:pPr>
        <w:spacing w:after="0"/>
        <w:ind w:right="-46"/>
        <w:rPr>
          <w:sz w:val="22"/>
          <w:szCs w:val="22"/>
        </w:rPr>
      </w:pPr>
      <w:r w:rsidRPr="00F4410A">
        <w:rPr>
          <w:sz w:val="22"/>
          <w:szCs w:val="22"/>
        </w:rPr>
        <w:t>Health Insurance (Pathology Services Table) Amendment Regulation 2012 (No. 3) [Select Legislative Instrument 2012 No. 254] [F2012L02242]</w:t>
      </w:r>
    </w:p>
    <w:p w:rsidR="001D4EA9" w:rsidRPr="0086597E" w:rsidRDefault="001D4EA9" w:rsidP="001D4EA9">
      <w:pPr>
        <w:tabs>
          <w:tab w:val="left" w:pos="284"/>
        </w:tabs>
        <w:spacing w:after="0"/>
        <w:ind w:right="-46"/>
        <w:rPr>
          <w:sz w:val="20"/>
        </w:rPr>
      </w:pPr>
    </w:p>
    <w:p w:rsidR="001D4EA9" w:rsidRPr="00580587" w:rsidRDefault="001D4EA9" w:rsidP="001D4EA9">
      <w:pPr>
        <w:tabs>
          <w:tab w:val="left" w:pos="284"/>
        </w:tabs>
        <w:spacing w:after="120"/>
        <w:ind w:right="-45"/>
        <w:rPr>
          <w:sz w:val="24"/>
          <w:szCs w:val="24"/>
        </w:rPr>
      </w:pPr>
      <w:r w:rsidRPr="00580587">
        <w:rPr>
          <w:b/>
          <w:i/>
          <w:sz w:val="24"/>
          <w:szCs w:val="24"/>
        </w:rPr>
        <w:t>Higher Education Support Act 2003</w:t>
      </w:r>
    </w:p>
    <w:p w:rsidR="001D4EA9" w:rsidRPr="00F4410A" w:rsidRDefault="001D4EA9" w:rsidP="001D4EA9">
      <w:pPr>
        <w:spacing w:after="0"/>
        <w:ind w:right="-46"/>
        <w:rPr>
          <w:sz w:val="22"/>
          <w:szCs w:val="22"/>
        </w:rPr>
      </w:pPr>
      <w:r w:rsidRPr="00F4410A">
        <w:rPr>
          <w:sz w:val="22"/>
          <w:szCs w:val="22"/>
        </w:rPr>
        <w:t>Higher Education Support Act 2003 – Higher Education (Disclosure of Information to Other Bodies) Determination 2012 [F2012L02256]</w:t>
      </w:r>
    </w:p>
    <w:p w:rsidR="001D4EA9" w:rsidRPr="0086597E" w:rsidRDefault="001D4EA9" w:rsidP="001D4EA9">
      <w:pPr>
        <w:tabs>
          <w:tab w:val="left" w:pos="284"/>
        </w:tabs>
        <w:spacing w:after="0"/>
        <w:ind w:right="-46"/>
        <w:rPr>
          <w:sz w:val="20"/>
        </w:rPr>
      </w:pPr>
    </w:p>
    <w:p w:rsidR="001D4EA9" w:rsidRPr="0086597E" w:rsidRDefault="001D4EA9" w:rsidP="001D4EA9">
      <w:pPr>
        <w:tabs>
          <w:tab w:val="left" w:pos="284"/>
        </w:tabs>
        <w:spacing w:after="120"/>
        <w:ind w:right="-45"/>
        <w:rPr>
          <w:sz w:val="24"/>
          <w:szCs w:val="24"/>
        </w:rPr>
      </w:pPr>
      <w:r w:rsidRPr="0086597E">
        <w:rPr>
          <w:b/>
          <w:i/>
          <w:sz w:val="24"/>
          <w:szCs w:val="24"/>
        </w:rPr>
        <w:t>Maritime Transport and Offshore Facilities Security Act 2003</w:t>
      </w:r>
    </w:p>
    <w:p w:rsidR="001D4EA9" w:rsidRPr="00F4410A" w:rsidRDefault="001D4EA9" w:rsidP="001D4EA9">
      <w:pPr>
        <w:spacing w:after="0"/>
        <w:ind w:right="-46"/>
        <w:rPr>
          <w:sz w:val="22"/>
          <w:szCs w:val="22"/>
        </w:rPr>
      </w:pPr>
      <w:r w:rsidRPr="00F4410A">
        <w:rPr>
          <w:sz w:val="22"/>
          <w:szCs w:val="22"/>
        </w:rPr>
        <w:t>Maritime Transport and Offshore Facilities Security Amendment Regulation 2012 (No. 3) [Select Legislative Instrument 2012 No. 258] [F2012L02263]</w:t>
      </w:r>
    </w:p>
    <w:p w:rsidR="001D4EA9" w:rsidRPr="0086597E" w:rsidRDefault="001D4EA9" w:rsidP="001D4EA9">
      <w:pPr>
        <w:tabs>
          <w:tab w:val="left" w:pos="284"/>
        </w:tabs>
        <w:spacing w:after="0"/>
        <w:ind w:right="-46"/>
        <w:rPr>
          <w:sz w:val="20"/>
        </w:rPr>
      </w:pPr>
    </w:p>
    <w:p w:rsidR="001D4EA9" w:rsidRDefault="001D4EA9" w:rsidP="001D4EA9">
      <w:pPr>
        <w:spacing w:after="0"/>
        <w:jc w:val="left"/>
        <w:rPr>
          <w:b/>
          <w:i/>
          <w:sz w:val="24"/>
          <w:szCs w:val="24"/>
        </w:rPr>
      </w:pPr>
      <w:r>
        <w:rPr>
          <w:b/>
          <w:i/>
          <w:sz w:val="24"/>
          <w:szCs w:val="24"/>
        </w:rPr>
        <w:br w:type="page"/>
      </w:r>
    </w:p>
    <w:p w:rsidR="001D4EA9" w:rsidRPr="0041520E" w:rsidRDefault="001D4EA9" w:rsidP="001D4EA9">
      <w:pPr>
        <w:tabs>
          <w:tab w:val="left" w:pos="284"/>
        </w:tabs>
        <w:spacing w:after="120"/>
        <w:ind w:right="-45"/>
        <w:rPr>
          <w:b/>
          <w:i/>
          <w:sz w:val="24"/>
          <w:szCs w:val="24"/>
        </w:rPr>
      </w:pPr>
      <w:r w:rsidRPr="0041520E">
        <w:rPr>
          <w:b/>
          <w:i/>
          <w:sz w:val="24"/>
          <w:szCs w:val="24"/>
        </w:rPr>
        <w:lastRenderedPageBreak/>
        <w:t>Migration Act 1958</w:t>
      </w:r>
    </w:p>
    <w:p w:rsidR="001D4EA9" w:rsidRPr="00F4410A" w:rsidRDefault="001D4EA9" w:rsidP="001D4EA9">
      <w:pPr>
        <w:spacing w:after="60"/>
        <w:ind w:right="-46"/>
        <w:rPr>
          <w:sz w:val="22"/>
          <w:szCs w:val="22"/>
        </w:rPr>
      </w:pPr>
      <w:r w:rsidRPr="00F4410A">
        <w:rPr>
          <w:sz w:val="22"/>
          <w:szCs w:val="22"/>
        </w:rPr>
        <w:t>Migration Amendment Regulation 2012 (No. 7) [Select Legislative Instrument 2012 No. 255] [F2012L02233]</w:t>
      </w:r>
    </w:p>
    <w:p w:rsidR="001D4EA9" w:rsidRPr="00F4410A" w:rsidRDefault="001D4EA9" w:rsidP="001D4EA9">
      <w:pPr>
        <w:spacing w:after="0"/>
        <w:ind w:right="-46"/>
        <w:rPr>
          <w:sz w:val="22"/>
          <w:szCs w:val="22"/>
        </w:rPr>
      </w:pPr>
      <w:r w:rsidRPr="00F4410A">
        <w:rPr>
          <w:sz w:val="22"/>
          <w:szCs w:val="22"/>
        </w:rPr>
        <w:t xml:space="preserve">Migration Legislation Amendment Regulation 2012 (No. 5) [Select </w:t>
      </w:r>
      <w:r>
        <w:rPr>
          <w:sz w:val="22"/>
          <w:szCs w:val="22"/>
        </w:rPr>
        <w:t>Legislative Instrument 2012 No. </w:t>
      </w:r>
      <w:r w:rsidRPr="00F4410A">
        <w:rPr>
          <w:sz w:val="22"/>
          <w:szCs w:val="22"/>
        </w:rPr>
        <w:t>256] [F2012L02236]</w:t>
      </w:r>
    </w:p>
    <w:p w:rsidR="001D4EA9" w:rsidRPr="0041520E" w:rsidRDefault="001D4EA9" w:rsidP="001D4EA9">
      <w:pPr>
        <w:tabs>
          <w:tab w:val="left" w:pos="284"/>
        </w:tabs>
        <w:spacing w:after="0"/>
        <w:ind w:left="284" w:right="-46"/>
        <w:rPr>
          <w:sz w:val="20"/>
        </w:rPr>
      </w:pPr>
    </w:p>
    <w:p w:rsidR="001D4EA9" w:rsidRPr="0041520E" w:rsidRDefault="001D4EA9" w:rsidP="001D4EA9">
      <w:pPr>
        <w:tabs>
          <w:tab w:val="left" w:pos="284"/>
        </w:tabs>
        <w:spacing w:after="120"/>
        <w:ind w:right="-45"/>
        <w:rPr>
          <w:sz w:val="24"/>
          <w:szCs w:val="24"/>
        </w:rPr>
      </w:pPr>
      <w:r w:rsidRPr="0041520E">
        <w:rPr>
          <w:b/>
          <w:i/>
          <w:sz w:val="24"/>
          <w:szCs w:val="24"/>
        </w:rPr>
        <w:t>National Transmission Network Sale Act 1998</w:t>
      </w:r>
    </w:p>
    <w:p w:rsidR="001D4EA9" w:rsidRPr="00F4410A" w:rsidRDefault="001D4EA9" w:rsidP="001D4EA9">
      <w:pPr>
        <w:spacing w:after="0"/>
        <w:ind w:right="-46"/>
        <w:rPr>
          <w:sz w:val="22"/>
          <w:szCs w:val="22"/>
        </w:rPr>
      </w:pPr>
      <w:r w:rsidRPr="00F4410A">
        <w:rPr>
          <w:sz w:val="22"/>
          <w:szCs w:val="22"/>
        </w:rPr>
        <w:t>National Transmission Network (Declared Successor) Declaration No. 1 of 2012 [F2012L02234]</w:t>
      </w:r>
    </w:p>
    <w:p w:rsidR="001D4EA9" w:rsidRPr="0041520E" w:rsidRDefault="001D4EA9" w:rsidP="001D4EA9">
      <w:pPr>
        <w:tabs>
          <w:tab w:val="left" w:pos="284"/>
        </w:tabs>
        <w:spacing w:after="0"/>
        <w:ind w:right="-46"/>
        <w:rPr>
          <w:sz w:val="20"/>
        </w:rPr>
      </w:pPr>
    </w:p>
    <w:p w:rsidR="001D4EA9" w:rsidRPr="0041520E" w:rsidRDefault="001D4EA9" w:rsidP="001D4EA9">
      <w:pPr>
        <w:tabs>
          <w:tab w:val="left" w:pos="284"/>
        </w:tabs>
        <w:spacing w:after="120"/>
        <w:ind w:right="-45"/>
        <w:rPr>
          <w:sz w:val="24"/>
          <w:szCs w:val="24"/>
        </w:rPr>
      </w:pPr>
      <w:r w:rsidRPr="0041520E">
        <w:rPr>
          <w:b/>
          <w:i/>
          <w:sz w:val="24"/>
          <w:szCs w:val="24"/>
        </w:rPr>
        <w:t>Ozone Protection and Synthetic Greenhouse Gas Management Act 1989</w:t>
      </w:r>
    </w:p>
    <w:p w:rsidR="001D4EA9" w:rsidRPr="00F4410A" w:rsidRDefault="001D4EA9" w:rsidP="001D4EA9">
      <w:pPr>
        <w:tabs>
          <w:tab w:val="left" w:pos="284"/>
        </w:tabs>
        <w:spacing w:after="60"/>
        <w:ind w:right="-46"/>
        <w:rPr>
          <w:sz w:val="22"/>
          <w:szCs w:val="22"/>
        </w:rPr>
      </w:pPr>
      <w:r w:rsidRPr="00F4410A">
        <w:rPr>
          <w:sz w:val="22"/>
          <w:szCs w:val="22"/>
        </w:rPr>
        <w:t>Ozone Protection and Synthetic Greenhouse Gas Management Amendment Regulation 2012 (No. 3) [Select Legislative Instrument 2012 No. 260] [F2012L02267]</w:t>
      </w:r>
    </w:p>
    <w:p w:rsidR="001D4EA9" w:rsidRPr="00F4410A" w:rsidRDefault="001D4EA9" w:rsidP="001D4EA9">
      <w:pPr>
        <w:tabs>
          <w:tab w:val="left" w:pos="284"/>
        </w:tabs>
        <w:spacing w:after="0"/>
        <w:ind w:right="-46"/>
        <w:rPr>
          <w:sz w:val="22"/>
          <w:szCs w:val="22"/>
        </w:rPr>
      </w:pPr>
      <w:r w:rsidRPr="00F4410A">
        <w:rPr>
          <w:sz w:val="22"/>
          <w:szCs w:val="22"/>
        </w:rPr>
        <w:t>Ozone Protection and Synthetic Greenhouse Gas Management Amendment Regulation 2012 (No. 4) [Select Legislative Instrument 2012 No. 261] [F2012L02270]</w:t>
      </w:r>
    </w:p>
    <w:p w:rsidR="001D4EA9" w:rsidRPr="0041520E" w:rsidRDefault="001D4EA9" w:rsidP="001D4EA9">
      <w:pPr>
        <w:tabs>
          <w:tab w:val="left" w:pos="284"/>
        </w:tabs>
        <w:spacing w:after="0"/>
        <w:ind w:right="-46"/>
        <w:rPr>
          <w:sz w:val="20"/>
        </w:rPr>
      </w:pPr>
    </w:p>
    <w:p w:rsidR="001D4EA9" w:rsidRPr="0041520E" w:rsidRDefault="001D4EA9" w:rsidP="001D4EA9">
      <w:pPr>
        <w:tabs>
          <w:tab w:val="left" w:pos="284"/>
        </w:tabs>
        <w:spacing w:after="120"/>
        <w:ind w:right="-45"/>
        <w:rPr>
          <w:sz w:val="24"/>
          <w:szCs w:val="24"/>
        </w:rPr>
      </w:pPr>
      <w:r w:rsidRPr="0041520E">
        <w:rPr>
          <w:b/>
          <w:i/>
          <w:sz w:val="24"/>
          <w:szCs w:val="24"/>
        </w:rPr>
        <w:t>Private Health Insurance Act 2007</w:t>
      </w:r>
    </w:p>
    <w:p w:rsidR="001D4EA9" w:rsidRPr="00F4410A" w:rsidRDefault="001D4EA9" w:rsidP="001D4EA9">
      <w:pPr>
        <w:tabs>
          <w:tab w:val="left" w:pos="284"/>
        </w:tabs>
        <w:spacing w:after="0"/>
        <w:ind w:right="-46"/>
        <w:rPr>
          <w:sz w:val="22"/>
          <w:szCs w:val="22"/>
        </w:rPr>
      </w:pPr>
      <w:r w:rsidRPr="00F4410A">
        <w:rPr>
          <w:sz w:val="22"/>
          <w:szCs w:val="22"/>
        </w:rPr>
        <w:t>Private Health Insurance (Complying Product) Amendment Rules 2012 (No. 9) [F2012L02269]</w:t>
      </w:r>
    </w:p>
    <w:p w:rsidR="001D4EA9" w:rsidRPr="0041520E" w:rsidRDefault="001D4EA9" w:rsidP="001D4EA9">
      <w:pPr>
        <w:tabs>
          <w:tab w:val="left" w:pos="284"/>
        </w:tabs>
        <w:spacing w:after="0"/>
        <w:ind w:right="-46"/>
        <w:rPr>
          <w:sz w:val="20"/>
        </w:rPr>
      </w:pPr>
    </w:p>
    <w:p w:rsidR="001D4EA9" w:rsidRPr="0041520E" w:rsidRDefault="001D4EA9" w:rsidP="001D4EA9">
      <w:pPr>
        <w:tabs>
          <w:tab w:val="left" w:pos="284"/>
        </w:tabs>
        <w:spacing w:after="120"/>
        <w:ind w:right="-45"/>
        <w:rPr>
          <w:sz w:val="24"/>
          <w:szCs w:val="24"/>
        </w:rPr>
      </w:pPr>
      <w:r w:rsidRPr="0041520E">
        <w:rPr>
          <w:b/>
          <w:i/>
          <w:sz w:val="24"/>
          <w:szCs w:val="24"/>
        </w:rPr>
        <w:t>Product Stewardship Act 2011</w:t>
      </w:r>
    </w:p>
    <w:p w:rsidR="001D4EA9" w:rsidRPr="00F4410A" w:rsidRDefault="001D4EA9" w:rsidP="001D4EA9">
      <w:pPr>
        <w:spacing w:after="60"/>
        <w:ind w:right="-46"/>
        <w:rPr>
          <w:sz w:val="22"/>
          <w:szCs w:val="22"/>
        </w:rPr>
      </w:pPr>
      <w:r w:rsidRPr="00F4410A">
        <w:rPr>
          <w:sz w:val="22"/>
          <w:szCs w:val="22"/>
        </w:rPr>
        <w:t>Product Stewardship Regulation 2012 [Select Legislative Instrument 2012 No. 262] [F2012L02244]</w:t>
      </w:r>
    </w:p>
    <w:p w:rsidR="001D4EA9" w:rsidRPr="00F4410A" w:rsidRDefault="001D4EA9" w:rsidP="001D4EA9">
      <w:pPr>
        <w:spacing w:after="0"/>
        <w:ind w:right="-46"/>
        <w:rPr>
          <w:sz w:val="22"/>
          <w:szCs w:val="22"/>
        </w:rPr>
      </w:pPr>
      <w:r w:rsidRPr="00F4410A">
        <w:rPr>
          <w:sz w:val="22"/>
          <w:szCs w:val="22"/>
        </w:rPr>
        <w:t>Product Stewardship (Voluntary Arrangements) Instrument 2012 [F2012L02258]</w:t>
      </w:r>
    </w:p>
    <w:p w:rsidR="001D4EA9" w:rsidRPr="0041520E" w:rsidRDefault="001D4EA9" w:rsidP="001D4EA9">
      <w:pPr>
        <w:tabs>
          <w:tab w:val="left" w:pos="284"/>
        </w:tabs>
        <w:spacing w:after="0"/>
        <w:ind w:right="-46"/>
        <w:rPr>
          <w:sz w:val="20"/>
        </w:rPr>
      </w:pPr>
    </w:p>
    <w:p w:rsidR="001D4EA9" w:rsidRPr="00580587" w:rsidRDefault="001D4EA9" w:rsidP="001D4EA9">
      <w:pPr>
        <w:tabs>
          <w:tab w:val="left" w:pos="284"/>
        </w:tabs>
        <w:spacing w:after="120"/>
        <w:ind w:right="-45"/>
        <w:rPr>
          <w:b/>
          <w:i/>
          <w:sz w:val="24"/>
          <w:szCs w:val="24"/>
        </w:rPr>
      </w:pPr>
      <w:r w:rsidRPr="00580587">
        <w:rPr>
          <w:b/>
          <w:i/>
          <w:sz w:val="24"/>
          <w:szCs w:val="24"/>
        </w:rPr>
        <w:t>Superannuation Industry (Supervision) Act 1993</w:t>
      </w:r>
    </w:p>
    <w:p w:rsidR="001D4EA9" w:rsidRPr="00F4410A" w:rsidRDefault="001D4EA9" w:rsidP="001D4EA9">
      <w:pPr>
        <w:spacing w:after="60"/>
        <w:ind w:right="-46"/>
        <w:rPr>
          <w:sz w:val="22"/>
          <w:szCs w:val="22"/>
        </w:rPr>
      </w:pPr>
      <w:r w:rsidRPr="00F4410A">
        <w:rPr>
          <w:sz w:val="22"/>
          <w:szCs w:val="22"/>
        </w:rPr>
        <w:t>Superannuation (prudential standard) determination No. 1 of 2012 – Prudential Standard SPS 114 Operational Risk Financial Requirement [F2012L02221]</w:t>
      </w:r>
    </w:p>
    <w:p w:rsidR="001D4EA9" w:rsidRPr="00F4410A" w:rsidRDefault="001D4EA9" w:rsidP="001D4EA9">
      <w:pPr>
        <w:spacing w:after="60"/>
        <w:ind w:right="-46"/>
        <w:rPr>
          <w:sz w:val="22"/>
          <w:szCs w:val="22"/>
        </w:rPr>
      </w:pPr>
      <w:r w:rsidRPr="00F4410A">
        <w:rPr>
          <w:sz w:val="22"/>
          <w:szCs w:val="22"/>
        </w:rPr>
        <w:t>Superannuation (prudential standard) determination No. 2 of 2012 – Prudential Standard SPS 220 Risk Management [F2012L02222]</w:t>
      </w:r>
    </w:p>
    <w:p w:rsidR="001D4EA9" w:rsidRPr="00F4410A" w:rsidRDefault="001D4EA9" w:rsidP="001D4EA9">
      <w:pPr>
        <w:spacing w:after="60"/>
        <w:ind w:right="-46"/>
        <w:rPr>
          <w:sz w:val="22"/>
          <w:szCs w:val="22"/>
        </w:rPr>
      </w:pPr>
      <w:r w:rsidRPr="00F4410A">
        <w:rPr>
          <w:sz w:val="22"/>
          <w:szCs w:val="22"/>
        </w:rPr>
        <w:t>Superannuation (prudential standard) determination No. 3 of 2012 – Prudential Standard SPS 231 Outsourcing [F2012L02223]</w:t>
      </w:r>
    </w:p>
    <w:p w:rsidR="001D4EA9" w:rsidRPr="00F4410A" w:rsidRDefault="001D4EA9" w:rsidP="001D4EA9">
      <w:pPr>
        <w:spacing w:after="60"/>
        <w:ind w:right="-46"/>
        <w:rPr>
          <w:sz w:val="22"/>
          <w:szCs w:val="22"/>
        </w:rPr>
      </w:pPr>
      <w:r w:rsidRPr="00F4410A">
        <w:rPr>
          <w:sz w:val="22"/>
          <w:szCs w:val="22"/>
        </w:rPr>
        <w:t>Superannuation (prudential standard) determination No. 4 of 2012 – Prudential Standard SPS 232 Business Continuity Management [F2012L02224]</w:t>
      </w:r>
    </w:p>
    <w:p w:rsidR="001D4EA9" w:rsidRPr="00F4410A" w:rsidRDefault="001D4EA9" w:rsidP="001D4EA9">
      <w:pPr>
        <w:spacing w:after="60"/>
        <w:ind w:right="-46"/>
        <w:rPr>
          <w:sz w:val="22"/>
          <w:szCs w:val="22"/>
        </w:rPr>
      </w:pPr>
      <w:r w:rsidRPr="00F4410A">
        <w:rPr>
          <w:sz w:val="22"/>
          <w:szCs w:val="22"/>
        </w:rPr>
        <w:t>Superannuation (prudential standard) determination No. 5 of 2012 – Prudential Standard SPS 250 Insurance in Superannuation [F2012L02225]</w:t>
      </w:r>
    </w:p>
    <w:p w:rsidR="001D4EA9" w:rsidRPr="00F4410A" w:rsidRDefault="001D4EA9" w:rsidP="001D4EA9">
      <w:pPr>
        <w:spacing w:after="60"/>
        <w:ind w:right="-46"/>
        <w:rPr>
          <w:sz w:val="22"/>
          <w:szCs w:val="22"/>
        </w:rPr>
      </w:pPr>
      <w:r w:rsidRPr="00F4410A">
        <w:rPr>
          <w:sz w:val="22"/>
          <w:szCs w:val="22"/>
        </w:rPr>
        <w:t>Superannuation (prudential standard) determination No. 6 of 2012 – Prudential Standard SPS 510 Governance [F2012L02229]</w:t>
      </w:r>
    </w:p>
    <w:p w:rsidR="001D4EA9" w:rsidRPr="00F4410A" w:rsidRDefault="001D4EA9" w:rsidP="001D4EA9">
      <w:pPr>
        <w:spacing w:after="60"/>
        <w:ind w:right="-46"/>
        <w:rPr>
          <w:sz w:val="22"/>
          <w:szCs w:val="22"/>
        </w:rPr>
      </w:pPr>
      <w:r w:rsidRPr="00F4410A">
        <w:rPr>
          <w:sz w:val="22"/>
          <w:szCs w:val="22"/>
        </w:rPr>
        <w:t>Superannuation (prudential standard) determination No. 7 of 2012 – Prudential Standard SPS 521 Conflicts of Interest [F2012L02230]</w:t>
      </w:r>
    </w:p>
    <w:p w:rsidR="001D4EA9" w:rsidRPr="00F4410A" w:rsidRDefault="001D4EA9" w:rsidP="001D4EA9">
      <w:pPr>
        <w:spacing w:after="0"/>
        <w:ind w:right="-46"/>
        <w:rPr>
          <w:sz w:val="22"/>
          <w:szCs w:val="22"/>
        </w:rPr>
      </w:pPr>
      <w:r w:rsidRPr="00F4410A">
        <w:rPr>
          <w:sz w:val="22"/>
          <w:szCs w:val="22"/>
        </w:rPr>
        <w:t>Superannuation (prudential standard) determination No. 8 of 2012 – Prudential Standard SPS 530 Investment Governance [F2012L02231]</w:t>
      </w:r>
    </w:p>
    <w:p w:rsidR="001D4EA9" w:rsidRPr="00580587" w:rsidRDefault="001D4EA9" w:rsidP="001D4EA9">
      <w:pPr>
        <w:spacing w:after="0"/>
        <w:ind w:right="-46"/>
        <w:rPr>
          <w:sz w:val="20"/>
        </w:rPr>
      </w:pPr>
    </w:p>
    <w:p w:rsidR="001D4EA9" w:rsidRPr="00580587" w:rsidRDefault="001D4EA9" w:rsidP="001D4EA9">
      <w:pPr>
        <w:tabs>
          <w:tab w:val="left" w:pos="284"/>
        </w:tabs>
        <w:spacing w:after="120"/>
        <w:ind w:right="-45"/>
        <w:rPr>
          <w:b/>
          <w:i/>
          <w:sz w:val="24"/>
          <w:szCs w:val="24"/>
        </w:rPr>
      </w:pPr>
      <w:r w:rsidRPr="00580587">
        <w:rPr>
          <w:b/>
          <w:i/>
          <w:sz w:val="24"/>
          <w:szCs w:val="24"/>
        </w:rPr>
        <w:t>Telecommunications Act 1997</w:t>
      </w:r>
    </w:p>
    <w:p w:rsidR="001D4EA9" w:rsidRPr="00F4410A" w:rsidRDefault="001D4EA9" w:rsidP="001D4EA9">
      <w:pPr>
        <w:tabs>
          <w:tab w:val="left" w:pos="567"/>
        </w:tabs>
        <w:spacing w:after="0"/>
        <w:ind w:right="-46"/>
        <w:rPr>
          <w:sz w:val="22"/>
          <w:szCs w:val="22"/>
        </w:rPr>
      </w:pPr>
      <w:r w:rsidRPr="00F4410A">
        <w:rPr>
          <w:sz w:val="22"/>
          <w:szCs w:val="22"/>
        </w:rPr>
        <w:t>Telecommunications (Low-impact Facilities) Determination 1997 (Amendment No. 1 of 2012) [F2012L02218]</w:t>
      </w:r>
    </w:p>
    <w:p w:rsidR="001D4EA9" w:rsidRPr="00580587" w:rsidRDefault="001D4EA9" w:rsidP="001D4EA9">
      <w:pPr>
        <w:pStyle w:val="ListParagraph"/>
        <w:tabs>
          <w:tab w:val="left" w:pos="284"/>
          <w:tab w:val="left" w:pos="567"/>
        </w:tabs>
        <w:ind w:left="0" w:right="-46"/>
        <w:rPr>
          <w:sz w:val="20"/>
        </w:rPr>
      </w:pPr>
    </w:p>
    <w:p w:rsidR="001D4EA9" w:rsidRPr="00580587" w:rsidRDefault="001D4EA9" w:rsidP="001D4EA9">
      <w:pPr>
        <w:tabs>
          <w:tab w:val="left" w:pos="284"/>
        </w:tabs>
        <w:spacing w:after="120"/>
        <w:ind w:right="-45"/>
        <w:rPr>
          <w:sz w:val="24"/>
          <w:szCs w:val="24"/>
        </w:rPr>
      </w:pPr>
      <w:r w:rsidRPr="00580587">
        <w:rPr>
          <w:b/>
          <w:i/>
          <w:sz w:val="24"/>
          <w:szCs w:val="24"/>
        </w:rPr>
        <w:t>Therapeutic Goods Act 1989</w:t>
      </w:r>
    </w:p>
    <w:p w:rsidR="001D4EA9" w:rsidRPr="00F4410A" w:rsidRDefault="001D4EA9" w:rsidP="001D4EA9">
      <w:pPr>
        <w:spacing w:after="0"/>
        <w:ind w:right="-46"/>
        <w:rPr>
          <w:sz w:val="22"/>
          <w:szCs w:val="22"/>
        </w:rPr>
      </w:pPr>
      <w:r w:rsidRPr="00F4410A">
        <w:rPr>
          <w:sz w:val="22"/>
          <w:szCs w:val="22"/>
        </w:rPr>
        <w:t>Therapeutic Goods Information (Joint Adverse Event Notifications System) Specification 2012 [F2012L02272]</w:t>
      </w:r>
    </w:p>
    <w:p w:rsidR="001D4EA9" w:rsidRPr="00580587" w:rsidRDefault="001D4EA9" w:rsidP="001D4EA9">
      <w:pPr>
        <w:pStyle w:val="ListParagraph"/>
        <w:tabs>
          <w:tab w:val="left" w:pos="284"/>
        </w:tabs>
        <w:ind w:left="0"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lastRenderedPageBreak/>
        <w:t>Transport Safety Investigation Act 2003</w:t>
      </w:r>
    </w:p>
    <w:p w:rsidR="001D4EA9" w:rsidRPr="00F4410A" w:rsidRDefault="001D4EA9" w:rsidP="001D4EA9">
      <w:pPr>
        <w:tabs>
          <w:tab w:val="left" w:pos="284"/>
        </w:tabs>
        <w:spacing w:after="60"/>
        <w:ind w:right="-46"/>
        <w:rPr>
          <w:sz w:val="22"/>
          <w:szCs w:val="22"/>
        </w:rPr>
      </w:pPr>
      <w:r w:rsidRPr="00F4410A">
        <w:rPr>
          <w:sz w:val="22"/>
          <w:szCs w:val="22"/>
        </w:rPr>
        <w:t>Transport Safety Investigation Amendment Regulation 2012 (No. 1) [Select Legislative Instrument 2012 No. 263] [F2012L02278]</w:t>
      </w:r>
    </w:p>
    <w:p w:rsidR="001D4EA9" w:rsidRPr="00F4410A" w:rsidRDefault="001D4EA9" w:rsidP="001D4EA9">
      <w:pPr>
        <w:tabs>
          <w:tab w:val="left" w:pos="284"/>
        </w:tabs>
        <w:spacing w:after="60"/>
        <w:ind w:right="-46"/>
        <w:rPr>
          <w:sz w:val="22"/>
          <w:szCs w:val="22"/>
        </w:rPr>
      </w:pPr>
      <w:r w:rsidRPr="00F4410A">
        <w:rPr>
          <w:sz w:val="22"/>
          <w:szCs w:val="22"/>
        </w:rPr>
        <w:t>Transport Safety Investigation Amendment Regulation 2012 (No. 2) [Select Legislative Instrument 2012 No. 264] [F2012L02280]</w:t>
      </w:r>
    </w:p>
    <w:p w:rsidR="001D4EA9" w:rsidRPr="00F4410A" w:rsidRDefault="001D4EA9" w:rsidP="001D4EA9">
      <w:pPr>
        <w:tabs>
          <w:tab w:val="left" w:pos="284"/>
        </w:tabs>
        <w:spacing w:after="0"/>
        <w:ind w:right="-46"/>
        <w:rPr>
          <w:sz w:val="22"/>
          <w:szCs w:val="22"/>
        </w:rPr>
      </w:pPr>
      <w:r w:rsidRPr="00F4410A">
        <w:rPr>
          <w:sz w:val="22"/>
          <w:szCs w:val="22"/>
        </w:rPr>
        <w:t>Transport Safety Investigation (Voluntary and Confidential Reporting Scheme) Regulation 2012 [Select Legislative Instrument 2012 No. 265] [F2012L02281]</w:t>
      </w:r>
    </w:p>
    <w:p w:rsidR="001D4EA9" w:rsidRPr="00580587" w:rsidRDefault="001D4EA9" w:rsidP="001D4EA9">
      <w:pPr>
        <w:pStyle w:val="ListParagraph"/>
        <w:tabs>
          <w:tab w:val="left" w:pos="284"/>
        </w:tabs>
        <w:ind w:left="0"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Water Act 2007</w:t>
      </w:r>
    </w:p>
    <w:p w:rsidR="001D4EA9" w:rsidRPr="00F4410A" w:rsidRDefault="001D4EA9" w:rsidP="001D4EA9">
      <w:pPr>
        <w:spacing w:after="0"/>
        <w:ind w:right="-46"/>
        <w:rPr>
          <w:sz w:val="22"/>
          <w:szCs w:val="22"/>
        </w:rPr>
      </w:pPr>
      <w:r w:rsidRPr="00F4410A">
        <w:rPr>
          <w:sz w:val="22"/>
          <w:szCs w:val="22"/>
        </w:rPr>
        <w:t>Water Act 2007 – Basin Plan 2012 [F2012L02240]</w:t>
      </w:r>
    </w:p>
    <w:p w:rsidR="001D4EA9" w:rsidRPr="00C45C72" w:rsidRDefault="001D4EA9" w:rsidP="001D4EA9">
      <w:pPr>
        <w:pStyle w:val="Heading3"/>
        <w:tabs>
          <w:tab w:val="left" w:pos="284"/>
        </w:tabs>
        <w:spacing w:before="360" w:after="360"/>
        <w:ind w:right="-46"/>
        <w:jc w:val="center"/>
        <w:rPr>
          <w:u w:val="single"/>
        </w:rPr>
      </w:pPr>
      <w:r w:rsidRPr="00C45C72">
        <w:rPr>
          <w:u w:val="single"/>
        </w:rPr>
        <w:t xml:space="preserve">Instruments received week ending </w:t>
      </w:r>
      <w:r>
        <w:rPr>
          <w:u w:val="single"/>
        </w:rPr>
        <w:t>14 December 2012</w:t>
      </w:r>
    </w:p>
    <w:p w:rsidR="001D4EA9" w:rsidRPr="00580587" w:rsidRDefault="001D4EA9" w:rsidP="00D90170">
      <w:pPr>
        <w:tabs>
          <w:tab w:val="left" w:pos="284"/>
        </w:tabs>
        <w:spacing w:after="120"/>
        <w:ind w:right="-45"/>
        <w:rPr>
          <w:i/>
          <w:sz w:val="24"/>
          <w:szCs w:val="24"/>
        </w:rPr>
      </w:pPr>
      <w:r w:rsidRPr="00580587">
        <w:rPr>
          <w:b/>
          <w:i/>
          <w:sz w:val="24"/>
          <w:szCs w:val="24"/>
        </w:rPr>
        <w:t>Aged Care Act 1997</w:t>
      </w:r>
    </w:p>
    <w:p w:rsidR="001D4EA9" w:rsidRPr="00F4410A" w:rsidRDefault="001D4EA9" w:rsidP="001D4EA9">
      <w:pPr>
        <w:spacing w:after="0"/>
        <w:ind w:right="-46"/>
        <w:rPr>
          <w:sz w:val="22"/>
          <w:szCs w:val="22"/>
        </w:rPr>
      </w:pPr>
      <w:r w:rsidRPr="00F4410A">
        <w:rPr>
          <w:sz w:val="22"/>
          <w:szCs w:val="22"/>
        </w:rPr>
        <w:t>Classification Amendment Principles 2012 [F2012L02298]</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sz w:val="24"/>
          <w:szCs w:val="24"/>
        </w:rPr>
        <w:t>Annual Appropriation Acts</w:t>
      </w:r>
    </w:p>
    <w:p w:rsidR="001D4EA9" w:rsidRPr="00F4410A" w:rsidRDefault="001D4EA9" w:rsidP="001D4EA9">
      <w:pPr>
        <w:spacing w:after="0"/>
        <w:ind w:right="-46"/>
        <w:rPr>
          <w:sz w:val="22"/>
          <w:szCs w:val="22"/>
        </w:rPr>
      </w:pPr>
      <w:r w:rsidRPr="00F4410A">
        <w:rPr>
          <w:sz w:val="22"/>
          <w:szCs w:val="22"/>
        </w:rPr>
        <w:t>Determination to Reduce Appropriations (No. 3 of 2012-2013) [F2012L02320]</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Auditor-General Act 1997</w:t>
      </w:r>
    </w:p>
    <w:p w:rsidR="001D4EA9" w:rsidRPr="00F4410A" w:rsidRDefault="001D4EA9" w:rsidP="001D4EA9">
      <w:pPr>
        <w:spacing w:after="0"/>
        <w:ind w:right="-46"/>
        <w:rPr>
          <w:sz w:val="22"/>
          <w:szCs w:val="22"/>
        </w:rPr>
      </w:pPr>
      <w:r w:rsidRPr="00F4410A">
        <w:rPr>
          <w:sz w:val="22"/>
          <w:szCs w:val="22"/>
        </w:rPr>
        <w:t>Australian National Audit Office (ANAO) Auditing Standards (30/11/2012) [F2012L02316]</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Australian Capital Territory (Planning and Land Management) Act 1988</w:t>
      </w:r>
    </w:p>
    <w:p w:rsidR="001D4EA9" w:rsidRPr="00F4410A" w:rsidRDefault="001D4EA9" w:rsidP="001D4EA9">
      <w:pPr>
        <w:spacing w:after="60"/>
        <w:ind w:right="-46"/>
        <w:rPr>
          <w:sz w:val="22"/>
          <w:szCs w:val="22"/>
        </w:rPr>
      </w:pPr>
      <w:r w:rsidRPr="00F4410A">
        <w:rPr>
          <w:sz w:val="22"/>
          <w:szCs w:val="22"/>
        </w:rPr>
        <w:t>National Capital Plan – Amendment 74 – Section 5 Campbell [F2012L02324]</w:t>
      </w:r>
    </w:p>
    <w:p w:rsidR="001D4EA9" w:rsidRPr="00F4410A" w:rsidRDefault="001D4EA9" w:rsidP="001D4EA9">
      <w:pPr>
        <w:spacing w:after="0"/>
        <w:ind w:right="-46"/>
        <w:rPr>
          <w:sz w:val="22"/>
          <w:szCs w:val="22"/>
        </w:rPr>
      </w:pPr>
      <w:r w:rsidRPr="00F4410A">
        <w:rPr>
          <w:sz w:val="22"/>
          <w:szCs w:val="22"/>
        </w:rPr>
        <w:t>National Capital Plan – Amendment 76 – Policy 4.4(d) for Urban Areas [F2012L02325]</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b/>
          <w:sz w:val="24"/>
          <w:szCs w:val="24"/>
        </w:rPr>
      </w:pPr>
      <w:r w:rsidRPr="00580587">
        <w:rPr>
          <w:b/>
          <w:i/>
          <w:sz w:val="24"/>
          <w:szCs w:val="24"/>
        </w:rPr>
        <w:t>Australian Communications and Media Authority Act 2005</w:t>
      </w:r>
    </w:p>
    <w:p w:rsidR="001D4EA9" w:rsidRPr="00F4410A" w:rsidRDefault="001D4EA9" w:rsidP="001D4EA9">
      <w:pPr>
        <w:spacing w:after="0"/>
        <w:ind w:right="-46"/>
        <w:rPr>
          <w:sz w:val="22"/>
          <w:szCs w:val="22"/>
        </w:rPr>
      </w:pPr>
      <w:r w:rsidRPr="00F4410A">
        <w:rPr>
          <w:sz w:val="22"/>
          <w:szCs w:val="22"/>
        </w:rPr>
        <w:t>Radiocommunications (Interpretation) Amendment Determination 2012 (No. 1) [F2012L02304]</w:t>
      </w:r>
    </w:p>
    <w:p w:rsidR="001D4EA9" w:rsidRPr="00580587" w:rsidRDefault="001D4EA9" w:rsidP="001D4EA9">
      <w:pPr>
        <w:tabs>
          <w:tab w:val="left" w:pos="284"/>
        </w:tabs>
        <w:spacing w:after="0"/>
        <w:ind w:right="-46"/>
        <w:rPr>
          <w:sz w:val="20"/>
        </w:rPr>
      </w:pPr>
    </w:p>
    <w:p w:rsidR="001D4EA9" w:rsidRPr="00580587" w:rsidRDefault="001D4EA9" w:rsidP="001D4EA9">
      <w:pPr>
        <w:tabs>
          <w:tab w:val="left" w:pos="284"/>
        </w:tabs>
        <w:spacing w:after="0"/>
        <w:ind w:right="-46"/>
        <w:rPr>
          <w:sz w:val="24"/>
          <w:szCs w:val="24"/>
        </w:rPr>
      </w:pPr>
      <w:r w:rsidRPr="00580587">
        <w:rPr>
          <w:b/>
          <w:i/>
          <w:sz w:val="24"/>
          <w:szCs w:val="24"/>
        </w:rPr>
        <w:t>Australian Participants in British Nuclear Tests (Treatment) Act 2006</w:t>
      </w:r>
    </w:p>
    <w:p w:rsidR="001D4EA9" w:rsidRPr="00580587" w:rsidRDefault="001D4EA9" w:rsidP="001D4EA9">
      <w:pPr>
        <w:tabs>
          <w:tab w:val="left" w:pos="284"/>
        </w:tabs>
        <w:spacing w:after="0"/>
        <w:ind w:right="-46"/>
        <w:rPr>
          <w:sz w:val="20"/>
        </w:rPr>
      </w:pPr>
    </w:p>
    <w:p w:rsidR="001D4EA9" w:rsidRPr="00F4410A" w:rsidRDefault="001D4EA9" w:rsidP="001D4EA9">
      <w:pPr>
        <w:spacing w:after="0"/>
        <w:ind w:right="-46"/>
        <w:rPr>
          <w:sz w:val="22"/>
          <w:szCs w:val="22"/>
        </w:rPr>
      </w:pPr>
      <w:r w:rsidRPr="00F4410A">
        <w:rPr>
          <w:sz w:val="22"/>
          <w:szCs w:val="22"/>
        </w:rPr>
        <w:t>Treatment Principles (Australian Participants in British Nuclear Tests) 2006 (Removal of Prior Approval/New Dental Providers) Instrument 2012 (No. R29/2012) [F2012L02321]</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Australian Prudential Regulation Authority Act 1998</w:t>
      </w:r>
    </w:p>
    <w:p w:rsidR="001D4EA9" w:rsidRPr="00F4410A" w:rsidRDefault="001D4EA9" w:rsidP="001D4EA9">
      <w:pPr>
        <w:spacing w:after="0"/>
        <w:ind w:right="-46"/>
        <w:rPr>
          <w:sz w:val="22"/>
          <w:szCs w:val="22"/>
        </w:rPr>
      </w:pPr>
      <w:r w:rsidRPr="00F4410A">
        <w:rPr>
          <w:sz w:val="22"/>
          <w:szCs w:val="22"/>
        </w:rPr>
        <w:t>Australian Prudential Regulation Authority (confidentiality) determination No. 22 of 2012 [F2012L02336]</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Banking Act 1959</w:t>
      </w:r>
    </w:p>
    <w:p w:rsidR="001D4EA9" w:rsidRPr="00F4410A" w:rsidRDefault="001D4EA9" w:rsidP="001D4EA9">
      <w:pPr>
        <w:spacing w:after="60"/>
        <w:ind w:right="-46"/>
        <w:rPr>
          <w:sz w:val="22"/>
          <w:szCs w:val="22"/>
        </w:rPr>
      </w:pPr>
      <w:r w:rsidRPr="00580587">
        <w:rPr>
          <w:sz w:val="20"/>
        </w:rPr>
        <w:t xml:space="preserve">Banking (prudential standard) determination No. 2 of 2012 – Prudential Standard APS 001 – Definitions </w:t>
      </w:r>
      <w:r w:rsidRPr="00F4410A">
        <w:rPr>
          <w:sz w:val="22"/>
          <w:szCs w:val="22"/>
        </w:rPr>
        <w:t>[F2012L02328]</w:t>
      </w:r>
    </w:p>
    <w:p w:rsidR="001D4EA9" w:rsidRPr="00F4410A" w:rsidRDefault="001D4EA9" w:rsidP="001D4EA9">
      <w:pPr>
        <w:spacing w:after="60"/>
        <w:ind w:right="-46"/>
        <w:rPr>
          <w:sz w:val="22"/>
          <w:szCs w:val="22"/>
        </w:rPr>
      </w:pPr>
      <w:r w:rsidRPr="00F4410A">
        <w:rPr>
          <w:sz w:val="22"/>
          <w:szCs w:val="22"/>
        </w:rPr>
        <w:t>Banking (prudential standard) determination No. 3 of 2012 – Prudential Standard APS 110 – Capital Adequacy [F2012L02327]</w:t>
      </w:r>
    </w:p>
    <w:p w:rsidR="001D4EA9" w:rsidRPr="00F4410A" w:rsidRDefault="001D4EA9" w:rsidP="001D4EA9">
      <w:pPr>
        <w:spacing w:after="0"/>
        <w:ind w:right="-46"/>
        <w:rPr>
          <w:sz w:val="22"/>
          <w:szCs w:val="22"/>
        </w:rPr>
      </w:pPr>
      <w:r w:rsidRPr="00F4410A">
        <w:rPr>
          <w:sz w:val="22"/>
          <w:szCs w:val="22"/>
        </w:rPr>
        <w:t>Banking (prudential standard) determination No. 4 of 2012 – Prudential Standard APS 111 – Capital Adequacy: Measurement of Capital [F2012L02335]</w:t>
      </w:r>
    </w:p>
    <w:p w:rsidR="001D4EA9" w:rsidRPr="00F4410A" w:rsidRDefault="001D4EA9" w:rsidP="001D4EA9">
      <w:pPr>
        <w:spacing w:after="60"/>
        <w:ind w:right="-46"/>
        <w:rPr>
          <w:sz w:val="22"/>
          <w:szCs w:val="22"/>
        </w:rPr>
      </w:pPr>
      <w:r w:rsidRPr="00F4410A">
        <w:rPr>
          <w:sz w:val="22"/>
          <w:szCs w:val="22"/>
        </w:rPr>
        <w:t>Banking (prudential standard) determination No. 5 of 2012 – Prudential Standard APS 112 – Capital Adequacy: Standardised Approach to Credit Risk [F2012L02330]</w:t>
      </w:r>
    </w:p>
    <w:p w:rsidR="001D4EA9" w:rsidRPr="00F4410A" w:rsidRDefault="001D4EA9" w:rsidP="001D4EA9">
      <w:pPr>
        <w:spacing w:after="60"/>
        <w:ind w:right="-46"/>
        <w:rPr>
          <w:sz w:val="22"/>
          <w:szCs w:val="22"/>
        </w:rPr>
      </w:pPr>
      <w:r w:rsidRPr="00F4410A">
        <w:rPr>
          <w:sz w:val="22"/>
          <w:szCs w:val="22"/>
        </w:rPr>
        <w:lastRenderedPageBreak/>
        <w:t>Banking (prudential standard) determination No. 6 of 2012 – Prudential Standard APS 113 – Capital Adequacy: Internal Ratings-based Approach to Credit Risk [F2012L02329]</w:t>
      </w:r>
    </w:p>
    <w:p w:rsidR="001D4EA9" w:rsidRPr="00F4410A" w:rsidRDefault="001D4EA9" w:rsidP="001D4EA9">
      <w:pPr>
        <w:spacing w:after="60"/>
        <w:ind w:right="-46"/>
        <w:rPr>
          <w:sz w:val="22"/>
          <w:szCs w:val="22"/>
        </w:rPr>
      </w:pPr>
      <w:r w:rsidRPr="00F4410A">
        <w:rPr>
          <w:sz w:val="22"/>
          <w:szCs w:val="22"/>
        </w:rPr>
        <w:t>Banking (prudential standard) determination No. 7 of 2012 – Prudential Standard APS 114 – Capital Adequacy: Standardised Approach to Operational Risk [F2012L02332]</w:t>
      </w:r>
    </w:p>
    <w:p w:rsidR="001D4EA9" w:rsidRPr="00F4410A" w:rsidRDefault="001D4EA9" w:rsidP="001D4EA9">
      <w:pPr>
        <w:spacing w:after="60"/>
        <w:ind w:right="-46"/>
        <w:rPr>
          <w:sz w:val="22"/>
          <w:szCs w:val="22"/>
        </w:rPr>
      </w:pPr>
      <w:r w:rsidRPr="00F4410A">
        <w:rPr>
          <w:sz w:val="22"/>
          <w:szCs w:val="22"/>
        </w:rPr>
        <w:t>Banking (prudential standard) determination No. 8 of 2012 – Prudential Standard APS 115 – Capital Adequacy: Advanced Measurement Approaches to Operational Risk [F2012L02331]</w:t>
      </w:r>
    </w:p>
    <w:p w:rsidR="001D4EA9" w:rsidRPr="00F4410A" w:rsidRDefault="001D4EA9" w:rsidP="001D4EA9">
      <w:pPr>
        <w:spacing w:after="60"/>
        <w:ind w:right="-46"/>
        <w:rPr>
          <w:sz w:val="22"/>
          <w:szCs w:val="22"/>
        </w:rPr>
      </w:pPr>
      <w:r w:rsidRPr="00F4410A">
        <w:rPr>
          <w:sz w:val="22"/>
          <w:szCs w:val="22"/>
        </w:rPr>
        <w:t>Banking (prudential standard) determination No. 9 of 2012 – Prudential Standard APS 116 – Capital Adequacy: Market Risk [F2012L02338]</w:t>
      </w:r>
    </w:p>
    <w:p w:rsidR="001D4EA9" w:rsidRPr="00F4410A" w:rsidRDefault="001D4EA9" w:rsidP="001D4EA9">
      <w:pPr>
        <w:spacing w:after="60"/>
        <w:ind w:right="-46"/>
        <w:rPr>
          <w:sz w:val="22"/>
          <w:szCs w:val="22"/>
        </w:rPr>
      </w:pPr>
      <w:r w:rsidRPr="00F4410A">
        <w:rPr>
          <w:sz w:val="22"/>
          <w:szCs w:val="22"/>
        </w:rPr>
        <w:t>Banking (prudential standard) determination No. 10 of 2012 – Prudential Standard APS 117 – Capital Adequacy: Interest Rate Risk in the Banking Book (Advanced ADIs) [F2012L02334]</w:t>
      </w:r>
    </w:p>
    <w:p w:rsidR="001D4EA9" w:rsidRPr="00F4410A" w:rsidRDefault="001D4EA9" w:rsidP="001D4EA9">
      <w:pPr>
        <w:spacing w:after="60"/>
        <w:ind w:right="-46"/>
        <w:rPr>
          <w:sz w:val="22"/>
          <w:szCs w:val="22"/>
        </w:rPr>
      </w:pPr>
      <w:r w:rsidRPr="00F4410A">
        <w:rPr>
          <w:sz w:val="22"/>
          <w:szCs w:val="22"/>
        </w:rPr>
        <w:t>Banking (prudential standard) determination No. 11 of 2012 – Prudential Standard APS 120 – Securitisation [F2012L02339]</w:t>
      </w:r>
    </w:p>
    <w:p w:rsidR="001D4EA9" w:rsidRPr="00F4410A" w:rsidRDefault="001D4EA9" w:rsidP="001D4EA9">
      <w:pPr>
        <w:spacing w:after="60"/>
        <w:ind w:right="-46"/>
        <w:rPr>
          <w:sz w:val="22"/>
          <w:szCs w:val="22"/>
        </w:rPr>
      </w:pPr>
      <w:r w:rsidRPr="00F4410A">
        <w:rPr>
          <w:sz w:val="22"/>
          <w:szCs w:val="22"/>
        </w:rPr>
        <w:t>Banking (prudential standard) determination No. 12 of 2012 – Prudential Standard APS 220 – Credit Quality [F2012L02345]</w:t>
      </w:r>
    </w:p>
    <w:p w:rsidR="001D4EA9" w:rsidRPr="00F4410A" w:rsidRDefault="001D4EA9" w:rsidP="001D4EA9">
      <w:pPr>
        <w:spacing w:after="60"/>
        <w:ind w:right="-46"/>
        <w:rPr>
          <w:sz w:val="22"/>
          <w:szCs w:val="22"/>
        </w:rPr>
      </w:pPr>
      <w:r w:rsidRPr="00F4410A">
        <w:rPr>
          <w:sz w:val="22"/>
          <w:szCs w:val="22"/>
        </w:rPr>
        <w:t>Banking (prudential standard) determination No. 13 of 2012 – Prudential Standard APS 221 – Large Exposures [F2012L02340]</w:t>
      </w:r>
    </w:p>
    <w:p w:rsidR="001D4EA9" w:rsidRPr="00F4410A" w:rsidRDefault="001D4EA9" w:rsidP="001D4EA9">
      <w:pPr>
        <w:spacing w:after="60"/>
        <w:ind w:right="-46"/>
        <w:rPr>
          <w:sz w:val="22"/>
          <w:szCs w:val="22"/>
        </w:rPr>
      </w:pPr>
      <w:r w:rsidRPr="00F4410A">
        <w:rPr>
          <w:sz w:val="22"/>
          <w:szCs w:val="22"/>
        </w:rPr>
        <w:t>Banking (prudential standard) determination No. 14 of 2012 – Prudential Standard APS 222 – Associations with Related Entities [F2012L02342]</w:t>
      </w:r>
    </w:p>
    <w:p w:rsidR="001D4EA9" w:rsidRPr="00F4410A" w:rsidRDefault="001D4EA9" w:rsidP="001D4EA9">
      <w:pPr>
        <w:spacing w:after="0"/>
        <w:ind w:right="-46"/>
        <w:rPr>
          <w:sz w:val="22"/>
          <w:szCs w:val="22"/>
        </w:rPr>
      </w:pPr>
      <w:r w:rsidRPr="00F4410A">
        <w:rPr>
          <w:sz w:val="22"/>
          <w:szCs w:val="22"/>
        </w:rPr>
        <w:t>Banking (prudential standard) determination No. 16 of 2012 – Prudential Standard APS 330 – Public Disclosure of Prudential Information [F2012L02344]</w:t>
      </w:r>
    </w:p>
    <w:p w:rsidR="001D4EA9" w:rsidRPr="00580587" w:rsidRDefault="001D4EA9" w:rsidP="001D4EA9">
      <w:pPr>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Broadcasting Services Act 1992</w:t>
      </w:r>
    </w:p>
    <w:p w:rsidR="001D4EA9" w:rsidRPr="001913C7" w:rsidRDefault="001D4EA9" w:rsidP="001D4EA9">
      <w:pPr>
        <w:tabs>
          <w:tab w:val="left" w:pos="284"/>
        </w:tabs>
        <w:spacing w:after="0"/>
        <w:ind w:right="-46"/>
        <w:rPr>
          <w:sz w:val="22"/>
          <w:szCs w:val="22"/>
        </w:rPr>
      </w:pPr>
      <w:r w:rsidRPr="001913C7">
        <w:rPr>
          <w:sz w:val="22"/>
          <w:szCs w:val="22"/>
        </w:rPr>
        <w:t>Broadcasting Services (Events) Notice (No. 1) 2010 (Amendment No. 14 of 2012) [F2012L02322]</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Carbon Credits (Carbon Farming Initiative) Act 2011</w:t>
      </w:r>
    </w:p>
    <w:p w:rsidR="001D4EA9" w:rsidRPr="001913C7" w:rsidRDefault="001D4EA9" w:rsidP="001D4EA9">
      <w:pPr>
        <w:spacing w:after="0"/>
        <w:ind w:right="-46"/>
        <w:rPr>
          <w:sz w:val="22"/>
          <w:szCs w:val="22"/>
        </w:rPr>
      </w:pPr>
      <w:r w:rsidRPr="001913C7">
        <w:rPr>
          <w:sz w:val="22"/>
          <w:szCs w:val="22"/>
        </w:rPr>
        <w:t>Carbon Credits (Carbon Farming Initiative) (Avoided Emissions from Diverting Legacy Waste from Landfill for Process Engineered Fuel Manufacture) Methodology Determination 2012 [F2012L02341]</w:t>
      </w:r>
    </w:p>
    <w:p w:rsidR="001D4EA9" w:rsidRPr="00580587" w:rsidRDefault="001D4EA9" w:rsidP="001D4EA9">
      <w:pPr>
        <w:tabs>
          <w:tab w:val="left" w:pos="284"/>
        </w:tabs>
        <w:spacing w:after="0"/>
        <w:ind w:right="-46"/>
        <w:rPr>
          <w:sz w:val="20"/>
        </w:rPr>
      </w:pPr>
    </w:p>
    <w:p w:rsidR="001D4EA9" w:rsidRPr="00580587" w:rsidRDefault="001D4EA9" w:rsidP="00D90170">
      <w:pPr>
        <w:tabs>
          <w:tab w:val="left" w:pos="284"/>
        </w:tabs>
        <w:spacing w:after="120"/>
        <w:ind w:right="-45"/>
        <w:rPr>
          <w:sz w:val="24"/>
          <w:szCs w:val="24"/>
        </w:rPr>
      </w:pPr>
      <w:r w:rsidRPr="00580587">
        <w:rPr>
          <w:b/>
          <w:i/>
          <w:sz w:val="24"/>
          <w:szCs w:val="24"/>
        </w:rPr>
        <w:t>Civil Aviation Act 1988</w:t>
      </w:r>
    </w:p>
    <w:p w:rsidR="001D4EA9" w:rsidRPr="001913C7" w:rsidRDefault="001D4EA9" w:rsidP="001D4EA9">
      <w:pPr>
        <w:spacing w:after="60"/>
        <w:ind w:right="-46"/>
        <w:rPr>
          <w:sz w:val="22"/>
          <w:szCs w:val="22"/>
        </w:rPr>
      </w:pPr>
      <w:r w:rsidRPr="001913C7">
        <w:rPr>
          <w:sz w:val="22"/>
          <w:szCs w:val="22"/>
        </w:rPr>
        <w:t>AD/EC 135/10 Amdt 1 – Main Rotor – Sliding Sleeve [F2012L02319]</w:t>
      </w:r>
    </w:p>
    <w:p w:rsidR="001D4EA9" w:rsidRPr="001913C7" w:rsidRDefault="001D4EA9" w:rsidP="001D4EA9">
      <w:pPr>
        <w:spacing w:after="60"/>
        <w:ind w:right="-46"/>
        <w:rPr>
          <w:sz w:val="22"/>
          <w:szCs w:val="22"/>
        </w:rPr>
      </w:pPr>
      <w:r w:rsidRPr="001913C7">
        <w:rPr>
          <w:sz w:val="22"/>
          <w:szCs w:val="22"/>
        </w:rPr>
        <w:t>AD/TPE 331/63 Amdt 2 – Fuel Control Unit Drive Spline [F2012L02317]</w:t>
      </w:r>
    </w:p>
    <w:p w:rsidR="001D4EA9" w:rsidRPr="001913C7" w:rsidRDefault="001D4EA9" w:rsidP="001D4EA9">
      <w:pPr>
        <w:spacing w:after="60"/>
        <w:ind w:right="-46"/>
        <w:rPr>
          <w:sz w:val="22"/>
          <w:szCs w:val="22"/>
        </w:rPr>
      </w:pPr>
      <w:r w:rsidRPr="001913C7">
        <w:rPr>
          <w:sz w:val="22"/>
          <w:szCs w:val="22"/>
        </w:rPr>
        <w:t>CASA ADCX 024/12 – Revocation of Airworthiness Directives [F2012L02293]</w:t>
      </w:r>
    </w:p>
    <w:p w:rsidR="001D4EA9" w:rsidRPr="001913C7" w:rsidRDefault="001D4EA9" w:rsidP="001D4EA9">
      <w:pPr>
        <w:spacing w:after="60"/>
        <w:ind w:right="-46"/>
        <w:rPr>
          <w:sz w:val="22"/>
          <w:szCs w:val="22"/>
        </w:rPr>
      </w:pPr>
      <w:r w:rsidRPr="001913C7">
        <w:rPr>
          <w:sz w:val="22"/>
          <w:szCs w:val="22"/>
        </w:rPr>
        <w:t>CASA EX167/12 – Exemption – from CASR Subpart 99.B for micro-businesses [F2012L02283]</w:t>
      </w:r>
    </w:p>
    <w:p w:rsidR="001D4EA9" w:rsidRPr="001913C7" w:rsidRDefault="001D4EA9" w:rsidP="001D4EA9">
      <w:pPr>
        <w:spacing w:after="60"/>
        <w:ind w:right="-46"/>
        <w:rPr>
          <w:sz w:val="22"/>
          <w:szCs w:val="22"/>
        </w:rPr>
      </w:pPr>
      <w:r w:rsidRPr="001913C7">
        <w:rPr>
          <w:sz w:val="22"/>
          <w:szCs w:val="22"/>
        </w:rPr>
        <w:t>CASA EX172/12 – Exemption – minimum height and lateral separation for operations [F2012L02294]</w:t>
      </w:r>
    </w:p>
    <w:p w:rsidR="001D4EA9" w:rsidRPr="001913C7" w:rsidRDefault="001D4EA9" w:rsidP="001D4EA9">
      <w:pPr>
        <w:spacing w:after="60"/>
        <w:ind w:right="-46"/>
        <w:rPr>
          <w:sz w:val="22"/>
          <w:szCs w:val="22"/>
        </w:rPr>
      </w:pPr>
      <w:r w:rsidRPr="001913C7">
        <w:rPr>
          <w:sz w:val="22"/>
          <w:szCs w:val="22"/>
        </w:rPr>
        <w:t>CASA EX175/12 – Exemption – side-facing seats on aircraft not occupied for take-off or landing [F2012L02288]</w:t>
      </w:r>
    </w:p>
    <w:p w:rsidR="001D4EA9" w:rsidRPr="001913C7" w:rsidRDefault="001D4EA9" w:rsidP="001D4EA9">
      <w:pPr>
        <w:spacing w:after="60"/>
        <w:ind w:right="-46"/>
        <w:rPr>
          <w:sz w:val="22"/>
          <w:szCs w:val="22"/>
        </w:rPr>
      </w:pPr>
      <w:r w:rsidRPr="001913C7">
        <w:rPr>
          <w:sz w:val="22"/>
          <w:szCs w:val="22"/>
        </w:rPr>
        <w:t>CASA EX176/12 – Exemption – recency requirements for night flying (National Jet Express Pty Ltd) [F2012L02296]</w:t>
      </w:r>
    </w:p>
    <w:p w:rsidR="001D4EA9" w:rsidRPr="001913C7" w:rsidRDefault="001D4EA9" w:rsidP="001D4EA9">
      <w:pPr>
        <w:spacing w:after="60"/>
        <w:ind w:right="-46"/>
        <w:rPr>
          <w:sz w:val="22"/>
          <w:szCs w:val="22"/>
        </w:rPr>
      </w:pPr>
      <w:r w:rsidRPr="001913C7">
        <w:rPr>
          <w:sz w:val="22"/>
          <w:szCs w:val="22"/>
        </w:rPr>
        <w:t>CASA EX177/12 – Exemption – from flight simulator user approval [F2012L02323]</w:t>
      </w:r>
    </w:p>
    <w:p w:rsidR="001D4EA9" w:rsidRPr="001913C7" w:rsidRDefault="001D4EA9" w:rsidP="001D4EA9">
      <w:pPr>
        <w:spacing w:after="60"/>
        <w:ind w:right="-46"/>
        <w:rPr>
          <w:sz w:val="22"/>
          <w:szCs w:val="22"/>
        </w:rPr>
      </w:pPr>
      <w:r w:rsidRPr="001913C7">
        <w:rPr>
          <w:sz w:val="22"/>
          <w:szCs w:val="22"/>
        </w:rPr>
        <w:t>CASA EX179/12 – Exemption – minimum height and lateral separation for operations [F2012L02297]</w:t>
      </w:r>
    </w:p>
    <w:p w:rsidR="001D4EA9" w:rsidRPr="001913C7" w:rsidRDefault="001D4EA9" w:rsidP="001D4EA9">
      <w:pPr>
        <w:spacing w:after="0"/>
        <w:ind w:right="-46"/>
        <w:rPr>
          <w:sz w:val="22"/>
          <w:szCs w:val="22"/>
        </w:rPr>
      </w:pPr>
      <w:r w:rsidRPr="001913C7">
        <w:rPr>
          <w:sz w:val="22"/>
          <w:szCs w:val="22"/>
        </w:rPr>
        <w:t>CASA EX181/12 – Exemption – CASR Part 99 DAMP requirements for CAR 30 or Part 145 organisations overseas [F2012L02302]</w:t>
      </w:r>
    </w:p>
    <w:p w:rsidR="001D4EA9" w:rsidRPr="004518B4" w:rsidRDefault="001D4EA9" w:rsidP="001D4EA9">
      <w:pPr>
        <w:tabs>
          <w:tab w:val="left" w:pos="284"/>
        </w:tabs>
        <w:spacing w:after="0"/>
        <w:ind w:right="-46"/>
        <w:rPr>
          <w:sz w:val="24"/>
          <w:szCs w:val="24"/>
        </w:rPr>
      </w:pPr>
    </w:p>
    <w:p w:rsidR="001D4EA9" w:rsidRPr="004518B4" w:rsidRDefault="001D4EA9" w:rsidP="00D90170">
      <w:pPr>
        <w:tabs>
          <w:tab w:val="left" w:pos="284"/>
        </w:tabs>
        <w:spacing w:after="120"/>
        <w:ind w:right="-45"/>
        <w:rPr>
          <w:b/>
          <w:sz w:val="24"/>
          <w:szCs w:val="24"/>
        </w:rPr>
      </w:pPr>
      <w:r w:rsidRPr="004518B4">
        <w:rPr>
          <w:b/>
          <w:i/>
          <w:sz w:val="24"/>
          <w:szCs w:val="24"/>
        </w:rPr>
        <w:t>Corporations Act 2001</w:t>
      </w:r>
    </w:p>
    <w:p w:rsidR="001D4EA9" w:rsidRPr="001913C7" w:rsidRDefault="001D4EA9" w:rsidP="001D4EA9">
      <w:pPr>
        <w:spacing w:after="0"/>
        <w:ind w:right="-46"/>
        <w:rPr>
          <w:sz w:val="22"/>
          <w:szCs w:val="22"/>
        </w:rPr>
      </w:pPr>
      <w:r w:rsidRPr="001913C7">
        <w:rPr>
          <w:sz w:val="22"/>
          <w:szCs w:val="22"/>
        </w:rPr>
        <w:t>ASIC Class Order [CO 12/1592] [F2012L02299]</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lastRenderedPageBreak/>
        <w:t>Customs Act 1901</w:t>
      </w:r>
    </w:p>
    <w:p w:rsidR="001D4EA9" w:rsidRPr="001913C7" w:rsidRDefault="001D4EA9" w:rsidP="001D4EA9">
      <w:pPr>
        <w:spacing w:after="0"/>
        <w:ind w:right="-46"/>
        <w:rPr>
          <w:sz w:val="22"/>
          <w:szCs w:val="22"/>
        </w:rPr>
      </w:pPr>
      <w:r w:rsidRPr="001913C7">
        <w:rPr>
          <w:sz w:val="22"/>
          <w:szCs w:val="22"/>
        </w:rPr>
        <w:t>Defence and Strategic Goods List Amendment 2012 (No. 1) [F2012L02318]</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Environment Protection and Biodiversity Conservation Act 1999</w:t>
      </w:r>
    </w:p>
    <w:p w:rsidR="001D4EA9" w:rsidRPr="001913C7" w:rsidRDefault="001D4EA9" w:rsidP="001D4EA9">
      <w:pPr>
        <w:spacing w:after="0"/>
        <w:ind w:right="-46"/>
        <w:rPr>
          <w:sz w:val="22"/>
          <w:szCs w:val="22"/>
        </w:rPr>
      </w:pPr>
      <w:r w:rsidRPr="001913C7">
        <w:rPr>
          <w:sz w:val="22"/>
          <w:szCs w:val="22"/>
        </w:rPr>
        <w:t>Amendment – List of Specimens taken to be Suitable for Live Import (13/11/2012) [F2012L02312]</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Financial Management and Accountability Act 1997</w:t>
      </w:r>
    </w:p>
    <w:p w:rsidR="001D4EA9" w:rsidRPr="001913C7" w:rsidRDefault="001D4EA9" w:rsidP="001D4EA9">
      <w:pPr>
        <w:spacing w:after="0"/>
        <w:ind w:right="-46"/>
        <w:rPr>
          <w:sz w:val="22"/>
          <w:szCs w:val="22"/>
        </w:rPr>
      </w:pPr>
      <w:r w:rsidRPr="001913C7">
        <w:rPr>
          <w:sz w:val="22"/>
          <w:szCs w:val="22"/>
        </w:rPr>
        <w:t>Financial Management and Accountability (Abolition of 27 Special Account Determinations) Determination 2012/17 [F2012L02308]</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Fisheries Management Act 1992</w:t>
      </w:r>
    </w:p>
    <w:p w:rsidR="001D4EA9" w:rsidRPr="001913C7" w:rsidRDefault="001D4EA9" w:rsidP="001D4EA9">
      <w:pPr>
        <w:spacing w:after="0"/>
        <w:ind w:right="-46"/>
        <w:rPr>
          <w:sz w:val="22"/>
          <w:szCs w:val="22"/>
        </w:rPr>
      </w:pPr>
      <w:r w:rsidRPr="001913C7">
        <w:rPr>
          <w:sz w:val="22"/>
          <w:szCs w:val="22"/>
        </w:rPr>
        <w:t>Southern Squid Jig Fishery Total Allowable Effort Determination 2012 [F2012L02337]</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Health Insurance Act 1973</w:t>
      </w:r>
    </w:p>
    <w:p w:rsidR="001D4EA9" w:rsidRPr="001913C7" w:rsidRDefault="001D4EA9" w:rsidP="001D4EA9">
      <w:pPr>
        <w:spacing w:after="0"/>
        <w:ind w:right="-46"/>
        <w:rPr>
          <w:sz w:val="22"/>
          <w:szCs w:val="22"/>
        </w:rPr>
      </w:pPr>
      <w:r w:rsidRPr="001913C7">
        <w:rPr>
          <w:sz w:val="22"/>
          <w:szCs w:val="22"/>
        </w:rPr>
        <w:t>Health Insurance (Professional Services Review) Amendment Regulation 2012 (No. 2) [Select Legislative Instrument 2012 No. 298] [F2012L02370]</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b/>
          <w:sz w:val="24"/>
          <w:szCs w:val="24"/>
        </w:rPr>
      </w:pPr>
      <w:r w:rsidRPr="004518B4">
        <w:rPr>
          <w:b/>
          <w:i/>
          <w:sz w:val="24"/>
          <w:szCs w:val="24"/>
        </w:rPr>
        <w:t>Higher Education Support Act 2003</w:t>
      </w:r>
    </w:p>
    <w:p w:rsidR="001D4EA9" w:rsidRPr="001913C7" w:rsidRDefault="001D4EA9" w:rsidP="001D4EA9">
      <w:pPr>
        <w:spacing w:after="60"/>
        <w:ind w:right="-46"/>
        <w:rPr>
          <w:sz w:val="22"/>
          <w:szCs w:val="22"/>
        </w:rPr>
      </w:pPr>
      <w:r w:rsidRPr="001913C7">
        <w:rPr>
          <w:sz w:val="22"/>
          <w:szCs w:val="22"/>
        </w:rPr>
        <w:t>Higher Education Provider Approval No. 13 of 2012 [F2012L02310]</w:t>
      </w:r>
    </w:p>
    <w:p w:rsidR="001D4EA9" w:rsidRPr="001913C7" w:rsidRDefault="001D4EA9" w:rsidP="001D4EA9">
      <w:pPr>
        <w:spacing w:after="60"/>
        <w:ind w:right="-46"/>
        <w:rPr>
          <w:sz w:val="22"/>
          <w:szCs w:val="22"/>
        </w:rPr>
      </w:pPr>
      <w:r w:rsidRPr="001913C7">
        <w:rPr>
          <w:sz w:val="22"/>
          <w:szCs w:val="22"/>
        </w:rPr>
        <w:t>Higher Education Support Act 2003 – Revocation of Approval as a Higher Education Provider (Minister for Employment, Higher Education and Skills (SA)) [F2012L02314]</w:t>
      </w:r>
    </w:p>
    <w:p w:rsidR="001D4EA9" w:rsidRPr="001913C7" w:rsidRDefault="001D4EA9" w:rsidP="001D4EA9">
      <w:pPr>
        <w:spacing w:after="60"/>
        <w:ind w:right="-46"/>
        <w:rPr>
          <w:sz w:val="22"/>
          <w:szCs w:val="22"/>
        </w:rPr>
      </w:pPr>
      <w:r w:rsidRPr="001913C7">
        <w:rPr>
          <w:sz w:val="22"/>
          <w:szCs w:val="22"/>
        </w:rPr>
        <w:t>Higher Education Support Act 2003 – VET Provider Approval (No. 25 of 2012) [F2012L02305]</w:t>
      </w:r>
    </w:p>
    <w:p w:rsidR="001D4EA9" w:rsidRPr="001913C7" w:rsidRDefault="001D4EA9" w:rsidP="001D4EA9">
      <w:pPr>
        <w:spacing w:after="0"/>
        <w:ind w:right="-46"/>
        <w:rPr>
          <w:sz w:val="22"/>
          <w:szCs w:val="22"/>
        </w:rPr>
      </w:pPr>
      <w:r w:rsidRPr="001913C7">
        <w:rPr>
          <w:sz w:val="22"/>
          <w:szCs w:val="22"/>
        </w:rPr>
        <w:t>Higher Education Support Act 2003 – VET Provider Approval (No. 26 of 2012) [F2012L02306]</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Insurance Act 1973</w:t>
      </w:r>
    </w:p>
    <w:p w:rsidR="001D4EA9" w:rsidRPr="001913C7" w:rsidRDefault="001D4EA9" w:rsidP="001D4EA9">
      <w:pPr>
        <w:spacing w:after="0"/>
        <w:ind w:right="-46"/>
        <w:rPr>
          <w:sz w:val="22"/>
          <w:szCs w:val="22"/>
        </w:rPr>
      </w:pPr>
      <w:r w:rsidRPr="001913C7">
        <w:rPr>
          <w:sz w:val="22"/>
          <w:szCs w:val="22"/>
        </w:rPr>
        <w:t>Insurance (prudential standard) determination No. 12 of 2012 – Prudential Standard GPS 310 – Audit and Related Matters [F2012L02369]</w:t>
      </w:r>
    </w:p>
    <w:p w:rsidR="001D4EA9" w:rsidRPr="004518B4" w:rsidRDefault="001D4EA9" w:rsidP="001D4EA9">
      <w:pPr>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Military Rehabilitation and Compensation Act 2004</w:t>
      </w:r>
    </w:p>
    <w:p w:rsidR="001D4EA9" w:rsidRPr="001913C7" w:rsidRDefault="001D4EA9" w:rsidP="001D4EA9">
      <w:pPr>
        <w:tabs>
          <w:tab w:val="left" w:pos="284"/>
        </w:tabs>
        <w:spacing w:after="60"/>
        <w:ind w:right="-46"/>
        <w:rPr>
          <w:sz w:val="22"/>
          <w:szCs w:val="22"/>
        </w:rPr>
      </w:pPr>
      <w:r w:rsidRPr="001913C7">
        <w:rPr>
          <w:sz w:val="22"/>
          <w:szCs w:val="22"/>
        </w:rPr>
        <w:t>Military Rehabilitation and Compensation Act Education and Training Scheme (Portability Adjustments) Determination 2012 (No. MRCC 57/2012) [F2012L02315]</w:t>
      </w:r>
    </w:p>
    <w:p w:rsidR="001D4EA9" w:rsidRPr="001913C7" w:rsidRDefault="001D4EA9" w:rsidP="001D4EA9">
      <w:pPr>
        <w:tabs>
          <w:tab w:val="left" w:pos="284"/>
        </w:tabs>
        <w:spacing w:after="0"/>
        <w:ind w:right="-46"/>
        <w:rPr>
          <w:sz w:val="22"/>
          <w:szCs w:val="22"/>
        </w:rPr>
      </w:pPr>
      <w:r w:rsidRPr="001913C7">
        <w:rPr>
          <w:sz w:val="22"/>
          <w:szCs w:val="22"/>
        </w:rPr>
        <w:t>MRCA Treatment Principles (Removal of Prior Approval/New Dental Providers/Coordinated Care Adjustment) Instrument 2012 (No. MRCC 28/2012) [F2012L02307]</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National Environment Protection Council Act 1994</w:t>
      </w:r>
    </w:p>
    <w:p w:rsidR="001D4EA9" w:rsidRPr="001913C7" w:rsidRDefault="001D4EA9" w:rsidP="001D4EA9">
      <w:pPr>
        <w:spacing w:after="0"/>
        <w:ind w:right="-46"/>
        <w:rPr>
          <w:sz w:val="22"/>
          <w:szCs w:val="22"/>
        </w:rPr>
      </w:pPr>
      <w:r w:rsidRPr="001913C7">
        <w:rPr>
          <w:sz w:val="22"/>
          <w:szCs w:val="22"/>
        </w:rPr>
        <w:t>National Environment Protection (Movement of Controlled Waste between States and Territories) Measure Minor Variation 2012 (No. 1) [F2012L02300]</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National Greenhouse and Energy Reporting Act 2007</w:t>
      </w:r>
    </w:p>
    <w:p w:rsidR="001D4EA9" w:rsidRPr="001913C7" w:rsidRDefault="001D4EA9" w:rsidP="001D4EA9">
      <w:pPr>
        <w:spacing w:after="0"/>
        <w:ind w:right="-46"/>
        <w:rPr>
          <w:sz w:val="22"/>
          <w:szCs w:val="22"/>
        </w:rPr>
      </w:pPr>
      <w:r w:rsidRPr="001913C7">
        <w:rPr>
          <w:sz w:val="22"/>
          <w:szCs w:val="22"/>
        </w:rPr>
        <w:t>National Greenhouse and Energy Reporting (Auditor Registration) Instrument 2012 [F2012L02295]</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National Health Act 1953</w:t>
      </w:r>
    </w:p>
    <w:p w:rsidR="001D4EA9" w:rsidRPr="001913C7" w:rsidRDefault="001D4EA9" w:rsidP="001D4EA9">
      <w:pPr>
        <w:tabs>
          <w:tab w:val="left" w:pos="284"/>
        </w:tabs>
        <w:spacing w:after="60"/>
        <w:ind w:right="-46"/>
        <w:rPr>
          <w:sz w:val="22"/>
          <w:szCs w:val="22"/>
        </w:rPr>
      </w:pPr>
      <w:r w:rsidRPr="001913C7">
        <w:rPr>
          <w:sz w:val="22"/>
          <w:szCs w:val="22"/>
        </w:rPr>
        <w:t>National Health Act 1953 – Amendment Determination under paragraph 98C(1)(b) (No. PB 95 of 2012) [F2012L02287]</w:t>
      </w:r>
    </w:p>
    <w:p w:rsidR="001D4EA9" w:rsidRPr="001913C7" w:rsidRDefault="001D4EA9" w:rsidP="001D4EA9">
      <w:pPr>
        <w:tabs>
          <w:tab w:val="left" w:pos="284"/>
        </w:tabs>
        <w:spacing w:after="60"/>
        <w:ind w:right="-46"/>
        <w:rPr>
          <w:sz w:val="22"/>
          <w:szCs w:val="22"/>
        </w:rPr>
      </w:pPr>
      <w:r w:rsidRPr="001913C7">
        <w:rPr>
          <w:sz w:val="22"/>
          <w:szCs w:val="22"/>
        </w:rPr>
        <w:t xml:space="preserve">National Health Act 1953 – Amendment Determination under section 84AH (2012) (No. 3) </w:t>
      </w:r>
      <w:r>
        <w:rPr>
          <w:sz w:val="22"/>
          <w:szCs w:val="22"/>
        </w:rPr>
        <w:br/>
      </w:r>
      <w:r w:rsidRPr="001913C7">
        <w:rPr>
          <w:sz w:val="22"/>
          <w:szCs w:val="22"/>
        </w:rPr>
        <w:t>(No. PB 103 of 2012) [F2012L02285]</w:t>
      </w:r>
    </w:p>
    <w:p w:rsidR="001D4EA9" w:rsidRPr="001913C7" w:rsidRDefault="001D4EA9" w:rsidP="001D4EA9">
      <w:pPr>
        <w:tabs>
          <w:tab w:val="left" w:pos="284"/>
        </w:tabs>
        <w:spacing w:after="60"/>
        <w:ind w:right="-46"/>
        <w:rPr>
          <w:sz w:val="22"/>
          <w:szCs w:val="22"/>
        </w:rPr>
      </w:pPr>
      <w:r w:rsidRPr="001913C7">
        <w:rPr>
          <w:sz w:val="22"/>
          <w:szCs w:val="22"/>
        </w:rPr>
        <w:t>National Health (Efficient Funding of Chemotherapy) Special Arrangement Amendment Instrument 2012 (No. 9) (No. PB 97 of 2012) [F2012L02290]</w:t>
      </w:r>
    </w:p>
    <w:p w:rsidR="001D4EA9" w:rsidRPr="001913C7" w:rsidRDefault="001D4EA9" w:rsidP="001D4EA9">
      <w:pPr>
        <w:tabs>
          <w:tab w:val="left" w:pos="284"/>
        </w:tabs>
        <w:spacing w:after="60"/>
        <w:ind w:right="-46"/>
        <w:rPr>
          <w:sz w:val="22"/>
          <w:szCs w:val="22"/>
        </w:rPr>
      </w:pPr>
      <w:r w:rsidRPr="001913C7">
        <w:rPr>
          <w:sz w:val="22"/>
          <w:szCs w:val="22"/>
        </w:rPr>
        <w:lastRenderedPageBreak/>
        <w:t>National Health (Highly specialised drugs program for hospitals) Special Arrangement Amendment Instrument 2012 (No. 1) (No. PB 106 of 2012) [F2012L02286]</w:t>
      </w:r>
    </w:p>
    <w:p w:rsidR="001D4EA9" w:rsidRPr="001913C7" w:rsidRDefault="001D4EA9" w:rsidP="001D4EA9">
      <w:pPr>
        <w:tabs>
          <w:tab w:val="left" w:pos="284"/>
        </w:tabs>
        <w:spacing w:after="60"/>
        <w:ind w:right="-46"/>
        <w:rPr>
          <w:sz w:val="22"/>
          <w:szCs w:val="22"/>
        </w:rPr>
      </w:pPr>
      <w:r w:rsidRPr="001913C7">
        <w:rPr>
          <w:sz w:val="22"/>
          <w:szCs w:val="22"/>
        </w:rPr>
        <w:t>National Health (Listed drugs on F1 or F2) Amendment Determination 2012 (No. 8) (No. PB 99 of 2012) [F2012L02282]</w:t>
      </w:r>
    </w:p>
    <w:p w:rsidR="001D4EA9" w:rsidRPr="001913C7" w:rsidRDefault="001D4EA9" w:rsidP="001D4EA9">
      <w:pPr>
        <w:tabs>
          <w:tab w:val="left" w:pos="284"/>
        </w:tabs>
        <w:spacing w:after="60"/>
        <w:ind w:right="-46"/>
        <w:rPr>
          <w:sz w:val="22"/>
          <w:szCs w:val="22"/>
        </w:rPr>
      </w:pPr>
      <w:r w:rsidRPr="001913C7">
        <w:rPr>
          <w:sz w:val="22"/>
          <w:szCs w:val="22"/>
        </w:rPr>
        <w:t>National Health (Listing of Pharmaceutical Benefits) Amendment Instrument 2012 (No. 8) (No. PB 93 of 2012) [F2012L02291]</w:t>
      </w:r>
    </w:p>
    <w:p w:rsidR="001D4EA9" w:rsidRPr="001913C7" w:rsidRDefault="001D4EA9" w:rsidP="001D4EA9">
      <w:pPr>
        <w:tabs>
          <w:tab w:val="left" w:pos="284"/>
        </w:tabs>
        <w:spacing w:after="60"/>
        <w:ind w:right="-46"/>
        <w:rPr>
          <w:sz w:val="22"/>
          <w:szCs w:val="22"/>
        </w:rPr>
      </w:pPr>
      <w:r w:rsidRPr="001913C7">
        <w:rPr>
          <w:sz w:val="22"/>
          <w:szCs w:val="22"/>
        </w:rPr>
        <w:t>National Health Act (Pharmaceutical Benefits – Early Supply) Amendment December 2012 – specification under subsection 84AAA(2) (No. PB 104 of 2012) [F2012L02292]</w:t>
      </w:r>
    </w:p>
    <w:p w:rsidR="001D4EA9" w:rsidRPr="001913C7" w:rsidRDefault="001D4EA9" w:rsidP="001D4EA9">
      <w:pPr>
        <w:tabs>
          <w:tab w:val="left" w:pos="284"/>
        </w:tabs>
        <w:spacing w:after="60"/>
        <w:ind w:right="-46"/>
        <w:rPr>
          <w:sz w:val="22"/>
          <w:szCs w:val="22"/>
        </w:rPr>
      </w:pPr>
      <w:r w:rsidRPr="001913C7">
        <w:rPr>
          <w:sz w:val="22"/>
          <w:szCs w:val="22"/>
        </w:rPr>
        <w:t>National Health (Prescriber bag supplies) Amendment Determination 2012 (No. 1) (No. PB 100 of 2012) [F2012L02289]</w:t>
      </w:r>
    </w:p>
    <w:p w:rsidR="001D4EA9" w:rsidRPr="001913C7" w:rsidRDefault="001D4EA9" w:rsidP="001D4EA9">
      <w:pPr>
        <w:tabs>
          <w:tab w:val="left" w:pos="284"/>
        </w:tabs>
        <w:spacing w:after="0"/>
        <w:ind w:right="-46"/>
        <w:rPr>
          <w:sz w:val="22"/>
          <w:szCs w:val="22"/>
        </w:rPr>
      </w:pPr>
      <w:r w:rsidRPr="001913C7">
        <w:rPr>
          <w:sz w:val="22"/>
          <w:szCs w:val="22"/>
        </w:rPr>
        <w:t>National Health (Price and Special Patient Contribution) Amendment Determination 2012 (No. 7) (No. PB 94 of 2012) [F2012L02284]</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b/>
          <w:i/>
          <w:sz w:val="24"/>
          <w:szCs w:val="24"/>
        </w:rPr>
      </w:pPr>
      <w:r w:rsidRPr="004518B4">
        <w:rPr>
          <w:b/>
          <w:i/>
          <w:sz w:val="24"/>
          <w:szCs w:val="24"/>
        </w:rPr>
        <w:t>National Vocational Education and Training Regulator Act 2011</w:t>
      </w:r>
    </w:p>
    <w:p w:rsidR="001D4EA9" w:rsidRPr="001913C7" w:rsidRDefault="001D4EA9" w:rsidP="001D4EA9">
      <w:pPr>
        <w:spacing w:after="0"/>
        <w:ind w:right="-46"/>
        <w:rPr>
          <w:sz w:val="22"/>
          <w:szCs w:val="22"/>
        </w:rPr>
      </w:pPr>
      <w:r w:rsidRPr="001913C7">
        <w:rPr>
          <w:sz w:val="22"/>
          <w:szCs w:val="22"/>
        </w:rPr>
        <w:t>ASQA Authorised Officer Requirements [F2012L02326]</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Taxation Administration Act 1953</w:t>
      </w:r>
    </w:p>
    <w:p w:rsidR="001D4EA9" w:rsidRPr="001913C7" w:rsidRDefault="001D4EA9" w:rsidP="001D4EA9">
      <w:pPr>
        <w:spacing w:after="0"/>
        <w:ind w:right="-46"/>
        <w:rPr>
          <w:sz w:val="22"/>
          <w:szCs w:val="22"/>
        </w:rPr>
      </w:pPr>
      <w:r w:rsidRPr="001913C7">
        <w:rPr>
          <w:sz w:val="22"/>
          <w:szCs w:val="22"/>
        </w:rPr>
        <w:t>Taxation Administration Act 1953 – Notice of exemption from providing payment summaries to passbook account holders [F2012L02333]</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Veterans' Entitlements Act 1986</w:t>
      </w:r>
    </w:p>
    <w:p w:rsidR="001D4EA9" w:rsidRPr="001913C7" w:rsidRDefault="001D4EA9" w:rsidP="001D4EA9">
      <w:pPr>
        <w:spacing w:after="60"/>
        <w:ind w:right="-46"/>
        <w:rPr>
          <w:sz w:val="22"/>
          <w:szCs w:val="22"/>
        </w:rPr>
      </w:pPr>
      <w:r w:rsidRPr="001913C7">
        <w:rPr>
          <w:sz w:val="22"/>
          <w:szCs w:val="22"/>
        </w:rPr>
        <w:t>Veterans' Entitlements (Treatment Principles – Removal of Prior Approval/New Dental Providers/Coordinated Care Adjustment) 2012 (No. R27/2012) [F2012L02309]</w:t>
      </w:r>
    </w:p>
    <w:p w:rsidR="001D4EA9" w:rsidRPr="001913C7" w:rsidRDefault="001D4EA9" w:rsidP="001D4EA9">
      <w:pPr>
        <w:spacing w:after="0"/>
        <w:ind w:right="-46"/>
        <w:rPr>
          <w:sz w:val="22"/>
          <w:szCs w:val="22"/>
        </w:rPr>
      </w:pPr>
      <w:r w:rsidRPr="001913C7">
        <w:rPr>
          <w:sz w:val="22"/>
          <w:szCs w:val="22"/>
        </w:rPr>
        <w:t>Veterans' Entitlements (Veterans' Children Education Scheme – Portability Adjustments) Instrument 2012 (No. R56/2012) [F2012L02313]</w:t>
      </w:r>
    </w:p>
    <w:p w:rsidR="001D4EA9" w:rsidRPr="00C45C72" w:rsidRDefault="001D4EA9" w:rsidP="001D4EA9">
      <w:pPr>
        <w:pStyle w:val="Heading3"/>
        <w:tabs>
          <w:tab w:val="left" w:pos="284"/>
        </w:tabs>
        <w:spacing w:before="360" w:after="360"/>
        <w:ind w:right="-46"/>
        <w:jc w:val="center"/>
        <w:rPr>
          <w:u w:val="single"/>
        </w:rPr>
      </w:pPr>
      <w:r w:rsidRPr="00C45C72">
        <w:rPr>
          <w:u w:val="single"/>
        </w:rPr>
        <w:t xml:space="preserve">Instruments received week ending </w:t>
      </w:r>
      <w:r>
        <w:rPr>
          <w:u w:val="single"/>
        </w:rPr>
        <w:t>4 January 2013</w:t>
      </w:r>
    </w:p>
    <w:p w:rsidR="001D4EA9" w:rsidRPr="004518B4" w:rsidRDefault="001D4EA9" w:rsidP="00D90170">
      <w:pPr>
        <w:tabs>
          <w:tab w:val="left" w:pos="284"/>
        </w:tabs>
        <w:spacing w:after="120"/>
        <w:ind w:right="-45"/>
        <w:rPr>
          <w:sz w:val="24"/>
          <w:szCs w:val="24"/>
        </w:rPr>
      </w:pPr>
      <w:r w:rsidRPr="004518B4">
        <w:rPr>
          <w:b/>
          <w:i/>
          <w:sz w:val="24"/>
          <w:szCs w:val="24"/>
        </w:rPr>
        <w:t>Australian Broadcasting Corporation Act 1983</w:t>
      </w:r>
    </w:p>
    <w:p w:rsidR="001D4EA9" w:rsidRPr="00C943B2" w:rsidRDefault="001D4EA9" w:rsidP="001D4EA9">
      <w:pPr>
        <w:tabs>
          <w:tab w:val="left" w:pos="284"/>
        </w:tabs>
        <w:spacing w:after="0"/>
        <w:ind w:right="-46"/>
        <w:rPr>
          <w:color w:val="000000"/>
          <w:sz w:val="22"/>
          <w:szCs w:val="22"/>
        </w:rPr>
      </w:pPr>
      <w:r w:rsidRPr="00C943B2">
        <w:rPr>
          <w:color w:val="000000"/>
          <w:sz w:val="22"/>
          <w:szCs w:val="22"/>
        </w:rPr>
        <w:t>Australian Broadcasting Corporation (Election of Staff-elected Director) Regulation 2012 [Select Legislative Instrument 2012 No. 285] [F2012L02400]</w:t>
      </w:r>
    </w:p>
    <w:p w:rsidR="001D4EA9" w:rsidRPr="004518B4" w:rsidRDefault="001D4EA9" w:rsidP="001D4EA9">
      <w:pPr>
        <w:tabs>
          <w:tab w:val="left" w:pos="284"/>
        </w:tabs>
        <w:spacing w:after="0"/>
        <w:ind w:right="-46"/>
        <w:rPr>
          <w:color w:val="000000"/>
          <w:sz w:val="20"/>
        </w:rPr>
      </w:pPr>
    </w:p>
    <w:p w:rsidR="001D4EA9" w:rsidRPr="004518B4" w:rsidRDefault="001D4EA9" w:rsidP="00D90170">
      <w:pPr>
        <w:tabs>
          <w:tab w:val="left" w:pos="284"/>
        </w:tabs>
        <w:spacing w:after="120"/>
        <w:ind w:right="-45"/>
        <w:rPr>
          <w:sz w:val="24"/>
          <w:szCs w:val="24"/>
        </w:rPr>
      </w:pPr>
      <w:r w:rsidRPr="004518B4">
        <w:rPr>
          <w:b/>
          <w:i/>
          <w:sz w:val="24"/>
          <w:szCs w:val="24"/>
        </w:rPr>
        <w:t>Australian Meat and Live-stock Industry Act 1997</w:t>
      </w:r>
    </w:p>
    <w:p w:rsidR="001D4EA9" w:rsidRPr="00C943B2" w:rsidRDefault="001D4EA9" w:rsidP="001D4EA9">
      <w:pPr>
        <w:spacing w:after="0"/>
        <w:ind w:right="-46"/>
        <w:rPr>
          <w:color w:val="000000"/>
          <w:sz w:val="22"/>
          <w:szCs w:val="22"/>
        </w:rPr>
      </w:pPr>
      <w:r w:rsidRPr="00C943B2">
        <w:rPr>
          <w:color w:val="000000"/>
          <w:sz w:val="22"/>
          <w:szCs w:val="22"/>
        </w:rPr>
        <w:t>Australian Meat and Live-stock Industry (Beef Export to the USA-Quota Year 2013) Order 2012 [F2012L02418]</w:t>
      </w:r>
    </w:p>
    <w:p w:rsidR="001D4EA9" w:rsidRPr="004518B4" w:rsidRDefault="001D4EA9" w:rsidP="001D4EA9">
      <w:pPr>
        <w:tabs>
          <w:tab w:val="left" w:pos="284"/>
        </w:tabs>
        <w:spacing w:after="0"/>
        <w:ind w:right="-46"/>
        <w:rPr>
          <w:b/>
          <w:sz w:val="20"/>
        </w:rPr>
      </w:pPr>
    </w:p>
    <w:p w:rsidR="001D4EA9" w:rsidRPr="004518B4" w:rsidRDefault="001D4EA9" w:rsidP="00D90170">
      <w:pPr>
        <w:tabs>
          <w:tab w:val="left" w:pos="284"/>
        </w:tabs>
        <w:spacing w:after="120"/>
        <w:ind w:right="-45"/>
        <w:rPr>
          <w:sz w:val="24"/>
          <w:szCs w:val="24"/>
        </w:rPr>
      </w:pPr>
      <w:r w:rsidRPr="004518B4">
        <w:rPr>
          <w:b/>
          <w:i/>
          <w:sz w:val="24"/>
          <w:szCs w:val="24"/>
        </w:rPr>
        <w:t>Australian National Registry of Emissions Units Act 2011</w:t>
      </w:r>
    </w:p>
    <w:p w:rsidR="001D4EA9" w:rsidRPr="00C943B2" w:rsidRDefault="001D4EA9" w:rsidP="001D4EA9">
      <w:pPr>
        <w:spacing w:after="0"/>
        <w:ind w:right="-46"/>
        <w:rPr>
          <w:color w:val="000000"/>
          <w:sz w:val="22"/>
          <w:szCs w:val="22"/>
        </w:rPr>
      </w:pPr>
      <w:r w:rsidRPr="00C943B2">
        <w:rPr>
          <w:color w:val="000000"/>
          <w:sz w:val="22"/>
          <w:szCs w:val="22"/>
        </w:rPr>
        <w:t>Australian National Registry of Emissions Units Amendment Regulation 2012 (No. 3) [Select Legislative Instrument 2012 No. 288] [F2012L02443]</w:t>
      </w:r>
    </w:p>
    <w:p w:rsidR="001D4EA9" w:rsidRPr="004518B4" w:rsidRDefault="001D4EA9" w:rsidP="001D4EA9">
      <w:pPr>
        <w:tabs>
          <w:tab w:val="left" w:pos="284"/>
        </w:tabs>
        <w:spacing w:after="0"/>
        <w:ind w:right="-46"/>
        <w:rPr>
          <w:sz w:val="20"/>
        </w:rPr>
      </w:pPr>
    </w:p>
    <w:p w:rsidR="001D4EA9" w:rsidRPr="004518B4" w:rsidRDefault="001D4EA9" w:rsidP="00D90170">
      <w:pPr>
        <w:tabs>
          <w:tab w:val="left" w:pos="284"/>
        </w:tabs>
        <w:spacing w:after="120"/>
        <w:ind w:right="-45"/>
        <w:rPr>
          <w:sz w:val="24"/>
          <w:szCs w:val="24"/>
        </w:rPr>
      </w:pPr>
      <w:r w:rsidRPr="004518B4">
        <w:rPr>
          <w:b/>
          <w:i/>
          <w:sz w:val="24"/>
          <w:szCs w:val="24"/>
        </w:rPr>
        <w:t>Australian Prudential Regulation Authority Act 1998</w:t>
      </w:r>
    </w:p>
    <w:p w:rsidR="001D4EA9" w:rsidRPr="00C943B2" w:rsidRDefault="001D4EA9" w:rsidP="001D4EA9">
      <w:pPr>
        <w:spacing w:after="60"/>
        <w:ind w:right="-46"/>
        <w:rPr>
          <w:color w:val="000000"/>
          <w:sz w:val="22"/>
          <w:szCs w:val="22"/>
        </w:rPr>
      </w:pPr>
      <w:r w:rsidRPr="00C943B2">
        <w:rPr>
          <w:color w:val="000000"/>
          <w:sz w:val="22"/>
          <w:szCs w:val="22"/>
        </w:rPr>
        <w:t>Australian Prudential Regulation Authority (confidentiality) determination No. 23 of 2012 [F2012L02373]</w:t>
      </w:r>
    </w:p>
    <w:p w:rsidR="001D4EA9" w:rsidRPr="00C943B2" w:rsidRDefault="001D4EA9" w:rsidP="001D4EA9">
      <w:pPr>
        <w:spacing w:after="0"/>
        <w:ind w:right="-46"/>
        <w:rPr>
          <w:color w:val="000000"/>
          <w:sz w:val="22"/>
          <w:szCs w:val="22"/>
        </w:rPr>
      </w:pPr>
      <w:r w:rsidRPr="00C943B2">
        <w:rPr>
          <w:color w:val="000000"/>
          <w:sz w:val="22"/>
          <w:szCs w:val="22"/>
        </w:rPr>
        <w:t>Australian Prudential Regulation Authority (confidentiality) determination No. 24 of 2012 [F2012L02351]</w:t>
      </w:r>
    </w:p>
    <w:p w:rsidR="001D4EA9" w:rsidRPr="004E69CF" w:rsidRDefault="001D4EA9" w:rsidP="001D4EA9">
      <w:pPr>
        <w:tabs>
          <w:tab w:val="left" w:pos="284"/>
        </w:tabs>
        <w:spacing w:after="0"/>
        <w:ind w:right="-46"/>
        <w:rPr>
          <w:sz w:val="20"/>
        </w:rPr>
      </w:pPr>
    </w:p>
    <w:p w:rsidR="001D4EA9" w:rsidRDefault="001D4EA9" w:rsidP="001D4EA9">
      <w:pPr>
        <w:spacing w:after="0"/>
        <w:jc w:val="left"/>
        <w:rPr>
          <w:b/>
          <w:i/>
          <w:sz w:val="24"/>
          <w:szCs w:val="24"/>
        </w:rPr>
      </w:pPr>
      <w:r>
        <w:rPr>
          <w:b/>
          <w:i/>
          <w:sz w:val="24"/>
          <w:szCs w:val="24"/>
        </w:rPr>
        <w:br w:type="page"/>
      </w:r>
    </w:p>
    <w:p w:rsidR="001D4EA9" w:rsidRPr="004E69CF" w:rsidRDefault="001D4EA9" w:rsidP="00D90170">
      <w:pPr>
        <w:tabs>
          <w:tab w:val="left" w:pos="284"/>
        </w:tabs>
        <w:spacing w:after="120"/>
        <w:ind w:right="-45"/>
        <w:rPr>
          <w:sz w:val="24"/>
          <w:szCs w:val="24"/>
        </w:rPr>
      </w:pPr>
      <w:r w:rsidRPr="004E69CF">
        <w:rPr>
          <w:b/>
          <w:i/>
          <w:sz w:val="24"/>
          <w:szCs w:val="24"/>
        </w:rPr>
        <w:lastRenderedPageBreak/>
        <w:t>Australian Sports Anti-Doping Authority Act 2006</w:t>
      </w:r>
    </w:p>
    <w:p w:rsidR="001D4EA9" w:rsidRPr="00C943B2" w:rsidRDefault="001D4EA9" w:rsidP="001D4EA9">
      <w:pPr>
        <w:spacing w:after="0"/>
        <w:ind w:right="-46"/>
        <w:rPr>
          <w:color w:val="000000"/>
          <w:sz w:val="22"/>
          <w:szCs w:val="22"/>
        </w:rPr>
      </w:pPr>
      <w:r w:rsidRPr="00C943B2">
        <w:rPr>
          <w:color w:val="000000"/>
          <w:sz w:val="22"/>
          <w:szCs w:val="22"/>
        </w:rPr>
        <w:t>Australian Sports Anti-Doping Authority Amendment Regulation 2012 (No. 1) [Select Legislative Instrument 2012 No. 307] [F2012L02385]</w:t>
      </w:r>
    </w:p>
    <w:p w:rsidR="001D4EA9" w:rsidRPr="004E69CF" w:rsidRDefault="001D4EA9" w:rsidP="001D4EA9">
      <w:pPr>
        <w:tabs>
          <w:tab w:val="left" w:pos="284"/>
        </w:tabs>
        <w:spacing w:after="0"/>
        <w:ind w:right="-46"/>
        <w:rPr>
          <w:color w:val="000000"/>
          <w:sz w:val="20"/>
        </w:rPr>
      </w:pPr>
    </w:p>
    <w:p w:rsidR="001D4EA9" w:rsidRPr="004E69CF" w:rsidRDefault="001D4EA9" w:rsidP="00D90170">
      <w:pPr>
        <w:tabs>
          <w:tab w:val="left" w:pos="284"/>
        </w:tabs>
        <w:spacing w:after="120"/>
        <w:ind w:right="-45"/>
        <w:rPr>
          <w:b/>
          <w:sz w:val="24"/>
          <w:szCs w:val="24"/>
        </w:rPr>
      </w:pPr>
      <w:r w:rsidRPr="004E69CF">
        <w:rPr>
          <w:b/>
          <w:i/>
          <w:sz w:val="24"/>
          <w:szCs w:val="24"/>
        </w:rPr>
        <w:t>Aviation Transport Security Act 2004</w:t>
      </w:r>
    </w:p>
    <w:p w:rsidR="001D4EA9" w:rsidRPr="00C943B2" w:rsidRDefault="001D4EA9" w:rsidP="001D4EA9">
      <w:pPr>
        <w:spacing w:after="0"/>
        <w:ind w:right="-46"/>
        <w:rPr>
          <w:color w:val="000000"/>
          <w:sz w:val="22"/>
          <w:szCs w:val="22"/>
        </w:rPr>
      </w:pPr>
      <w:r w:rsidRPr="00C943B2">
        <w:rPr>
          <w:color w:val="000000"/>
          <w:sz w:val="22"/>
          <w:szCs w:val="22"/>
        </w:rPr>
        <w:t>Aviation Transport Security Amendment Regulation 2012 (No. 6) [Select Legislative Instrument 2012 No. 304] [F2012L02424]</w:t>
      </w:r>
    </w:p>
    <w:p w:rsidR="001D4EA9" w:rsidRPr="004E69CF" w:rsidRDefault="001D4EA9" w:rsidP="001D4EA9">
      <w:pPr>
        <w:tabs>
          <w:tab w:val="left" w:pos="284"/>
        </w:tabs>
        <w:spacing w:after="0"/>
        <w:ind w:right="-46"/>
        <w:rPr>
          <w:color w:val="000000"/>
          <w:sz w:val="20"/>
        </w:rPr>
      </w:pPr>
    </w:p>
    <w:p w:rsidR="001D4EA9" w:rsidRPr="004E69CF" w:rsidRDefault="001D4EA9" w:rsidP="00D90170">
      <w:pPr>
        <w:tabs>
          <w:tab w:val="left" w:pos="284"/>
        </w:tabs>
        <w:spacing w:after="120"/>
        <w:ind w:right="-45"/>
        <w:rPr>
          <w:sz w:val="24"/>
          <w:szCs w:val="24"/>
        </w:rPr>
      </w:pPr>
      <w:r w:rsidRPr="004E69CF">
        <w:rPr>
          <w:b/>
          <w:i/>
          <w:sz w:val="24"/>
          <w:szCs w:val="24"/>
        </w:rPr>
        <w:t>Banking Act 1959</w:t>
      </w:r>
    </w:p>
    <w:p w:rsidR="001D4EA9" w:rsidRPr="00C943B2" w:rsidRDefault="001D4EA9" w:rsidP="001D4EA9">
      <w:pPr>
        <w:spacing w:after="60"/>
        <w:ind w:right="-46"/>
        <w:rPr>
          <w:color w:val="000000"/>
          <w:sz w:val="22"/>
          <w:szCs w:val="22"/>
        </w:rPr>
      </w:pPr>
      <w:r w:rsidRPr="00C943B2">
        <w:rPr>
          <w:color w:val="000000"/>
          <w:sz w:val="22"/>
          <w:szCs w:val="22"/>
        </w:rPr>
        <w:t>Banking, Insurance and Life Insurance (prudential standard) determination No. 1 of 2012 - Prudential Standard CPS 231 – Outsourcing [F2012L02439]</w:t>
      </w:r>
    </w:p>
    <w:p w:rsidR="001D4EA9" w:rsidRPr="00C943B2" w:rsidRDefault="001D4EA9" w:rsidP="001D4EA9">
      <w:pPr>
        <w:spacing w:after="60"/>
        <w:ind w:right="-46"/>
        <w:rPr>
          <w:color w:val="000000"/>
          <w:sz w:val="22"/>
          <w:szCs w:val="22"/>
        </w:rPr>
      </w:pPr>
      <w:r w:rsidRPr="00C943B2">
        <w:rPr>
          <w:color w:val="000000"/>
          <w:sz w:val="22"/>
          <w:szCs w:val="22"/>
        </w:rPr>
        <w:t>Banking, Insurance and Life Insurance (prudential standard) determination No. 2 of 2012 - Prudential Standard CPS 232 - Business Continuity Management [F2012L02440]</w:t>
      </w:r>
    </w:p>
    <w:p w:rsidR="001D4EA9" w:rsidRPr="00C943B2" w:rsidRDefault="001D4EA9" w:rsidP="001D4EA9">
      <w:pPr>
        <w:spacing w:after="60"/>
        <w:ind w:right="-46"/>
        <w:rPr>
          <w:color w:val="000000"/>
          <w:sz w:val="22"/>
          <w:szCs w:val="22"/>
        </w:rPr>
      </w:pPr>
      <w:r w:rsidRPr="00C943B2">
        <w:rPr>
          <w:color w:val="000000"/>
          <w:sz w:val="22"/>
          <w:szCs w:val="22"/>
        </w:rPr>
        <w:t>Banking, Insurance and Life Insurance (prudential standard) determination No. 3 of 2012 - Prudential Standard CPS 510 – Governance [F2012L02441]</w:t>
      </w:r>
    </w:p>
    <w:p w:rsidR="001D4EA9" w:rsidRPr="00C943B2" w:rsidRDefault="001D4EA9" w:rsidP="001D4EA9">
      <w:pPr>
        <w:spacing w:after="60"/>
        <w:ind w:right="-46"/>
        <w:rPr>
          <w:color w:val="000000"/>
          <w:sz w:val="22"/>
          <w:szCs w:val="22"/>
        </w:rPr>
      </w:pPr>
      <w:r w:rsidRPr="00C943B2">
        <w:rPr>
          <w:color w:val="000000"/>
          <w:sz w:val="22"/>
          <w:szCs w:val="22"/>
        </w:rPr>
        <w:t>Banking, Insurance and Life Insurance (prudential standard) determination No. 4 of 2012 - Prudential Standard CPS 520 - Fit and Proper [F2012L02445]</w:t>
      </w:r>
    </w:p>
    <w:p w:rsidR="001D4EA9" w:rsidRPr="00C943B2" w:rsidRDefault="001D4EA9" w:rsidP="001D4EA9">
      <w:pPr>
        <w:spacing w:after="60"/>
        <w:ind w:right="-46"/>
        <w:rPr>
          <w:color w:val="000000"/>
          <w:sz w:val="22"/>
          <w:szCs w:val="22"/>
        </w:rPr>
      </w:pPr>
      <w:r w:rsidRPr="00C943B2">
        <w:rPr>
          <w:color w:val="000000"/>
          <w:sz w:val="22"/>
          <w:szCs w:val="22"/>
        </w:rPr>
        <w:t>Banking (prudential standard) determination No. 15 of 2012 - Prudential Standard APS 310 - Audit and Related Matters [F2012L02343]</w:t>
      </w:r>
    </w:p>
    <w:p w:rsidR="001D4EA9" w:rsidRPr="00C943B2" w:rsidRDefault="001D4EA9" w:rsidP="001D4EA9">
      <w:pPr>
        <w:spacing w:after="60"/>
        <w:ind w:right="-46"/>
        <w:rPr>
          <w:color w:val="000000"/>
          <w:sz w:val="22"/>
          <w:szCs w:val="22"/>
        </w:rPr>
      </w:pPr>
      <w:r w:rsidRPr="00C943B2">
        <w:rPr>
          <w:color w:val="000000"/>
          <w:sz w:val="22"/>
          <w:szCs w:val="22"/>
        </w:rPr>
        <w:t>Banking (prudential standard) determination No. 17 of 2012 - Prudential Standard APS 610 - Prudential Requirements for Providers of Purchased Payment Facilities [F2012L02346]</w:t>
      </w:r>
    </w:p>
    <w:p w:rsidR="001D4EA9" w:rsidRPr="00C943B2" w:rsidRDefault="001D4EA9" w:rsidP="001D4EA9">
      <w:pPr>
        <w:spacing w:after="0"/>
        <w:ind w:right="-46"/>
        <w:rPr>
          <w:color w:val="000000"/>
          <w:sz w:val="22"/>
          <w:szCs w:val="22"/>
        </w:rPr>
      </w:pPr>
      <w:r w:rsidRPr="00C943B2">
        <w:rPr>
          <w:color w:val="000000"/>
          <w:sz w:val="22"/>
          <w:szCs w:val="22"/>
        </w:rPr>
        <w:t>Banking Sector Legislation Amendment Regulation 2012 (No. 1) [Select Legislative Instrument 2012 No. 319] [F2012L02397]</w:t>
      </w:r>
    </w:p>
    <w:p w:rsidR="001D4EA9" w:rsidRPr="004E69CF" w:rsidRDefault="001D4EA9" w:rsidP="001D4EA9">
      <w:pPr>
        <w:tabs>
          <w:tab w:val="left" w:pos="284"/>
        </w:tabs>
        <w:spacing w:after="0"/>
        <w:ind w:right="-46"/>
        <w:rPr>
          <w:color w:val="000000"/>
          <w:sz w:val="20"/>
        </w:rPr>
      </w:pPr>
    </w:p>
    <w:p w:rsidR="001D4EA9" w:rsidRPr="004E69CF" w:rsidRDefault="001D4EA9" w:rsidP="00D90170">
      <w:pPr>
        <w:tabs>
          <w:tab w:val="left" w:pos="284"/>
        </w:tabs>
        <w:spacing w:after="120"/>
        <w:ind w:right="-45"/>
        <w:rPr>
          <w:sz w:val="24"/>
          <w:szCs w:val="24"/>
        </w:rPr>
      </w:pPr>
      <w:r w:rsidRPr="004E69CF">
        <w:rPr>
          <w:b/>
          <w:i/>
          <w:sz w:val="24"/>
          <w:szCs w:val="24"/>
        </w:rPr>
        <w:t>Broadcasting Services Act 1992</w:t>
      </w:r>
    </w:p>
    <w:p w:rsidR="001D4EA9" w:rsidRPr="00C943B2" w:rsidRDefault="001D4EA9" w:rsidP="001D4EA9">
      <w:pPr>
        <w:spacing w:after="60"/>
        <w:ind w:right="-46"/>
        <w:rPr>
          <w:color w:val="000000"/>
          <w:sz w:val="22"/>
          <w:szCs w:val="22"/>
        </w:rPr>
      </w:pPr>
      <w:r w:rsidRPr="00C943B2">
        <w:rPr>
          <w:color w:val="000000"/>
          <w:sz w:val="22"/>
          <w:szCs w:val="22"/>
        </w:rPr>
        <w:t>Broadcasting Services (Regional Commercial Radio - Specification of Periods for Subsections 43C(1A) and 61CD(2)) Instrument 2012 [F2012L02471]</w:t>
      </w:r>
    </w:p>
    <w:p w:rsidR="001D4EA9" w:rsidRPr="00C943B2" w:rsidRDefault="001D4EA9" w:rsidP="001D4EA9">
      <w:pPr>
        <w:spacing w:after="60"/>
        <w:ind w:right="-46"/>
        <w:rPr>
          <w:color w:val="000000"/>
          <w:sz w:val="22"/>
          <w:szCs w:val="22"/>
        </w:rPr>
      </w:pPr>
      <w:r w:rsidRPr="00C943B2">
        <w:rPr>
          <w:color w:val="000000"/>
          <w:sz w:val="22"/>
          <w:szCs w:val="22"/>
        </w:rPr>
        <w:t>Television Licence Area Plan (Adelaide) 2012 [F2012L02437]</w:t>
      </w:r>
    </w:p>
    <w:p w:rsidR="001D4EA9" w:rsidRPr="00C943B2" w:rsidRDefault="001D4EA9" w:rsidP="001D4EA9">
      <w:pPr>
        <w:spacing w:after="60"/>
        <w:ind w:right="-46"/>
        <w:rPr>
          <w:color w:val="000000"/>
          <w:sz w:val="22"/>
          <w:szCs w:val="22"/>
        </w:rPr>
      </w:pPr>
      <w:r w:rsidRPr="00C943B2">
        <w:rPr>
          <w:color w:val="000000"/>
          <w:sz w:val="22"/>
          <w:szCs w:val="22"/>
        </w:rPr>
        <w:t>Television Licence Area Plan (Melbourne) 2012 [F2012L02431]</w:t>
      </w:r>
    </w:p>
    <w:p w:rsidR="001D4EA9" w:rsidRPr="00C943B2" w:rsidRDefault="001D4EA9" w:rsidP="001D4EA9">
      <w:pPr>
        <w:spacing w:after="60"/>
        <w:ind w:right="-46"/>
        <w:rPr>
          <w:color w:val="000000"/>
          <w:sz w:val="22"/>
          <w:szCs w:val="22"/>
        </w:rPr>
      </w:pPr>
      <w:r w:rsidRPr="00C943B2">
        <w:rPr>
          <w:color w:val="000000"/>
          <w:sz w:val="22"/>
          <w:szCs w:val="22"/>
        </w:rPr>
        <w:t>Television Licence Area Plan (Mildura/Sunraysia) 2012 [F2012L02447]</w:t>
      </w:r>
    </w:p>
    <w:p w:rsidR="001D4EA9" w:rsidRPr="00C943B2" w:rsidRDefault="001D4EA9" w:rsidP="001D4EA9">
      <w:pPr>
        <w:spacing w:after="60"/>
        <w:ind w:right="-46"/>
        <w:rPr>
          <w:color w:val="000000"/>
          <w:sz w:val="22"/>
          <w:szCs w:val="22"/>
        </w:rPr>
      </w:pPr>
      <w:r w:rsidRPr="00C943B2">
        <w:rPr>
          <w:color w:val="000000"/>
          <w:sz w:val="22"/>
          <w:szCs w:val="22"/>
        </w:rPr>
        <w:t>Television Licence Area Plan (Perth) 2012 [F2012L02394]</w:t>
      </w:r>
    </w:p>
    <w:p w:rsidR="001D4EA9" w:rsidRPr="00C943B2" w:rsidRDefault="001D4EA9" w:rsidP="001D4EA9">
      <w:pPr>
        <w:spacing w:after="60"/>
        <w:ind w:right="-46"/>
        <w:rPr>
          <w:color w:val="000000"/>
          <w:sz w:val="22"/>
          <w:szCs w:val="22"/>
        </w:rPr>
      </w:pPr>
      <w:r w:rsidRPr="00C943B2">
        <w:rPr>
          <w:color w:val="000000"/>
          <w:sz w:val="22"/>
          <w:szCs w:val="22"/>
        </w:rPr>
        <w:t>Television Licence Area Plan (Regional Victoria) 2012 [F2012L02454]</w:t>
      </w:r>
    </w:p>
    <w:p w:rsidR="001D4EA9" w:rsidRPr="00C943B2" w:rsidRDefault="001D4EA9" w:rsidP="001D4EA9">
      <w:pPr>
        <w:spacing w:after="60"/>
        <w:ind w:right="-46"/>
        <w:rPr>
          <w:color w:val="000000"/>
          <w:sz w:val="22"/>
          <w:szCs w:val="22"/>
        </w:rPr>
      </w:pPr>
      <w:r w:rsidRPr="00C943B2">
        <w:rPr>
          <w:color w:val="000000"/>
          <w:sz w:val="22"/>
          <w:szCs w:val="22"/>
        </w:rPr>
        <w:t>Television Licence Area Plan (Southern New South Wales) 2012 [F2012L02457]</w:t>
      </w:r>
    </w:p>
    <w:p w:rsidR="001D4EA9" w:rsidRPr="00C943B2" w:rsidRDefault="001D4EA9" w:rsidP="001D4EA9">
      <w:pPr>
        <w:spacing w:after="60"/>
        <w:ind w:right="-46"/>
        <w:rPr>
          <w:color w:val="000000"/>
          <w:sz w:val="22"/>
          <w:szCs w:val="22"/>
        </w:rPr>
      </w:pPr>
      <w:r w:rsidRPr="00C943B2">
        <w:rPr>
          <w:color w:val="000000"/>
          <w:sz w:val="22"/>
          <w:szCs w:val="22"/>
        </w:rPr>
        <w:t>Television Licence Area Plan (Sydney) 2012 [F2012L02396]</w:t>
      </w:r>
    </w:p>
    <w:p w:rsidR="001D4EA9" w:rsidRPr="00C943B2" w:rsidRDefault="001D4EA9" w:rsidP="001D4EA9">
      <w:pPr>
        <w:spacing w:after="0"/>
        <w:ind w:right="-46"/>
        <w:rPr>
          <w:color w:val="000000"/>
          <w:sz w:val="22"/>
          <w:szCs w:val="22"/>
        </w:rPr>
      </w:pPr>
      <w:r w:rsidRPr="00C943B2">
        <w:rPr>
          <w:color w:val="000000"/>
          <w:sz w:val="22"/>
          <w:szCs w:val="22"/>
        </w:rPr>
        <w:t>Television Licence Area Plan (Tasmania) 2012 [F2012L02455]</w:t>
      </w:r>
    </w:p>
    <w:p w:rsidR="001D4EA9" w:rsidRPr="004E69CF" w:rsidRDefault="001D4EA9" w:rsidP="001D4EA9">
      <w:pPr>
        <w:tabs>
          <w:tab w:val="left" w:pos="284"/>
        </w:tabs>
        <w:spacing w:after="0"/>
        <w:ind w:right="-46"/>
        <w:rPr>
          <w:color w:val="000000"/>
          <w:sz w:val="20"/>
        </w:rPr>
      </w:pPr>
    </w:p>
    <w:p w:rsidR="001D4EA9" w:rsidRPr="004E69CF" w:rsidRDefault="001D4EA9" w:rsidP="00D90170">
      <w:pPr>
        <w:tabs>
          <w:tab w:val="left" w:pos="284"/>
        </w:tabs>
        <w:spacing w:after="120"/>
        <w:ind w:right="-45"/>
        <w:rPr>
          <w:sz w:val="24"/>
          <w:szCs w:val="24"/>
        </w:rPr>
      </w:pPr>
      <w:r w:rsidRPr="004E69CF">
        <w:rPr>
          <w:b/>
          <w:i/>
          <w:sz w:val="24"/>
          <w:szCs w:val="24"/>
        </w:rPr>
        <w:t>Child Support (Registration and Collection) Act 1988</w:t>
      </w:r>
    </w:p>
    <w:p w:rsidR="001D4EA9" w:rsidRPr="00C943B2" w:rsidRDefault="001D4EA9" w:rsidP="001D4EA9">
      <w:pPr>
        <w:spacing w:after="0"/>
        <w:ind w:right="-46"/>
        <w:rPr>
          <w:color w:val="000000"/>
          <w:sz w:val="22"/>
          <w:szCs w:val="22"/>
        </w:rPr>
      </w:pPr>
      <w:r w:rsidRPr="00C943B2">
        <w:rPr>
          <w:color w:val="000000"/>
          <w:sz w:val="22"/>
          <w:szCs w:val="22"/>
        </w:rPr>
        <w:t>SSAT Child Support Review General Directions 2012 [F2012L02459]</w:t>
      </w:r>
    </w:p>
    <w:p w:rsidR="001D4EA9" w:rsidRPr="004E69CF" w:rsidRDefault="001D4EA9" w:rsidP="001D4EA9">
      <w:pPr>
        <w:tabs>
          <w:tab w:val="left" w:pos="284"/>
        </w:tabs>
        <w:spacing w:after="0"/>
        <w:ind w:right="-46"/>
        <w:rPr>
          <w:color w:val="000000"/>
          <w:sz w:val="20"/>
        </w:rPr>
      </w:pPr>
    </w:p>
    <w:p w:rsidR="001D4EA9" w:rsidRPr="004E69CF" w:rsidRDefault="001D4EA9" w:rsidP="00D90170">
      <w:pPr>
        <w:tabs>
          <w:tab w:val="left" w:pos="284"/>
        </w:tabs>
        <w:spacing w:after="120"/>
        <w:ind w:right="-45"/>
        <w:rPr>
          <w:sz w:val="24"/>
          <w:szCs w:val="24"/>
        </w:rPr>
      </w:pPr>
      <w:r w:rsidRPr="004E69CF">
        <w:rPr>
          <w:b/>
          <w:i/>
          <w:sz w:val="24"/>
          <w:szCs w:val="24"/>
        </w:rPr>
        <w:t>Civil Aviation Act 1988</w:t>
      </w:r>
    </w:p>
    <w:p w:rsidR="001D4EA9" w:rsidRPr="00C943B2" w:rsidRDefault="001D4EA9" w:rsidP="001D4EA9">
      <w:pPr>
        <w:spacing w:after="60"/>
        <w:ind w:right="-46"/>
        <w:rPr>
          <w:color w:val="000000"/>
          <w:sz w:val="22"/>
          <w:szCs w:val="22"/>
        </w:rPr>
      </w:pPr>
      <w:r w:rsidRPr="00C943B2">
        <w:rPr>
          <w:color w:val="000000"/>
          <w:sz w:val="22"/>
          <w:szCs w:val="22"/>
        </w:rPr>
        <w:t>CASA 388/12 - Permission - radiocommunication systems - Lloyd Helicopters Pty Ltd [F2012L02352]</w:t>
      </w:r>
    </w:p>
    <w:p w:rsidR="001D4EA9" w:rsidRPr="00C943B2" w:rsidRDefault="001D4EA9" w:rsidP="001D4EA9">
      <w:pPr>
        <w:spacing w:after="60"/>
        <w:ind w:right="-46"/>
        <w:rPr>
          <w:color w:val="000000"/>
          <w:sz w:val="22"/>
          <w:szCs w:val="22"/>
        </w:rPr>
      </w:pPr>
      <w:r w:rsidRPr="00C943B2">
        <w:rPr>
          <w:color w:val="000000"/>
          <w:sz w:val="22"/>
          <w:szCs w:val="22"/>
        </w:rPr>
        <w:t>CASA 390/12 - Instructions - GNSS primary means navigation (B737 NG aircraft) [F2012L02428]</w:t>
      </w:r>
    </w:p>
    <w:p w:rsidR="001D4EA9" w:rsidRPr="00C943B2" w:rsidRDefault="001D4EA9" w:rsidP="001D4EA9">
      <w:pPr>
        <w:spacing w:after="60"/>
        <w:ind w:right="-46"/>
        <w:rPr>
          <w:color w:val="000000"/>
          <w:sz w:val="22"/>
          <w:szCs w:val="22"/>
        </w:rPr>
      </w:pPr>
      <w:r w:rsidRPr="00C943B2">
        <w:rPr>
          <w:color w:val="000000"/>
          <w:sz w:val="22"/>
          <w:szCs w:val="22"/>
        </w:rPr>
        <w:t>CASA 398/12 - Direction - number of cabin attendants (Virgin Australia International Airlines) [F2012L02449]</w:t>
      </w:r>
    </w:p>
    <w:p w:rsidR="001D4EA9" w:rsidRPr="00C943B2" w:rsidRDefault="001D4EA9" w:rsidP="001D4EA9">
      <w:pPr>
        <w:spacing w:after="60"/>
        <w:ind w:right="-46"/>
        <w:rPr>
          <w:color w:val="000000"/>
          <w:sz w:val="22"/>
          <w:szCs w:val="22"/>
        </w:rPr>
      </w:pPr>
      <w:r w:rsidRPr="00C943B2">
        <w:rPr>
          <w:color w:val="000000"/>
          <w:sz w:val="22"/>
          <w:szCs w:val="22"/>
        </w:rPr>
        <w:t>CASA EX184/12 - Exemption - from standard take-off minima - Virgin Australia International Airlines [F2012L02425]</w:t>
      </w:r>
    </w:p>
    <w:p w:rsidR="001D4EA9" w:rsidRPr="00C943B2" w:rsidRDefault="001D4EA9" w:rsidP="001D4EA9">
      <w:pPr>
        <w:spacing w:after="60"/>
        <w:ind w:right="-46"/>
        <w:rPr>
          <w:color w:val="000000"/>
          <w:sz w:val="22"/>
          <w:szCs w:val="22"/>
        </w:rPr>
      </w:pPr>
      <w:r w:rsidRPr="00C943B2">
        <w:rPr>
          <w:color w:val="000000"/>
          <w:sz w:val="22"/>
          <w:szCs w:val="22"/>
        </w:rPr>
        <w:lastRenderedPageBreak/>
        <w:t>CASA EX185/12 - Exemption - carriage of children suffering from a serious medical condition [F2012L02426]</w:t>
      </w:r>
    </w:p>
    <w:p w:rsidR="001D4EA9" w:rsidRPr="00C943B2" w:rsidRDefault="001D4EA9" w:rsidP="001D4EA9">
      <w:pPr>
        <w:spacing w:after="0"/>
        <w:ind w:right="-46"/>
        <w:rPr>
          <w:color w:val="000000"/>
          <w:sz w:val="22"/>
          <w:szCs w:val="22"/>
        </w:rPr>
      </w:pPr>
      <w:r w:rsidRPr="00C943B2">
        <w:rPr>
          <w:color w:val="000000"/>
          <w:sz w:val="22"/>
          <w:szCs w:val="22"/>
        </w:rPr>
        <w:t>CASA EX186/12 - Exemption - Virgin Australia International Airlines from subregulation 217 (2) of CAR 1988 and paragraph 3.3 of CAO 82.5 [F2012L02427]</w:t>
      </w:r>
    </w:p>
    <w:p w:rsidR="001D4EA9" w:rsidRPr="004E69CF"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b/>
          <w:sz w:val="24"/>
          <w:szCs w:val="24"/>
        </w:rPr>
      </w:pPr>
      <w:r w:rsidRPr="001B6F82">
        <w:rPr>
          <w:b/>
          <w:i/>
          <w:sz w:val="24"/>
          <w:szCs w:val="24"/>
        </w:rPr>
        <w:t>Clean Energy Act 2011</w:t>
      </w:r>
    </w:p>
    <w:p w:rsidR="001D4EA9" w:rsidRPr="00C943B2" w:rsidRDefault="001D4EA9" w:rsidP="001D4EA9">
      <w:pPr>
        <w:spacing w:after="0"/>
        <w:ind w:right="-46"/>
        <w:rPr>
          <w:color w:val="000000"/>
          <w:sz w:val="22"/>
          <w:szCs w:val="22"/>
        </w:rPr>
      </w:pPr>
      <w:r w:rsidRPr="00C943B2">
        <w:rPr>
          <w:color w:val="000000"/>
          <w:sz w:val="22"/>
          <w:szCs w:val="22"/>
        </w:rPr>
        <w:t>Clean Energy Amendment Regulation 2012 (No. 7) [Select Legislative Instrument 2012 No. 289] [F2012L02384]</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Corporations Act 2001</w:t>
      </w:r>
    </w:p>
    <w:p w:rsidR="001D4EA9" w:rsidRPr="00C943B2" w:rsidRDefault="001D4EA9" w:rsidP="001D4EA9">
      <w:pPr>
        <w:spacing w:after="0"/>
        <w:ind w:right="-46"/>
        <w:rPr>
          <w:color w:val="000000"/>
          <w:sz w:val="22"/>
          <w:szCs w:val="22"/>
        </w:rPr>
      </w:pPr>
      <w:r w:rsidRPr="00C943B2">
        <w:rPr>
          <w:color w:val="000000"/>
          <w:sz w:val="22"/>
          <w:szCs w:val="22"/>
        </w:rPr>
        <w:t>Corporations Amendment Regulation 2012 (No. 6) Amendment Regulation 2012 (No. 1) [Select Legislative Instrument 2012 No. 308] [F2012L02414]</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Crimes Act 1914</w:t>
      </w:r>
    </w:p>
    <w:p w:rsidR="001D4EA9" w:rsidRPr="00C943B2" w:rsidRDefault="001D4EA9" w:rsidP="001D4EA9">
      <w:pPr>
        <w:spacing w:after="0"/>
        <w:ind w:right="-46"/>
        <w:rPr>
          <w:color w:val="000000"/>
          <w:sz w:val="22"/>
          <w:szCs w:val="22"/>
        </w:rPr>
      </w:pPr>
      <w:r w:rsidRPr="00C943B2">
        <w:rPr>
          <w:color w:val="000000"/>
          <w:sz w:val="22"/>
          <w:szCs w:val="22"/>
        </w:rPr>
        <w:t>Crimes Amendment Regulation 2012 (No. 3) [Select Legislative Instrument 2012 No. 274] [F2012L02379]</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Crimes (Overseas) Act 1964</w:t>
      </w:r>
    </w:p>
    <w:p w:rsidR="001D4EA9" w:rsidRPr="00C943B2" w:rsidRDefault="001D4EA9" w:rsidP="001D4EA9">
      <w:pPr>
        <w:spacing w:after="0"/>
        <w:ind w:right="-46"/>
        <w:rPr>
          <w:color w:val="000000"/>
          <w:sz w:val="22"/>
          <w:szCs w:val="22"/>
        </w:rPr>
      </w:pPr>
      <w:r w:rsidRPr="00C943B2">
        <w:rPr>
          <w:color w:val="000000"/>
          <w:sz w:val="22"/>
          <w:szCs w:val="22"/>
        </w:rPr>
        <w:t>Crimes (Overseas) (Declared Foreign Countries) Amendment Regulation 2012 (No. 1) [Select Legislative Instrument 2012 No. 275] [F2012L02357]</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Customs Act 1901</w:t>
      </w:r>
    </w:p>
    <w:p w:rsidR="001D4EA9" w:rsidRPr="00C943B2" w:rsidRDefault="001D4EA9" w:rsidP="001D4EA9">
      <w:pPr>
        <w:tabs>
          <w:tab w:val="left" w:pos="284"/>
        </w:tabs>
        <w:spacing w:after="60"/>
        <w:ind w:right="-46"/>
        <w:rPr>
          <w:color w:val="000000"/>
          <w:sz w:val="22"/>
          <w:szCs w:val="22"/>
        </w:rPr>
      </w:pPr>
      <w:r w:rsidRPr="00C943B2">
        <w:rPr>
          <w:color w:val="000000"/>
          <w:sz w:val="22"/>
          <w:szCs w:val="22"/>
        </w:rPr>
        <w:t>Customs Amendment Regulation 2012 (No. 9) [Select Legislative Instrument 2012 No. 276] [F2012L02382]</w:t>
      </w:r>
    </w:p>
    <w:p w:rsidR="001D4EA9" w:rsidRPr="00C943B2" w:rsidRDefault="001D4EA9" w:rsidP="001D4EA9">
      <w:pPr>
        <w:tabs>
          <w:tab w:val="left" w:pos="284"/>
        </w:tabs>
        <w:spacing w:after="60"/>
        <w:ind w:right="-46"/>
        <w:rPr>
          <w:color w:val="000000"/>
          <w:sz w:val="22"/>
          <w:szCs w:val="22"/>
        </w:rPr>
      </w:pPr>
      <w:r w:rsidRPr="00C943B2">
        <w:rPr>
          <w:color w:val="000000"/>
          <w:sz w:val="22"/>
          <w:szCs w:val="22"/>
        </w:rPr>
        <w:t>Customs Amendment Regulation 2012 (No.10) [Select Legislative Instrument 2012 No. 327] [F2012L02416]</w:t>
      </w:r>
    </w:p>
    <w:p w:rsidR="001D4EA9" w:rsidRPr="00C943B2" w:rsidRDefault="001D4EA9" w:rsidP="001D4EA9">
      <w:pPr>
        <w:tabs>
          <w:tab w:val="left" w:pos="284"/>
        </w:tabs>
        <w:spacing w:after="0"/>
        <w:ind w:right="-46"/>
        <w:rPr>
          <w:color w:val="000000"/>
          <w:sz w:val="22"/>
          <w:szCs w:val="22"/>
        </w:rPr>
      </w:pPr>
      <w:r w:rsidRPr="00C943B2">
        <w:rPr>
          <w:color w:val="000000"/>
          <w:sz w:val="22"/>
          <w:szCs w:val="22"/>
        </w:rPr>
        <w:t>Customs Legislation Amendment Regulation 2012 (No. 2) [Select Legislative Instrument 2012 No. 320] [F2012L02371]</w:t>
      </w:r>
    </w:p>
    <w:p w:rsidR="001D4EA9" w:rsidRPr="001B6F82" w:rsidRDefault="001D4EA9" w:rsidP="001D4EA9">
      <w:pPr>
        <w:pStyle w:val="ListParagraph"/>
        <w:tabs>
          <w:tab w:val="left" w:pos="284"/>
        </w:tabs>
        <w:ind w:left="0" w:right="-46"/>
        <w:rPr>
          <w:sz w:val="20"/>
        </w:rPr>
      </w:pPr>
    </w:p>
    <w:p w:rsidR="001D4EA9" w:rsidRPr="001B6F82" w:rsidRDefault="001D4EA9" w:rsidP="00D90170">
      <w:pPr>
        <w:tabs>
          <w:tab w:val="left" w:pos="284"/>
        </w:tabs>
        <w:spacing w:after="120"/>
        <w:ind w:right="-45"/>
        <w:rPr>
          <w:sz w:val="24"/>
          <w:szCs w:val="24"/>
        </w:rPr>
      </w:pPr>
      <w:r w:rsidRPr="001B6F82">
        <w:rPr>
          <w:b/>
          <w:i/>
          <w:sz w:val="24"/>
          <w:szCs w:val="24"/>
        </w:rPr>
        <w:t>Dental Benefits Act 2008</w:t>
      </w:r>
    </w:p>
    <w:p w:rsidR="001D4EA9" w:rsidRPr="00C943B2" w:rsidRDefault="001D4EA9" w:rsidP="001D4EA9">
      <w:pPr>
        <w:spacing w:after="0"/>
        <w:ind w:right="-46"/>
        <w:rPr>
          <w:color w:val="000000"/>
          <w:sz w:val="22"/>
          <w:szCs w:val="22"/>
        </w:rPr>
      </w:pPr>
      <w:r w:rsidRPr="00C943B2">
        <w:rPr>
          <w:color w:val="000000"/>
          <w:sz w:val="22"/>
          <w:szCs w:val="22"/>
        </w:rPr>
        <w:t>Dental Benefits Amendment Rules 2012 [F2012L02347]</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Environment Protection and Biodiversity Conservation Act 1999</w:t>
      </w:r>
    </w:p>
    <w:p w:rsidR="001D4EA9" w:rsidRPr="00C943B2" w:rsidRDefault="001D4EA9" w:rsidP="001D4EA9">
      <w:pPr>
        <w:spacing w:after="60"/>
        <w:ind w:right="-46"/>
        <w:rPr>
          <w:color w:val="000000"/>
          <w:sz w:val="22"/>
          <w:szCs w:val="22"/>
        </w:rPr>
      </w:pPr>
      <w:r w:rsidRPr="00C943B2">
        <w:rPr>
          <w:color w:val="000000"/>
          <w:sz w:val="22"/>
          <w:szCs w:val="22"/>
        </w:rPr>
        <w:t>Amendment of List of Exempt Native Specimens - Northern Territory Aquarium Fishery (12/12/2012) (deletion) [F2012L02433]</w:t>
      </w:r>
    </w:p>
    <w:p w:rsidR="001D4EA9" w:rsidRPr="00C943B2" w:rsidRDefault="001D4EA9" w:rsidP="001D4EA9">
      <w:pPr>
        <w:spacing w:after="60"/>
        <w:ind w:right="-46"/>
        <w:rPr>
          <w:color w:val="000000"/>
          <w:sz w:val="22"/>
          <w:szCs w:val="22"/>
        </w:rPr>
      </w:pPr>
      <w:r w:rsidRPr="00C943B2">
        <w:rPr>
          <w:color w:val="000000"/>
          <w:sz w:val="22"/>
          <w:szCs w:val="22"/>
        </w:rPr>
        <w:t>Amendment of List of Exempt Native Specimens - Northern Territory Aquarium Fishery (12/12/2012) (inclusion) [F2012L02436]</w:t>
      </w:r>
    </w:p>
    <w:p w:rsidR="001D4EA9" w:rsidRPr="00C943B2" w:rsidRDefault="001D4EA9" w:rsidP="001D4EA9">
      <w:pPr>
        <w:spacing w:after="60"/>
        <w:ind w:right="-46"/>
        <w:rPr>
          <w:color w:val="000000"/>
          <w:sz w:val="22"/>
          <w:szCs w:val="22"/>
        </w:rPr>
      </w:pPr>
      <w:r w:rsidRPr="00C943B2">
        <w:rPr>
          <w:color w:val="000000"/>
          <w:sz w:val="22"/>
          <w:szCs w:val="22"/>
        </w:rPr>
        <w:t>Amendment of List of Exempt Native Specimens - Queensland Gulf of Carpentaria Inshore Fin Fish Fishery [F2012L02389]</w:t>
      </w:r>
    </w:p>
    <w:p w:rsidR="001D4EA9" w:rsidRPr="00C943B2" w:rsidRDefault="001D4EA9" w:rsidP="001D4EA9">
      <w:pPr>
        <w:spacing w:after="60"/>
        <w:ind w:right="-46"/>
        <w:rPr>
          <w:color w:val="000000"/>
          <w:sz w:val="22"/>
          <w:szCs w:val="22"/>
        </w:rPr>
      </w:pPr>
      <w:r w:rsidRPr="00C943B2">
        <w:rPr>
          <w:color w:val="000000"/>
          <w:sz w:val="22"/>
          <w:szCs w:val="22"/>
        </w:rPr>
        <w:t>Amendment of List of Exempt Native Specimens - Western Deepwater Trawl Fishery and North West Slope Trawl Fishery (28/11/2012) [F2012L02392]</w:t>
      </w:r>
    </w:p>
    <w:p w:rsidR="001D4EA9" w:rsidRPr="00C943B2" w:rsidRDefault="001D4EA9" w:rsidP="001D4EA9">
      <w:pPr>
        <w:spacing w:after="0"/>
        <w:ind w:right="-46"/>
        <w:rPr>
          <w:color w:val="000000"/>
          <w:sz w:val="22"/>
          <w:szCs w:val="22"/>
        </w:rPr>
      </w:pPr>
      <w:r w:rsidRPr="00C943B2">
        <w:rPr>
          <w:color w:val="000000"/>
          <w:sz w:val="22"/>
          <w:szCs w:val="22"/>
        </w:rPr>
        <w:t>Threat Abatement Plan to reduce the impacts on northern Australia’s biodiversity by the five listed grasses [F2012L02359]</w:t>
      </w:r>
    </w:p>
    <w:p w:rsidR="001D4EA9" w:rsidRPr="001B6F82" w:rsidRDefault="001D4EA9" w:rsidP="001D4EA9">
      <w:pPr>
        <w:pStyle w:val="ListParagraph"/>
        <w:tabs>
          <w:tab w:val="left" w:pos="284"/>
        </w:tabs>
        <w:ind w:left="0" w:right="-46"/>
        <w:rPr>
          <w:sz w:val="20"/>
        </w:rPr>
      </w:pPr>
    </w:p>
    <w:p w:rsidR="001D4EA9" w:rsidRPr="001B6F82" w:rsidRDefault="001D4EA9" w:rsidP="00D90170">
      <w:pPr>
        <w:tabs>
          <w:tab w:val="left" w:pos="284"/>
        </w:tabs>
        <w:spacing w:after="120"/>
        <w:ind w:right="-45"/>
        <w:rPr>
          <w:sz w:val="24"/>
          <w:szCs w:val="24"/>
        </w:rPr>
      </w:pPr>
      <w:r w:rsidRPr="001B6F82">
        <w:rPr>
          <w:b/>
          <w:i/>
          <w:sz w:val="24"/>
          <w:szCs w:val="24"/>
        </w:rPr>
        <w:t>Excise Act 1901</w:t>
      </w:r>
    </w:p>
    <w:p w:rsidR="001D4EA9" w:rsidRPr="00C943B2" w:rsidRDefault="001D4EA9" w:rsidP="001D4EA9">
      <w:pPr>
        <w:spacing w:after="0"/>
        <w:ind w:right="-46"/>
        <w:rPr>
          <w:color w:val="000000"/>
          <w:sz w:val="22"/>
          <w:szCs w:val="22"/>
        </w:rPr>
      </w:pPr>
      <w:r w:rsidRPr="00C943B2">
        <w:rPr>
          <w:color w:val="000000"/>
          <w:sz w:val="22"/>
          <w:szCs w:val="22"/>
        </w:rPr>
        <w:t>Excise (Volume - residual oil) Determination 2012 (No. 1) [F2012L02350]</w:t>
      </w:r>
    </w:p>
    <w:p w:rsidR="001D4EA9" w:rsidRPr="001B6F82" w:rsidRDefault="001D4EA9" w:rsidP="001D4EA9">
      <w:pPr>
        <w:pStyle w:val="ListParagraph"/>
        <w:tabs>
          <w:tab w:val="left" w:pos="284"/>
        </w:tabs>
        <w:ind w:left="0" w:right="-46"/>
        <w:rPr>
          <w:sz w:val="20"/>
        </w:rPr>
      </w:pPr>
    </w:p>
    <w:p w:rsidR="001D4EA9" w:rsidRDefault="001D4EA9" w:rsidP="001D4EA9">
      <w:pPr>
        <w:spacing w:after="0"/>
        <w:jc w:val="left"/>
        <w:rPr>
          <w:b/>
          <w:i/>
          <w:sz w:val="24"/>
          <w:szCs w:val="24"/>
        </w:rPr>
      </w:pPr>
      <w:r>
        <w:rPr>
          <w:b/>
          <w:i/>
          <w:sz w:val="24"/>
          <w:szCs w:val="24"/>
        </w:rPr>
        <w:br w:type="page"/>
      </w:r>
    </w:p>
    <w:p w:rsidR="001D4EA9" w:rsidRPr="001B6F82" w:rsidRDefault="001D4EA9" w:rsidP="00D90170">
      <w:pPr>
        <w:tabs>
          <w:tab w:val="left" w:pos="284"/>
        </w:tabs>
        <w:spacing w:after="120"/>
        <w:ind w:right="-45"/>
        <w:rPr>
          <w:sz w:val="24"/>
          <w:szCs w:val="24"/>
        </w:rPr>
      </w:pPr>
      <w:r w:rsidRPr="001B6F82">
        <w:rPr>
          <w:b/>
          <w:i/>
          <w:sz w:val="24"/>
          <w:szCs w:val="24"/>
        </w:rPr>
        <w:lastRenderedPageBreak/>
        <w:t>Extradition Act 1988</w:t>
      </w:r>
    </w:p>
    <w:p w:rsidR="001D4EA9" w:rsidRPr="00C943B2" w:rsidRDefault="001D4EA9" w:rsidP="001D4EA9">
      <w:pPr>
        <w:spacing w:after="0"/>
        <w:ind w:right="-46"/>
        <w:rPr>
          <w:color w:val="000000"/>
          <w:sz w:val="22"/>
          <w:szCs w:val="22"/>
        </w:rPr>
      </w:pPr>
      <w:r w:rsidRPr="00C943B2">
        <w:rPr>
          <w:color w:val="000000"/>
          <w:sz w:val="22"/>
          <w:szCs w:val="22"/>
        </w:rPr>
        <w:t>Extradition (Convention for Suppression of Acts of Nuclear Terrorism) Regulation 2012 [Select Legislative Instrument 2012 No. 277] [F2012L02434]</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Fair Work Act 2009</w:t>
      </w:r>
    </w:p>
    <w:p w:rsidR="001D4EA9" w:rsidRPr="00C943B2" w:rsidRDefault="001D4EA9" w:rsidP="001D4EA9">
      <w:pPr>
        <w:spacing w:after="60"/>
        <w:ind w:right="-46"/>
        <w:rPr>
          <w:color w:val="000000"/>
          <w:sz w:val="22"/>
          <w:szCs w:val="22"/>
        </w:rPr>
      </w:pPr>
      <w:r w:rsidRPr="00C943B2">
        <w:rPr>
          <w:color w:val="000000"/>
          <w:sz w:val="22"/>
          <w:szCs w:val="22"/>
        </w:rPr>
        <w:t>Fair Work Legislation Amendment Regulation 2012 (No. 1) [Select Legislative Instrument 2012 No. 321] [F2012L02417</w:t>
      </w:r>
    </w:p>
    <w:p w:rsidR="001D4EA9" w:rsidRPr="00C943B2" w:rsidRDefault="001D4EA9" w:rsidP="001D4EA9">
      <w:pPr>
        <w:spacing w:after="60"/>
        <w:ind w:right="-46"/>
        <w:rPr>
          <w:color w:val="000000"/>
          <w:sz w:val="22"/>
          <w:szCs w:val="22"/>
        </w:rPr>
      </w:pPr>
      <w:r w:rsidRPr="00C943B2">
        <w:rPr>
          <w:color w:val="000000"/>
          <w:sz w:val="22"/>
          <w:szCs w:val="22"/>
        </w:rPr>
        <w:t>Fair Work Legislation Amendment Regulation 2012 (No. 2) [Select Legislative Instrument 2012 No. 322] [F2012L02409</w:t>
      </w:r>
    </w:p>
    <w:p w:rsidR="001D4EA9" w:rsidRPr="00C943B2" w:rsidRDefault="001D4EA9" w:rsidP="001D4EA9">
      <w:pPr>
        <w:spacing w:after="0"/>
        <w:ind w:right="-46"/>
        <w:rPr>
          <w:color w:val="000000"/>
          <w:sz w:val="22"/>
          <w:szCs w:val="22"/>
        </w:rPr>
      </w:pPr>
      <w:r w:rsidRPr="00C943B2">
        <w:rPr>
          <w:color w:val="000000"/>
          <w:sz w:val="22"/>
          <w:szCs w:val="22"/>
        </w:rPr>
        <w:t>Fair Work Amendment Regulation 2012 (No. 3) [Select Legislative Instrument 2012 No. 323] [F2012L02402]</w:t>
      </w:r>
    </w:p>
    <w:p w:rsidR="001D4EA9" w:rsidRPr="001B6F82" w:rsidRDefault="001D4EA9" w:rsidP="001D4EA9">
      <w:pPr>
        <w:pStyle w:val="ListParagraph"/>
        <w:tabs>
          <w:tab w:val="left" w:pos="284"/>
        </w:tabs>
        <w:ind w:left="0" w:right="-46"/>
        <w:rPr>
          <w:sz w:val="20"/>
        </w:rPr>
      </w:pPr>
    </w:p>
    <w:p w:rsidR="001D4EA9" w:rsidRPr="001B6F82" w:rsidRDefault="001D4EA9" w:rsidP="00D90170">
      <w:pPr>
        <w:tabs>
          <w:tab w:val="left" w:pos="284"/>
        </w:tabs>
        <w:spacing w:after="120"/>
        <w:ind w:right="-45"/>
        <w:rPr>
          <w:sz w:val="24"/>
          <w:szCs w:val="24"/>
        </w:rPr>
      </w:pPr>
      <w:r w:rsidRPr="001B6F82">
        <w:rPr>
          <w:b/>
          <w:i/>
          <w:sz w:val="24"/>
          <w:szCs w:val="24"/>
        </w:rPr>
        <w:t>Family Law Act 1975</w:t>
      </w:r>
    </w:p>
    <w:p w:rsidR="001D4EA9" w:rsidRPr="00C943B2" w:rsidRDefault="001D4EA9" w:rsidP="001D4EA9">
      <w:pPr>
        <w:spacing w:after="60"/>
        <w:ind w:right="-46"/>
        <w:rPr>
          <w:color w:val="000000"/>
          <w:sz w:val="22"/>
          <w:szCs w:val="22"/>
        </w:rPr>
      </w:pPr>
      <w:r w:rsidRPr="00C943B2">
        <w:rPr>
          <w:color w:val="000000"/>
          <w:sz w:val="22"/>
          <w:szCs w:val="22"/>
        </w:rPr>
        <w:t>Family Law Amendment Regulation 2012 (No. 4) [Select Legislative Instrument 2012 No. 278] [F2012L02391]</w:t>
      </w:r>
    </w:p>
    <w:p w:rsidR="001D4EA9" w:rsidRPr="00C943B2" w:rsidRDefault="001D4EA9" w:rsidP="001D4EA9">
      <w:pPr>
        <w:spacing w:after="60"/>
        <w:ind w:right="-46"/>
        <w:rPr>
          <w:color w:val="000000"/>
          <w:sz w:val="22"/>
          <w:szCs w:val="22"/>
        </w:rPr>
      </w:pPr>
      <w:r w:rsidRPr="00C943B2">
        <w:rPr>
          <w:color w:val="000000"/>
          <w:sz w:val="22"/>
          <w:szCs w:val="22"/>
        </w:rPr>
        <w:t>Family Law (Fees) Regulation 2012 [Select Legislative Instrument 2012 No. 279] [F2012L02395]</w:t>
      </w:r>
    </w:p>
    <w:p w:rsidR="001D4EA9" w:rsidRPr="00C943B2" w:rsidRDefault="001D4EA9" w:rsidP="001D4EA9">
      <w:pPr>
        <w:spacing w:after="0"/>
        <w:ind w:right="-46"/>
        <w:rPr>
          <w:color w:val="000000"/>
          <w:sz w:val="22"/>
          <w:szCs w:val="22"/>
        </w:rPr>
      </w:pPr>
      <w:r w:rsidRPr="00C943B2">
        <w:rPr>
          <w:color w:val="000000"/>
          <w:sz w:val="22"/>
          <w:szCs w:val="22"/>
        </w:rPr>
        <w:t>Trans-Tasman Proceedings Legislation Amendment Regulation 2012 (No. 2) [Select Legislative Instrument 2012 No. 284] [F2012L02412]</w:t>
      </w:r>
    </w:p>
    <w:p w:rsidR="001D4EA9" w:rsidRPr="001B6F82" w:rsidRDefault="001D4EA9" w:rsidP="001D4EA9">
      <w:pPr>
        <w:tabs>
          <w:tab w:val="left" w:pos="284"/>
        </w:tabs>
        <w:spacing w:after="0"/>
        <w:ind w:right="-46"/>
        <w:rPr>
          <w:color w:val="000000"/>
          <w:sz w:val="20"/>
        </w:rPr>
      </w:pPr>
    </w:p>
    <w:p w:rsidR="001D4EA9" w:rsidRPr="001B6F82" w:rsidRDefault="001D4EA9" w:rsidP="00D90170">
      <w:pPr>
        <w:tabs>
          <w:tab w:val="left" w:pos="284"/>
        </w:tabs>
        <w:spacing w:after="120"/>
        <w:ind w:right="-45"/>
        <w:rPr>
          <w:sz w:val="24"/>
          <w:szCs w:val="24"/>
        </w:rPr>
      </w:pPr>
      <w:r w:rsidRPr="001B6F82">
        <w:rPr>
          <w:b/>
          <w:i/>
          <w:sz w:val="24"/>
          <w:szCs w:val="24"/>
        </w:rPr>
        <w:t>Federal Court of Australia Act 1976</w:t>
      </w:r>
    </w:p>
    <w:p w:rsidR="001D4EA9" w:rsidRPr="0064434C" w:rsidRDefault="001D4EA9" w:rsidP="001D4EA9">
      <w:pPr>
        <w:spacing w:after="0"/>
        <w:ind w:right="-46"/>
        <w:rPr>
          <w:color w:val="000000"/>
          <w:sz w:val="22"/>
          <w:szCs w:val="22"/>
        </w:rPr>
      </w:pPr>
      <w:r w:rsidRPr="0064434C">
        <w:rPr>
          <w:color w:val="000000"/>
          <w:sz w:val="22"/>
          <w:szCs w:val="22"/>
        </w:rPr>
        <w:t xml:space="preserve">Federal Court and Federal Magistrates Court Regulation 2012 [Select </w:t>
      </w:r>
      <w:r>
        <w:rPr>
          <w:color w:val="000000"/>
          <w:sz w:val="22"/>
          <w:szCs w:val="22"/>
        </w:rPr>
        <w:t>Legislative Instrument 2012 No. </w:t>
      </w:r>
      <w:r w:rsidRPr="0064434C">
        <w:rPr>
          <w:color w:val="000000"/>
          <w:sz w:val="22"/>
          <w:szCs w:val="22"/>
        </w:rPr>
        <w:t>280] [F2012L02411]</w:t>
      </w:r>
    </w:p>
    <w:p w:rsidR="001D4EA9" w:rsidRPr="001B6F82"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Financial Management and Accountability Act 1997</w:t>
      </w:r>
    </w:p>
    <w:p w:rsidR="001D4EA9" w:rsidRPr="0064434C" w:rsidRDefault="001D4EA9" w:rsidP="001D4EA9">
      <w:pPr>
        <w:spacing w:after="0"/>
        <w:ind w:right="-46"/>
        <w:rPr>
          <w:color w:val="000000"/>
          <w:sz w:val="22"/>
          <w:szCs w:val="22"/>
        </w:rPr>
      </w:pPr>
      <w:r w:rsidRPr="0064434C">
        <w:rPr>
          <w:color w:val="000000"/>
          <w:sz w:val="22"/>
          <w:szCs w:val="22"/>
        </w:rPr>
        <w:t>Financial Management and Accountability Amendment Regulation 2012 (No. 9) [Select Legislative Instrument 2012 No. 328] [F2012L02387]</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Financial Sector (Collection of Data) Act 2001</w:t>
      </w:r>
    </w:p>
    <w:p w:rsidR="001D4EA9" w:rsidRPr="0064434C" w:rsidRDefault="001D4EA9" w:rsidP="001D4EA9">
      <w:pPr>
        <w:spacing w:after="60"/>
        <w:ind w:right="-46"/>
        <w:rPr>
          <w:color w:val="000000"/>
          <w:sz w:val="22"/>
          <w:szCs w:val="22"/>
        </w:rPr>
      </w:pPr>
      <w:r w:rsidRPr="0064434C">
        <w:rPr>
          <w:color w:val="000000"/>
          <w:sz w:val="22"/>
          <w:szCs w:val="22"/>
        </w:rPr>
        <w:t>Financial Sector (Collection of Data) (reporting standard) determination No. 5 of 2012 - ARS 110.0 - Capital Adequacy [F2012L02483]</w:t>
      </w:r>
    </w:p>
    <w:p w:rsidR="001D4EA9" w:rsidRPr="0064434C" w:rsidRDefault="001D4EA9" w:rsidP="001D4EA9">
      <w:pPr>
        <w:spacing w:after="60"/>
        <w:ind w:right="-46"/>
        <w:rPr>
          <w:color w:val="000000"/>
          <w:sz w:val="22"/>
          <w:szCs w:val="22"/>
        </w:rPr>
      </w:pPr>
      <w:r w:rsidRPr="0064434C">
        <w:rPr>
          <w:color w:val="000000"/>
          <w:sz w:val="22"/>
          <w:szCs w:val="22"/>
        </w:rPr>
        <w:t>Financial Sector (Collection of Data) (reporting standard) determination No. 6 of 2012 - ARS 111.0 - Fair Values [F2012L02485]</w:t>
      </w:r>
    </w:p>
    <w:p w:rsidR="001D4EA9" w:rsidRPr="0064434C" w:rsidRDefault="001D4EA9" w:rsidP="001D4EA9">
      <w:pPr>
        <w:spacing w:after="0"/>
        <w:ind w:right="-46"/>
        <w:rPr>
          <w:color w:val="000000"/>
          <w:sz w:val="22"/>
          <w:szCs w:val="22"/>
        </w:rPr>
      </w:pPr>
      <w:r w:rsidRPr="0064434C">
        <w:rPr>
          <w:color w:val="000000"/>
          <w:sz w:val="22"/>
          <w:szCs w:val="22"/>
        </w:rPr>
        <w:t>Financial Sector (Collection of Data) (reporting standard) determination No. 7 of 2012 - ARS 112.1 - Standardised Credit Risk - On-balance Sheet Assets [F2012L02486]</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Fisheries Levy Act 1984</w:t>
      </w:r>
    </w:p>
    <w:p w:rsidR="001D4EA9" w:rsidRPr="0064434C" w:rsidRDefault="001D4EA9" w:rsidP="001D4EA9">
      <w:pPr>
        <w:spacing w:after="0"/>
        <w:ind w:right="-46"/>
        <w:rPr>
          <w:color w:val="000000"/>
          <w:sz w:val="22"/>
          <w:szCs w:val="22"/>
        </w:rPr>
      </w:pPr>
      <w:r w:rsidRPr="0064434C">
        <w:rPr>
          <w:color w:val="000000"/>
          <w:sz w:val="22"/>
          <w:szCs w:val="22"/>
        </w:rPr>
        <w:t>Fisheries Levy (Torres Strait Prawn Fishery) Amendment Regulation 2012 (No. 1) [Select Legislative Instrument 2012 No. 273] [F2012L02355]</w:t>
      </w:r>
    </w:p>
    <w:p w:rsidR="001D4EA9" w:rsidRPr="00B21166" w:rsidRDefault="001D4EA9" w:rsidP="001D4EA9">
      <w:pPr>
        <w:pStyle w:val="ListParagraph"/>
        <w:tabs>
          <w:tab w:val="left" w:pos="284"/>
        </w:tabs>
        <w:ind w:left="0" w:right="-46"/>
        <w:rPr>
          <w:sz w:val="20"/>
        </w:rPr>
      </w:pPr>
    </w:p>
    <w:p w:rsidR="001D4EA9" w:rsidRPr="00B21166" w:rsidRDefault="001D4EA9" w:rsidP="00D90170">
      <w:pPr>
        <w:tabs>
          <w:tab w:val="left" w:pos="284"/>
        </w:tabs>
        <w:spacing w:after="120"/>
        <w:ind w:right="-45"/>
        <w:rPr>
          <w:sz w:val="24"/>
          <w:szCs w:val="24"/>
        </w:rPr>
      </w:pPr>
      <w:r w:rsidRPr="00B21166">
        <w:rPr>
          <w:b/>
          <w:i/>
          <w:sz w:val="24"/>
          <w:szCs w:val="24"/>
        </w:rPr>
        <w:t>Fishing Levy Act 1991</w:t>
      </w:r>
    </w:p>
    <w:p w:rsidR="001D4EA9" w:rsidRPr="0064434C" w:rsidRDefault="001D4EA9" w:rsidP="001D4EA9">
      <w:pPr>
        <w:spacing w:after="0"/>
        <w:ind w:right="-46"/>
        <w:rPr>
          <w:color w:val="000000"/>
          <w:sz w:val="22"/>
          <w:szCs w:val="22"/>
        </w:rPr>
      </w:pPr>
      <w:r w:rsidRPr="0064434C">
        <w:rPr>
          <w:color w:val="000000"/>
          <w:sz w:val="22"/>
          <w:szCs w:val="22"/>
        </w:rPr>
        <w:t>Fishing Levy Regulation 2012 [Select Legislative Instrument 2012 No. 272] [06/12/12]</w:t>
      </w:r>
    </w:p>
    <w:p w:rsidR="001D4EA9" w:rsidRPr="00B21166" w:rsidRDefault="001D4EA9" w:rsidP="001D4EA9">
      <w:pPr>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Foreign Acquisitions and Takeovers Act 1975</w:t>
      </w:r>
    </w:p>
    <w:p w:rsidR="001D4EA9" w:rsidRPr="0064434C" w:rsidRDefault="001D4EA9" w:rsidP="001D4EA9">
      <w:pPr>
        <w:spacing w:after="0"/>
        <w:ind w:right="-46"/>
        <w:rPr>
          <w:color w:val="000000"/>
          <w:sz w:val="22"/>
          <w:szCs w:val="22"/>
        </w:rPr>
      </w:pPr>
      <w:r w:rsidRPr="0064434C">
        <w:rPr>
          <w:color w:val="000000"/>
          <w:sz w:val="22"/>
          <w:szCs w:val="22"/>
        </w:rPr>
        <w:t>Foreign Acquisitions and Takeovers Amendment Regulation 2012 (No. 1) [Select Legislative Instrument 2012 No. 309] [F2012L02410]</w:t>
      </w:r>
    </w:p>
    <w:p w:rsidR="001D4EA9" w:rsidRPr="00B21166" w:rsidRDefault="001D4EA9" w:rsidP="001D4EA9">
      <w:pPr>
        <w:tabs>
          <w:tab w:val="left" w:pos="284"/>
        </w:tabs>
        <w:spacing w:after="0"/>
        <w:ind w:right="-46"/>
        <w:rPr>
          <w:color w:val="000000"/>
          <w:sz w:val="20"/>
        </w:rPr>
      </w:pPr>
    </w:p>
    <w:p w:rsidR="001D4EA9" w:rsidRDefault="001D4EA9" w:rsidP="001D4EA9">
      <w:pPr>
        <w:spacing w:after="0"/>
        <w:jc w:val="left"/>
        <w:rPr>
          <w:b/>
          <w:i/>
          <w:sz w:val="24"/>
          <w:szCs w:val="24"/>
        </w:rPr>
      </w:pPr>
      <w:r>
        <w:rPr>
          <w:b/>
          <w:i/>
          <w:sz w:val="24"/>
          <w:szCs w:val="24"/>
        </w:rPr>
        <w:br w:type="page"/>
      </w:r>
    </w:p>
    <w:p w:rsidR="001D4EA9" w:rsidRPr="00B21166" w:rsidRDefault="001D4EA9" w:rsidP="00D90170">
      <w:pPr>
        <w:tabs>
          <w:tab w:val="left" w:pos="284"/>
        </w:tabs>
        <w:spacing w:after="120"/>
        <w:ind w:right="-45"/>
        <w:rPr>
          <w:sz w:val="24"/>
          <w:szCs w:val="24"/>
        </w:rPr>
      </w:pPr>
      <w:r w:rsidRPr="00B21166">
        <w:rPr>
          <w:b/>
          <w:i/>
          <w:sz w:val="24"/>
          <w:szCs w:val="24"/>
        </w:rPr>
        <w:lastRenderedPageBreak/>
        <w:t>Foreign Evidence Amendment Act 2010</w:t>
      </w:r>
    </w:p>
    <w:p w:rsidR="001D4EA9" w:rsidRPr="0064434C" w:rsidRDefault="001D4EA9" w:rsidP="001D4EA9">
      <w:pPr>
        <w:spacing w:after="0"/>
        <w:ind w:right="-46"/>
        <w:rPr>
          <w:color w:val="000000"/>
          <w:sz w:val="22"/>
          <w:szCs w:val="22"/>
        </w:rPr>
      </w:pPr>
      <w:r w:rsidRPr="0064434C">
        <w:rPr>
          <w:color w:val="000000"/>
          <w:sz w:val="22"/>
          <w:szCs w:val="22"/>
        </w:rPr>
        <w:t>Foreign Evidence (Application of Amendments) Amendment Regulation 2012 (No. 1) [Select Legislative Instrument 2012 No. 281] [F2012L02390]</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Health Insurance Act 1973</w:t>
      </w:r>
    </w:p>
    <w:p w:rsidR="001D4EA9" w:rsidRPr="0064434C" w:rsidRDefault="001D4EA9" w:rsidP="001D4EA9">
      <w:pPr>
        <w:spacing w:after="60"/>
        <w:ind w:right="-46"/>
        <w:rPr>
          <w:color w:val="000000"/>
          <w:sz w:val="22"/>
          <w:szCs w:val="22"/>
        </w:rPr>
      </w:pPr>
      <w:r w:rsidRPr="0064434C">
        <w:rPr>
          <w:color w:val="000000"/>
          <w:sz w:val="22"/>
          <w:szCs w:val="22"/>
        </w:rPr>
        <w:t>Health Insurance (Diagnostic Imaging Services Table) Amendment Regulation 2012 (No. 1) [Select Legislative Instrument 2012 No. 295] [F2012L02399]</w:t>
      </w:r>
    </w:p>
    <w:p w:rsidR="001D4EA9" w:rsidRPr="0064434C" w:rsidRDefault="001D4EA9" w:rsidP="001D4EA9">
      <w:pPr>
        <w:spacing w:after="60"/>
        <w:ind w:right="-46"/>
        <w:rPr>
          <w:color w:val="000000"/>
          <w:sz w:val="22"/>
          <w:szCs w:val="22"/>
        </w:rPr>
      </w:pPr>
      <w:r w:rsidRPr="0064434C">
        <w:rPr>
          <w:color w:val="000000"/>
          <w:sz w:val="22"/>
          <w:szCs w:val="22"/>
        </w:rPr>
        <w:t>Health Insurance (General Medical Services Table) Amendment Regulation 2012 (No. 5) [Select Legislative Instrument 2012 No. 296] [F2012L02406]</w:t>
      </w:r>
    </w:p>
    <w:p w:rsidR="001D4EA9" w:rsidRPr="0064434C" w:rsidRDefault="001D4EA9" w:rsidP="001D4EA9">
      <w:pPr>
        <w:spacing w:after="60"/>
        <w:ind w:right="-46"/>
        <w:rPr>
          <w:color w:val="000000"/>
          <w:sz w:val="22"/>
          <w:szCs w:val="22"/>
        </w:rPr>
      </w:pPr>
      <w:r w:rsidRPr="0064434C">
        <w:rPr>
          <w:color w:val="000000"/>
          <w:sz w:val="22"/>
          <w:szCs w:val="22"/>
        </w:rPr>
        <w:t>Health Insurance (Pathology Services Table) Amendment Regulation 2012 (No. 4) [Select Legislative Instrument 2012 No. 297] [F2012L02413]</w:t>
      </w:r>
    </w:p>
    <w:p w:rsidR="001D4EA9" w:rsidRPr="0064434C" w:rsidRDefault="001D4EA9" w:rsidP="001D4EA9">
      <w:pPr>
        <w:spacing w:after="60"/>
        <w:ind w:right="-46"/>
        <w:rPr>
          <w:color w:val="000000"/>
          <w:sz w:val="22"/>
          <w:szCs w:val="22"/>
        </w:rPr>
      </w:pPr>
      <w:r w:rsidRPr="0064434C">
        <w:rPr>
          <w:color w:val="000000"/>
          <w:sz w:val="22"/>
          <w:szCs w:val="22"/>
        </w:rPr>
        <w:t>Health Insurance Amendment Regulation 2012 (No. 3) [Select Legislative Instrument 2012 No. 293] [F2012L02368]</w:t>
      </w:r>
    </w:p>
    <w:p w:rsidR="001D4EA9" w:rsidRPr="0064434C" w:rsidRDefault="001D4EA9" w:rsidP="001D4EA9">
      <w:pPr>
        <w:spacing w:after="0"/>
        <w:ind w:right="-46"/>
        <w:rPr>
          <w:color w:val="000000"/>
          <w:sz w:val="22"/>
          <w:szCs w:val="22"/>
        </w:rPr>
      </w:pPr>
      <w:r w:rsidRPr="0064434C">
        <w:rPr>
          <w:color w:val="000000"/>
          <w:sz w:val="22"/>
          <w:szCs w:val="22"/>
        </w:rPr>
        <w:t>Health Insurance Amendment Regulation 2012 (No. 4) [Select Legislative Instrument 2012 No. 294] [F2012L02372]</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Higher Education Support Act 2003</w:t>
      </w:r>
    </w:p>
    <w:p w:rsidR="001D4EA9" w:rsidRPr="0064434C" w:rsidRDefault="001D4EA9" w:rsidP="001D4EA9">
      <w:pPr>
        <w:spacing w:after="0"/>
        <w:ind w:right="-46"/>
        <w:rPr>
          <w:color w:val="000000"/>
          <w:sz w:val="24"/>
          <w:szCs w:val="24"/>
        </w:rPr>
      </w:pPr>
      <w:r w:rsidRPr="0064434C">
        <w:rPr>
          <w:color w:val="000000"/>
          <w:sz w:val="24"/>
          <w:szCs w:val="24"/>
        </w:rPr>
        <w:t>Commonwealth Grant Scheme Guidelines 2012 [F2012L02442]</w:t>
      </w:r>
    </w:p>
    <w:p w:rsidR="001D4EA9" w:rsidRPr="00B21166" w:rsidRDefault="001D4EA9" w:rsidP="001D4EA9">
      <w:pPr>
        <w:tabs>
          <w:tab w:val="left" w:pos="284"/>
        </w:tabs>
        <w:spacing w:after="0"/>
        <w:ind w:left="284"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Illegal Logging Prohibition Act 2012</w:t>
      </w:r>
    </w:p>
    <w:p w:rsidR="001D4EA9" w:rsidRPr="0064434C" w:rsidRDefault="001D4EA9" w:rsidP="001D4EA9">
      <w:pPr>
        <w:spacing w:after="0"/>
        <w:ind w:right="-46"/>
        <w:rPr>
          <w:color w:val="000000"/>
          <w:sz w:val="22"/>
          <w:szCs w:val="22"/>
        </w:rPr>
      </w:pPr>
      <w:r w:rsidRPr="0064434C">
        <w:rPr>
          <w:color w:val="000000"/>
          <w:sz w:val="22"/>
          <w:szCs w:val="22"/>
        </w:rPr>
        <w:t>Illegal Logging Prohibition Regulation 2012 [Select Legislative Instrument 2012 No. 271] [F2012L02404]</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Income Tax Assessment Act 1997</w:t>
      </w:r>
    </w:p>
    <w:p w:rsidR="001D4EA9" w:rsidRPr="0064434C" w:rsidRDefault="001D4EA9" w:rsidP="001D4EA9">
      <w:pPr>
        <w:spacing w:after="0"/>
        <w:ind w:right="-46"/>
        <w:rPr>
          <w:color w:val="000000"/>
          <w:sz w:val="22"/>
          <w:szCs w:val="22"/>
        </w:rPr>
      </w:pPr>
      <w:r w:rsidRPr="0064434C">
        <w:rPr>
          <w:color w:val="000000"/>
          <w:sz w:val="22"/>
          <w:szCs w:val="22"/>
        </w:rPr>
        <w:t>Income Tax Assessment Amendment Regulation 2012 (No. 2) [Select Legislative Instrument 2012 No. 310] [F2012L02398]</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Insurance Act 1973</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1 of 2012 - Prudential Standard GPS 001 – Definitions [F2012L02349]</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2 of 2012 - Prudential Standard GPS 110 - Capital Adequacy [F2012L02358]</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3 of 2012 - Prudential Standard GPS 113 - Capital Adequacy: Internal Model-based Method [F2012L02356]</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4 of 2012 - Prudential Standard GPS 114 - Capital Adequacy: Asset Risk Charge [F2012L02360]</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5 of 2012 - Prudential Standard GPS 115 - Capital Adequacy: Insurance Risk Charge [F2012L02380]</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6 of 2012 - Prudential Standard GPS 116 - Capital Adequacy: Insurance Concentration Risk Charge [F2012L02362]</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7 of 2012 - Prudential Standard GPS 117 - Capital Adequacy: Asset Concentration Risk Charge [F2012L02363]</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8 of 2012 - Prudential Standard GPS 118 - Capital Adequacy: Operational Risk Change [F2012L02364]</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9 of 2012 - Prudential Standard GPS 120 - Assets in Australia [F2012L02366]</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10 of 2012 - Prudential Standard GPS 220 - Risk Management [F2012L02361]</w:t>
      </w:r>
    </w:p>
    <w:p w:rsidR="001D4EA9" w:rsidRPr="0064434C" w:rsidRDefault="001D4EA9" w:rsidP="001D4EA9">
      <w:pPr>
        <w:spacing w:after="60"/>
        <w:ind w:right="-46"/>
        <w:rPr>
          <w:color w:val="000000"/>
          <w:sz w:val="22"/>
          <w:szCs w:val="22"/>
        </w:rPr>
      </w:pPr>
      <w:r w:rsidRPr="0064434C">
        <w:rPr>
          <w:color w:val="000000"/>
          <w:sz w:val="22"/>
          <w:szCs w:val="22"/>
        </w:rPr>
        <w:lastRenderedPageBreak/>
        <w:t>Insurance (prudential standard) determination No. 11 of 2012 - Prudential standard GPS 230 - Reinsurance Management [F2012L02365]</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13 of 2012 - Prudential Standard GPS 320 - Actuarial and Related Matters [F2012L02446]</w:t>
      </w:r>
    </w:p>
    <w:p w:rsidR="001D4EA9" w:rsidRPr="0064434C" w:rsidRDefault="001D4EA9" w:rsidP="001D4EA9">
      <w:pPr>
        <w:spacing w:after="60"/>
        <w:ind w:right="-46"/>
        <w:rPr>
          <w:color w:val="000000"/>
          <w:sz w:val="22"/>
          <w:szCs w:val="22"/>
        </w:rPr>
      </w:pPr>
      <w:r w:rsidRPr="0064434C">
        <w:rPr>
          <w:color w:val="000000"/>
          <w:sz w:val="22"/>
          <w:szCs w:val="22"/>
        </w:rPr>
        <w:t>Insurance (prudential standard) determination No. 14 of 2012 - Prudential Standard GPS 111 - Capital Adequacy: Level 2 Insurance Groups; Prudential Standard GPS 221 - Risk Management: Level 2 Insurance Groups; Prudential Standard GPS 311 - Audit and Acturial Reporting and Valuation: Level 2 Insurance Groups [F2012L02448]</w:t>
      </w:r>
    </w:p>
    <w:p w:rsidR="001D4EA9" w:rsidRPr="0064434C" w:rsidRDefault="001D4EA9" w:rsidP="001D4EA9">
      <w:pPr>
        <w:spacing w:after="0"/>
        <w:ind w:right="-46"/>
        <w:rPr>
          <w:color w:val="000000"/>
          <w:sz w:val="22"/>
          <w:szCs w:val="22"/>
        </w:rPr>
      </w:pPr>
      <w:r w:rsidRPr="0064434C">
        <w:rPr>
          <w:color w:val="000000"/>
          <w:sz w:val="22"/>
          <w:szCs w:val="22"/>
        </w:rPr>
        <w:t>Insurance (prudential standard) determination No. 15 of 2012 - Prudential Standard GPS 112 - Capital Adequacy: [Measurement of Capital [F2012L02451]</w:t>
      </w:r>
    </w:p>
    <w:p w:rsidR="001D4EA9" w:rsidRPr="00B21166" w:rsidRDefault="001D4EA9" w:rsidP="001D4EA9">
      <w:pPr>
        <w:tabs>
          <w:tab w:val="left" w:pos="284"/>
        </w:tabs>
        <w:spacing w:after="0"/>
        <w:ind w:left="284"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Judiciary Act 1903</w:t>
      </w:r>
    </w:p>
    <w:p w:rsidR="001D4EA9" w:rsidRPr="0064434C" w:rsidRDefault="001D4EA9" w:rsidP="001D4EA9">
      <w:pPr>
        <w:spacing w:after="0"/>
        <w:ind w:right="-46"/>
        <w:rPr>
          <w:color w:val="000000"/>
          <w:sz w:val="22"/>
          <w:szCs w:val="22"/>
        </w:rPr>
      </w:pPr>
      <w:r w:rsidRPr="0064434C">
        <w:rPr>
          <w:color w:val="000000"/>
          <w:sz w:val="22"/>
          <w:szCs w:val="22"/>
        </w:rPr>
        <w:t>High Court of Australia (Fees) Regulation 2012 [Select Legislative Instrument 2012 No. 282] [F2012L02393]</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b/>
          <w:i/>
          <w:sz w:val="24"/>
          <w:szCs w:val="24"/>
        </w:rPr>
      </w:pPr>
      <w:r w:rsidRPr="00B21166">
        <w:rPr>
          <w:b/>
          <w:i/>
          <w:sz w:val="24"/>
          <w:szCs w:val="24"/>
        </w:rPr>
        <w:t>Legislative Instruments Act 2003</w:t>
      </w:r>
    </w:p>
    <w:p w:rsidR="001D4EA9" w:rsidRPr="0064434C" w:rsidRDefault="001D4EA9" w:rsidP="001D4EA9">
      <w:pPr>
        <w:spacing w:after="0"/>
        <w:ind w:right="-46"/>
        <w:rPr>
          <w:color w:val="000000"/>
          <w:sz w:val="22"/>
          <w:szCs w:val="22"/>
        </w:rPr>
      </w:pPr>
      <w:r w:rsidRPr="0064434C">
        <w:rPr>
          <w:color w:val="000000"/>
          <w:sz w:val="22"/>
          <w:szCs w:val="22"/>
        </w:rPr>
        <w:t>Legislative Instruments Amendment Regulation 2012 (No. 2) [Select Legislative Instr</w:t>
      </w:r>
      <w:r>
        <w:rPr>
          <w:color w:val="000000"/>
          <w:sz w:val="22"/>
          <w:szCs w:val="22"/>
        </w:rPr>
        <w:t>ument 2012 No. </w:t>
      </w:r>
      <w:r w:rsidRPr="0064434C">
        <w:rPr>
          <w:color w:val="000000"/>
          <w:sz w:val="22"/>
          <w:szCs w:val="22"/>
        </w:rPr>
        <w:t>283] [F2012L02376]</w:t>
      </w:r>
    </w:p>
    <w:p w:rsidR="001D4EA9" w:rsidRPr="00B21166" w:rsidRDefault="001D4EA9" w:rsidP="001D4EA9">
      <w:pPr>
        <w:pStyle w:val="ListParagraph"/>
        <w:tabs>
          <w:tab w:val="left" w:pos="284"/>
        </w:tabs>
        <w:ind w:left="0" w:right="-46"/>
        <w:rPr>
          <w:sz w:val="20"/>
        </w:rPr>
      </w:pPr>
    </w:p>
    <w:p w:rsidR="001D4EA9" w:rsidRPr="00B21166" w:rsidRDefault="001D4EA9" w:rsidP="00D90170">
      <w:pPr>
        <w:tabs>
          <w:tab w:val="left" w:pos="284"/>
        </w:tabs>
        <w:spacing w:after="120"/>
        <w:ind w:right="-45"/>
        <w:rPr>
          <w:sz w:val="24"/>
          <w:szCs w:val="24"/>
        </w:rPr>
      </w:pPr>
      <w:r w:rsidRPr="00B21166">
        <w:rPr>
          <w:b/>
          <w:i/>
          <w:sz w:val="24"/>
          <w:szCs w:val="24"/>
        </w:rPr>
        <w:t>Life Insurance Act 1995</w:t>
      </w:r>
    </w:p>
    <w:p w:rsidR="001D4EA9" w:rsidRPr="0064434C" w:rsidRDefault="001D4EA9" w:rsidP="001D4EA9">
      <w:pPr>
        <w:spacing w:after="60"/>
        <w:ind w:right="-46"/>
        <w:rPr>
          <w:color w:val="000000"/>
          <w:sz w:val="22"/>
          <w:szCs w:val="22"/>
        </w:rPr>
      </w:pPr>
      <w:r w:rsidRPr="0064434C">
        <w:rPr>
          <w:color w:val="000000"/>
          <w:sz w:val="22"/>
          <w:szCs w:val="22"/>
        </w:rPr>
        <w:t>Life Insurance Amendment Regulation 2012 (No. 1) [Select Legislative Instrument 2012 No. 311] [F2012L02401]</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1 of 2012 - Prudential Standard LPS 001 – Definitions [F2012L02461]</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2 of 2012 - Prudential Standard LPS 110 - Capital Adequacy [F2012L02460]</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3 of 2012 - Prudential Standard LPS 112 - Capital Adequacy: Measurement of Capital [F2012L02463]</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4 of 2012 - Prudential Standard LPS 114 - Capital Adequacy: Asset Risk Charge [F2012L02464]</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5 of 2012 - Prudential Standard LPS 115 - Capital Adequacy: Insurance Risk Charge [F2012L02462]</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6 of 2012 - Prudential Standard LPS 117 - Capital Adequacy: Asset Concentration Risk Charge [F2012L02465]</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7 of 2012 - Prudential Standard LPS 118 - Capital Adequacy: Operational Risk Charge [F2012L02466]</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8 of 2012 - Prudential Standard LPS 100 - Solvency Standard [F2012L02468]</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9 of 2012 - Prudential Standard LPS 220 - Risk Management [F2012L02469]</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10 of 2012 - Prudential Standard LPS 310 - Audit and Related Matters [F2012L02467]</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12 of 2012 - Prudential Standard LPS 340 - Valuation of Policy Liabilities [F2012L02475]</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13 of 2012 - Prudential Standard LPS 360 - Termination Values, Minimum Surrender Values and Paid-up Values [F2012L02477]</w:t>
      </w:r>
    </w:p>
    <w:p w:rsidR="001D4EA9" w:rsidRPr="0064434C" w:rsidRDefault="001D4EA9" w:rsidP="001D4EA9">
      <w:pPr>
        <w:spacing w:after="60"/>
        <w:ind w:right="-46"/>
        <w:rPr>
          <w:color w:val="000000"/>
          <w:sz w:val="22"/>
          <w:szCs w:val="22"/>
        </w:rPr>
      </w:pPr>
      <w:r w:rsidRPr="0064434C">
        <w:rPr>
          <w:color w:val="000000"/>
          <w:sz w:val="22"/>
          <w:szCs w:val="22"/>
        </w:rPr>
        <w:t>Life Insurance (prudential standard) determination No. 14 of 2012 - Prudential Standard LPS 370 - Cost of Investment Performance Guarantees [F2012L02478]</w:t>
      </w:r>
    </w:p>
    <w:p w:rsidR="001D4EA9" w:rsidRPr="0064434C" w:rsidRDefault="001D4EA9" w:rsidP="001D4EA9">
      <w:pPr>
        <w:spacing w:after="60"/>
        <w:ind w:right="-46"/>
        <w:rPr>
          <w:color w:val="000000"/>
          <w:sz w:val="22"/>
          <w:szCs w:val="22"/>
        </w:rPr>
      </w:pPr>
      <w:r w:rsidRPr="0064434C">
        <w:rPr>
          <w:color w:val="000000"/>
          <w:sz w:val="22"/>
          <w:szCs w:val="22"/>
        </w:rPr>
        <w:lastRenderedPageBreak/>
        <w:t>Life Insurance (prudential standard) determination No. 16 of 2012 - Prudential Standard LPS 700 - Friendly Society Benefit Funds [F2012L02482]</w:t>
      </w:r>
    </w:p>
    <w:p w:rsidR="001D4EA9" w:rsidRPr="0064434C" w:rsidRDefault="001D4EA9" w:rsidP="001D4EA9">
      <w:pPr>
        <w:spacing w:after="0"/>
        <w:ind w:right="-46"/>
        <w:rPr>
          <w:color w:val="000000"/>
          <w:sz w:val="22"/>
          <w:szCs w:val="22"/>
        </w:rPr>
      </w:pPr>
      <w:r w:rsidRPr="0064434C">
        <w:rPr>
          <w:color w:val="000000"/>
          <w:sz w:val="22"/>
          <w:szCs w:val="22"/>
        </w:rPr>
        <w:t>Life Insurance (prudential standard) determination No. 17 of 2012 [F2012L02484]</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Migration Act 1958</w:t>
      </w:r>
    </w:p>
    <w:p w:rsidR="001D4EA9" w:rsidRPr="0064434C" w:rsidRDefault="001D4EA9" w:rsidP="001D4EA9">
      <w:pPr>
        <w:spacing w:after="0"/>
        <w:ind w:right="-46"/>
        <w:rPr>
          <w:color w:val="000000"/>
          <w:sz w:val="22"/>
          <w:szCs w:val="22"/>
        </w:rPr>
      </w:pPr>
      <w:r w:rsidRPr="0064434C">
        <w:rPr>
          <w:color w:val="000000"/>
          <w:sz w:val="22"/>
          <w:szCs w:val="22"/>
        </w:rPr>
        <w:t>Migration Amendment Regulation 2012 (No. 8) [Select Legislative Instrument 2012 No. 301] [F2012L02381]</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Motor Vehicle Standards Act 1989</w:t>
      </w:r>
    </w:p>
    <w:p w:rsidR="001D4EA9" w:rsidRPr="0064434C" w:rsidRDefault="001D4EA9" w:rsidP="001D4EA9">
      <w:pPr>
        <w:spacing w:after="0"/>
        <w:ind w:right="-46"/>
        <w:rPr>
          <w:color w:val="000000"/>
          <w:sz w:val="22"/>
          <w:szCs w:val="22"/>
        </w:rPr>
      </w:pPr>
      <w:r w:rsidRPr="0064434C">
        <w:rPr>
          <w:color w:val="000000"/>
          <w:sz w:val="22"/>
          <w:szCs w:val="22"/>
        </w:rPr>
        <w:t>Motor Vehicle Standards Amendment Regulation 2012 (No. 1) [Select Legislative Instrument 2012 No. 305] [F2012L02377]</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Mutual Assistance in Business Regulation Act 1992</w:t>
      </w:r>
    </w:p>
    <w:p w:rsidR="001D4EA9" w:rsidRPr="0064434C" w:rsidRDefault="001D4EA9" w:rsidP="001D4EA9">
      <w:pPr>
        <w:spacing w:after="0"/>
        <w:ind w:right="-46"/>
        <w:rPr>
          <w:color w:val="000000"/>
          <w:sz w:val="24"/>
          <w:szCs w:val="24"/>
        </w:rPr>
      </w:pPr>
      <w:r w:rsidRPr="0064434C">
        <w:rPr>
          <w:color w:val="000000"/>
          <w:sz w:val="24"/>
          <w:szCs w:val="24"/>
        </w:rPr>
        <w:t>Mutual Assistance in Business Regulation Amendment Regulation 2012 (No. 1) [Select Legislative Instrument 2012 No. 312] [F2012L02432]</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National Consumer Credit Protection Act 2009</w:t>
      </w:r>
    </w:p>
    <w:p w:rsidR="001D4EA9" w:rsidRPr="0064434C" w:rsidRDefault="001D4EA9" w:rsidP="001D4EA9">
      <w:pPr>
        <w:spacing w:after="60"/>
        <w:ind w:right="-46"/>
        <w:rPr>
          <w:color w:val="000000"/>
          <w:sz w:val="22"/>
          <w:szCs w:val="22"/>
        </w:rPr>
      </w:pPr>
      <w:r w:rsidRPr="0064434C">
        <w:rPr>
          <w:color w:val="000000"/>
          <w:sz w:val="22"/>
          <w:szCs w:val="22"/>
        </w:rPr>
        <w:t>National Consumer Credit Protection Amendment Regulation 2012 (No. 3) [Select Legislative Instrument 2012 No. 313] [F2012L02415]</w:t>
      </w:r>
    </w:p>
    <w:p w:rsidR="001D4EA9" w:rsidRPr="0064434C" w:rsidRDefault="001D4EA9" w:rsidP="001D4EA9">
      <w:pPr>
        <w:spacing w:after="0"/>
        <w:ind w:right="-46"/>
        <w:rPr>
          <w:color w:val="000000"/>
          <w:sz w:val="22"/>
          <w:szCs w:val="22"/>
        </w:rPr>
      </w:pPr>
      <w:r w:rsidRPr="0064434C">
        <w:rPr>
          <w:color w:val="000000"/>
          <w:sz w:val="22"/>
          <w:szCs w:val="22"/>
        </w:rPr>
        <w:t>National Consumer Credit Protection Amendment Regulation 2012 (No. 4) [Select Legislative Instrument 2012 No. 314] [F2012L02429]</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National Health Act 1953</w:t>
      </w:r>
    </w:p>
    <w:p w:rsidR="001D4EA9" w:rsidRPr="0064434C" w:rsidRDefault="001D4EA9" w:rsidP="001D4EA9">
      <w:pPr>
        <w:spacing w:after="0"/>
        <w:ind w:right="-46"/>
        <w:rPr>
          <w:color w:val="000000"/>
          <w:sz w:val="22"/>
          <w:szCs w:val="22"/>
        </w:rPr>
      </w:pPr>
      <w:r w:rsidRPr="0064434C">
        <w:rPr>
          <w:color w:val="000000"/>
          <w:sz w:val="22"/>
          <w:szCs w:val="22"/>
        </w:rPr>
        <w:t>National Health (Pharmaceutical Benefits) Amendment Regulation 2012 (No. 5) [Select Legislative Instrument 2012 No. 299] [F2012L02388]</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National Measurement Act 1960</w:t>
      </w:r>
    </w:p>
    <w:p w:rsidR="001D4EA9" w:rsidRPr="0064434C" w:rsidRDefault="001D4EA9" w:rsidP="001D4EA9">
      <w:pPr>
        <w:spacing w:after="0"/>
        <w:ind w:right="-46"/>
        <w:rPr>
          <w:color w:val="000000"/>
          <w:sz w:val="22"/>
          <w:szCs w:val="22"/>
        </w:rPr>
      </w:pPr>
      <w:r w:rsidRPr="0064434C">
        <w:rPr>
          <w:color w:val="000000"/>
          <w:sz w:val="22"/>
          <w:szCs w:val="22"/>
        </w:rPr>
        <w:t>National Trade Measurement Amendment Regulation 2012 (No. 1) [Select Legislative Instrument 2012 No. 302] [F2012L02420]</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National Rental Affordability Scheme Act 2008</w:t>
      </w:r>
    </w:p>
    <w:p w:rsidR="001D4EA9" w:rsidRPr="0064434C" w:rsidRDefault="001D4EA9" w:rsidP="001D4EA9">
      <w:pPr>
        <w:spacing w:after="0"/>
        <w:ind w:right="-46"/>
        <w:rPr>
          <w:color w:val="000000"/>
          <w:sz w:val="22"/>
          <w:szCs w:val="22"/>
        </w:rPr>
      </w:pPr>
      <w:r w:rsidRPr="0064434C">
        <w:rPr>
          <w:color w:val="000000"/>
          <w:sz w:val="22"/>
          <w:szCs w:val="22"/>
        </w:rPr>
        <w:t>National Rental Affordability Scheme Amendment Regulation 2012 (No. 1) [Select Legislative Instrument 2012 No. 300] [F2012L02444]</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Personally Controlled Electronic Health Records Act 2012</w:t>
      </w:r>
    </w:p>
    <w:p w:rsidR="001D4EA9" w:rsidRPr="0064434C" w:rsidRDefault="001D4EA9" w:rsidP="001D4EA9">
      <w:pPr>
        <w:spacing w:after="0"/>
        <w:ind w:right="-46"/>
        <w:rPr>
          <w:color w:val="000000"/>
          <w:sz w:val="22"/>
          <w:szCs w:val="22"/>
        </w:rPr>
      </w:pPr>
      <w:r w:rsidRPr="0064434C">
        <w:rPr>
          <w:color w:val="000000"/>
          <w:sz w:val="22"/>
          <w:szCs w:val="22"/>
        </w:rPr>
        <w:t>PCEHR (Assisted Registration) Rules 2012 [F2012L02383]</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Primary Industries (Customs) Charges Act 1999</w:t>
      </w:r>
    </w:p>
    <w:p w:rsidR="001D4EA9" w:rsidRPr="0064434C" w:rsidRDefault="001D4EA9" w:rsidP="001D4EA9">
      <w:pPr>
        <w:spacing w:after="0"/>
        <w:ind w:right="-46"/>
        <w:rPr>
          <w:color w:val="000000"/>
          <w:sz w:val="22"/>
          <w:szCs w:val="22"/>
        </w:rPr>
      </w:pPr>
      <w:r w:rsidRPr="0064434C">
        <w:rPr>
          <w:color w:val="000000"/>
          <w:sz w:val="22"/>
          <w:szCs w:val="22"/>
        </w:rPr>
        <w:t>Primary Industries (Customs) Charges Amendment Regulation 2012 (No. 2) [Select Legislative Instrument 2012 No. 324] [F2012L02353]</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Primary Industries Levies and Charges Collection Act 1991</w:t>
      </w:r>
    </w:p>
    <w:p w:rsidR="001D4EA9" w:rsidRPr="00DC2AD0" w:rsidRDefault="001D4EA9" w:rsidP="001D4EA9">
      <w:pPr>
        <w:spacing w:after="0"/>
        <w:ind w:right="-46"/>
        <w:rPr>
          <w:color w:val="000000"/>
          <w:sz w:val="22"/>
          <w:szCs w:val="22"/>
        </w:rPr>
      </w:pPr>
      <w:r w:rsidRPr="00DC2AD0">
        <w:rPr>
          <w:color w:val="000000"/>
          <w:sz w:val="22"/>
          <w:szCs w:val="22"/>
        </w:rPr>
        <w:t>Primary Industries Levies and Charges Collection Amendment Regulation 2012 (No. 1) [Select Legislative Instrument 2012 No. 325] [F2012L02354]</w:t>
      </w:r>
    </w:p>
    <w:p w:rsidR="001D4EA9" w:rsidRPr="00B21166" w:rsidRDefault="001D4EA9" w:rsidP="001D4EA9">
      <w:pPr>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Renewable Energy (Electricity) Act 2000</w:t>
      </w:r>
    </w:p>
    <w:p w:rsidR="001D4EA9" w:rsidRPr="00DC2AD0" w:rsidRDefault="001D4EA9" w:rsidP="001D4EA9">
      <w:pPr>
        <w:spacing w:after="0"/>
        <w:ind w:right="-46"/>
        <w:rPr>
          <w:color w:val="000000"/>
          <w:sz w:val="22"/>
          <w:szCs w:val="22"/>
        </w:rPr>
      </w:pPr>
      <w:r w:rsidRPr="00DC2AD0">
        <w:rPr>
          <w:color w:val="000000"/>
          <w:sz w:val="22"/>
          <w:szCs w:val="22"/>
        </w:rPr>
        <w:t>Renewable Energy (Electricity) Amendment Regulation 2012 (No. 8) [Select Legislative Instrument 2012 No. 290] [F2012L02419]</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lastRenderedPageBreak/>
        <w:t>Retirement Savings Accounts Act 1997</w:t>
      </w:r>
    </w:p>
    <w:p w:rsidR="001D4EA9" w:rsidRPr="00DC2AD0" w:rsidRDefault="001D4EA9" w:rsidP="001D4EA9">
      <w:pPr>
        <w:spacing w:after="0"/>
        <w:ind w:right="-46"/>
        <w:rPr>
          <w:color w:val="000000"/>
          <w:sz w:val="22"/>
          <w:szCs w:val="22"/>
        </w:rPr>
      </w:pPr>
      <w:r w:rsidRPr="00DC2AD0">
        <w:rPr>
          <w:color w:val="000000"/>
          <w:sz w:val="22"/>
          <w:szCs w:val="22"/>
        </w:rPr>
        <w:t>Retirement Savings Accounts Amendment Regulation 2012 (No. 3) [Select Legislative Instrument 2012 No. 315] [F2012L02403]</w:t>
      </w:r>
    </w:p>
    <w:p w:rsidR="001D4EA9" w:rsidRPr="00B21166" w:rsidRDefault="001D4EA9" w:rsidP="001D4EA9">
      <w:pPr>
        <w:pStyle w:val="ListParagraph"/>
        <w:tabs>
          <w:tab w:val="left" w:pos="284"/>
        </w:tabs>
        <w:ind w:left="0" w:right="-46"/>
        <w:rPr>
          <w:sz w:val="20"/>
        </w:rPr>
      </w:pPr>
    </w:p>
    <w:p w:rsidR="001D4EA9" w:rsidRPr="00B21166" w:rsidRDefault="001D4EA9" w:rsidP="00D90170">
      <w:pPr>
        <w:tabs>
          <w:tab w:val="left" w:pos="284"/>
        </w:tabs>
        <w:spacing w:after="120"/>
        <w:ind w:right="-45"/>
        <w:rPr>
          <w:sz w:val="24"/>
          <w:szCs w:val="24"/>
        </w:rPr>
      </w:pPr>
      <w:r w:rsidRPr="00B21166">
        <w:rPr>
          <w:b/>
          <w:i/>
          <w:sz w:val="24"/>
          <w:szCs w:val="24"/>
        </w:rPr>
        <w:t>Superannuation Auditor Registration Imposition Act 2012</w:t>
      </w:r>
    </w:p>
    <w:p w:rsidR="001D4EA9" w:rsidRPr="00DC2AD0" w:rsidRDefault="001D4EA9" w:rsidP="001D4EA9">
      <w:pPr>
        <w:spacing w:after="0"/>
        <w:ind w:right="-46"/>
        <w:rPr>
          <w:color w:val="000000"/>
          <w:sz w:val="22"/>
          <w:szCs w:val="22"/>
        </w:rPr>
      </w:pPr>
      <w:r w:rsidRPr="00DC2AD0">
        <w:rPr>
          <w:color w:val="000000"/>
          <w:sz w:val="22"/>
          <w:szCs w:val="22"/>
        </w:rPr>
        <w:t>Superannuation Auditor Registration Imposition Regulation 2012 [Select Legislative Instrument 2012 No. 329] [F2012L02405]</w:t>
      </w:r>
    </w:p>
    <w:p w:rsidR="001D4EA9" w:rsidRPr="00B21166" w:rsidRDefault="001D4EA9" w:rsidP="001D4EA9">
      <w:pPr>
        <w:tabs>
          <w:tab w:val="left" w:pos="284"/>
        </w:tabs>
        <w:spacing w:after="0"/>
        <w:ind w:left="284"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Superannuation Industry (Supervision) Act 1993</w:t>
      </w:r>
    </w:p>
    <w:p w:rsidR="001D4EA9" w:rsidRPr="00DC2AD0" w:rsidRDefault="001D4EA9" w:rsidP="001D4EA9">
      <w:pPr>
        <w:spacing w:after="60"/>
        <w:ind w:right="-46"/>
        <w:rPr>
          <w:color w:val="000000"/>
          <w:sz w:val="22"/>
          <w:szCs w:val="22"/>
        </w:rPr>
      </w:pPr>
      <w:r w:rsidRPr="00DC2AD0">
        <w:rPr>
          <w:color w:val="000000"/>
          <w:sz w:val="22"/>
          <w:szCs w:val="22"/>
        </w:rPr>
        <w:t>Superannuation Industry (Supervision) Amendment Regulation 2012 (No. 4) [Select Legislative Instrument 2012 No. 316] [F2012L02386]</w:t>
      </w:r>
    </w:p>
    <w:p w:rsidR="001D4EA9" w:rsidRPr="00DC2AD0" w:rsidRDefault="001D4EA9" w:rsidP="001D4EA9">
      <w:pPr>
        <w:spacing w:after="60"/>
        <w:ind w:right="-46"/>
        <w:rPr>
          <w:color w:val="000000"/>
          <w:sz w:val="22"/>
          <w:szCs w:val="22"/>
        </w:rPr>
      </w:pPr>
      <w:r w:rsidRPr="00DC2AD0">
        <w:rPr>
          <w:color w:val="000000"/>
          <w:sz w:val="22"/>
          <w:szCs w:val="22"/>
        </w:rPr>
        <w:t>Superannuation Industry (Supervision) Amendment Regulation 2012 (No. 5) [Select Legislative Instrument 2012 No. 317] [F2012L02407]</w:t>
      </w:r>
    </w:p>
    <w:p w:rsidR="001D4EA9" w:rsidRPr="00DC2AD0" w:rsidRDefault="001D4EA9" w:rsidP="001D4EA9">
      <w:pPr>
        <w:spacing w:after="0"/>
        <w:ind w:right="-46"/>
        <w:rPr>
          <w:color w:val="000000"/>
          <w:sz w:val="22"/>
          <w:szCs w:val="22"/>
        </w:rPr>
      </w:pPr>
      <w:r w:rsidRPr="00DC2AD0">
        <w:rPr>
          <w:color w:val="000000"/>
          <w:sz w:val="22"/>
          <w:szCs w:val="22"/>
        </w:rPr>
        <w:t>Superannuation Industry (Supervision) Amendment Regulation 2012 (No. 6) [Select Legislative Instrument 2012 No. 330] [F2012L02408]</w:t>
      </w:r>
    </w:p>
    <w:p w:rsidR="001D4EA9" w:rsidRPr="00B21166" w:rsidRDefault="001D4EA9" w:rsidP="001D4EA9">
      <w:pPr>
        <w:tabs>
          <w:tab w:val="left" w:pos="284"/>
        </w:tabs>
        <w:spacing w:after="0"/>
        <w:ind w:left="284"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Telecommunications (Interception and Access) Act 1979</w:t>
      </w:r>
    </w:p>
    <w:p w:rsidR="001D4EA9" w:rsidRPr="00DC2AD0" w:rsidRDefault="001D4EA9" w:rsidP="001D4EA9">
      <w:pPr>
        <w:spacing w:after="0"/>
        <w:ind w:right="-46"/>
        <w:rPr>
          <w:color w:val="000000"/>
          <w:sz w:val="22"/>
          <w:szCs w:val="22"/>
        </w:rPr>
      </w:pPr>
      <w:r w:rsidRPr="00DC2AD0">
        <w:rPr>
          <w:color w:val="000000"/>
          <w:sz w:val="22"/>
          <w:szCs w:val="22"/>
        </w:rPr>
        <w:t>Telecommunications (Interception and Access) (Requirements for Authorisations, Notifications and Revocations) Amendment Determination 2012 [F2012L02348]</w:t>
      </w:r>
    </w:p>
    <w:p w:rsidR="001D4EA9" w:rsidRPr="00B21166" w:rsidRDefault="001D4EA9" w:rsidP="001D4EA9">
      <w:pPr>
        <w:tabs>
          <w:tab w:val="left" w:pos="284"/>
        </w:tabs>
        <w:spacing w:after="0"/>
        <w:ind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Telecommunications Act 1997</w:t>
      </w:r>
    </w:p>
    <w:p w:rsidR="001D4EA9" w:rsidRPr="00DC2AD0" w:rsidRDefault="001D4EA9" w:rsidP="001D4EA9">
      <w:pPr>
        <w:spacing w:after="60"/>
        <w:ind w:right="-46"/>
        <w:rPr>
          <w:color w:val="000000"/>
          <w:sz w:val="22"/>
          <w:szCs w:val="22"/>
        </w:rPr>
      </w:pPr>
      <w:r w:rsidRPr="00DC2AD0">
        <w:rPr>
          <w:color w:val="000000"/>
          <w:sz w:val="22"/>
          <w:szCs w:val="22"/>
        </w:rPr>
        <w:t xml:space="preserve">Telecommunications Amendment Regulation 2012 (No. 2) [Select </w:t>
      </w:r>
      <w:r>
        <w:rPr>
          <w:color w:val="000000"/>
          <w:sz w:val="22"/>
          <w:szCs w:val="22"/>
        </w:rPr>
        <w:t>Legislative Instrument 2012 No. </w:t>
      </w:r>
      <w:r w:rsidRPr="00DC2AD0">
        <w:rPr>
          <w:color w:val="000000"/>
          <w:sz w:val="22"/>
          <w:szCs w:val="22"/>
        </w:rPr>
        <w:t>286] [F2012L02374]</w:t>
      </w:r>
    </w:p>
    <w:p w:rsidR="001D4EA9" w:rsidRPr="00DC2AD0" w:rsidRDefault="001D4EA9" w:rsidP="001D4EA9">
      <w:pPr>
        <w:spacing w:after="0"/>
        <w:ind w:right="-46"/>
        <w:rPr>
          <w:color w:val="000000"/>
          <w:sz w:val="22"/>
          <w:szCs w:val="22"/>
        </w:rPr>
      </w:pPr>
      <w:r w:rsidRPr="00DC2AD0">
        <w:rPr>
          <w:color w:val="000000"/>
          <w:sz w:val="22"/>
          <w:szCs w:val="22"/>
        </w:rPr>
        <w:t>Telecommunications Service Provider (Mobile Premium Services) Amendment Determination 2012 (No. 1) [F2012L02458]</w:t>
      </w:r>
    </w:p>
    <w:p w:rsidR="001D4EA9" w:rsidRPr="00B21166" w:rsidRDefault="001D4EA9" w:rsidP="001D4EA9">
      <w:pPr>
        <w:tabs>
          <w:tab w:val="left" w:pos="284"/>
        </w:tabs>
        <w:spacing w:after="0"/>
        <w:ind w:left="284" w:right="-46"/>
        <w:rPr>
          <w:color w:val="000000"/>
          <w:sz w:val="20"/>
        </w:rPr>
      </w:pPr>
    </w:p>
    <w:p w:rsidR="001D4EA9" w:rsidRPr="00B21166" w:rsidRDefault="001D4EA9" w:rsidP="00D90170">
      <w:pPr>
        <w:tabs>
          <w:tab w:val="left" w:pos="284"/>
        </w:tabs>
        <w:spacing w:after="120"/>
        <w:ind w:right="-45"/>
        <w:rPr>
          <w:sz w:val="24"/>
          <w:szCs w:val="24"/>
        </w:rPr>
      </w:pPr>
      <w:r w:rsidRPr="00B21166">
        <w:rPr>
          <w:b/>
          <w:i/>
          <w:sz w:val="24"/>
          <w:szCs w:val="24"/>
        </w:rPr>
        <w:t>Television Licence Fees Act 1964</w:t>
      </w:r>
    </w:p>
    <w:p w:rsidR="001D4EA9" w:rsidRPr="00DC2AD0" w:rsidRDefault="001D4EA9" w:rsidP="001D4EA9">
      <w:pPr>
        <w:spacing w:after="0"/>
        <w:ind w:right="-46"/>
        <w:rPr>
          <w:color w:val="000000"/>
          <w:sz w:val="22"/>
          <w:szCs w:val="22"/>
        </w:rPr>
      </w:pPr>
      <w:r w:rsidRPr="00DC2AD0">
        <w:rPr>
          <w:color w:val="000000"/>
          <w:sz w:val="22"/>
          <w:szCs w:val="22"/>
        </w:rPr>
        <w:t xml:space="preserve">Television Licence Fees Amendment Regulation 2012 (No. 2) [Select </w:t>
      </w:r>
      <w:r>
        <w:rPr>
          <w:color w:val="000000"/>
          <w:sz w:val="22"/>
          <w:szCs w:val="22"/>
        </w:rPr>
        <w:t>Legislative Instrument 2012 No. </w:t>
      </w:r>
      <w:r w:rsidRPr="00DC2AD0">
        <w:rPr>
          <w:color w:val="000000"/>
          <w:sz w:val="22"/>
          <w:szCs w:val="22"/>
        </w:rPr>
        <w:t>287] [F2012L02375]</w:t>
      </w:r>
    </w:p>
    <w:p w:rsidR="001D4EA9" w:rsidRPr="00965D52" w:rsidRDefault="001D4EA9" w:rsidP="001D4EA9">
      <w:pPr>
        <w:tabs>
          <w:tab w:val="left" w:pos="284"/>
        </w:tabs>
        <w:spacing w:after="0"/>
        <w:ind w:right="-46"/>
        <w:rPr>
          <w:color w:val="000000"/>
          <w:sz w:val="20"/>
        </w:rPr>
      </w:pPr>
    </w:p>
    <w:p w:rsidR="001D4EA9" w:rsidRPr="00965D52" w:rsidRDefault="001D4EA9" w:rsidP="00D90170">
      <w:pPr>
        <w:tabs>
          <w:tab w:val="left" w:pos="284"/>
        </w:tabs>
        <w:spacing w:after="120"/>
        <w:ind w:right="-45"/>
        <w:rPr>
          <w:sz w:val="24"/>
          <w:szCs w:val="24"/>
        </w:rPr>
      </w:pPr>
      <w:r w:rsidRPr="00965D52">
        <w:rPr>
          <w:b/>
          <w:i/>
          <w:sz w:val="24"/>
          <w:szCs w:val="24"/>
        </w:rPr>
        <w:t>Trans-Tasman Mutual Recognition Act 1997</w:t>
      </w:r>
    </w:p>
    <w:p w:rsidR="001D4EA9" w:rsidRPr="00DC2AD0" w:rsidRDefault="001D4EA9" w:rsidP="001D4EA9">
      <w:pPr>
        <w:spacing w:after="0"/>
        <w:ind w:right="-46"/>
        <w:rPr>
          <w:color w:val="000000"/>
          <w:sz w:val="22"/>
          <w:szCs w:val="22"/>
        </w:rPr>
      </w:pPr>
      <w:r w:rsidRPr="00DC2AD0">
        <w:rPr>
          <w:color w:val="000000"/>
          <w:sz w:val="22"/>
          <w:szCs w:val="22"/>
        </w:rPr>
        <w:t>Trans-Tasman Mutual Recognition (Amendment of Act) Regulation 2012 [Select Legislative Instrument 2012] [F2012L02422]</w:t>
      </w:r>
    </w:p>
    <w:p w:rsidR="001D4EA9" w:rsidRPr="00965D52" w:rsidRDefault="001D4EA9" w:rsidP="001D4EA9">
      <w:pPr>
        <w:tabs>
          <w:tab w:val="left" w:pos="284"/>
        </w:tabs>
        <w:spacing w:after="0"/>
        <w:ind w:right="-46"/>
        <w:rPr>
          <w:color w:val="000000"/>
          <w:sz w:val="20"/>
        </w:rPr>
      </w:pPr>
    </w:p>
    <w:p w:rsidR="001D4EA9" w:rsidRPr="00965D52" w:rsidRDefault="001D4EA9" w:rsidP="00D90170">
      <w:pPr>
        <w:tabs>
          <w:tab w:val="left" w:pos="284"/>
        </w:tabs>
        <w:spacing w:after="120"/>
        <w:ind w:right="-45"/>
        <w:rPr>
          <w:sz w:val="24"/>
          <w:szCs w:val="24"/>
        </w:rPr>
      </w:pPr>
      <w:r w:rsidRPr="00965D52">
        <w:rPr>
          <w:b/>
          <w:i/>
          <w:sz w:val="24"/>
          <w:szCs w:val="24"/>
        </w:rPr>
        <w:t>Work Health and Safety Act 2011</w:t>
      </w:r>
    </w:p>
    <w:p w:rsidR="001D4EA9" w:rsidRPr="00DC2AD0" w:rsidRDefault="001D4EA9" w:rsidP="001D4EA9">
      <w:pPr>
        <w:spacing w:after="0"/>
        <w:ind w:right="-46"/>
        <w:rPr>
          <w:color w:val="000000"/>
          <w:sz w:val="22"/>
          <w:szCs w:val="22"/>
        </w:rPr>
      </w:pPr>
      <w:r w:rsidRPr="00DC2AD0">
        <w:rPr>
          <w:color w:val="000000"/>
          <w:sz w:val="22"/>
          <w:szCs w:val="22"/>
        </w:rPr>
        <w:t xml:space="preserve">Work Health and Safety Amendment Regulation 2012 (No. 1) [Select </w:t>
      </w:r>
      <w:r>
        <w:rPr>
          <w:color w:val="000000"/>
          <w:sz w:val="22"/>
          <w:szCs w:val="22"/>
        </w:rPr>
        <w:t>Legislative Instrument 2012 No. </w:t>
      </w:r>
      <w:r w:rsidRPr="00DC2AD0">
        <w:rPr>
          <w:color w:val="000000"/>
          <w:sz w:val="22"/>
          <w:szCs w:val="22"/>
        </w:rPr>
        <w:t>291] [F2012L02438]</w:t>
      </w:r>
    </w:p>
    <w:p w:rsidR="001D4EA9" w:rsidRDefault="001D4EA9" w:rsidP="001D4EA9">
      <w:pPr>
        <w:tabs>
          <w:tab w:val="left" w:pos="284"/>
        </w:tabs>
        <w:spacing w:after="0"/>
        <w:ind w:right="-330"/>
      </w:pPr>
    </w:p>
    <w:p w:rsidR="001D4EA9" w:rsidRPr="00FD3243" w:rsidRDefault="001D4EA9" w:rsidP="001D4EA9">
      <w:pPr>
        <w:pStyle w:val="Heading3"/>
        <w:jc w:val="center"/>
      </w:pPr>
      <w:r w:rsidRPr="00FD3243">
        <w:t>Total numb</w:t>
      </w:r>
      <w:r>
        <w:t>er of instruments scrutinised: 232</w:t>
      </w:r>
    </w:p>
    <w:p w:rsidR="007D3BFF" w:rsidRDefault="007D3BFF" w:rsidP="00C41D15">
      <w:pPr>
        <w:sectPr w:rsidR="007D3BFF" w:rsidSect="008B497A">
          <w:headerReference w:type="even" r:id="rId24"/>
          <w:headerReference w:type="default" r:id="rId25"/>
          <w:footerReference w:type="default" r:id="rId26"/>
          <w:headerReference w:type="first" r:id="rId27"/>
          <w:pgSz w:w="11906" w:h="16838" w:code="9"/>
          <w:pgMar w:top="1440" w:right="1440" w:bottom="1202" w:left="1440" w:header="1134" w:footer="720" w:gutter="0"/>
          <w:pgNumType w:start="41"/>
          <w:cols w:space="720"/>
          <w:titlePg/>
        </w:sectPr>
      </w:pPr>
    </w:p>
    <w:p w:rsidR="007D3BFF" w:rsidRDefault="007D3BFF" w:rsidP="007D3BFF">
      <w:pPr>
        <w:pStyle w:val="Heading1"/>
      </w:pPr>
      <w:r>
        <w:lastRenderedPageBreak/>
        <w:t>Appendix 2</w:t>
      </w:r>
    </w:p>
    <w:p w:rsidR="007D3BFF" w:rsidRPr="00ED30DD" w:rsidRDefault="007D3BFF" w:rsidP="007D3BFF">
      <w:pPr>
        <w:pStyle w:val="Heading2"/>
      </w:pPr>
      <w:r>
        <w:t>Guideline on explanatory statements: consultation</w:t>
      </w:r>
    </w:p>
    <w:p w:rsidR="00D856D6" w:rsidRDefault="00D856D6">
      <w:pPr>
        <w:spacing w:after="0"/>
        <w:jc w:val="left"/>
      </w:pPr>
      <w:r>
        <w:br w:type="page"/>
      </w:r>
    </w:p>
    <w:p w:rsidR="00D856D6" w:rsidRDefault="00D856D6">
      <w:pPr>
        <w:spacing w:after="0"/>
        <w:jc w:val="left"/>
      </w:pPr>
    </w:p>
    <w:p w:rsidR="00D856D6" w:rsidRDefault="00D856D6">
      <w:pPr>
        <w:spacing w:after="0"/>
        <w:jc w:val="left"/>
        <w:sectPr w:rsidR="00D856D6" w:rsidSect="00DC7D71">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55"/>
          <w:cols w:space="720"/>
          <w:titlePg/>
        </w:sectPr>
      </w:pPr>
    </w:p>
    <w:p w:rsidR="00D856D6" w:rsidRPr="00390F32" w:rsidRDefault="00D856D6" w:rsidP="00D856D6">
      <w:pPr>
        <w:jc w:val="center"/>
        <w:rPr>
          <w:rFonts w:ascii="Calibri" w:hAnsi="Calibri"/>
        </w:rPr>
      </w:pPr>
      <w:r>
        <w:rPr>
          <w:rFonts w:ascii="Calibri" w:hAnsi="Calibri"/>
          <w:noProof/>
          <w:lang w:eastAsia="en-AU"/>
        </w:rPr>
        <w:lastRenderedPageBreak/>
        <w:drawing>
          <wp:inline distT="0" distB="0" distL="0" distR="0" wp14:anchorId="0C3AB469" wp14:editId="4327E468">
            <wp:extent cx="776605" cy="5949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6605" cy="594995"/>
                    </a:xfrm>
                    <a:prstGeom prst="rect">
                      <a:avLst/>
                    </a:prstGeom>
                    <a:noFill/>
                    <a:ln>
                      <a:noFill/>
                    </a:ln>
                  </pic:spPr>
                </pic:pic>
              </a:graphicData>
            </a:graphic>
          </wp:inline>
        </w:drawing>
      </w:r>
    </w:p>
    <w:p w:rsidR="00D856D6" w:rsidRPr="00390F32" w:rsidRDefault="00D856D6" w:rsidP="00D856D6">
      <w:pPr>
        <w:spacing w:after="0"/>
        <w:jc w:val="center"/>
        <w:rPr>
          <w:rFonts w:ascii="Calibri" w:hAnsi="Calibri"/>
          <w:sz w:val="18"/>
        </w:rPr>
      </w:pPr>
      <w:r w:rsidRPr="00390F32">
        <w:rPr>
          <w:rFonts w:ascii="Calibri" w:hAnsi="Calibri"/>
          <w:sz w:val="18"/>
        </w:rPr>
        <w:t>AUSTRALIAN SENATE</w:t>
      </w:r>
    </w:p>
    <w:p w:rsidR="00D856D6" w:rsidRPr="00390F32" w:rsidRDefault="00D856D6" w:rsidP="00D856D6">
      <w:pPr>
        <w:spacing w:after="0"/>
        <w:jc w:val="center"/>
        <w:rPr>
          <w:rFonts w:ascii="Calibri" w:hAnsi="Calibri"/>
          <w:sz w:val="20"/>
        </w:rPr>
      </w:pPr>
    </w:p>
    <w:p w:rsidR="00D856D6" w:rsidRPr="00390F32" w:rsidRDefault="00D856D6" w:rsidP="002D7C20">
      <w:pPr>
        <w:spacing w:after="120"/>
        <w:jc w:val="center"/>
        <w:rPr>
          <w:rFonts w:ascii="Calibri" w:hAnsi="Calibri"/>
          <w:b/>
          <w:sz w:val="28"/>
          <w:szCs w:val="28"/>
        </w:rPr>
      </w:pPr>
      <w:r w:rsidRPr="00390F32">
        <w:rPr>
          <w:rFonts w:ascii="Calibri" w:hAnsi="Calibri"/>
          <w:b/>
          <w:sz w:val="28"/>
          <w:szCs w:val="28"/>
        </w:rPr>
        <w:t>STANDING COMMITTEE ON REGULATIONS AND ORDINANCES</w:t>
      </w:r>
    </w:p>
    <w:p w:rsidR="00D856D6" w:rsidRPr="00390F32" w:rsidRDefault="00D856D6" w:rsidP="00D856D6">
      <w:pPr>
        <w:spacing w:after="0"/>
        <w:jc w:val="center"/>
        <w:rPr>
          <w:rFonts w:ascii="Calibri" w:hAnsi="Calibri"/>
          <w:b/>
          <w:sz w:val="28"/>
          <w:szCs w:val="28"/>
        </w:rPr>
      </w:pPr>
      <w:r w:rsidRPr="00390F32">
        <w:rPr>
          <w:rFonts w:ascii="Calibri" w:hAnsi="Calibri"/>
          <w:b/>
          <w:sz w:val="28"/>
          <w:szCs w:val="28"/>
        </w:rPr>
        <w:t>Guideline for preparation of explanatory statements: consultation</w:t>
      </w:r>
    </w:p>
    <w:p w:rsidR="00D856D6" w:rsidRPr="00390F32" w:rsidRDefault="00D856D6" w:rsidP="00D856D6">
      <w:pPr>
        <w:rPr>
          <w:rFonts w:ascii="Calibri" w:hAnsi="Calibri"/>
          <w:szCs w:val="24"/>
        </w:rPr>
      </w:pPr>
    </w:p>
    <w:p w:rsidR="00D856D6" w:rsidRPr="00390F32" w:rsidRDefault="00D856D6" w:rsidP="002D7C20">
      <w:pPr>
        <w:spacing w:after="120"/>
        <w:rPr>
          <w:rFonts w:ascii="Calibri" w:hAnsi="Calibri"/>
          <w:b/>
          <w:i/>
          <w:szCs w:val="24"/>
        </w:rPr>
      </w:pPr>
      <w:r w:rsidRPr="00390F32">
        <w:rPr>
          <w:rFonts w:ascii="Calibri" w:hAnsi="Calibri"/>
          <w:b/>
          <w:i/>
          <w:szCs w:val="24"/>
        </w:rPr>
        <w:t>Role of the committee</w:t>
      </w:r>
    </w:p>
    <w:p w:rsidR="00D856D6" w:rsidRPr="00390F32" w:rsidRDefault="00D856D6" w:rsidP="00D856D6">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5" w:history="1">
        <w:r w:rsidRPr="00390F32">
          <w:rPr>
            <w:rStyle w:val="Hyperlink"/>
            <w:rFonts w:ascii="Calibri" w:hAnsi="Calibri"/>
            <w:szCs w:val="24"/>
          </w:rPr>
          <w:t>non-pa</w:t>
        </w:r>
        <w:r w:rsidRPr="00390F32">
          <w:rPr>
            <w:rStyle w:val="Hyperlink"/>
            <w:rFonts w:ascii="Calibri" w:hAnsi="Calibri"/>
            <w:szCs w:val="24"/>
          </w:rPr>
          <w:t>r</w:t>
        </w:r>
        <w:r w:rsidRPr="00390F32">
          <w:rPr>
            <w:rStyle w:val="Hyperlink"/>
            <w:rFonts w:ascii="Calibri" w:hAnsi="Calibri"/>
            <w:szCs w:val="24"/>
          </w:rPr>
          <w:t>tisan principles</w:t>
        </w:r>
      </w:hyperlink>
      <w:r w:rsidRPr="00390F32">
        <w:rPr>
          <w:rFonts w:ascii="Calibri" w:hAnsi="Calibri"/>
          <w:szCs w:val="24"/>
        </w:rPr>
        <w:t xml:space="preserve"> of personal rights and parliamentary propriety.</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b/>
          <w:i/>
          <w:szCs w:val="24"/>
        </w:rPr>
      </w:pPr>
      <w:r w:rsidRPr="00390F32">
        <w:rPr>
          <w:rFonts w:ascii="Calibri" w:hAnsi="Calibri"/>
          <w:b/>
          <w:i/>
          <w:szCs w:val="24"/>
        </w:rPr>
        <w:t>Purpose of guideline</w:t>
      </w:r>
    </w:p>
    <w:p w:rsidR="00D856D6" w:rsidRPr="00390F32" w:rsidRDefault="00D856D6" w:rsidP="00D856D6">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6" w:history="1">
        <w:r w:rsidRPr="00390F32">
          <w:rPr>
            <w:rStyle w:val="Hyperlink"/>
            <w:rFonts w:ascii="Calibri" w:hAnsi="Calibri"/>
            <w:i/>
            <w:szCs w:val="24"/>
          </w:rPr>
          <w:t>Legislative Inst</w:t>
        </w:r>
        <w:r w:rsidRPr="00390F32">
          <w:rPr>
            <w:rStyle w:val="Hyperlink"/>
            <w:rFonts w:ascii="Calibri" w:hAnsi="Calibri"/>
            <w:i/>
            <w:szCs w:val="24"/>
          </w:rPr>
          <w:t>r</w:t>
        </w:r>
        <w:r w:rsidRPr="00390F32">
          <w:rPr>
            <w:rStyle w:val="Hyperlink"/>
            <w:rFonts w:ascii="Calibri" w:hAnsi="Calibri"/>
            <w:i/>
            <w:szCs w:val="24"/>
          </w:rPr>
          <w:t>u</w:t>
        </w:r>
        <w:r w:rsidRPr="00390F32">
          <w:rPr>
            <w:rStyle w:val="Hyperlink"/>
            <w:rFonts w:ascii="Calibri" w:hAnsi="Calibri"/>
            <w:i/>
            <w:szCs w:val="24"/>
          </w:rPr>
          <w:t>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7" w:history="1">
        <w:r w:rsidRPr="00390F32">
          <w:rPr>
            <w:rStyle w:val="Hyperlink"/>
            <w:rFonts w:ascii="Calibri" w:hAnsi="Calibri"/>
            <w:szCs w:val="24"/>
          </w:rPr>
          <w:t>disal</w:t>
        </w:r>
        <w:r w:rsidRPr="00390F32">
          <w:rPr>
            <w:rStyle w:val="Hyperlink"/>
            <w:rFonts w:ascii="Calibri" w:hAnsi="Calibri"/>
            <w:szCs w:val="24"/>
          </w:rPr>
          <w:t>l</w:t>
        </w:r>
        <w:r w:rsidRPr="00390F32">
          <w:rPr>
            <w:rStyle w:val="Hyperlink"/>
            <w:rFonts w:ascii="Calibri" w:hAnsi="Calibri"/>
            <w:szCs w:val="24"/>
          </w:rPr>
          <w:t>o</w:t>
        </w:r>
        <w:r w:rsidRPr="00390F32">
          <w:rPr>
            <w:rStyle w:val="Hyperlink"/>
            <w:rFonts w:ascii="Calibri" w:hAnsi="Calibri"/>
            <w:szCs w:val="24"/>
          </w:rPr>
          <w:t>w</w:t>
        </w:r>
        <w:r w:rsidRPr="00390F32">
          <w:rPr>
            <w:rStyle w:val="Hyperlink"/>
            <w:rFonts w:ascii="Calibri" w:hAnsi="Calibri"/>
            <w:szCs w:val="24"/>
          </w:rPr>
          <w:t>ance</w:t>
        </w:r>
      </w:hyperlink>
      <w:r w:rsidRPr="00390F32">
        <w:rPr>
          <w:rFonts w:ascii="Calibri" w:hAnsi="Calibri"/>
          <w:szCs w:val="24"/>
        </w:rPr>
        <w: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D856D6" w:rsidRPr="00390F32" w:rsidRDefault="00D856D6" w:rsidP="00D856D6">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b/>
          <w:i/>
          <w:szCs w:val="24"/>
        </w:rPr>
      </w:pPr>
      <w:r w:rsidRPr="00390F32">
        <w:rPr>
          <w:rFonts w:ascii="Calibri" w:hAnsi="Calibri"/>
          <w:b/>
          <w:i/>
          <w:szCs w:val="24"/>
        </w:rPr>
        <w:t>Describing the nature of consultation</w:t>
      </w:r>
    </w:p>
    <w:p w:rsidR="00D856D6" w:rsidRPr="00390F32" w:rsidRDefault="00D856D6" w:rsidP="00D856D6">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i/>
          <w:szCs w:val="24"/>
        </w:rPr>
      </w:pPr>
      <w:r w:rsidRPr="00390F32">
        <w:rPr>
          <w:rFonts w:ascii="Calibri" w:hAnsi="Calibri"/>
          <w:i/>
          <w:szCs w:val="24"/>
        </w:rPr>
        <w:t>Method and purpose of consultation</w:t>
      </w:r>
    </w:p>
    <w:p w:rsidR="00D856D6" w:rsidRPr="00390F32" w:rsidRDefault="00D856D6" w:rsidP="00D856D6">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D856D6" w:rsidRPr="00390F32" w:rsidRDefault="00D856D6" w:rsidP="00D856D6">
      <w:pPr>
        <w:spacing w:after="0"/>
        <w:rPr>
          <w:rFonts w:ascii="Calibri" w:hAnsi="Calibri"/>
          <w:szCs w:val="24"/>
        </w:rPr>
      </w:pPr>
    </w:p>
    <w:p w:rsidR="00D856D6" w:rsidRDefault="00D856D6">
      <w:pPr>
        <w:spacing w:after="0"/>
        <w:jc w:val="left"/>
        <w:rPr>
          <w:rFonts w:ascii="Calibri" w:hAnsi="Calibri"/>
          <w:i/>
          <w:szCs w:val="24"/>
        </w:rPr>
      </w:pPr>
      <w:r>
        <w:rPr>
          <w:rFonts w:ascii="Calibri" w:hAnsi="Calibri"/>
          <w:i/>
          <w:szCs w:val="24"/>
        </w:rPr>
        <w:br w:type="page"/>
      </w:r>
    </w:p>
    <w:p w:rsidR="00D856D6" w:rsidRPr="00390F32" w:rsidRDefault="00D856D6" w:rsidP="002D7C20">
      <w:pPr>
        <w:spacing w:after="120"/>
        <w:rPr>
          <w:rFonts w:ascii="Calibri" w:hAnsi="Calibri"/>
          <w:i/>
          <w:szCs w:val="24"/>
        </w:rPr>
      </w:pPr>
      <w:r w:rsidRPr="00390F32">
        <w:rPr>
          <w:rFonts w:ascii="Calibri" w:hAnsi="Calibri"/>
          <w:i/>
          <w:szCs w:val="24"/>
        </w:rPr>
        <w:lastRenderedPageBreak/>
        <w:t>Bodies/groups/individuals consulted</w:t>
      </w:r>
    </w:p>
    <w:p w:rsidR="00D856D6" w:rsidRPr="00390F32" w:rsidRDefault="00D856D6" w:rsidP="00D856D6">
      <w:pPr>
        <w:spacing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i/>
          <w:szCs w:val="24"/>
        </w:rPr>
      </w:pPr>
      <w:r w:rsidRPr="00390F32">
        <w:rPr>
          <w:rFonts w:ascii="Calibri" w:hAnsi="Calibri"/>
          <w:i/>
          <w:szCs w:val="24"/>
        </w:rPr>
        <w:t>Issues raised in consultations and outcomes</w:t>
      </w:r>
    </w:p>
    <w:p w:rsidR="00D856D6" w:rsidRPr="00390F32" w:rsidRDefault="00D856D6" w:rsidP="00D856D6">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b/>
          <w:i/>
          <w:szCs w:val="24"/>
        </w:rPr>
      </w:pPr>
      <w:r w:rsidRPr="00390F32">
        <w:rPr>
          <w:rFonts w:ascii="Calibri" w:hAnsi="Calibri"/>
          <w:b/>
          <w:i/>
          <w:szCs w:val="24"/>
        </w:rPr>
        <w:t>Explaining why consultation has not been undertaken</w:t>
      </w:r>
    </w:p>
    <w:p w:rsidR="00D856D6" w:rsidRPr="00390F32" w:rsidRDefault="00D856D6" w:rsidP="00D856D6">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i/>
          <w:szCs w:val="24"/>
        </w:rPr>
      </w:pPr>
      <w:r w:rsidRPr="00390F32">
        <w:rPr>
          <w:rFonts w:ascii="Calibri" w:hAnsi="Calibri"/>
          <w:i/>
          <w:szCs w:val="24"/>
        </w:rPr>
        <w:t>Specific examples listed in the Act</w:t>
      </w:r>
    </w:p>
    <w:p w:rsidR="00D856D6" w:rsidRPr="00390F32" w:rsidRDefault="00D856D6" w:rsidP="00D856D6">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D856D6" w:rsidRPr="00390F32" w:rsidRDefault="00D856D6" w:rsidP="00D856D6">
      <w:pPr>
        <w:spacing w:after="0"/>
        <w:rPr>
          <w:rFonts w:ascii="Calibri" w:hAnsi="Calibri"/>
          <w:szCs w:val="24"/>
        </w:rPr>
      </w:pPr>
    </w:p>
    <w:p w:rsidR="00D856D6" w:rsidRPr="00390F32" w:rsidRDefault="00D856D6" w:rsidP="002D7C20">
      <w:pPr>
        <w:spacing w:after="120"/>
        <w:rPr>
          <w:rFonts w:ascii="Calibri" w:hAnsi="Calibri"/>
          <w:i/>
          <w:szCs w:val="24"/>
        </w:rPr>
      </w:pPr>
      <w:r w:rsidRPr="00390F32">
        <w:rPr>
          <w:rFonts w:ascii="Calibri" w:hAnsi="Calibri"/>
          <w:i/>
          <w:szCs w:val="24"/>
        </w:rPr>
        <w:t>Timing of consultation</w:t>
      </w:r>
    </w:p>
    <w:p w:rsidR="00D856D6" w:rsidRPr="00390F32" w:rsidRDefault="00D856D6" w:rsidP="00D856D6">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w:t>
      </w:r>
      <w:r w:rsidRPr="00390F32">
        <w:rPr>
          <w:rFonts w:ascii="Calibri" w:hAnsi="Calibri"/>
          <w:szCs w:val="24"/>
        </w:rPr>
        <w:lastRenderedPageBreak/>
        <w:t>and the instrument are made at or about the same time and (b) the consultation addresses the matters dealt with in the delegated legislation.</w:t>
      </w:r>
    </w:p>
    <w:p w:rsidR="00D856D6" w:rsidRPr="00390F32" w:rsidRDefault="00D856D6" w:rsidP="00D856D6">
      <w:pPr>
        <w:spacing w:after="0"/>
        <w:rPr>
          <w:rFonts w:ascii="Calibri" w:hAnsi="Calibri"/>
          <w:b/>
          <w:szCs w:val="24"/>
        </w:rPr>
      </w:pPr>
    </w:p>
    <w:p w:rsidR="00D856D6" w:rsidRPr="00390F32" w:rsidRDefault="00D856D6" w:rsidP="002D7C20">
      <w:pPr>
        <w:spacing w:after="120"/>
        <w:rPr>
          <w:rFonts w:ascii="Calibri" w:hAnsi="Calibri"/>
          <w:b/>
          <w:i/>
          <w:szCs w:val="24"/>
        </w:rPr>
      </w:pPr>
      <w:r w:rsidRPr="00390F32">
        <w:rPr>
          <w:rFonts w:ascii="Calibri" w:hAnsi="Calibri"/>
          <w:b/>
          <w:i/>
          <w:szCs w:val="24"/>
        </w:rPr>
        <w:t>Seeking further advice or information</w:t>
      </w:r>
    </w:p>
    <w:p w:rsidR="00D856D6" w:rsidRPr="00390F32" w:rsidRDefault="00D856D6" w:rsidP="00D856D6">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8"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D856D6" w:rsidRPr="00390F32" w:rsidRDefault="00D856D6" w:rsidP="002D7C20">
      <w:pPr>
        <w:spacing w:after="12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Committee Secretary</w:t>
      </w:r>
    </w:p>
    <w:p w:rsidR="00D856D6" w:rsidRPr="00390F32" w:rsidRDefault="00D856D6" w:rsidP="00D856D6">
      <w:pPr>
        <w:spacing w:after="0"/>
        <w:rPr>
          <w:rFonts w:ascii="Calibri" w:hAnsi="Calibri"/>
          <w:szCs w:val="24"/>
        </w:rPr>
      </w:pPr>
      <w:r w:rsidRPr="00390F32">
        <w:rPr>
          <w:rFonts w:ascii="Calibri" w:hAnsi="Calibri"/>
          <w:szCs w:val="24"/>
        </w:rPr>
        <w:t>Senate Regulations and Ordinances Committee</w:t>
      </w:r>
    </w:p>
    <w:p w:rsidR="00D856D6" w:rsidRPr="00390F32" w:rsidRDefault="00D856D6" w:rsidP="00D856D6">
      <w:pPr>
        <w:spacing w:after="0"/>
        <w:rPr>
          <w:rFonts w:ascii="Calibri" w:hAnsi="Calibri"/>
          <w:szCs w:val="24"/>
        </w:rPr>
      </w:pPr>
      <w:r w:rsidRPr="00390F32">
        <w:rPr>
          <w:rFonts w:ascii="Calibri" w:hAnsi="Calibri"/>
          <w:szCs w:val="24"/>
        </w:rPr>
        <w:t>PO Box 6100</w:t>
      </w:r>
    </w:p>
    <w:p w:rsidR="00D856D6" w:rsidRPr="00390F32" w:rsidRDefault="00D856D6" w:rsidP="00D856D6">
      <w:pPr>
        <w:spacing w:after="0"/>
        <w:rPr>
          <w:rFonts w:ascii="Calibri" w:hAnsi="Calibri"/>
          <w:szCs w:val="24"/>
        </w:rPr>
      </w:pPr>
      <w:r w:rsidRPr="00390F32">
        <w:rPr>
          <w:rFonts w:ascii="Calibri" w:hAnsi="Calibri"/>
          <w:szCs w:val="24"/>
        </w:rPr>
        <w:t>Parliament House</w:t>
      </w:r>
    </w:p>
    <w:p w:rsidR="00D856D6" w:rsidRPr="00390F32" w:rsidRDefault="00D856D6" w:rsidP="00D856D6">
      <w:pPr>
        <w:spacing w:after="0"/>
        <w:rPr>
          <w:rFonts w:ascii="Calibri" w:hAnsi="Calibri"/>
          <w:szCs w:val="24"/>
        </w:rPr>
      </w:pPr>
      <w:r w:rsidRPr="00390F32">
        <w:rPr>
          <w:rFonts w:ascii="Calibri" w:hAnsi="Calibri"/>
          <w:szCs w:val="24"/>
        </w:rPr>
        <w:t>Canberra ACT 2600</w:t>
      </w:r>
    </w:p>
    <w:p w:rsidR="00D856D6" w:rsidRPr="00390F32" w:rsidRDefault="00D856D6" w:rsidP="00D856D6">
      <w:pPr>
        <w:spacing w:after="0"/>
        <w:rPr>
          <w:rFonts w:ascii="Calibri" w:hAnsi="Calibri"/>
          <w:szCs w:val="24"/>
        </w:rPr>
      </w:pPr>
      <w:r w:rsidRPr="00390F32">
        <w:rPr>
          <w:rFonts w:ascii="Calibri" w:hAnsi="Calibri"/>
          <w:szCs w:val="24"/>
        </w:rPr>
        <w:t>Australia</w:t>
      </w:r>
    </w:p>
    <w:p w:rsidR="00D856D6" w:rsidRPr="00390F32" w:rsidRDefault="00D856D6" w:rsidP="00D856D6">
      <w:pPr>
        <w:spacing w:after="0"/>
        <w:rPr>
          <w:rFonts w:ascii="Calibri" w:hAnsi="Calibri"/>
          <w:szCs w:val="24"/>
        </w:rPr>
      </w:pPr>
    </w:p>
    <w:p w:rsidR="00D856D6" w:rsidRPr="00390F32" w:rsidRDefault="00D856D6" w:rsidP="00D856D6">
      <w:pPr>
        <w:spacing w:after="0"/>
        <w:rPr>
          <w:rFonts w:ascii="Calibri" w:hAnsi="Calibri"/>
          <w:szCs w:val="24"/>
        </w:rPr>
      </w:pPr>
      <w:r w:rsidRPr="00390F32">
        <w:rPr>
          <w:rFonts w:ascii="Calibri" w:hAnsi="Calibri"/>
          <w:szCs w:val="24"/>
        </w:rPr>
        <w:t xml:space="preserve">Phone: +61 2 6277 3066 </w:t>
      </w:r>
    </w:p>
    <w:p w:rsidR="00D856D6" w:rsidRPr="00390F32" w:rsidRDefault="00D856D6" w:rsidP="00D856D6">
      <w:pPr>
        <w:spacing w:after="0"/>
        <w:rPr>
          <w:rFonts w:ascii="Calibri" w:hAnsi="Calibri"/>
          <w:szCs w:val="24"/>
        </w:rPr>
      </w:pPr>
      <w:r w:rsidRPr="00390F32">
        <w:rPr>
          <w:rFonts w:ascii="Calibri" w:hAnsi="Calibri"/>
          <w:szCs w:val="24"/>
        </w:rPr>
        <w:t xml:space="preserve">Fax: +61 2 6277 5881 </w:t>
      </w:r>
    </w:p>
    <w:p w:rsidR="00D856D6" w:rsidRPr="00561AF0" w:rsidRDefault="00D856D6" w:rsidP="00D856D6">
      <w:pPr>
        <w:spacing w:after="0"/>
        <w:rPr>
          <w:rFonts w:ascii="Calibri" w:hAnsi="Calibri"/>
          <w:szCs w:val="24"/>
        </w:rPr>
      </w:pPr>
      <w:r w:rsidRPr="00390F32">
        <w:rPr>
          <w:rFonts w:ascii="Calibri" w:hAnsi="Calibri"/>
          <w:szCs w:val="24"/>
        </w:rPr>
        <w:t xml:space="preserve">Email: </w:t>
      </w:r>
      <w:hyperlink r:id="rId39" w:history="1">
        <w:r w:rsidRPr="00390F32">
          <w:rPr>
            <w:rStyle w:val="Hyperlink"/>
            <w:rFonts w:ascii="Calibri" w:hAnsi="Calibri"/>
            <w:szCs w:val="24"/>
          </w:rPr>
          <w:t>RegOrds.Sen@aph.gov.au</w:t>
        </w:r>
      </w:hyperlink>
    </w:p>
    <w:p w:rsidR="002832C7" w:rsidRPr="00BF4D76" w:rsidRDefault="002832C7" w:rsidP="00D856D6">
      <w:pPr>
        <w:spacing w:after="0"/>
      </w:pPr>
    </w:p>
    <w:sectPr w:rsidR="002832C7" w:rsidRPr="00BF4D76" w:rsidSect="00D856D6">
      <w:headerReference w:type="even" r:id="rId40"/>
      <w:headerReference w:type="first" r:id="rId41"/>
      <w:pgSz w:w="11906" w:h="16838" w:code="9"/>
      <w:pgMar w:top="1440" w:right="1440" w:bottom="1202" w:left="1440"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09" w:rsidRDefault="00D05709">
      <w:r>
        <w:separator/>
      </w:r>
    </w:p>
  </w:endnote>
  <w:endnote w:type="continuationSeparator" w:id="0">
    <w:p w:rsidR="00D05709" w:rsidRDefault="00D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rsidP="00174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2F8">
      <w:rPr>
        <w:rStyle w:val="PageNumber"/>
        <w:noProof/>
      </w:rPr>
      <w:t>x</w:t>
    </w:r>
    <w:r>
      <w:rPr>
        <w:rStyle w:val="PageNumber"/>
      </w:rPr>
      <w:fldChar w:fldCharType="end"/>
    </w:r>
  </w:p>
  <w:p w:rsidR="00D05709" w:rsidRDefault="00D05709">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6" w:rsidRDefault="007D72F8">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7D72F8">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7D72F8">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7D72F8">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rsidP="00174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2F8">
      <w:rPr>
        <w:rStyle w:val="PageNumber"/>
        <w:noProof/>
      </w:rPr>
      <w:t>ix</w:t>
    </w:r>
    <w:r>
      <w:rPr>
        <w:rStyle w:val="PageNumber"/>
      </w:rPr>
      <w:fldChar w:fldCharType="end"/>
    </w:r>
  </w:p>
  <w:p w:rsidR="00D05709" w:rsidRDefault="00D05709">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09" w:rsidRDefault="00D05709">
      <w:r>
        <w:separator/>
      </w:r>
    </w:p>
  </w:footnote>
  <w:footnote w:type="continuationSeparator" w:id="0">
    <w:p w:rsidR="00D05709" w:rsidRDefault="00D05709">
      <w:r>
        <w:continuationSeparator/>
      </w:r>
    </w:p>
  </w:footnote>
  <w:footnote w:id="1">
    <w:p w:rsidR="00D05709" w:rsidRPr="00F61935" w:rsidRDefault="00D05709" w:rsidP="00D05709">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D05709" w:rsidRPr="00ED4CC3" w:rsidRDefault="00D05709" w:rsidP="00D05709">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D05709" w:rsidRPr="006E37C3" w:rsidRDefault="00D05709" w:rsidP="00D05709">
      <w:pPr>
        <w:pStyle w:val="FootnoteText"/>
        <w:spacing w:after="120"/>
      </w:pPr>
      <w:r w:rsidRPr="006E37C3">
        <w:rPr>
          <w:rStyle w:val="FootnoteReference"/>
          <w:vertAlign w:val="baseline"/>
        </w:rPr>
        <w:footnoteRef/>
      </w:r>
      <w:r w:rsidRPr="006E37C3">
        <w:t xml:space="preserve"> </w:t>
      </w:r>
      <w:r>
        <w:tab/>
        <w:t>'Last day to disallow' refers to the last day on which notice may be given of a motion for disallowance in the Senate.</w:t>
      </w:r>
    </w:p>
  </w:footnote>
  <w:footnote w:id="4">
    <w:p w:rsidR="00D05709" w:rsidRPr="00940F8E" w:rsidRDefault="00D05709" w:rsidP="00D05709">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5">
    <w:p w:rsidR="00D05709" w:rsidRPr="00C05527" w:rsidRDefault="00D05709" w:rsidP="00D05709">
      <w:pPr>
        <w:pStyle w:val="FootnoteText"/>
        <w:spacing w:after="120"/>
      </w:pPr>
      <w:r w:rsidRPr="00C05527">
        <w:rPr>
          <w:rStyle w:val="FootnoteReference"/>
          <w:vertAlign w:val="baseline"/>
        </w:rPr>
        <w:footnoteRef/>
      </w:r>
      <w:r w:rsidRPr="00C05527">
        <w:t xml:space="preserve"> </w:t>
      </w:r>
      <w:r>
        <w:tab/>
        <w:t>Superannuation (prudential standard) determination No. 2 of 2012 - Prudential Standard SPS 220 - Risk Management [F2012L02222]; Superannuation (prudential standard) determination No. 3 of 2012 - Prudential Standard SPS 231 – Outsourcing [F2012L02223]; Superannuation (prudential standard) determination No. 4 of 2012 - Prudential Standard SPS 232 - Business Continuity Management [F2012L02224]; Superannuation (prudential standard) determination No. 5 of 2012 - Prudential Standard SPS 250 - Insurance in Superannuation [F2012L02225]; Superannuation (prudential standard) determination No. 6 of 2012 - Prudential Standard SPS 510 – Governance [F2012L02229]; Superannuation (prudential standard) determination No. 7 of 2012 - Prudential Standard SPS 521 - Conflicts of Interest [2012L02230]; and Superannuation (prudential standard) determination No. 8 of 2012 - Prudential Standard SPS 530 - Investment Governance [F2012L02231].</w:t>
      </w:r>
    </w:p>
  </w:footnote>
  <w:footnote w:id="6">
    <w:p w:rsidR="00D05709" w:rsidRPr="00B33637" w:rsidRDefault="00D05709" w:rsidP="00D05709">
      <w:pPr>
        <w:pStyle w:val="FootnoteText"/>
        <w:spacing w:after="120"/>
      </w:pPr>
      <w:r w:rsidRPr="00B33637">
        <w:rPr>
          <w:rStyle w:val="FootnoteReference"/>
          <w:vertAlign w:val="baseline"/>
        </w:rPr>
        <w:footnoteRef/>
      </w:r>
      <w:r w:rsidRPr="00B33637">
        <w:t xml:space="preserve"> </w:t>
      </w:r>
      <w:r>
        <w:tab/>
        <w:t>Transport Safety Investigation Amendment Regulation 2012 (No. 2) [Select Legislative Instrument 2012 No. 264] [F2012L02280]; and Transport Safety Investigation (Voluntary and Confidential Reporting Scheme) Regulation 2012 [Select Legislative Instrument 2012 No. 265] [F2012L02281].</w:t>
      </w:r>
    </w:p>
  </w:footnote>
  <w:footnote w:id="7">
    <w:p w:rsidR="00D05709" w:rsidRPr="00423FE4" w:rsidRDefault="00D05709" w:rsidP="00D05709">
      <w:pPr>
        <w:pStyle w:val="FootnoteText"/>
        <w:spacing w:after="120"/>
      </w:pPr>
      <w:r w:rsidRPr="00423FE4">
        <w:rPr>
          <w:rStyle w:val="FootnoteReference"/>
          <w:vertAlign w:val="baseline"/>
        </w:rPr>
        <w:footnoteRef/>
      </w:r>
      <w:r w:rsidRPr="00423FE4">
        <w:t xml:space="preserve"> </w:t>
      </w:r>
      <w:r>
        <w:tab/>
        <w:t>Parliamentary Joint Committee on Human Rights, 'Examination of legislation in accordance with the Human Rights (Parliamentary Scrutiny) Act 2011: Bills introduced 19-29 November 2012 [and] Legislative Instruments registered with the Federal Register of Legislative Instruments 17 November 2012 – 4 January 2013', (First Report of 2013), February 2013, Appendix 1.</w:t>
      </w:r>
    </w:p>
  </w:footnote>
  <w:footnote w:id="8">
    <w:p w:rsidR="00D05709" w:rsidRPr="00B33637" w:rsidRDefault="00D05709" w:rsidP="00D05709">
      <w:pPr>
        <w:pStyle w:val="FootnoteText"/>
        <w:spacing w:after="120"/>
      </w:pPr>
      <w:r w:rsidRPr="00B33637">
        <w:rPr>
          <w:rStyle w:val="FootnoteReference"/>
          <w:vertAlign w:val="baseline"/>
        </w:rPr>
        <w:footnoteRef/>
      </w:r>
      <w:r w:rsidRPr="00B33637">
        <w:t xml:space="preserve"> </w:t>
      </w:r>
      <w:r>
        <w:tab/>
        <w:t>Banking, Insurance and Life Insurance (prudential standard) determination No. 3 of 2012 [F2012L02441]; Banking, Insurance and Life Insurance (prudential standard) determination No. 4 of 2012 and [F2012L02445]; and Banking Sector Legislation Amendment Regulation 2012 (No. 1) [Select Legislative Instrument 2012 No. 319] [F2012L02397].</w:t>
      </w:r>
    </w:p>
  </w:footnote>
  <w:footnote w:id="9">
    <w:p w:rsidR="00D05709" w:rsidRPr="006E37C3" w:rsidRDefault="00D05709" w:rsidP="00D05709">
      <w:pPr>
        <w:pStyle w:val="FootnoteText"/>
        <w:spacing w:after="120"/>
      </w:pPr>
      <w:r w:rsidRPr="006E37C3">
        <w:rPr>
          <w:rStyle w:val="FootnoteReference"/>
          <w:vertAlign w:val="baseline"/>
        </w:rPr>
        <w:footnoteRef/>
      </w:r>
      <w:r w:rsidRPr="006E37C3">
        <w:t xml:space="preserve"> </w:t>
      </w:r>
      <w:r>
        <w:tab/>
        <w:t>'Last day to disallow' refers to the last day on which notice may be given of a motion for disallowance in the Senate.</w:t>
      </w:r>
    </w:p>
  </w:footnote>
  <w:footnote w:id="10">
    <w:p w:rsidR="00D05709" w:rsidRPr="00940F8E" w:rsidRDefault="00D05709" w:rsidP="00D05709">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11">
    <w:p w:rsidR="00D05709" w:rsidRPr="00744077" w:rsidRDefault="00D05709" w:rsidP="00D05709">
      <w:pPr>
        <w:pStyle w:val="FootnoteText"/>
        <w:spacing w:after="120"/>
      </w:pPr>
      <w:r w:rsidRPr="00744077">
        <w:rPr>
          <w:rStyle w:val="FootnoteReference"/>
          <w:vertAlign w:val="baseline"/>
        </w:rPr>
        <w:footnoteRef/>
      </w:r>
      <w:r w:rsidRPr="00744077">
        <w:t xml:space="preserve"> </w:t>
      </w:r>
      <w:r>
        <w:tab/>
      </w:r>
      <w:r w:rsidRPr="00744077">
        <w:t>Greenhouse and Energy Minimum Standards (Clothes Washing Machines) Determination 2012 [F2012L02117]; Greenhouse and Energy Minimum Standards (Refrigerated Display Cabinets) Determination 2012 [F2012L02131]; Greenhouse and Energy Minimum Standards (Three Phase Cage Induction Motors) Determination 2012 [F2012L02128]; and Greenhouse and Energy Minimum Standards (Transformers and Electronic Step-down Converters for ELV Lamps) Determination 2012 [F2012L02130]</w:t>
      </w:r>
      <w:r>
        <w:t>.</w:t>
      </w:r>
    </w:p>
  </w:footnote>
  <w:footnote w:id="12">
    <w:p w:rsidR="001D4EA9" w:rsidRPr="00AE714E" w:rsidRDefault="001D4EA9" w:rsidP="001D4EA9">
      <w:pPr>
        <w:pStyle w:val="FootnoteText"/>
        <w:spacing w:after="120"/>
      </w:pPr>
      <w:r w:rsidRPr="00AE714E">
        <w:rPr>
          <w:rStyle w:val="FootnoteReference"/>
          <w:vertAlign w:val="baseline"/>
        </w:rPr>
        <w:footnoteRef/>
      </w:r>
      <w:r w:rsidRPr="00AE714E">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6" w:rsidRDefault="007D72F8">
    <w:pPr>
      <w:pStyle w:val="Header"/>
      <w:tabs>
        <w:tab w:val="clear" w:pos="8306"/>
        <w:tab w:val="right" w:pos="9000"/>
      </w:tabs>
    </w:pPr>
    <w:r>
      <w:tab/>
    </w:r>
    <w:r>
      <w:t>41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7D72F8" w:rsidP="00D856D6">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7D72F8" w:rsidP="00D856D6">
    <w:pPr>
      <w:pStyle w:val="Header"/>
      <w:tabs>
        <w:tab w:val="clear" w:pos="8306"/>
        <w:tab w:val="right" w:pos="900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7D72F8">
    <w:pPr>
      <w:pStyle w:val="Header"/>
      <w:tabs>
        <w:tab w:val="clear" w:pos="8306"/>
        <w:tab w:val="right" w:pos="9000"/>
      </w:tabs>
    </w:pPr>
    <w:r>
      <w:tab/>
    </w:r>
    <w:r w:rsidR="00D856D6">
      <w:t>55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D6" w:rsidRPr="00F710D5" w:rsidRDefault="00D856D6" w:rsidP="00D856D6">
    <w:pPr>
      <w:pStyle w:val="Header"/>
      <w:tabs>
        <w:tab w:val="clear" w:pos="8306"/>
        <w:tab w:val="right" w:pos="9000"/>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D6" w:rsidRDefault="00D856D6">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Pr="00F710D5" w:rsidRDefault="00D05709">
    <w:pPr>
      <w:pStyle w:val="Header"/>
      <w:pBdr>
        <w:bottom w:val="single" w:sz="4" w:space="1" w:color="auto"/>
      </w:pBdr>
      <w:tabs>
        <w:tab w:val="clear" w:pos="8306"/>
        <w:tab w:val="right" w:pos="9000"/>
      </w:tabs>
    </w:pPr>
    <w:r>
      <w:fldChar w:fldCharType="begin"/>
    </w:r>
    <w:r>
      <w:instrText xml:space="preserve"> PAGE </w:instrText>
    </w:r>
    <w:r>
      <w:fldChar w:fldCharType="separate"/>
    </w:r>
    <w:r w:rsidR="007D72F8">
      <w:rPr>
        <w:noProof/>
      </w:rPr>
      <w:t>24</w:t>
    </w:r>
    <w:r>
      <w:rPr>
        <w:noProof/>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D72F8">
      <w:rPr>
        <w:noProof/>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Header"/>
      <w:tabs>
        <w:tab w:val="clear" w:pos="8306"/>
        <w:tab w:val="right" w:pos="9000"/>
      </w:tabs>
    </w:pPr>
    <w:r>
      <w:tab/>
    </w:r>
    <w:r>
      <w:fldChar w:fldCharType="begin"/>
    </w:r>
    <w:r>
      <w:instrText xml:space="preserve"> PAGE </w:instrText>
    </w:r>
    <w:r>
      <w:fldChar w:fldCharType="separate"/>
    </w:r>
    <w:r w:rsidR="007D72F8">
      <w:rPr>
        <w:noProof/>
      </w:rPr>
      <w:t>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Pr="00F710D5" w:rsidRDefault="00D05709">
    <w:pPr>
      <w:pStyle w:val="Header"/>
      <w:pBdr>
        <w:bottom w:val="single" w:sz="4" w:space="1" w:color="auto"/>
      </w:pBdr>
      <w:tabs>
        <w:tab w:val="clear" w:pos="8306"/>
        <w:tab w:val="right" w:pos="9000"/>
      </w:tabs>
    </w:pPr>
    <w:r>
      <w:fldChar w:fldCharType="begin"/>
    </w:r>
    <w:r>
      <w:instrText xml:space="preserve"> PAGE </w:instrText>
    </w:r>
    <w:r>
      <w:fldChar w:fldCharType="separate"/>
    </w:r>
    <w:r w:rsidR="007D72F8">
      <w:rPr>
        <w:noProof/>
      </w:rPr>
      <w:t>40</w:t>
    </w:r>
    <w:r>
      <w:rPr>
        <w:noProof/>
      </w:rPr>
      <w:fldChar w:fldCharType="end"/>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7D72F8">
      <w:rPr>
        <w:noProof/>
      </w:rPr>
      <w:t>39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09" w:rsidRDefault="00D05709">
    <w:pPr>
      <w:pStyle w:val="Header"/>
      <w:tabs>
        <w:tab w:val="clear" w:pos="8306"/>
        <w:tab w:val="right" w:pos="9000"/>
      </w:tabs>
    </w:pPr>
    <w:r>
      <w:tab/>
    </w:r>
    <w:r>
      <w:fldChar w:fldCharType="begin"/>
    </w:r>
    <w:r>
      <w:instrText xml:space="preserve"> PAGE </w:instrText>
    </w:r>
    <w:r>
      <w:fldChar w:fldCharType="separate"/>
    </w:r>
    <w:r w:rsidR="007D72F8">
      <w:rPr>
        <w:noProof/>
      </w:rPr>
      <w:t>25</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6" w:rsidRPr="00F710D5" w:rsidRDefault="007D72F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42</w:t>
    </w:r>
    <w:r>
      <w:rPr>
        <w:noProof/>
      </w:rPr>
      <w:fldChar w:fldCharType="end"/>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6" w:rsidRDefault="007D72F8">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191FF8"/>
    <w:multiLevelType w:val="hybridMultilevel"/>
    <w:tmpl w:val="60B43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EB1AF846"/>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pStyle w:val="Level3"/>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FF643824"/>
    <w:lvl w:ilvl="0">
      <w:start w:val="1"/>
      <w:numFmt w:val="decimal"/>
      <w:pStyle w:val="Level1"/>
      <w:lvlText w:val="99.%1"/>
      <w:lvlJc w:val="left"/>
      <w:pPr>
        <w:tabs>
          <w:tab w:val="num" w:pos="850"/>
        </w:tabs>
        <w:ind w:left="0" w:firstLine="0"/>
      </w:pPr>
      <w:rPr>
        <w:rFonts w:hint="default"/>
        <w:b w:val="0"/>
        <w:sz w:val="20"/>
      </w:rPr>
    </w:lvl>
    <w:lvl w:ilvl="1">
      <w:start w:val="1"/>
      <w:numFmt w:val="lowerLetter"/>
      <w:pStyle w:val="Level2"/>
      <w:lvlText w:val="(%2)"/>
      <w:lvlJc w:val="left"/>
      <w:pPr>
        <w:tabs>
          <w:tab w:val="num" w:pos="1417"/>
        </w:tabs>
        <w:ind w:left="1417" w:hanging="567"/>
      </w:pPr>
      <w:rPr>
        <w:rFonts w:hint="default"/>
        <w:sz w:val="20"/>
      </w:rPr>
    </w:lvl>
    <w:lvl w:ilvl="2">
      <w:start w:val="1"/>
      <w:numFmt w:val="lowerRoman"/>
      <w:pStyle w:val="Level3"/>
      <w:lvlText w:val="(%3)"/>
      <w:lvlJc w:val="left"/>
      <w:pPr>
        <w:tabs>
          <w:tab w:val="num" w:pos="1984"/>
        </w:tabs>
        <w:ind w:left="1984" w:hanging="567"/>
      </w:pPr>
      <w:rPr>
        <w:rFonts w:hint="default"/>
        <w:sz w:val="20"/>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sz w:val="20"/>
      </w:rPr>
    </w:lvl>
    <w:lvl w:ilvl="5">
      <w:start w:val="1"/>
      <w:numFmt w:val="none"/>
      <w:pStyle w:val="Heading6"/>
      <w:suff w:val="nothing"/>
      <w:lvlText w:val=""/>
      <w:lvlJc w:val="left"/>
      <w:pPr>
        <w:ind w:left="0" w:firstLine="0"/>
      </w:pPr>
      <w:rPr>
        <w:rFonts w:hint="default"/>
        <w:sz w:val="20"/>
      </w:rPr>
    </w:lvl>
    <w:lvl w:ilvl="6">
      <w:start w:val="1"/>
      <w:numFmt w:val="none"/>
      <w:pStyle w:val="Heading7"/>
      <w:suff w:val="nothing"/>
      <w:lvlText w:val=""/>
      <w:lvlJc w:val="left"/>
      <w:pPr>
        <w:ind w:left="0" w:firstLine="0"/>
      </w:pPr>
      <w:rPr>
        <w:rFonts w:hint="default"/>
        <w:sz w:val="20"/>
      </w:rPr>
    </w:lvl>
    <w:lvl w:ilvl="7">
      <w:start w:val="1"/>
      <w:numFmt w:val="none"/>
      <w:pStyle w:val="Heading8"/>
      <w:suff w:val="nothing"/>
      <w:lvlText w:val=""/>
      <w:lvlJc w:val="left"/>
      <w:pPr>
        <w:ind w:left="0" w:firstLine="0"/>
      </w:pPr>
      <w:rPr>
        <w:rFonts w:hint="default"/>
        <w:sz w:val="20"/>
      </w:rPr>
    </w:lvl>
    <w:lvl w:ilvl="8">
      <w:start w:val="1"/>
      <w:numFmt w:val="none"/>
      <w:pStyle w:val="Heading9"/>
      <w:suff w:val="nothing"/>
      <w:lvlText w:val=""/>
      <w:lvlJc w:val="left"/>
      <w:pPr>
        <w:ind w:left="0" w:firstLine="0"/>
      </w:pPr>
      <w:rPr>
        <w:rFonts w:hint="default"/>
        <w:sz w:val="20"/>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27"/>
  </w:num>
  <w:num w:numId="20">
    <w:abstractNumId w:val="10"/>
  </w:num>
  <w:num w:numId="21">
    <w:abstractNumId w:val="25"/>
  </w:num>
  <w:num w:numId="22">
    <w:abstractNumId w:val="20"/>
  </w:num>
  <w:num w:numId="23">
    <w:abstractNumId w:val="26"/>
  </w:num>
  <w:num w:numId="24">
    <w:abstractNumId w:val="21"/>
  </w:num>
  <w:num w:numId="25">
    <w:abstractNumId w:val="22"/>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8"/>
  </w:num>
  <w:num w:numId="3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A"/>
    <w:rsid w:val="0000066E"/>
    <w:rsid w:val="000036CC"/>
    <w:rsid w:val="00006000"/>
    <w:rsid w:val="00013B41"/>
    <w:rsid w:val="000210F2"/>
    <w:rsid w:val="0002489E"/>
    <w:rsid w:val="000323F8"/>
    <w:rsid w:val="00037F0D"/>
    <w:rsid w:val="0004091C"/>
    <w:rsid w:val="00041A66"/>
    <w:rsid w:val="00042366"/>
    <w:rsid w:val="00046794"/>
    <w:rsid w:val="00055C5D"/>
    <w:rsid w:val="00061768"/>
    <w:rsid w:val="00070A03"/>
    <w:rsid w:val="00074BD4"/>
    <w:rsid w:val="00077F67"/>
    <w:rsid w:val="00097619"/>
    <w:rsid w:val="000B251D"/>
    <w:rsid w:val="000B484C"/>
    <w:rsid w:val="000B7E68"/>
    <w:rsid w:val="000C08C1"/>
    <w:rsid w:val="000D2CC1"/>
    <w:rsid w:val="000D56E8"/>
    <w:rsid w:val="000E0EF6"/>
    <w:rsid w:val="000E2B3E"/>
    <w:rsid w:val="000E7228"/>
    <w:rsid w:val="000F17E8"/>
    <w:rsid w:val="000F1A37"/>
    <w:rsid w:val="00105985"/>
    <w:rsid w:val="001060D8"/>
    <w:rsid w:val="00123B7A"/>
    <w:rsid w:val="00135EBD"/>
    <w:rsid w:val="00146EAA"/>
    <w:rsid w:val="001473B5"/>
    <w:rsid w:val="00156E23"/>
    <w:rsid w:val="00166D98"/>
    <w:rsid w:val="00174098"/>
    <w:rsid w:val="001754A6"/>
    <w:rsid w:val="001800A9"/>
    <w:rsid w:val="00180F4A"/>
    <w:rsid w:val="001932F0"/>
    <w:rsid w:val="001A1519"/>
    <w:rsid w:val="001B1577"/>
    <w:rsid w:val="001B1B4F"/>
    <w:rsid w:val="001C26CE"/>
    <w:rsid w:val="001C2B02"/>
    <w:rsid w:val="001D383F"/>
    <w:rsid w:val="001D4EA9"/>
    <w:rsid w:val="001E17E8"/>
    <w:rsid w:val="001F4D26"/>
    <w:rsid w:val="001F5527"/>
    <w:rsid w:val="001F6A19"/>
    <w:rsid w:val="00220DF2"/>
    <w:rsid w:val="00234C1B"/>
    <w:rsid w:val="0023733D"/>
    <w:rsid w:val="00237AA6"/>
    <w:rsid w:val="00237E04"/>
    <w:rsid w:val="00251CA3"/>
    <w:rsid w:val="00255DB2"/>
    <w:rsid w:val="00257F3A"/>
    <w:rsid w:val="0026232D"/>
    <w:rsid w:val="002832C7"/>
    <w:rsid w:val="0029322F"/>
    <w:rsid w:val="002A41F2"/>
    <w:rsid w:val="002A5EE3"/>
    <w:rsid w:val="002A7CAE"/>
    <w:rsid w:val="002B4EB0"/>
    <w:rsid w:val="002B5C1D"/>
    <w:rsid w:val="002B6D7F"/>
    <w:rsid w:val="002B7A4E"/>
    <w:rsid w:val="002B7B24"/>
    <w:rsid w:val="002C6A90"/>
    <w:rsid w:val="002D1A75"/>
    <w:rsid w:val="002D3C1E"/>
    <w:rsid w:val="002D7C20"/>
    <w:rsid w:val="002E2486"/>
    <w:rsid w:val="002F23C7"/>
    <w:rsid w:val="002F2956"/>
    <w:rsid w:val="002F67AB"/>
    <w:rsid w:val="00304995"/>
    <w:rsid w:val="00315F21"/>
    <w:rsid w:val="00317311"/>
    <w:rsid w:val="0032603D"/>
    <w:rsid w:val="00340D0C"/>
    <w:rsid w:val="00344D31"/>
    <w:rsid w:val="00345DC1"/>
    <w:rsid w:val="00350769"/>
    <w:rsid w:val="0035283E"/>
    <w:rsid w:val="00357602"/>
    <w:rsid w:val="00366748"/>
    <w:rsid w:val="0037324E"/>
    <w:rsid w:val="0037756C"/>
    <w:rsid w:val="0038596D"/>
    <w:rsid w:val="003920AB"/>
    <w:rsid w:val="00392CF4"/>
    <w:rsid w:val="00395DAF"/>
    <w:rsid w:val="003A061C"/>
    <w:rsid w:val="003A3059"/>
    <w:rsid w:val="003B0202"/>
    <w:rsid w:val="003B3D7F"/>
    <w:rsid w:val="003B70B0"/>
    <w:rsid w:val="003D72B0"/>
    <w:rsid w:val="00406DAA"/>
    <w:rsid w:val="00407DE5"/>
    <w:rsid w:val="00420CAF"/>
    <w:rsid w:val="00457DCF"/>
    <w:rsid w:val="004615D9"/>
    <w:rsid w:val="004775CC"/>
    <w:rsid w:val="0048077F"/>
    <w:rsid w:val="004810BA"/>
    <w:rsid w:val="00483503"/>
    <w:rsid w:val="0049086E"/>
    <w:rsid w:val="00491691"/>
    <w:rsid w:val="004A247A"/>
    <w:rsid w:val="004A42E9"/>
    <w:rsid w:val="004B5E13"/>
    <w:rsid w:val="004C44F0"/>
    <w:rsid w:val="004C7A7D"/>
    <w:rsid w:val="004E6112"/>
    <w:rsid w:val="004E7622"/>
    <w:rsid w:val="004E7F63"/>
    <w:rsid w:val="00506234"/>
    <w:rsid w:val="005079E2"/>
    <w:rsid w:val="00513254"/>
    <w:rsid w:val="00520991"/>
    <w:rsid w:val="00521483"/>
    <w:rsid w:val="00525BFB"/>
    <w:rsid w:val="00531836"/>
    <w:rsid w:val="0055249B"/>
    <w:rsid w:val="0055734C"/>
    <w:rsid w:val="0056550E"/>
    <w:rsid w:val="005716CF"/>
    <w:rsid w:val="005739CD"/>
    <w:rsid w:val="00577EB7"/>
    <w:rsid w:val="005813A8"/>
    <w:rsid w:val="00582060"/>
    <w:rsid w:val="00585767"/>
    <w:rsid w:val="0058798D"/>
    <w:rsid w:val="005958FA"/>
    <w:rsid w:val="00595ABA"/>
    <w:rsid w:val="005A646C"/>
    <w:rsid w:val="005B08AA"/>
    <w:rsid w:val="005B7B96"/>
    <w:rsid w:val="005C06E0"/>
    <w:rsid w:val="005C5274"/>
    <w:rsid w:val="005C6ECF"/>
    <w:rsid w:val="005D0571"/>
    <w:rsid w:val="005D05B6"/>
    <w:rsid w:val="005D07D1"/>
    <w:rsid w:val="005D10FB"/>
    <w:rsid w:val="005D22C5"/>
    <w:rsid w:val="005D3F64"/>
    <w:rsid w:val="005D56F7"/>
    <w:rsid w:val="005D7322"/>
    <w:rsid w:val="005F210E"/>
    <w:rsid w:val="005F2F70"/>
    <w:rsid w:val="00601EFF"/>
    <w:rsid w:val="006178F8"/>
    <w:rsid w:val="00620C0A"/>
    <w:rsid w:val="006218AB"/>
    <w:rsid w:val="00624453"/>
    <w:rsid w:val="00624D56"/>
    <w:rsid w:val="00626167"/>
    <w:rsid w:val="0062630C"/>
    <w:rsid w:val="00633789"/>
    <w:rsid w:val="0063437D"/>
    <w:rsid w:val="00644973"/>
    <w:rsid w:val="00654DAF"/>
    <w:rsid w:val="00654EDC"/>
    <w:rsid w:val="00661DB1"/>
    <w:rsid w:val="006648C7"/>
    <w:rsid w:val="00674412"/>
    <w:rsid w:val="006744B5"/>
    <w:rsid w:val="006809CD"/>
    <w:rsid w:val="0069107D"/>
    <w:rsid w:val="00691696"/>
    <w:rsid w:val="00692D76"/>
    <w:rsid w:val="00697751"/>
    <w:rsid w:val="006A4B37"/>
    <w:rsid w:val="006B0EBD"/>
    <w:rsid w:val="006B4E8A"/>
    <w:rsid w:val="006B5723"/>
    <w:rsid w:val="006C083B"/>
    <w:rsid w:val="006C7EF2"/>
    <w:rsid w:val="006E5219"/>
    <w:rsid w:val="006F3853"/>
    <w:rsid w:val="00707CBF"/>
    <w:rsid w:val="0071377C"/>
    <w:rsid w:val="007225F7"/>
    <w:rsid w:val="00731F51"/>
    <w:rsid w:val="00742A39"/>
    <w:rsid w:val="0075281A"/>
    <w:rsid w:val="00760B1B"/>
    <w:rsid w:val="00760FCA"/>
    <w:rsid w:val="00762E15"/>
    <w:rsid w:val="00765543"/>
    <w:rsid w:val="00767651"/>
    <w:rsid w:val="00782B9B"/>
    <w:rsid w:val="00792015"/>
    <w:rsid w:val="007B0432"/>
    <w:rsid w:val="007B203C"/>
    <w:rsid w:val="007B27A3"/>
    <w:rsid w:val="007C0EC9"/>
    <w:rsid w:val="007C3975"/>
    <w:rsid w:val="007D0CF5"/>
    <w:rsid w:val="007D3544"/>
    <w:rsid w:val="007D3BFF"/>
    <w:rsid w:val="007D72F8"/>
    <w:rsid w:val="007E2321"/>
    <w:rsid w:val="007F3B5A"/>
    <w:rsid w:val="00803A41"/>
    <w:rsid w:val="00833109"/>
    <w:rsid w:val="00846871"/>
    <w:rsid w:val="00855FE8"/>
    <w:rsid w:val="0086021B"/>
    <w:rsid w:val="0086406A"/>
    <w:rsid w:val="008659EF"/>
    <w:rsid w:val="00867314"/>
    <w:rsid w:val="008901B0"/>
    <w:rsid w:val="008A7D99"/>
    <w:rsid w:val="008B0BE5"/>
    <w:rsid w:val="008D63A4"/>
    <w:rsid w:val="008D76D6"/>
    <w:rsid w:val="008E08A6"/>
    <w:rsid w:val="008E664F"/>
    <w:rsid w:val="008F274E"/>
    <w:rsid w:val="00913F67"/>
    <w:rsid w:val="00916004"/>
    <w:rsid w:val="0092702E"/>
    <w:rsid w:val="00933547"/>
    <w:rsid w:val="00951DC0"/>
    <w:rsid w:val="0095531B"/>
    <w:rsid w:val="009553DD"/>
    <w:rsid w:val="0095660B"/>
    <w:rsid w:val="009623DC"/>
    <w:rsid w:val="00963F0D"/>
    <w:rsid w:val="00970EBB"/>
    <w:rsid w:val="00977BBE"/>
    <w:rsid w:val="00982CF2"/>
    <w:rsid w:val="009970B5"/>
    <w:rsid w:val="009A0ED8"/>
    <w:rsid w:val="009A154C"/>
    <w:rsid w:val="009A4E3E"/>
    <w:rsid w:val="009B2013"/>
    <w:rsid w:val="009C6BA7"/>
    <w:rsid w:val="009D4534"/>
    <w:rsid w:val="009D46E5"/>
    <w:rsid w:val="009F2562"/>
    <w:rsid w:val="009F318F"/>
    <w:rsid w:val="00A11C08"/>
    <w:rsid w:val="00A23D0B"/>
    <w:rsid w:val="00A254C4"/>
    <w:rsid w:val="00A26492"/>
    <w:rsid w:val="00A2786D"/>
    <w:rsid w:val="00A27E45"/>
    <w:rsid w:val="00A3224F"/>
    <w:rsid w:val="00A36BD9"/>
    <w:rsid w:val="00A4146E"/>
    <w:rsid w:val="00A444FE"/>
    <w:rsid w:val="00A449E7"/>
    <w:rsid w:val="00A531E5"/>
    <w:rsid w:val="00A6738A"/>
    <w:rsid w:val="00A7086B"/>
    <w:rsid w:val="00A74171"/>
    <w:rsid w:val="00A9118B"/>
    <w:rsid w:val="00A919DD"/>
    <w:rsid w:val="00A92537"/>
    <w:rsid w:val="00A9783A"/>
    <w:rsid w:val="00A97EF1"/>
    <w:rsid w:val="00AA4FB7"/>
    <w:rsid w:val="00AB3BED"/>
    <w:rsid w:val="00AC52FB"/>
    <w:rsid w:val="00AC5C02"/>
    <w:rsid w:val="00AE0064"/>
    <w:rsid w:val="00AE1BAB"/>
    <w:rsid w:val="00AE41FF"/>
    <w:rsid w:val="00AE6C66"/>
    <w:rsid w:val="00AF18A8"/>
    <w:rsid w:val="00B03B5F"/>
    <w:rsid w:val="00B07EB7"/>
    <w:rsid w:val="00B16E48"/>
    <w:rsid w:val="00B17F24"/>
    <w:rsid w:val="00B2738F"/>
    <w:rsid w:val="00B32F0B"/>
    <w:rsid w:val="00B46C50"/>
    <w:rsid w:val="00B50681"/>
    <w:rsid w:val="00B67740"/>
    <w:rsid w:val="00B84870"/>
    <w:rsid w:val="00BA00E2"/>
    <w:rsid w:val="00BB5818"/>
    <w:rsid w:val="00BB6041"/>
    <w:rsid w:val="00BB629E"/>
    <w:rsid w:val="00BC5618"/>
    <w:rsid w:val="00BE244B"/>
    <w:rsid w:val="00BE3751"/>
    <w:rsid w:val="00BF4D76"/>
    <w:rsid w:val="00C0052D"/>
    <w:rsid w:val="00C0297A"/>
    <w:rsid w:val="00C065FB"/>
    <w:rsid w:val="00C1050D"/>
    <w:rsid w:val="00C1629A"/>
    <w:rsid w:val="00C21FE3"/>
    <w:rsid w:val="00C24509"/>
    <w:rsid w:val="00C31A91"/>
    <w:rsid w:val="00C41D15"/>
    <w:rsid w:val="00C46AFB"/>
    <w:rsid w:val="00C5125C"/>
    <w:rsid w:val="00C5135A"/>
    <w:rsid w:val="00C64131"/>
    <w:rsid w:val="00C727B4"/>
    <w:rsid w:val="00C75269"/>
    <w:rsid w:val="00C8148A"/>
    <w:rsid w:val="00C84A6D"/>
    <w:rsid w:val="00C908D4"/>
    <w:rsid w:val="00C910D9"/>
    <w:rsid w:val="00C95A4E"/>
    <w:rsid w:val="00CA19D1"/>
    <w:rsid w:val="00CA621F"/>
    <w:rsid w:val="00CA7AFB"/>
    <w:rsid w:val="00CB5CB3"/>
    <w:rsid w:val="00CC2F73"/>
    <w:rsid w:val="00CD5E1A"/>
    <w:rsid w:val="00CD6E1D"/>
    <w:rsid w:val="00CE1A53"/>
    <w:rsid w:val="00CE29B9"/>
    <w:rsid w:val="00CE3788"/>
    <w:rsid w:val="00CF5300"/>
    <w:rsid w:val="00D00500"/>
    <w:rsid w:val="00D03315"/>
    <w:rsid w:val="00D05709"/>
    <w:rsid w:val="00D10E98"/>
    <w:rsid w:val="00D217E0"/>
    <w:rsid w:val="00D34603"/>
    <w:rsid w:val="00D3466E"/>
    <w:rsid w:val="00D34A4A"/>
    <w:rsid w:val="00D668DD"/>
    <w:rsid w:val="00D75C6A"/>
    <w:rsid w:val="00D76FC0"/>
    <w:rsid w:val="00D837DA"/>
    <w:rsid w:val="00D856D6"/>
    <w:rsid w:val="00D85FAC"/>
    <w:rsid w:val="00D90170"/>
    <w:rsid w:val="00D92438"/>
    <w:rsid w:val="00D92C9B"/>
    <w:rsid w:val="00D94E47"/>
    <w:rsid w:val="00DA21F4"/>
    <w:rsid w:val="00DA3EBE"/>
    <w:rsid w:val="00DA4033"/>
    <w:rsid w:val="00DA5411"/>
    <w:rsid w:val="00DA646A"/>
    <w:rsid w:val="00DA7207"/>
    <w:rsid w:val="00DA7C50"/>
    <w:rsid w:val="00DB3FE1"/>
    <w:rsid w:val="00DB48F0"/>
    <w:rsid w:val="00DC666E"/>
    <w:rsid w:val="00DC6BD6"/>
    <w:rsid w:val="00DD0BB9"/>
    <w:rsid w:val="00DD131D"/>
    <w:rsid w:val="00DE0FAE"/>
    <w:rsid w:val="00DE4BB4"/>
    <w:rsid w:val="00DE75E9"/>
    <w:rsid w:val="00DF2DE1"/>
    <w:rsid w:val="00E03B7A"/>
    <w:rsid w:val="00E06C92"/>
    <w:rsid w:val="00E13CD1"/>
    <w:rsid w:val="00E1692E"/>
    <w:rsid w:val="00E357E2"/>
    <w:rsid w:val="00E42652"/>
    <w:rsid w:val="00E431EC"/>
    <w:rsid w:val="00E64CEE"/>
    <w:rsid w:val="00E66ACF"/>
    <w:rsid w:val="00E81C78"/>
    <w:rsid w:val="00E852B3"/>
    <w:rsid w:val="00E94AD8"/>
    <w:rsid w:val="00E94BD0"/>
    <w:rsid w:val="00EC3A75"/>
    <w:rsid w:val="00ED0297"/>
    <w:rsid w:val="00ED0715"/>
    <w:rsid w:val="00ED0F94"/>
    <w:rsid w:val="00EE772B"/>
    <w:rsid w:val="00F00588"/>
    <w:rsid w:val="00F14A1E"/>
    <w:rsid w:val="00F1583E"/>
    <w:rsid w:val="00F27166"/>
    <w:rsid w:val="00F34193"/>
    <w:rsid w:val="00F36DB1"/>
    <w:rsid w:val="00F424B4"/>
    <w:rsid w:val="00F42B7C"/>
    <w:rsid w:val="00F46BB9"/>
    <w:rsid w:val="00F630DE"/>
    <w:rsid w:val="00F659DF"/>
    <w:rsid w:val="00F72D8B"/>
    <w:rsid w:val="00F80BCC"/>
    <w:rsid w:val="00F93D5B"/>
    <w:rsid w:val="00FA1BFE"/>
    <w:rsid w:val="00FB23E7"/>
    <w:rsid w:val="00FD2D88"/>
    <w:rsid w:val="00FD2DBA"/>
    <w:rsid w:val="00FD7EE4"/>
    <w:rsid w:val="00FE0843"/>
    <w:rsid w:val="00FE6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D"/>
    <w:pPr>
      <w:spacing w:after="240"/>
      <w:jc w:val="both"/>
    </w:pPr>
    <w:rPr>
      <w:sz w:val="26"/>
      <w:lang w:eastAsia="en-US"/>
    </w:rPr>
  </w:style>
  <w:style w:type="paragraph" w:styleId="Heading1">
    <w:name w:val="heading 1"/>
    <w:basedOn w:val="Normal"/>
    <w:next w:val="Normal"/>
    <w:link w:val="Heading1Char"/>
    <w:qFormat/>
    <w:pPr>
      <w:keepNext/>
      <w:spacing w:before="240" w:after="120"/>
      <w:jc w:val="center"/>
      <w:outlineLvl w:val="0"/>
    </w:pPr>
    <w:rPr>
      <w:b/>
      <w:kern w:val="28"/>
      <w:sz w:val="40"/>
    </w:rPr>
  </w:style>
  <w:style w:type="paragraph" w:styleId="Heading2">
    <w:name w:val="heading 2"/>
    <w:basedOn w:val="Normal"/>
    <w:next w:val="Normal"/>
    <w:link w:val="Heading2Char"/>
    <w:qFormat/>
    <w:pPr>
      <w:keepNext/>
      <w:spacing w:before="120" w:after="120"/>
      <w:jc w:val="center"/>
      <w:outlineLvl w:val="1"/>
    </w:pPr>
    <w:rPr>
      <w:b/>
      <w:sz w:val="36"/>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rsid w:val="00C41D15"/>
    <w:pPr>
      <w:keepNext/>
      <w:numPr>
        <w:ilvl w:val="3"/>
        <w:numId w:val="32"/>
      </w:numPr>
      <w:outlineLvl w:val="3"/>
    </w:pPr>
    <w:rPr>
      <w:b/>
      <w:i/>
    </w:rPr>
  </w:style>
  <w:style w:type="paragraph" w:styleId="Heading5">
    <w:name w:val="heading 5"/>
    <w:basedOn w:val="Normal"/>
    <w:next w:val="Normal"/>
    <w:qFormat/>
    <w:rsid w:val="00C41D15"/>
    <w:pPr>
      <w:keepNext/>
      <w:numPr>
        <w:ilvl w:val="4"/>
        <w:numId w:val="32"/>
      </w:numPr>
      <w:jc w:val="left"/>
      <w:outlineLvl w:val="4"/>
    </w:pPr>
    <w:rPr>
      <w:i/>
    </w:rPr>
  </w:style>
  <w:style w:type="paragraph" w:styleId="Heading6">
    <w:name w:val="heading 6"/>
    <w:basedOn w:val="Normal"/>
    <w:next w:val="Normal"/>
    <w:qFormat/>
    <w:locked/>
    <w:rsid w:val="00C41D15"/>
    <w:pPr>
      <w:numPr>
        <w:ilvl w:val="5"/>
        <w:numId w:val="32"/>
      </w:numPr>
      <w:spacing w:before="240" w:after="60"/>
      <w:outlineLvl w:val="5"/>
    </w:pPr>
    <w:rPr>
      <w:i/>
      <w:sz w:val="22"/>
    </w:rPr>
  </w:style>
  <w:style w:type="paragraph" w:styleId="Heading7">
    <w:name w:val="heading 7"/>
    <w:basedOn w:val="Normal"/>
    <w:next w:val="Normal"/>
    <w:qFormat/>
    <w:locked/>
    <w:rsid w:val="00C41D15"/>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C41D15"/>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C41D15"/>
    <w:pPr>
      <w:numPr>
        <w:ilvl w:val="8"/>
        <w:numId w:val="3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evel1">
    <w:name w:val="Level1"/>
    <w:basedOn w:val="Normal"/>
    <w:rsid w:val="00C41D15"/>
    <w:pPr>
      <w:numPr>
        <w:numId w:val="32"/>
      </w:numPr>
    </w:pPr>
  </w:style>
  <w:style w:type="paragraph" w:customStyle="1" w:styleId="Level2">
    <w:name w:val="Level2"/>
    <w:basedOn w:val="Normal"/>
    <w:rsid w:val="00C41D15"/>
    <w:pPr>
      <w:numPr>
        <w:ilvl w:val="1"/>
        <w:numId w:val="32"/>
      </w:numPr>
    </w:pPr>
  </w:style>
  <w:style w:type="paragraph" w:customStyle="1" w:styleId="Level3">
    <w:name w:val="Level3"/>
    <w:basedOn w:val="Normal"/>
    <w:link w:val="Level3Char"/>
    <w:rsid w:val="00C41D15"/>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semiHidden/>
    <w:rPr>
      <w:vertAlign w:val="superscript"/>
    </w:rPr>
  </w:style>
  <w:style w:type="paragraph" w:styleId="Header">
    <w:name w:val="header"/>
    <w:basedOn w:val="Normal"/>
    <w:semiHidden/>
    <w:pPr>
      <w:tabs>
        <w:tab w:val="center" w:pos="8306"/>
      </w:tabs>
    </w:pPr>
    <w:rPr>
      <w:sz w:val="22"/>
    </w:rPr>
  </w:style>
  <w:style w:type="paragraph" w:styleId="Footer">
    <w:name w:val="footer"/>
    <w:basedOn w:val="Normal"/>
    <w:semiHidden/>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pPr>
      <w:ind w:left="851" w:right="799"/>
    </w:pPr>
  </w:style>
  <w:style w:type="paragraph" w:styleId="Quote">
    <w:name w:val="Quote"/>
    <w:basedOn w:val="Indent"/>
    <w:qFormat/>
    <w:rsid w:val="005D07D1"/>
    <w:pPr>
      <w:ind w:right="851"/>
    </w:pPr>
    <w:rPr>
      <w:sz w:val="24"/>
    </w:rPr>
  </w:style>
  <w:style w:type="paragraph" w:customStyle="1" w:styleId="REC">
    <w:name w:val="REC"/>
    <w:basedOn w:val="Normal"/>
    <w:rPr>
      <w:b/>
    </w:rPr>
  </w:style>
  <w:style w:type="character" w:styleId="PageNumber">
    <w:name w:val="page number"/>
    <w:basedOn w:val="DefaultParagraphFont"/>
    <w:semiHidden/>
    <w:locked/>
  </w:style>
  <w:style w:type="paragraph" w:styleId="Caption">
    <w:name w:val="caption"/>
    <w:basedOn w:val="Normal"/>
    <w:next w:val="Normal"/>
    <w:qFormat/>
    <w:locked/>
    <w:pPr>
      <w:spacing w:before="120" w:after="120"/>
    </w:pPr>
    <w:rPr>
      <w:i/>
    </w:rPr>
  </w:style>
  <w:style w:type="paragraph" w:styleId="EndnoteText">
    <w:name w:val="endnote text"/>
    <w:basedOn w:val="Normal"/>
    <w:semiHidden/>
    <w:locked/>
    <w:rPr>
      <w:sz w:val="20"/>
    </w:rPr>
  </w:style>
  <w:style w:type="character" w:styleId="EndnoteReference">
    <w:name w:val="endnote reference"/>
    <w:semiHidden/>
    <w:locked/>
    <w:rPr>
      <w:vertAlign w:val="superscript"/>
    </w:rPr>
  </w:style>
  <w:style w:type="paragraph" w:styleId="TOC1">
    <w:name w:val="toc 1"/>
    <w:basedOn w:val="Normal"/>
    <w:next w:val="Normal"/>
    <w:semiHidden/>
    <w:pPr>
      <w:spacing w:before="240" w:after="120"/>
    </w:pPr>
    <w:rPr>
      <w:rFonts w:ascii="Times" w:hAnsi="Times"/>
      <w:b/>
      <w:sz w:val="28"/>
      <w:szCs w:val="28"/>
    </w:rPr>
  </w:style>
  <w:style w:type="paragraph" w:styleId="TOC2">
    <w:name w:val="toc 2"/>
    <w:basedOn w:val="Normal"/>
    <w:next w:val="Normal"/>
    <w:semiHidden/>
    <w:pPr>
      <w:spacing w:after="120"/>
      <w:ind w:left="261"/>
    </w:pPr>
    <w:rPr>
      <w:rFonts w:ascii="Times" w:hAnsi="Times"/>
      <w:b/>
      <w:szCs w:val="26"/>
    </w:rPr>
  </w:style>
  <w:style w:type="paragraph" w:styleId="TOC3">
    <w:name w:val="toc 3"/>
    <w:basedOn w:val="Normal"/>
    <w:next w:val="Normal"/>
    <w:semiHidden/>
    <w:pPr>
      <w:spacing w:after="60"/>
      <w:ind w:left="522"/>
    </w:pPr>
    <w:rPr>
      <w:rFonts w:ascii="Times" w:hAnsi="Times"/>
      <w:szCs w:val="26"/>
    </w:rPr>
  </w:style>
  <w:style w:type="paragraph" w:styleId="TOC4">
    <w:name w:val="toc 4"/>
    <w:basedOn w:val="Normal"/>
    <w:next w:val="Normal"/>
    <w:semiHidden/>
    <w:locked/>
    <w:pPr>
      <w:spacing w:after="60"/>
      <w:ind w:left="720"/>
    </w:pPr>
    <w:rPr>
      <w:rFonts w:ascii="Times" w:hAnsi="Times"/>
      <w:szCs w:val="26"/>
    </w:rPr>
  </w:style>
  <w:style w:type="paragraph" w:styleId="TOC5">
    <w:name w:val="toc 5"/>
    <w:basedOn w:val="Normal"/>
    <w:next w:val="Normal"/>
    <w:semiHidden/>
    <w:locked/>
    <w:pPr>
      <w:spacing w:after="60"/>
      <w:ind w:left="958"/>
    </w:pPr>
    <w:rPr>
      <w:rFonts w:ascii="Times" w:hAnsi="Times"/>
      <w:szCs w:val="26"/>
    </w:rPr>
  </w:style>
  <w:style w:type="paragraph" w:styleId="TOC6">
    <w:name w:val="toc 6"/>
    <w:basedOn w:val="Normal"/>
    <w:next w:val="Normal"/>
    <w:semiHidden/>
    <w:locked/>
    <w:pPr>
      <w:ind w:left="1200"/>
    </w:pPr>
  </w:style>
  <w:style w:type="paragraph" w:styleId="TOC7">
    <w:name w:val="toc 7"/>
    <w:basedOn w:val="Normal"/>
    <w:next w:val="Normal"/>
    <w:semiHidden/>
    <w:locked/>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pPr>
      <w:numPr>
        <w:numId w:val="1"/>
      </w:numPr>
    </w:pPr>
  </w:style>
  <w:style w:type="numbering" w:styleId="1ai">
    <w:name w:val="Outline List 1"/>
    <w:basedOn w:val="NoList"/>
    <w:semiHidden/>
    <w:locked/>
    <w:pPr>
      <w:numPr>
        <w:numId w:val="2"/>
      </w:numPr>
    </w:pPr>
  </w:style>
  <w:style w:type="numbering" w:styleId="ArticleSection">
    <w:name w:val="Outline List 3"/>
    <w:basedOn w:val="NoList"/>
    <w:semiHidden/>
    <w:locked/>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locked/>
    <w:pPr>
      <w:spacing w:after="120"/>
      <w:ind w:left="1440" w:right="1440"/>
    </w:pPr>
  </w:style>
  <w:style w:type="paragraph" w:styleId="BodyText">
    <w:name w:val="Body Text"/>
    <w:basedOn w:val="Normal"/>
    <w:semiHidden/>
    <w:locked/>
    <w:pPr>
      <w:spacing w:after="120"/>
    </w:pPr>
  </w:style>
  <w:style w:type="paragraph" w:styleId="BodyText2">
    <w:name w:val="Body Text 2"/>
    <w:basedOn w:val="Normal"/>
    <w:semiHidden/>
    <w:locked/>
    <w:pPr>
      <w:spacing w:after="120" w:line="480" w:lineRule="auto"/>
    </w:pPr>
  </w:style>
  <w:style w:type="paragraph" w:styleId="BodyText3">
    <w:name w:val="Body Text 3"/>
    <w:basedOn w:val="Normal"/>
    <w:semiHidden/>
    <w:locked/>
    <w:pPr>
      <w:spacing w:after="120"/>
    </w:pPr>
    <w:rPr>
      <w:sz w:val="16"/>
      <w:szCs w:val="16"/>
    </w:rPr>
  </w:style>
  <w:style w:type="paragraph" w:styleId="BodyTextFirstIndent">
    <w:name w:val="Body Text First Indent"/>
    <w:basedOn w:val="BodyText"/>
    <w:semiHidden/>
    <w:locked/>
    <w:pPr>
      <w:ind w:firstLine="210"/>
    </w:pPr>
  </w:style>
  <w:style w:type="paragraph" w:styleId="BodyTextIndent">
    <w:name w:val="Body Text Indent"/>
    <w:basedOn w:val="Normal"/>
    <w:semiHidden/>
    <w:locked/>
    <w:pPr>
      <w:spacing w:after="120"/>
      <w:ind w:left="283"/>
    </w:pPr>
  </w:style>
  <w:style w:type="paragraph" w:styleId="BodyTextFirstIndent2">
    <w:name w:val="Body Text First Indent 2"/>
    <w:basedOn w:val="BodyTextIndent"/>
    <w:semiHidden/>
    <w:locked/>
    <w:pPr>
      <w:ind w:firstLine="210"/>
    </w:pPr>
  </w:style>
  <w:style w:type="paragraph" w:styleId="BodyTextIndent2">
    <w:name w:val="Body Text Indent 2"/>
    <w:basedOn w:val="Normal"/>
    <w:semiHidden/>
    <w:locked/>
    <w:pPr>
      <w:spacing w:after="120" w:line="480" w:lineRule="auto"/>
      <w:ind w:left="283"/>
    </w:pPr>
  </w:style>
  <w:style w:type="paragraph" w:styleId="BodyTextIndent3">
    <w:name w:val="Body Text Indent 3"/>
    <w:basedOn w:val="Normal"/>
    <w:semiHidden/>
    <w:locked/>
    <w:pPr>
      <w:spacing w:after="120"/>
      <w:ind w:left="283"/>
    </w:pPr>
    <w:rPr>
      <w:sz w:val="16"/>
      <w:szCs w:val="16"/>
    </w:rPr>
  </w:style>
  <w:style w:type="paragraph" w:styleId="Closing">
    <w:name w:val="Closing"/>
    <w:basedOn w:val="Normal"/>
    <w:semiHidden/>
    <w:locked/>
    <w:pPr>
      <w:ind w:left="4252"/>
    </w:p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Date">
    <w:name w:val="Date"/>
    <w:basedOn w:val="Normal"/>
    <w:next w:val="Normal"/>
    <w:semiHidden/>
    <w:locked/>
  </w:style>
  <w:style w:type="paragraph" w:styleId="DocumentMap">
    <w:name w:val="Document Map"/>
    <w:basedOn w:val="Normal"/>
    <w:semiHidden/>
    <w:locked/>
    <w:pPr>
      <w:shd w:val="clear" w:color="auto" w:fill="000080"/>
    </w:pPr>
    <w:rPr>
      <w:rFonts w:ascii="Tahoma" w:hAnsi="Tahoma" w:cs="Tahoma"/>
      <w:sz w:val="20"/>
    </w:rPr>
  </w:style>
  <w:style w:type="paragraph" w:styleId="E-mailSignature">
    <w:name w:val="E-mail Signature"/>
    <w:basedOn w:val="Normal"/>
    <w:semiHidden/>
    <w:locked/>
  </w:style>
  <w:style w:type="character" w:styleId="Emphasis">
    <w:name w:val="Emphasis"/>
    <w:qFormat/>
    <w:locked/>
    <w:rPr>
      <w:i/>
      <w:iCs/>
    </w:rPr>
  </w:style>
  <w:style w:type="paragraph" w:styleId="EnvelopeAddress">
    <w:name w:val="envelope address"/>
    <w:basedOn w:val="Normal"/>
    <w:semiHidden/>
    <w:lock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Pr>
      <w:rFonts w:ascii="Arial" w:hAnsi="Arial" w:cs="Arial"/>
      <w:sz w:val="20"/>
    </w:rPr>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rPr>
      <w:i/>
      <w:iCs/>
    </w:rPr>
  </w:style>
  <w:style w:type="character" w:styleId="HTMLCite">
    <w:name w:val="HTML Cite"/>
    <w:semiHidden/>
    <w:locked/>
    <w:rPr>
      <w:i/>
      <w:iCs/>
    </w:rPr>
  </w:style>
  <w:style w:type="character" w:styleId="HTMLCode">
    <w:name w:val="HTML Code"/>
    <w:semiHidden/>
    <w:locked/>
    <w:rPr>
      <w:rFonts w:ascii="Courier New" w:hAnsi="Courier New" w:cs="Courier New"/>
      <w:sz w:val="20"/>
      <w:szCs w:val="20"/>
    </w:rPr>
  </w:style>
  <w:style w:type="character" w:styleId="HTMLDefinition">
    <w:name w:val="HTML Definition"/>
    <w:semiHidden/>
    <w:locked/>
    <w:rPr>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locked/>
    <w:rPr>
      <w:rFonts w:ascii="Courier New" w:hAnsi="Courier New" w:cs="Courier New"/>
      <w:sz w:val="20"/>
    </w:rPr>
  </w:style>
  <w:style w:type="character" w:styleId="HTMLSample">
    <w:name w:val="HTML Sample"/>
    <w:semiHidden/>
    <w:locked/>
    <w:rPr>
      <w:rFonts w:ascii="Courier New" w:hAnsi="Courier New" w:cs="Courier New"/>
    </w:rPr>
  </w:style>
  <w:style w:type="character" w:styleId="HTMLTypewriter">
    <w:name w:val="HTML Typewriter"/>
    <w:semiHidden/>
    <w:locked/>
    <w:rPr>
      <w:rFonts w:ascii="Courier New" w:hAnsi="Courier New" w:cs="Courier New"/>
      <w:sz w:val="20"/>
      <w:szCs w:val="20"/>
    </w:rPr>
  </w:style>
  <w:style w:type="character" w:styleId="HTMLVariable">
    <w:name w:val="HTML Variable"/>
    <w:semiHidden/>
    <w:locked/>
    <w:rPr>
      <w:i/>
      <w:iCs/>
    </w:rPr>
  </w:style>
  <w:style w:type="character" w:styleId="Hyperlink">
    <w:name w:val="Hyperlink"/>
    <w:rPr>
      <w:color w:val="0000FF"/>
      <w:u w:val="single"/>
    </w:rPr>
  </w:style>
  <w:style w:type="paragraph" w:styleId="Index1">
    <w:name w:val="index 1"/>
    <w:basedOn w:val="Normal"/>
    <w:next w:val="Normal"/>
    <w:semiHidden/>
    <w:locked/>
    <w:pPr>
      <w:ind w:left="260" w:hanging="260"/>
    </w:pPr>
  </w:style>
  <w:style w:type="paragraph" w:styleId="Index2">
    <w:name w:val="index 2"/>
    <w:basedOn w:val="Normal"/>
    <w:next w:val="Normal"/>
    <w:semiHidden/>
    <w:locked/>
    <w:pPr>
      <w:ind w:left="520" w:hanging="260"/>
    </w:pPr>
  </w:style>
  <w:style w:type="paragraph" w:styleId="Index3">
    <w:name w:val="index 3"/>
    <w:basedOn w:val="Normal"/>
    <w:next w:val="Normal"/>
    <w:semiHidden/>
    <w:locked/>
    <w:pPr>
      <w:ind w:left="780" w:hanging="260"/>
    </w:pPr>
  </w:style>
  <w:style w:type="paragraph" w:styleId="Index4">
    <w:name w:val="index 4"/>
    <w:basedOn w:val="Normal"/>
    <w:next w:val="Normal"/>
    <w:semiHidden/>
    <w:locked/>
    <w:pPr>
      <w:ind w:left="1040" w:hanging="260"/>
    </w:pPr>
  </w:style>
  <w:style w:type="paragraph" w:styleId="Index5">
    <w:name w:val="index 5"/>
    <w:basedOn w:val="Normal"/>
    <w:next w:val="Normal"/>
    <w:semiHidden/>
    <w:locked/>
    <w:pPr>
      <w:ind w:left="1300" w:hanging="260"/>
    </w:pPr>
  </w:style>
  <w:style w:type="paragraph" w:styleId="Index6">
    <w:name w:val="index 6"/>
    <w:basedOn w:val="Normal"/>
    <w:next w:val="Normal"/>
    <w:semiHidden/>
    <w:locked/>
    <w:pPr>
      <w:ind w:left="1560" w:hanging="260"/>
    </w:pPr>
  </w:style>
  <w:style w:type="paragraph" w:styleId="Index7">
    <w:name w:val="index 7"/>
    <w:basedOn w:val="Normal"/>
    <w:next w:val="Normal"/>
    <w:semiHidden/>
    <w:locked/>
    <w:pPr>
      <w:ind w:left="1820" w:hanging="260"/>
    </w:pPr>
  </w:style>
  <w:style w:type="paragraph" w:styleId="Index8">
    <w:name w:val="index 8"/>
    <w:basedOn w:val="Normal"/>
    <w:next w:val="Normal"/>
    <w:semiHidden/>
    <w:locked/>
    <w:pPr>
      <w:ind w:left="2080" w:hanging="260"/>
    </w:pPr>
  </w:style>
  <w:style w:type="paragraph" w:styleId="Index9">
    <w:name w:val="index 9"/>
    <w:basedOn w:val="Normal"/>
    <w:next w:val="Normal"/>
    <w:semiHidden/>
    <w:locked/>
    <w:pPr>
      <w:ind w:left="2340" w:hanging="260"/>
    </w:pPr>
  </w:style>
  <w:style w:type="paragraph" w:styleId="IndexHeading">
    <w:name w:val="index heading"/>
    <w:basedOn w:val="Normal"/>
    <w:next w:val="Index1"/>
    <w:semiHidden/>
    <w:locked/>
    <w:rPr>
      <w:rFonts w:ascii="Arial" w:hAnsi="Arial" w:cs="Arial"/>
      <w:b/>
      <w:bCs/>
    </w:rPr>
  </w:style>
  <w:style w:type="character" w:styleId="LineNumber">
    <w:name w:val="line number"/>
    <w:basedOn w:val="DefaultParagraphFont"/>
    <w:semiHidden/>
    <w:locked/>
  </w:style>
  <w:style w:type="paragraph" w:styleId="List">
    <w:name w:val="List"/>
    <w:basedOn w:val="Normal"/>
    <w:semiHidden/>
    <w:locked/>
    <w:pPr>
      <w:ind w:left="283" w:hanging="283"/>
    </w:pPr>
  </w:style>
  <w:style w:type="paragraph" w:styleId="List2">
    <w:name w:val="List 2"/>
    <w:basedOn w:val="Normal"/>
    <w:semiHidden/>
    <w:locked/>
    <w:pPr>
      <w:ind w:left="566" w:hanging="283"/>
    </w:pPr>
  </w:style>
  <w:style w:type="paragraph" w:styleId="List3">
    <w:name w:val="List 3"/>
    <w:basedOn w:val="Normal"/>
    <w:semiHidden/>
    <w:locked/>
    <w:pPr>
      <w:ind w:left="849" w:hanging="283"/>
    </w:pPr>
  </w:style>
  <w:style w:type="paragraph" w:styleId="List4">
    <w:name w:val="List 4"/>
    <w:basedOn w:val="Normal"/>
    <w:semiHidden/>
    <w:locked/>
    <w:pPr>
      <w:ind w:left="1132" w:hanging="283"/>
    </w:pPr>
  </w:style>
  <w:style w:type="paragraph" w:styleId="List5">
    <w:name w:val="List 5"/>
    <w:basedOn w:val="Normal"/>
    <w:semiHidden/>
    <w:locked/>
    <w:pPr>
      <w:ind w:left="1415" w:hanging="283"/>
    </w:pPr>
  </w:style>
  <w:style w:type="paragraph" w:styleId="ListBullet">
    <w:name w:val="List Bullet"/>
    <w:basedOn w:val="Normal"/>
    <w:semiHidden/>
    <w:locked/>
    <w:pPr>
      <w:numPr>
        <w:numId w:val="7"/>
      </w:numPr>
    </w:pPr>
  </w:style>
  <w:style w:type="paragraph" w:styleId="ListBullet2">
    <w:name w:val="List Bullet 2"/>
    <w:basedOn w:val="Normal"/>
    <w:semiHidden/>
    <w:locked/>
    <w:pPr>
      <w:numPr>
        <w:numId w:val="8"/>
      </w:numPr>
    </w:pPr>
  </w:style>
  <w:style w:type="paragraph" w:styleId="ListBullet3">
    <w:name w:val="List Bullet 3"/>
    <w:basedOn w:val="Normal"/>
    <w:semiHidden/>
    <w:locked/>
    <w:pPr>
      <w:numPr>
        <w:numId w:val="9"/>
      </w:numPr>
    </w:pPr>
  </w:style>
  <w:style w:type="paragraph" w:styleId="ListBullet4">
    <w:name w:val="List Bullet 4"/>
    <w:basedOn w:val="Normal"/>
    <w:semiHidden/>
    <w:locked/>
    <w:pPr>
      <w:numPr>
        <w:numId w:val="10"/>
      </w:numPr>
    </w:pPr>
  </w:style>
  <w:style w:type="paragraph" w:styleId="ListBullet5">
    <w:name w:val="List Bullet 5"/>
    <w:basedOn w:val="Normal"/>
    <w:semiHidden/>
    <w:locked/>
    <w:pPr>
      <w:numPr>
        <w:numId w:val="11"/>
      </w:numPr>
    </w:pPr>
  </w:style>
  <w:style w:type="paragraph" w:styleId="ListContinue">
    <w:name w:val="List Continue"/>
    <w:basedOn w:val="Normal"/>
    <w:semiHidden/>
    <w:locked/>
    <w:pPr>
      <w:spacing w:after="120"/>
      <w:ind w:left="283"/>
    </w:pPr>
  </w:style>
  <w:style w:type="paragraph" w:styleId="ListContinue2">
    <w:name w:val="List Continue 2"/>
    <w:basedOn w:val="Normal"/>
    <w:semiHidden/>
    <w:locked/>
    <w:pPr>
      <w:spacing w:after="120"/>
      <w:ind w:left="566"/>
    </w:pPr>
  </w:style>
  <w:style w:type="paragraph" w:styleId="ListContinue3">
    <w:name w:val="List Continue 3"/>
    <w:basedOn w:val="Normal"/>
    <w:semiHidden/>
    <w:locked/>
    <w:pPr>
      <w:spacing w:after="120"/>
      <w:ind w:left="849"/>
    </w:pPr>
  </w:style>
  <w:style w:type="paragraph" w:styleId="ListContinue4">
    <w:name w:val="List Continue 4"/>
    <w:basedOn w:val="Normal"/>
    <w:semiHidden/>
    <w:locked/>
    <w:pPr>
      <w:spacing w:after="120"/>
      <w:ind w:left="1132"/>
    </w:pPr>
  </w:style>
  <w:style w:type="paragraph" w:styleId="ListContinue5">
    <w:name w:val="List Continue 5"/>
    <w:basedOn w:val="Normal"/>
    <w:semiHidden/>
    <w:locked/>
    <w:pPr>
      <w:spacing w:after="120"/>
      <w:ind w:left="1415"/>
    </w:pPr>
  </w:style>
  <w:style w:type="paragraph" w:styleId="ListNumber">
    <w:name w:val="List Number"/>
    <w:basedOn w:val="Normal"/>
    <w:semiHidden/>
    <w:locked/>
    <w:pPr>
      <w:numPr>
        <w:numId w:val="12"/>
      </w:numPr>
    </w:pPr>
  </w:style>
  <w:style w:type="paragraph" w:styleId="ListNumber2">
    <w:name w:val="List Number 2"/>
    <w:basedOn w:val="Normal"/>
    <w:semiHidden/>
    <w:locked/>
    <w:pPr>
      <w:numPr>
        <w:numId w:val="13"/>
      </w:numPr>
    </w:pPr>
  </w:style>
  <w:style w:type="paragraph" w:styleId="ListNumber3">
    <w:name w:val="List Number 3"/>
    <w:basedOn w:val="Normal"/>
    <w:semiHidden/>
    <w:locked/>
    <w:pPr>
      <w:numPr>
        <w:numId w:val="14"/>
      </w:numPr>
    </w:pPr>
  </w:style>
  <w:style w:type="paragraph" w:styleId="ListNumber4">
    <w:name w:val="List Number 4"/>
    <w:basedOn w:val="Normal"/>
    <w:semiHidden/>
    <w:locked/>
    <w:pPr>
      <w:numPr>
        <w:numId w:val="15"/>
      </w:numPr>
    </w:pPr>
  </w:style>
  <w:style w:type="paragraph" w:styleId="ListNumber5">
    <w:name w:val="List Number 5"/>
    <w:basedOn w:val="Normal"/>
    <w:semiHidden/>
    <w:locked/>
    <w:pPr>
      <w:numPr>
        <w:numId w:val="16"/>
      </w:numPr>
    </w:p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Pr>
      <w:sz w:val="24"/>
      <w:szCs w:val="24"/>
    </w:rPr>
  </w:style>
  <w:style w:type="paragraph" w:styleId="NormalIndent">
    <w:name w:val="Normal Indent"/>
    <w:basedOn w:val="Normal"/>
    <w:semiHidden/>
    <w:locked/>
    <w:pPr>
      <w:ind w:left="720"/>
    </w:pPr>
  </w:style>
  <w:style w:type="paragraph" w:styleId="NoteHeading">
    <w:name w:val="Note Heading"/>
    <w:basedOn w:val="Normal"/>
    <w:next w:val="Normal"/>
    <w:semiHidden/>
    <w:locked/>
  </w:style>
  <w:style w:type="paragraph" w:styleId="PlainText">
    <w:name w:val="Plain Text"/>
    <w:basedOn w:val="Normal"/>
    <w:semiHidden/>
    <w:locked/>
    <w:rPr>
      <w:rFonts w:ascii="Courier New" w:hAnsi="Courier New" w:cs="Courier New"/>
      <w:sz w:val="20"/>
    </w:rPr>
  </w:style>
  <w:style w:type="paragraph" w:styleId="Salutation">
    <w:name w:val="Salutation"/>
    <w:basedOn w:val="Normal"/>
    <w:next w:val="Normal"/>
    <w:semiHidden/>
    <w:locked/>
  </w:style>
  <w:style w:type="paragraph" w:styleId="Signature">
    <w:name w:val="Signature"/>
    <w:basedOn w:val="Normal"/>
    <w:semiHidden/>
    <w:locked/>
    <w:pPr>
      <w:ind w:left="4252"/>
    </w:pPr>
  </w:style>
  <w:style w:type="character" w:styleId="Strong">
    <w:name w:val="Strong"/>
    <w:qFormat/>
    <w:locked/>
    <w:rPr>
      <w:b/>
      <w:bCs/>
    </w:rPr>
  </w:style>
  <w:style w:type="paragraph" w:styleId="Subtitle">
    <w:name w:val="Subtitle"/>
    <w:basedOn w:val="Normal"/>
    <w:qFormat/>
    <w:locked/>
    <w:rsid w:val="00A6738A"/>
    <w:pPr>
      <w:spacing w:after="60"/>
      <w:jc w:val="center"/>
    </w:pPr>
    <w:rPr>
      <w:rFonts w:ascii="Arial" w:hAnsi="Arial" w:cs="Arial"/>
      <w:sz w:val="24"/>
      <w:szCs w:val="24"/>
    </w:rPr>
  </w:style>
  <w:style w:type="table" w:styleId="Table3Deffects1">
    <w:name w:val="Table 3D effects 1"/>
    <w:basedOn w:val="TableNormal"/>
    <w:semiHidden/>
    <w:lock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pPr>
      <w:ind w:left="260" w:hanging="260"/>
    </w:pPr>
  </w:style>
  <w:style w:type="paragraph" w:styleId="TableofFigures">
    <w:name w:val="table of figures"/>
    <w:basedOn w:val="Normal"/>
    <w:next w:val="Normal"/>
    <w:semiHidden/>
    <w:locked/>
  </w:style>
  <w:style w:type="table" w:styleId="TableProfessional">
    <w:name w:val="Table Professional"/>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pPr>
      <w:spacing w:before="120"/>
    </w:pPr>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link w:val="Level3"/>
    <w:rsid w:val="00C41D15"/>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customStyle="1" w:styleId="JNP2">
    <w:name w:val="JNP2"/>
    <w:basedOn w:val="Normal"/>
    <w:rsid w:val="00C1050D"/>
    <w:pPr>
      <w:spacing w:after="0"/>
      <w:ind w:left="2268"/>
    </w:pPr>
    <w:rPr>
      <w:lang w:val="en-US"/>
    </w:rPr>
  </w:style>
  <w:style w:type="paragraph" w:customStyle="1" w:styleId="JNP3">
    <w:name w:val="JNP3"/>
    <w:basedOn w:val="JNP2"/>
    <w:rsid w:val="008659EF"/>
    <w:pPr>
      <w:tabs>
        <w:tab w:val="left" w:pos="3969"/>
      </w:tabs>
      <w:ind w:left="2552"/>
    </w:pPr>
    <w:rPr>
      <w:sz w:val="24"/>
      <w:lang w:eastAsia="en-AU"/>
    </w:rPr>
  </w:style>
  <w:style w:type="paragraph" w:styleId="ListParagraph">
    <w:name w:val="List Paragraph"/>
    <w:basedOn w:val="Normal"/>
    <w:uiPriority w:val="34"/>
    <w:qFormat/>
    <w:rsid w:val="00BE244B"/>
    <w:pPr>
      <w:spacing w:after="0"/>
      <w:ind w:left="720"/>
      <w:jc w:val="left"/>
    </w:pPr>
    <w:rPr>
      <w:rFonts w:ascii="Calibri" w:hAnsi="Calibri"/>
      <w:sz w:val="22"/>
      <w:szCs w:val="22"/>
    </w:rPr>
  </w:style>
  <w:style w:type="paragraph" w:styleId="Bibliography">
    <w:name w:val="Bibliography"/>
    <w:basedOn w:val="Normal"/>
    <w:next w:val="Normal"/>
    <w:uiPriority w:val="37"/>
    <w:semiHidden/>
    <w:unhideWhenUsed/>
    <w:rsid w:val="00D05709"/>
    <w:rPr>
      <w:lang w:eastAsia="en-AU"/>
    </w:rPr>
  </w:style>
  <w:style w:type="character" w:styleId="BookTitle">
    <w:name w:val="Book Title"/>
    <w:basedOn w:val="DefaultParagraphFont"/>
    <w:uiPriority w:val="33"/>
    <w:rsid w:val="00D05709"/>
    <w:rPr>
      <w:b/>
      <w:bCs/>
      <w:smallCaps/>
      <w:spacing w:val="5"/>
    </w:rPr>
  </w:style>
  <w:style w:type="table" w:styleId="ColorfulGrid">
    <w:name w:val="Colorful Grid"/>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D05709"/>
    <w:rPr>
      <w:b/>
      <w:bCs/>
      <w:i/>
      <w:iCs/>
      <w:color w:val="4F81BD" w:themeColor="accent1"/>
    </w:rPr>
  </w:style>
  <w:style w:type="paragraph" w:styleId="IntenseQuote">
    <w:name w:val="Intense Quote"/>
    <w:basedOn w:val="Normal"/>
    <w:next w:val="Normal"/>
    <w:link w:val="IntenseQuoteChar"/>
    <w:uiPriority w:val="30"/>
    <w:rsid w:val="00D05709"/>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D05709"/>
    <w:rPr>
      <w:b/>
      <w:bCs/>
      <w:i/>
      <w:iCs/>
      <w:color w:val="4F81BD" w:themeColor="accent1"/>
      <w:sz w:val="26"/>
    </w:rPr>
  </w:style>
  <w:style w:type="character" w:styleId="IntenseReference">
    <w:name w:val="Intense Reference"/>
    <w:basedOn w:val="DefaultParagraphFont"/>
    <w:uiPriority w:val="32"/>
    <w:rsid w:val="00D05709"/>
    <w:rPr>
      <w:b/>
      <w:bCs/>
      <w:smallCaps/>
      <w:color w:val="C0504D" w:themeColor="accent2"/>
      <w:spacing w:val="5"/>
      <w:u w:val="single"/>
    </w:rPr>
  </w:style>
  <w:style w:type="table" w:styleId="LightGrid">
    <w:name w:val="Light Grid"/>
    <w:basedOn w:val="TableNormal"/>
    <w:uiPriority w:val="62"/>
    <w:rsid w:val="00D05709"/>
    <w:rPr>
      <w:rFonts w:ascii="Times New (W1)" w:hAnsi="Times New (W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5709"/>
    <w:rPr>
      <w:rFonts w:ascii="Times New (W1)" w:hAnsi="Times New (W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5709"/>
    <w:rPr>
      <w:rFonts w:ascii="Times New (W1)" w:hAnsi="Times New (W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5709"/>
    <w:rPr>
      <w:rFonts w:ascii="Times New (W1)" w:hAnsi="Times New (W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5709"/>
    <w:rPr>
      <w:rFonts w:ascii="Times New (W1)" w:hAnsi="Times New (W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5709"/>
    <w:rPr>
      <w:rFonts w:ascii="Times New (W1)" w:hAnsi="Times New (W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5709"/>
    <w:rPr>
      <w:rFonts w:ascii="Times New (W1)" w:hAnsi="Times New (W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05709"/>
    <w:rPr>
      <w:rFonts w:ascii="Times New (W1)" w:hAnsi="Times New (W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5709"/>
    <w:rPr>
      <w:rFonts w:ascii="Times New (W1)" w:hAnsi="Times New (W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5709"/>
    <w:rPr>
      <w:rFonts w:ascii="Times New (W1)" w:hAnsi="Times New (W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5709"/>
    <w:rPr>
      <w:rFonts w:ascii="Times New (W1)" w:hAnsi="Times New (W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5709"/>
    <w:rPr>
      <w:rFonts w:ascii="Times New (W1)" w:hAnsi="Times New (W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5709"/>
    <w:rPr>
      <w:rFonts w:ascii="Times New (W1)" w:hAnsi="Times New (W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5709"/>
    <w:rPr>
      <w:rFonts w:ascii="Times New (W1)" w:hAnsi="Times New (W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5709"/>
    <w:rPr>
      <w:rFonts w:ascii="Times New (W1)" w:hAnsi="Times New (W1)"/>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5709"/>
    <w:rPr>
      <w:rFonts w:ascii="Times New (W1)" w:hAnsi="Times New (W1)"/>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5709"/>
    <w:rPr>
      <w:rFonts w:ascii="Times New (W1)" w:hAnsi="Times New (W1)"/>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5709"/>
    <w:rPr>
      <w:rFonts w:ascii="Times New (W1)" w:hAnsi="Times New (W1)"/>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5709"/>
    <w:rPr>
      <w:rFonts w:ascii="Times New (W1)" w:hAnsi="Times New (W1)"/>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5709"/>
    <w:rPr>
      <w:rFonts w:ascii="Times New (W1)" w:hAnsi="Times New (W1)"/>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5709"/>
    <w:rPr>
      <w:rFonts w:ascii="Times New (W1)" w:hAnsi="Times New (W1)"/>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D05709"/>
    <w:rPr>
      <w:rFonts w:ascii="Times New (W1)" w:hAnsi="Times New (W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5709"/>
    <w:rPr>
      <w:rFonts w:ascii="Times New (W1)" w:hAnsi="Times New (W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5709"/>
    <w:rPr>
      <w:rFonts w:ascii="Times New (W1)" w:hAnsi="Times New (W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5709"/>
    <w:rPr>
      <w:rFonts w:ascii="Times New (W1)" w:hAnsi="Times New (W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5709"/>
    <w:rPr>
      <w:rFonts w:ascii="Times New (W1)" w:hAnsi="Times New (W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5709"/>
    <w:rPr>
      <w:rFonts w:ascii="Times New (W1)" w:hAnsi="Times New (W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5709"/>
    <w:rPr>
      <w:rFonts w:ascii="Times New (W1)" w:hAnsi="Times New (W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5709"/>
    <w:rPr>
      <w:rFonts w:ascii="Times New (W1)" w:hAnsi="Times New (W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5709"/>
    <w:rPr>
      <w:rFonts w:ascii="Times New (W1)" w:hAnsi="Times New (W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5709"/>
    <w:rPr>
      <w:rFonts w:ascii="Times New (W1)" w:hAnsi="Times New (W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5709"/>
    <w:rPr>
      <w:rFonts w:ascii="Times New (W1)" w:hAnsi="Times New (W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5709"/>
    <w:rPr>
      <w:rFonts w:ascii="Times New (W1)" w:hAnsi="Times New (W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5709"/>
    <w:rPr>
      <w:rFonts w:ascii="Times New (W1)" w:hAnsi="Times New (W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5709"/>
    <w:rPr>
      <w:rFonts w:ascii="Times New (W1)" w:hAnsi="Times New (W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D05709"/>
    <w:pPr>
      <w:jc w:val="both"/>
    </w:pPr>
    <w:rPr>
      <w:rFonts w:ascii="Times New (W1)" w:hAnsi="Times New (W1)"/>
      <w:sz w:val="26"/>
      <w:lang w:eastAsia="en-US"/>
    </w:rPr>
  </w:style>
  <w:style w:type="character" w:styleId="PlaceholderText">
    <w:name w:val="Placeholder Text"/>
    <w:basedOn w:val="DefaultParagraphFont"/>
    <w:uiPriority w:val="99"/>
    <w:semiHidden/>
    <w:rsid w:val="00D05709"/>
    <w:rPr>
      <w:color w:val="808080"/>
    </w:rPr>
  </w:style>
  <w:style w:type="character" w:styleId="SubtleEmphasis">
    <w:name w:val="Subtle Emphasis"/>
    <w:basedOn w:val="DefaultParagraphFont"/>
    <w:uiPriority w:val="19"/>
    <w:rsid w:val="00D05709"/>
    <w:rPr>
      <w:i/>
      <w:iCs/>
      <w:color w:val="808080" w:themeColor="text1" w:themeTint="7F"/>
    </w:rPr>
  </w:style>
  <w:style w:type="character" w:styleId="SubtleReference">
    <w:name w:val="Subtle Reference"/>
    <w:basedOn w:val="DefaultParagraphFont"/>
    <w:uiPriority w:val="31"/>
    <w:rsid w:val="00D05709"/>
    <w:rPr>
      <w:smallCaps/>
      <w:color w:val="C0504D" w:themeColor="accent2"/>
      <w:u w:val="single"/>
    </w:rPr>
  </w:style>
  <w:style w:type="paragraph" w:styleId="TOCHeading">
    <w:name w:val="TOC Heading"/>
    <w:basedOn w:val="Heading1"/>
    <w:next w:val="Normal"/>
    <w:uiPriority w:val="39"/>
    <w:semiHidden/>
    <w:unhideWhenUsed/>
    <w:qFormat/>
    <w:rsid w:val="00D05709"/>
    <w:pPr>
      <w:spacing w:after="60"/>
      <w:jc w:val="both"/>
      <w:outlineLvl w:val="9"/>
    </w:pPr>
    <w:rPr>
      <w:rFonts w:asciiTheme="majorHAnsi" w:eastAsiaTheme="majorEastAsia" w:hAnsiTheme="majorHAnsi" w:cstheme="majorBidi"/>
      <w:bCs/>
      <w:kern w:val="32"/>
      <w:sz w:val="32"/>
      <w:szCs w:val="32"/>
      <w:lang w:eastAsia="en-AU"/>
    </w:rPr>
  </w:style>
  <w:style w:type="paragraph" w:customStyle="1" w:styleId="letterheadbody">
    <w:name w:val="letterhead body"/>
    <w:basedOn w:val="Normal"/>
    <w:rsid w:val="00D05709"/>
    <w:pPr>
      <w:tabs>
        <w:tab w:val="left" w:pos="851"/>
      </w:tabs>
      <w:spacing w:after="0"/>
      <w:ind w:left="284"/>
      <w:jc w:val="left"/>
    </w:pPr>
    <w:rPr>
      <w:rFonts w:ascii="Palatino" w:hAnsi="Palatino"/>
      <w:sz w:val="20"/>
      <w:lang w:eastAsia="ja-JP"/>
    </w:rPr>
  </w:style>
  <w:style w:type="character" w:customStyle="1" w:styleId="Heading1Char">
    <w:name w:val="Heading 1 Char"/>
    <w:basedOn w:val="DefaultParagraphFont"/>
    <w:link w:val="Heading1"/>
    <w:rsid w:val="00D05709"/>
    <w:rPr>
      <w:b/>
      <w:kern w:val="28"/>
      <w:sz w:val="40"/>
      <w:lang w:eastAsia="en-US"/>
    </w:rPr>
  </w:style>
  <w:style w:type="character" w:customStyle="1" w:styleId="Heading2Char">
    <w:name w:val="Heading 2 Char"/>
    <w:basedOn w:val="DefaultParagraphFont"/>
    <w:link w:val="Heading2"/>
    <w:rsid w:val="00D05709"/>
    <w:rPr>
      <w:b/>
      <w:sz w:val="36"/>
      <w:lang w:eastAsia="en-US"/>
    </w:rPr>
  </w:style>
  <w:style w:type="character" w:customStyle="1" w:styleId="FootnoteTextChar">
    <w:name w:val="Footnote Text Char"/>
    <w:basedOn w:val="DefaultParagraphFont"/>
    <w:link w:val="FootnoteText"/>
    <w:rsid w:val="00D0570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D"/>
    <w:pPr>
      <w:spacing w:after="240"/>
      <w:jc w:val="both"/>
    </w:pPr>
    <w:rPr>
      <w:sz w:val="26"/>
      <w:lang w:eastAsia="en-US"/>
    </w:rPr>
  </w:style>
  <w:style w:type="paragraph" w:styleId="Heading1">
    <w:name w:val="heading 1"/>
    <w:basedOn w:val="Normal"/>
    <w:next w:val="Normal"/>
    <w:link w:val="Heading1Char"/>
    <w:qFormat/>
    <w:pPr>
      <w:keepNext/>
      <w:spacing w:before="240" w:after="120"/>
      <w:jc w:val="center"/>
      <w:outlineLvl w:val="0"/>
    </w:pPr>
    <w:rPr>
      <w:b/>
      <w:kern w:val="28"/>
      <w:sz w:val="40"/>
    </w:rPr>
  </w:style>
  <w:style w:type="paragraph" w:styleId="Heading2">
    <w:name w:val="heading 2"/>
    <w:basedOn w:val="Normal"/>
    <w:next w:val="Normal"/>
    <w:link w:val="Heading2Char"/>
    <w:qFormat/>
    <w:pPr>
      <w:keepNext/>
      <w:spacing w:before="120" w:after="120"/>
      <w:jc w:val="center"/>
      <w:outlineLvl w:val="1"/>
    </w:pPr>
    <w:rPr>
      <w:b/>
      <w:sz w:val="36"/>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rsid w:val="00C41D15"/>
    <w:pPr>
      <w:keepNext/>
      <w:numPr>
        <w:ilvl w:val="3"/>
        <w:numId w:val="32"/>
      </w:numPr>
      <w:outlineLvl w:val="3"/>
    </w:pPr>
    <w:rPr>
      <w:b/>
      <w:i/>
    </w:rPr>
  </w:style>
  <w:style w:type="paragraph" w:styleId="Heading5">
    <w:name w:val="heading 5"/>
    <w:basedOn w:val="Normal"/>
    <w:next w:val="Normal"/>
    <w:qFormat/>
    <w:rsid w:val="00C41D15"/>
    <w:pPr>
      <w:keepNext/>
      <w:numPr>
        <w:ilvl w:val="4"/>
        <w:numId w:val="32"/>
      </w:numPr>
      <w:jc w:val="left"/>
      <w:outlineLvl w:val="4"/>
    </w:pPr>
    <w:rPr>
      <w:i/>
    </w:rPr>
  </w:style>
  <w:style w:type="paragraph" w:styleId="Heading6">
    <w:name w:val="heading 6"/>
    <w:basedOn w:val="Normal"/>
    <w:next w:val="Normal"/>
    <w:qFormat/>
    <w:locked/>
    <w:rsid w:val="00C41D15"/>
    <w:pPr>
      <w:numPr>
        <w:ilvl w:val="5"/>
        <w:numId w:val="32"/>
      </w:numPr>
      <w:spacing w:before="240" w:after="60"/>
      <w:outlineLvl w:val="5"/>
    </w:pPr>
    <w:rPr>
      <w:i/>
      <w:sz w:val="22"/>
    </w:rPr>
  </w:style>
  <w:style w:type="paragraph" w:styleId="Heading7">
    <w:name w:val="heading 7"/>
    <w:basedOn w:val="Normal"/>
    <w:next w:val="Normal"/>
    <w:qFormat/>
    <w:locked/>
    <w:rsid w:val="00C41D15"/>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C41D15"/>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C41D15"/>
    <w:pPr>
      <w:numPr>
        <w:ilvl w:val="8"/>
        <w:numId w:val="3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evel1">
    <w:name w:val="Level1"/>
    <w:basedOn w:val="Normal"/>
    <w:rsid w:val="00C41D15"/>
    <w:pPr>
      <w:numPr>
        <w:numId w:val="32"/>
      </w:numPr>
    </w:pPr>
  </w:style>
  <w:style w:type="paragraph" w:customStyle="1" w:styleId="Level2">
    <w:name w:val="Level2"/>
    <w:basedOn w:val="Normal"/>
    <w:rsid w:val="00C41D15"/>
    <w:pPr>
      <w:numPr>
        <w:ilvl w:val="1"/>
        <w:numId w:val="32"/>
      </w:numPr>
    </w:pPr>
  </w:style>
  <w:style w:type="paragraph" w:customStyle="1" w:styleId="Level3">
    <w:name w:val="Level3"/>
    <w:basedOn w:val="Normal"/>
    <w:link w:val="Level3Char"/>
    <w:rsid w:val="00C41D15"/>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semiHidden/>
    <w:rPr>
      <w:vertAlign w:val="superscript"/>
    </w:rPr>
  </w:style>
  <w:style w:type="paragraph" w:styleId="Header">
    <w:name w:val="header"/>
    <w:basedOn w:val="Normal"/>
    <w:semiHidden/>
    <w:pPr>
      <w:tabs>
        <w:tab w:val="center" w:pos="8306"/>
      </w:tabs>
    </w:pPr>
    <w:rPr>
      <w:sz w:val="22"/>
    </w:rPr>
  </w:style>
  <w:style w:type="paragraph" w:styleId="Footer">
    <w:name w:val="footer"/>
    <w:basedOn w:val="Normal"/>
    <w:semiHidden/>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pPr>
      <w:ind w:left="851" w:right="799"/>
    </w:pPr>
  </w:style>
  <w:style w:type="paragraph" w:styleId="Quote">
    <w:name w:val="Quote"/>
    <w:basedOn w:val="Indent"/>
    <w:qFormat/>
    <w:rsid w:val="005D07D1"/>
    <w:pPr>
      <w:ind w:right="851"/>
    </w:pPr>
    <w:rPr>
      <w:sz w:val="24"/>
    </w:rPr>
  </w:style>
  <w:style w:type="paragraph" w:customStyle="1" w:styleId="REC">
    <w:name w:val="REC"/>
    <w:basedOn w:val="Normal"/>
    <w:rPr>
      <w:b/>
    </w:rPr>
  </w:style>
  <w:style w:type="character" w:styleId="PageNumber">
    <w:name w:val="page number"/>
    <w:basedOn w:val="DefaultParagraphFont"/>
    <w:semiHidden/>
    <w:locked/>
  </w:style>
  <w:style w:type="paragraph" w:styleId="Caption">
    <w:name w:val="caption"/>
    <w:basedOn w:val="Normal"/>
    <w:next w:val="Normal"/>
    <w:qFormat/>
    <w:locked/>
    <w:pPr>
      <w:spacing w:before="120" w:after="120"/>
    </w:pPr>
    <w:rPr>
      <w:i/>
    </w:rPr>
  </w:style>
  <w:style w:type="paragraph" w:styleId="EndnoteText">
    <w:name w:val="endnote text"/>
    <w:basedOn w:val="Normal"/>
    <w:semiHidden/>
    <w:locked/>
    <w:rPr>
      <w:sz w:val="20"/>
    </w:rPr>
  </w:style>
  <w:style w:type="character" w:styleId="EndnoteReference">
    <w:name w:val="endnote reference"/>
    <w:semiHidden/>
    <w:locked/>
    <w:rPr>
      <w:vertAlign w:val="superscript"/>
    </w:rPr>
  </w:style>
  <w:style w:type="paragraph" w:styleId="TOC1">
    <w:name w:val="toc 1"/>
    <w:basedOn w:val="Normal"/>
    <w:next w:val="Normal"/>
    <w:semiHidden/>
    <w:pPr>
      <w:spacing w:before="240" w:after="120"/>
    </w:pPr>
    <w:rPr>
      <w:rFonts w:ascii="Times" w:hAnsi="Times"/>
      <w:b/>
      <w:sz w:val="28"/>
      <w:szCs w:val="28"/>
    </w:rPr>
  </w:style>
  <w:style w:type="paragraph" w:styleId="TOC2">
    <w:name w:val="toc 2"/>
    <w:basedOn w:val="Normal"/>
    <w:next w:val="Normal"/>
    <w:semiHidden/>
    <w:pPr>
      <w:spacing w:after="120"/>
      <w:ind w:left="261"/>
    </w:pPr>
    <w:rPr>
      <w:rFonts w:ascii="Times" w:hAnsi="Times"/>
      <w:b/>
      <w:szCs w:val="26"/>
    </w:rPr>
  </w:style>
  <w:style w:type="paragraph" w:styleId="TOC3">
    <w:name w:val="toc 3"/>
    <w:basedOn w:val="Normal"/>
    <w:next w:val="Normal"/>
    <w:semiHidden/>
    <w:pPr>
      <w:spacing w:after="60"/>
      <w:ind w:left="522"/>
    </w:pPr>
    <w:rPr>
      <w:rFonts w:ascii="Times" w:hAnsi="Times"/>
      <w:szCs w:val="26"/>
    </w:rPr>
  </w:style>
  <w:style w:type="paragraph" w:styleId="TOC4">
    <w:name w:val="toc 4"/>
    <w:basedOn w:val="Normal"/>
    <w:next w:val="Normal"/>
    <w:semiHidden/>
    <w:locked/>
    <w:pPr>
      <w:spacing w:after="60"/>
      <w:ind w:left="720"/>
    </w:pPr>
    <w:rPr>
      <w:rFonts w:ascii="Times" w:hAnsi="Times"/>
      <w:szCs w:val="26"/>
    </w:rPr>
  </w:style>
  <w:style w:type="paragraph" w:styleId="TOC5">
    <w:name w:val="toc 5"/>
    <w:basedOn w:val="Normal"/>
    <w:next w:val="Normal"/>
    <w:semiHidden/>
    <w:locked/>
    <w:pPr>
      <w:spacing w:after="60"/>
      <w:ind w:left="958"/>
    </w:pPr>
    <w:rPr>
      <w:rFonts w:ascii="Times" w:hAnsi="Times"/>
      <w:szCs w:val="26"/>
    </w:rPr>
  </w:style>
  <w:style w:type="paragraph" w:styleId="TOC6">
    <w:name w:val="toc 6"/>
    <w:basedOn w:val="Normal"/>
    <w:next w:val="Normal"/>
    <w:semiHidden/>
    <w:locked/>
    <w:pPr>
      <w:ind w:left="1200"/>
    </w:pPr>
  </w:style>
  <w:style w:type="paragraph" w:styleId="TOC7">
    <w:name w:val="toc 7"/>
    <w:basedOn w:val="Normal"/>
    <w:next w:val="Normal"/>
    <w:semiHidden/>
    <w:locked/>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pPr>
      <w:numPr>
        <w:numId w:val="1"/>
      </w:numPr>
    </w:pPr>
  </w:style>
  <w:style w:type="numbering" w:styleId="1ai">
    <w:name w:val="Outline List 1"/>
    <w:basedOn w:val="NoList"/>
    <w:semiHidden/>
    <w:locked/>
    <w:pPr>
      <w:numPr>
        <w:numId w:val="2"/>
      </w:numPr>
    </w:pPr>
  </w:style>
  <w:style w:type="numbering" w:styleId="ArticleSection">
    <w:name w:val="Outline List 3"/>
    <w:basedOn w:val="NoList"/>
    <w:semiHidden/>
    <w:locked/>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locked/>
    <w:pPr>
      <w:spacing w:after="120"/>
      <w:ind w:left="1440" w:right="1440"/>
    </w:pPr>
  </w:style>
  <w:style w:type="paragraph" w:styleId="BodyText">
    <w:name w:val="Body Text"/>
    <w:basedOn w:val="Normal"/>
    <w:semiHidden/>
    <w:locked/>
    <w:pPr>
      <w:spacing w:after="120"/>
    </w:pPr>
  </w:style>
  <w:style w:type="paragraph" w:styleId="BodyText2">
    <w:name w:val="Body Text 2"/>
    <w:basedOn w:val="Normal"/>
    <w:semiHidden/>
    <w:locked/>
    <w:pPr>
      <w:spacing w:after="120" w:line="480" w:lineRule="auto"/>
    </w:pPr>
  </w:style>
  <w:style w:type="paragraph" w:styleId="BodyText3">
    <w:name w:val="Body Text 3"/>
    <w:basedOn w:val="Normal"/>
    <w:semiHidden/>
    <w:locked/>
    <w:pPr>
      <w:spacing w:after="120"/>
    </w:pPr>
    <w:rPr>
      <w:sz w:val="16"/>
      <w:szCs w:val="16"/>
    </w:rPr>
  </w:style>
  <w:style w:type="paragraph" w:styleId="BodyTextFirstIndent">
    <w:name w:val="Body Text First Indent"/>
    <w:basedOn w:val="BodyText"/>
    <w:semiHidden/>
    <w:locked/>
    <w:pPr>
      <w:ind w:firstLine="210"/>
    </w:pPr>
  </w:style>
  <w:style w:type="paragraph" w:styleId="BodyTextIndent">
    <w:name w:val="Body Text Indent"/>
    <w:basedOn w:val="Normal"/>
    <w:semiHidden/>
    <w:locked/>
    <w:pPr>
      <w:spacing w:after="120"/>
      <w:ind w:left="283"/>
    </w:pPr>
  </w:style>
  <w:style w:type="paragraph" w:styleId="BodyTextFirstIndent2">
    <w:name w:val="Body Text First Indent 2"/>
    <w:basedOn w:val="BodyTextIndent"/>
    <w:semiHidden/>
    <w:locked/>
    <w:pPr>
      <w:ind w:firstLine="210"/>
    </w:pPr>
  </w:style>
  <w:style w:type="paragraph" w:styleId="BodyTextIndent2">
    <w:name w:val="Body Text Indent 2"/>
    <w:basedOn w:val="Normal"/>
    <w:semiHidden/>
    <w:locked/>
    <w:pPr>
      <w:spacing w:after="120" w:line="480" w:lineRule="auto"/>
      <w:ind w:left="283"/>
    </w:pPr>
  </w:style>
  <w:style w:type="paragraph" w:styleId="BodyTextIndent3">
    <w:name w:val="Body Text Indent 3"/>
    <w:basedOn w:val="Normal"/>
    <w:semiHidden/>
    <w:locked/>
    <w:pPr>
      <w:spacing w:after="120"/>
      <w:ind w:left="283"/>
    </w:pPr>
    <w:rPr>
      <w:sz w:val="16"/>
      <w:szCs w:val="16"/>
    </w:rPr>
  </w:style>
  <w:style w:type="paragraph" w:styleId="Closing">
    <w:name w:val="Closing"/>
    <w:basedOn w:val="Normal"/>
    <w:semiHidden/>
    <w:locked/>
    <w:pPr>
      <w:ind w:left="4252"/>
    </w:p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Date">
    <w:name w:val="Date"/>
    <w:basedOn w:val="Normal"/>
    <w:next w:val="Normal"/>
    <w:semiHidden/>
    <w:locked/>
  </w:style>
  <w:style w:type="paragraph" w:styleId="DocumentMap">
    <w:name w:val="Document Map"/>
    <w:basedOn w:val="Normal"/>
    <w:semiHidden/>
    <w:locked/>
    <w:pPr>
      <w:shd w:val="clear" w:color="auto" w:fill="000080"/>
    </w:pPr>
    <w:rPr>
      <w:rFonts w:ascii="Tahoma" w:hAnsi="Tahoma" w:cs="Tahoma"/>
      <w:sz w:val="20"/>
    </w:rPr>
  </w:style>
  <w:style w:type="paragraph" w:styleId="E-mailSignature">
    <w:name w:val="E-mail Signature"/>
    <w:basedOn w:val="Normal"/>
    <w:semiHidden/>
    <w:locked/>
  </w:style>
  <w:style w:type="character" w:styleId="Emphasis">
    <w:name w:val="Emphasis"/>
    <w:qFormat/>
    <w:locked/>
    <w:rPr>
      <w:i/>
      <w:iCs/>
    </w:rPr>
  </w:style>
  <w:style w:type="paragraph" w:styleId="EnvelopeAddress">
    <w:name w:val="envelope address"/>
    <w:basedOn w:val="Normal"/>
    <w:semiHidden/>
    <w:lock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Pr>
      <w:rFonts w:ascii="Arial" w:hAnsi="Arial" w:cs="Arial"/>
      <w:sz w:val="20"/>
    </w:rPr>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rPr>
      <w:i/>
      <w:iCs/>
    </w:rPr>
  </w:style>
  <w:style w:type="character" w:styleId="HTMLCite">
    <w:name w:val="HTML Cite"/>
    <w:semiHidden/>
    <w:locked/>
    <w:rPr>
      <w:i/>
      <w:iCs/>
    </w:rPr>
  </w:style>
  <w:style w:type="character" w:styleId="HTMLCode">
    <w:name w:val="HTML Code"/>
    <w:semiHidden/>
    <w:locked/>
    <w:rPr>
      <w:rFonts w:ascii="Courier New" w:hAnsi="Courier New" w:cs="Courier New"/>
      <w:sz w:val="20"/>
      <w:szCs w:val="20"/>
    </w:rPr>
  </w:style>
  <w:style w:type="character" w:styleId="HTMLDefinition">
    <w:name w:val="HTML Definition"/>
    <w:semiHidden/>
    <w:locked/>
    <w:rPr>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locked/>
    <w:rPr>
      <w:rFonts w:ascii="Courier New" w:hAnsi="Courier New" w:cs="Courier New"/>
      <w:sz w:val="20"/>
    </w:rPr>
  </w:style>
  <w:style w:type="character" w:styleId="HTMLSample">
    <w:name w:val="HTML Sample"/>
    <w:semiHidden/>
    <w:locked/>
    <w:rPr>
      <w:rFonts w:ascii="Courier New" w:hAnsi="Courier New" w:cs="Courier New"/>
    </w:rPr>
  </w:style>
  <w:style w:type="character" w:styleId="HTMLTypewriter">
    <w:name w:val="HTML Typewriter"/>
    <w:semiHidden/>
    <w:locked/>
    <w:rPr>
      <w:rFonts w:ascii="Courier New" w:hAnsi="Courier New" w:cs="Courier New"/>
      <w:sz w:val="20"/>
      <w:szCs w:val="20"/>
    </w:rPr>
  </w:style>
  <w:style w:type="character" w:styleId="HTMLVariable">
    <w:name w:val="HTML Variable"/>
    <w:semiHidden/>
    <w:locked/>
    <w:rPr>
      <w:i/>
      <w:iCs/>
    </w:rPr>
  </w:style>
  <w:style w:type="character" w:styleId="Hyperlink">
    <w:name w:val="Hyperlink"/>
    <w:rPr>
      <w:color w:val="0000FF"/>
      <w:u w:val="single"/>
    </w:rPr>
  </w:style>
  <w:style w:type="paragraph" w:styleId="Index1">
    <w:name w:val="index 1"/>
    <w:basedOn w:val="Normal"/>
    <w:next w:val="Normal"/>
    <w:semiHidden/>
    <w:locked/>
    <w:pPr>
      <w:ind w:left="260" w:hanging="260"/>
    </w:pPr>
  </w:style>
  <w:style w:type="paragraph" w:styleId="Index2">
    <w:name w:val="index 2"/>
    <w:basedOn w:val="Normal"/>
    <w:next w:val="Normal"/>
    <w:semiHidden/>
    <w:locked/>
    <w:pPr>
      <w:ind w:left="520" w:hanging="260"/>
    </w:pPr>
  </w:style>
  <w:style w:type="paragraph" w:styleId="Index3">
    <w:name w:val="index 3"/>
    <w:basedOn w:val="Normal"/>
    <w:next w:val="Normal"/>
    <w:semiHidden/>
    <w:locked/>
    <w:pPr>
      <w:ind w:left="780" w:hanging="260"/>
    </w:pPr>
  </w:style>
  <w:style w:type="paragraph" w:styleId="Index4">
    <w:name w:val="index 4"/>
    <w:basedOn w:val="Normal"/>
    <w:next w:val="Normal"/>
    <w:semiHidden/>
    <w:locked/>
    <w:pPr>
      <w:ind w:left="1040" w:hanging="260"/>
    </w:pPr>
  </w:style>
  <w:style w:type="paragraph" w:styleId="Index5">
    <w:name w:val="index 5"/>
    <w:basedOn w:val="Normal"/>
    <w:next w:val="Normal"/>
    <w:semiHidden/>
    <w:locked/>
    <w:pPr>
      <w:ind w:left="1300" w:hanging="260"/>
    </w:pPr>
  </w:style>
  <w:style w:type="paragraph" w:styleId="Index6">
    <w:name w:val="index 6"/>
    <w:basedOn w:val="Normal"/>
    <w:next w:val="Normal"/>
    <w:semiHidden/>
    <w:locked/>
    <w:pPr>
      <w:ind w:left="1560" w:hanging="260"/>
    </w:pPr>
  </w:style>
  <w:style w:type="paragraph" w:styleId="Index7">
    <w:name w:val="index 7"/>
    <w:basedOn w:val="Normal"/>
    <w:next w:val="Normal"/>
    <w:semiHidden/>
    <w:locked/>
    <w:pPr>
      <w:ind w:left="1820" w:hanging="260"/>
    </w:pPr>
  </w:style>
  <w:style w:type="paragraph" w:styleId="Index8">
    <w:name w:val="index 8"/>
    <w:basedOn w:val="Normal"/>
    <w:next w:val="Normal"/>
    <w:semiHidden/>
    <w:locked/>
    <w:pPr>
      <w:ind w:left="2080" w:hanging="260"/>
    </w:pPr>
  </w:style>
  <w:style w:type="paragraph" w:styleId="Index9">
    <w:name w:val="index 9"/>
    <w:basedOn w:val="Normal"/>
    <w:next w:val="Normal"/>
    <w:semiHidden/>
    <w:locked/>
    <w:pPr>
      <w:ind w:left="2340" w:hanging="260"/>
    </w:pPr>
  </w:style>
  <w:style w:type="paragraph" w:styleId="IndexHeading">
    <w:name w:val="index heading"/>
    <w:basedOn w:val="Normal"/>
    <w:next w:val="Index1"/>
    <w:semiHidden/>
    <w:locked/>
    <w:rPr>
      <w:rFonts w:ascii="Arial" w:hAnsi="Arial" w:cs="Arial"/>
      <w:b/>
      <w:bCs/>
    </w:rPr>
  </w:style>
  <w:style w:type="character" w:styleId="LineNumber">
    <w:name w:val="line number"/>
    <w:basedOn w:val="DefaultParagraphFont"/>
    <w:semiHidden/>
    <w:locked/>
  </w:style>
  <w:style w:type="paragraph" w:styleId="List">
    <w:name w:val="List"/>
    <w:basedOn w:val="Normal"/>
    <w:semiHidden/>
    <w:locked/>
    <w:pPr>
      <w:ind w:left="283" w:hanging="283"/>
    </w:pPr>
  </w:style>
  <w:style w:type="paragraph" w:styleId="List2">
    <w:name w:val="List 2"/>
    <w:basedOn w:val="Normal"/>
    <w:semiHidden/>
    <w:locked/>
    <w:pPr>
      <w:ind w:left="566" w:hanging="283"/>
    </w:pPr>
  </w:style>
  <w:style w:type="paragraph" w:styleId="List3">
    <w:name w:val="List 3"/>
    <w:basedOn w:val="Normal"/>
    <w:semiHidden/>
    <w:locked/>
    <w:pPr>
      <w:ind w:left="849" w:hanging="283"/>
    </w:pPr>
  </w:style>
  <w:style w:type="paragraph" w:styleId="List4">
    <w:name w:val="List 4"/>
    <w:basedOn w:val="Normal"/>
    <w:semiHidden/>
    <w:locked/>
    <w:pPr>
      <w:ind w:left="1132" w:hanging="283"/>
    </w:pPr>
  </w:style>
  <w:style w:type="paragraph" w:styleId="List5">
    <w:name w:val="List 5"/>
    <w:basedOn w:val="Normal"/>
    <w:semiHidden/>
    <w:locked/>
    <w:pPr>
      <w:ind w:left="1415" w:hanging="283"/>
    </w:pPr>
  </w:style>
  <w:style w:type="paragraph" w:styleId="ListBullet">
    <w:name w:val="List Bullet"/>
    <w:basedOn w:val="Normal"/>
    <w:semiHidden/>
    <w:locked/>
    <w:pPr>
      <w:numPr>
        <w:numId w:val="7"/>
      </w:numPr>
    </w:pPr>
  </w:style>
  <w:style w:type="paragraph" w:styleId="ListBullet2">
    <w:name w:val="List Bullet 2"/>
    <w:basedOn w:val="Normal"/>
    <w:semiHidden/>
    <w:locked/>
    <w:pPr>
      <w:numPr>
        <w:numId w:val="8"/>
      </w:numPr>
    </w:pPr>
  </w:style>
  <w:style w:type="paragraph" w:styleId="ListBullet3">
    <w:name w:val="List Bullet 3"/>
    <w:basedOn w:val="Normal"/>
    <w:semiHidden/>
    <w:locked/>
    <w:pPr>
      <w:numPr>
        <w:numId w:val="9"/>
      </w:numPr>
    </w:pPr>
  </w:style>
  <w:style w:type="paragraph" w:styleId="ListBullet4">
    <w:name w:val="List Bullet 4"/>
    <w:basedOn w:val="Normal"/>
    <w:semiHidden/>
    <w:locked/>
    <w:pPr>
      <w:numPr>
        <w:numId w:val="10"/>
      </w:numPr>
    </w:pPr>
  </w:style>
  <w:style w:type="paragraph" w:styleId="ListBullet5">
    <w:name w:val="List Bullet 5"/>
    <w:basedOn w:val="Normal"/>
    <w:semiHidden/>
    <w:locked/>
    <w:pPr>
      <w:numPr>
        <w:numId w:val="11"/>
      </w:numPr>
    </w:pPr>
  </w:style>
  <w:style w:type="paragraph" w:styleId="ListContinue">
    <w:name w:val="List Continue"/>
    <w:basedOn w:val="Normal"/>
    <w:semiHidden/>
    <w:locked/>
    <w:pPr>
      <w:spacing w:after="120"/>
      <w:ind w:left="283"/>
    </w:pPr>
  </w:style>
  <w:style w:type="paragraph" w:styleId="ListContinue2">
    <w:name w:val="List Continue 2"/>
    <w:basedOn w:val="Normal"/>
    <w:semiHidden/>
    <w:locked/>
    <w:pPr>
      <w:spacing w:after="120"/>
      <w:ind w:left="566"/>
    </w:pPr>
  </w:style>
  <w:style w:type="paragraph" w:styleId="ListContinue3">
    <w:name w:val="List Continue 3"/>
    <w:basedOn w:val="Normal"/>
    <w:semiHidden/>
    <w:locked/>
    <w:pPr>
      <w:spacing w:after="120"/>
      <w:ind w:left="849"/>
    </w:pPr>
  </w:style>
  <w:style w:type="paragraph" w:styleId="ListContinue4">
    <w:name w:val="List Continue 4"/>
    <w:basedOn w:val="Normal"/>
    <w:semiHidden/>
    <w:locked/>
    <w:pPr>
      <w:spacing w:after="120"/>
      <w:ind w:left="1132"/>
    </w:pPr>
  </w:style>
  <w:style w:type="paragraph" w:styleId="ListContinue5">
    <w:name w:val="List Continue 5"/>
    <w:basedOn w:val="Normal"/>
    <w:semiHidden/>
    <w:locked/>
    <w:pPr>
      <w:spacing w:after="120"/>
      <w:ind w:left="1415"/>
    </w:pPr>
  </w:style>
  <w:style w:type="paragraph" w:styleId="ListNumber">
    <w:name w:val="List Number"/>
    <w:basedOn w:val="Normal"/>
    <w:semiHidden/>
    <w:locked/>
    <w:pPr>
      <w:numPr>
        <w:numId w:val="12"/>
      </w:numPr>
    </w:pPr>
  </w:style>
  <w:style w:type="paragraph" w:styleId="ListNumber2">
    <w:name w:val="List Number 2"/>
    <w:basedOn w:val="Normal"/>
    <w:semiHidden/>
    <w:locked/>
    <w:pPr>
      <w:numPr>
        <w:numId w:val="13"/>
      </w:numPr>
    </w:pPr>
  </w:style>
  <w:style w:type="paragraph" w:styleId="ListNumber3">
    <w:name w:val="List Number 3"/>
    <w:basedOn w:val="Normal"/>
    <w:semiHidden/>
    <w:locked/>
    <w:pPr>
      <w:numPr>
        <w:numId w:val="14"/>
      </w:numPr>
    </w:pPr>
  </w:style>
  <w:style w:type="paragraph" w:styleId="ListNumber4">
    <w:name w:val="List Number 4"/>
    <w:basedOn w:val="Normal"/>
    <w:semiHidden/>
    <w:locked/>
    <w:pPr>
      <w:numPr>
        <w:numId w:val="15"/>
      </w:numPr>
    </w:pPr>
  </w:style>
  <w:style w:type="paragraph" w:styleId="ListNumber5">
    <w:name w:val="List Number 5"/>
    <w:basedOn w:val="Normal"/>
    <w:semiHidden/>
    <w:locked/>
    <w:pPr>
      <w:numPr>
        <w:numId w:val="16"/>
      </w:numPr>
    </w:p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Pr>
      <w:sz w:val="24"/>
      <w:szCs w:val="24"/>
    </w:rPr>
  </w:style>
  <w:style w:type="paragraph" w:styleId="NormalIndent">
    <w:name w:val="Normal Indent"/>
    <w:basedOn w:val="Normal"/>
    <w:semiHidden/>
    <w:locked/>
    <w:pPr>
      <w:ind w:left="720"/>
    </w:pPr>
  </w:style>
  <w:style w:type="paragraph" w:styleId="NoteHeading">
    <w:name w:val="Note Heading"/>
    <w:basedOn w:val="Normal"/>
    <w:next w:val="Normal"/>
    <w:semiHidden/>
    <w:locked/>
  </w:style>
  <w:style w:type="paragraph" w:styleId="PlainText">
    <w:name w:val="Plain Text"/>
    <w:basedOn w:val="Normal"/>
    <w:semiHidden/>
    <w:locked/>
    <w:rPr>
      <w:rFonts w:ascii="Courier New" w:hAnsi="Courier New" w:cs="Courier New"/>
      <w:sz w:val="20"/>
    </w:rPr>
  </w:style>
  <w:style w:type="paragraph" w:styleId="Salutation">
    <w:name w:val="Salutation"/>
    <w:basedOn w:val="Normal"/>
    <w:next w:val="Normal"/>
    <w:semiHidden/>
    <w:locked/>
  </w:style>
  <w:style w:type="paragraph" w:styleId="Signature">
    <w:name w:val="Signature"/>
    <w:basedOn w:val="Normal"/>
    <w:semiHidden/>
    <w:locked/>
    <w:pPr>
      <w:ind w:left="4252"/>
    </w:pPr>
  </w:style>
  <w:style w:type="character" w:styleId="Strong">
    <w:name w:val="Strong"/>
    <w:qFormat/>
    <w:locked/>
    <w:rPr>
      <w:b/>
      <w:bCs/>
    </w:rPr>
  </w:style>
  <w:style w:type="paragraph" w:styleId="Subtitle">
    <w:name w:val="Subtitle"/>
    <w:basedOn w:val="Normal"/>
    <w:qFormat/>
    <w:locked/>
    <w:rsid w:val="00A6738A"/>
    <w:pPr>
      <w:spacing w:after="60"/>
      <w:jc w:val="center"/>
    </w:pPr>
    <w:rPr>
      <w:rFonts w:ascii="Arial" w:hAnsi="Arial" w:cs="Arial"/>
      <w:sz w:val="24"/>
      <w:szCs w:val="24"/>
    </w:rPr>
  </w:style>
  <w:style w:type="table" w:styleId="Table3Deffects1">
    <w:name w:val="Table 3D effects 1"/>
    <w:basedOn w:val="TableNormal"/>
    <w:semiHidden/>
    <w:lock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pPr>
      <w:ind w:left="260" w:hanging="260"/>
    </w:pPr>
  </w:style>
  <w:style w:type="paragraph" w:styleId="TableofFigures">
    <w:name w:val="table of figures"/>
    <w:basedOn w:val="Normal"/>
    <w:next w:val="Normal"/>
    <w:semiHidden/>
    <w:locked/>
  </w:style>
  <w:style w:type="table" w:styleId="TableProfessional">
    <w:name w:val="Table Professional"/>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pPr>
      <w:spacing w:before="120"/>
    </w:pPr>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link w:val="Level3"/>
    <w:rsid w:val="00C41D15"/>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customStyle="1" w:styleId="JNP2">
    <w:name w:val="JNP2"/>
    <w:basedOn w:val="Normal"/>
    <w:rsid w:val="00C1050D"/>
    <w:pPr>
      <w:spacing w:after="0"/>
      <w:ind w:left="2268"/>
    </w:pPr>
    <w:rPr>
      <w:lang w:val="en-US"/>
    </w:rPr>
  </w:style>
  <w:style w:type="paragraph" w:customStyle="1" w:styleId="JNP3">
    <w:name w:val="JNP3"/>
    <w:basedOn w:val="JNP2"/>
    <w:rsid w:val="008659EF"/>
    <w:pPr>
      <w:tabs>
        <w:tab w:val="left" w:pos="3969"/>
      </w:tabs>
      <w:ind w:left="2552"/>
    </w:pPr>
    <w:rPr>
      <w:sz w:val="24"/>
      <w:lang w:eastAsia="en-AU"/>
    </w:rPr>
  </w:style>
  <w:style w:type="paragraph" w:styleId="ListParagraph">
    <w:name w:val="List Paragraph"/>
    <w:basedOn w:val="Normal"/>
    <w:uiPriority w:val="34"/>
    <w:qFormat/>
    <w:rsid w:val="00BE244B"/>
    <w:pPr>
      <w:spacing w:after="0"/>
      <w:ind w:left="720"/>
      <w:jc w:val="left"/>
    </w:pPr>
    <w:rPr>
      <w:rFonts w:ascii="Calibri" w:hAnsi="Calibri"/>
      <w:sz w:val="22"/>
      <w:szCs w:val="22"/>
    </w:rPr>
  </w:style>
  <w:style w:type="paragraph" w:styleId="Bibliography">
    <w:name w:val="Bibliography"/>
    <w:basedOn w:val="Normal"/>
    <w:next w:val="Normal"/>
    <w:uiPriority w:val="37"/>
    <w:semiHidden/>
    <w:unhideWhenUsed/>
    <w:rsid w:val="00D05709"/>
    <w:rPr>
      <w:lang w:eastAsia="en-AU"/>
    </w:rPr>
  </w:style>
  <w:style w:type="character" w:styleId="BookTitle">
    <w:name w:val="Book Title"/>
    <w:basedOn w:val="DefaultParagraphFont"/>
    <w:uiPriority w:val="33"/>
    <w:rsid w:val="00D05709"/>
    <w:rPr>
      <w:b/>
      <w:bCs/>
      <w:smallCaps/>
      <w:spacing w:val="5"/>
    </w:rPr>
  </w:style>
  <w:style w:type="table" w:styleId="ColorfulGrid">
    <w:name w:val="Colorful Grid"/>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5709"/>
    <w:rPr>
      <w:rFonts w:ascii="Times New (W1)" w:hAnsi="Times New (W1)"/>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5709"/>
    <w:rPr>
      <w:rFonts w:ascii="Times New (W1)" w:hAnsi="Times New (W1)"/>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5709"/>
    <w:rPr>
      <w:rFonts w:ascii="Times New (W1)" w:hAnsi="Times New (W1)"/>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5709"/>
    <w:rPr>
      <w:rFonts w:ascii="Times New (W1)" w:hAnsi="Times New (W1)"/>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D05709"/>
    <w:rPr>
      <w:b/>
      <w:bCs/>
      <w:i/>
      <w:iCs/>
      <w:color w:val="4F81BD" w:themeColor="accent1"/>
    </w:rPr>
  </w:style>
  <w:style w:type="paragraph" w:styleId="IntenseQuote">
    <w:name w:val="Intense Quote"/>
    <w:basedOn w:val="Normal"/>
    <w:next w:val="Normal"/>
    <w:link w:val="IntenseQuoteChar"/>
    <w:uiPriority w:val="30"/>
    <w:rsid w:val="00D05709"/>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D05709"/>
    <w:rPr>
      <w:b/>
      <w:bCs/>
      <w:i/>
      <w:iCs/>
      <w:color w:val="4F81BD" w:themeColor="accent1"/>
      <w:sz w:val="26"/>
    </w:rPr>
  </w:style>
  <w:style w:type="character" w:styleId="IntenseReference">
    <w:name w:val="Intense Reference"/>
    <w:basedOn w:val="DefaultParagraphFont"/>
    <w:uiPriority w:val="32"/>
    <w:rsid w:val="00D05709"/>
    <w:rPr>
      <w:b/>
      <w:bCs/>
      <w:smallCaps/>
      <w:color w:val="C0504D" w:themeColor="accent2"/>
      <w:spacing w:val="5"/>
      <w:u w:val="single"/>
    </w:rPr>
  </w:style>
  <w:style w:type="table" w:styleId="LightGrid">
    <w:name w:val="Light Grid"/>
    <w:basedOn w:val="TableNormal"/>
    <w:uiPriority w:val="62"/>
    <w:rsid w:val="00D05709"/>
    <w:rPr>
      <w:rFonts w:ascii="Times New (W1)" w:hAnsi="Times New (W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5709"/>
    <w:rPr>
      <w:rFonts w:ascii="Times New (W1)" w:hAnsi="Times New (W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5709"/>
    <w:rPr>
      <w:rFonts w:ascii="Times New (W1)" w:hAnsi="Times New (W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5709"/>
    <w:rPr>
      <w:rFonts w:ascii="Times New (W1)" w:hAnsi="Times New (W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5709"/>
    <w:rPr>
      <w:rFonts w:ascii="Times New (W1)" w:hAnsi="Times New (W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5709"/>
    <w:rPr>
      <w:rFonts w:ascii="Times New (W1)" w:hAnsi="Times New (W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5709"/>
    <w:rPr>
      <w:rFonts w:ascii="Times New (W1)" w:hAnsi="Times New (W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05709"/>
    <w:rPr>
      <w:rFonts w:ascii="Times New (W1)" w:hAnsi="Times New (W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5709"/>
    <w:rPr>
      <w:rFonts w:ascii="Times New (W1)" w:hAnsi="Times New (W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5709"/>
    <w:rPr>
      <w:rFonts w:ascii="Times New (W1)" w:hAnsi="Times New (W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5709"/>
    <w:rPr>
      <w:rFonts w:ascii="Times New (W1)" w:hAnsi="Times New (W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5709"/>
    <w:rPr>
      <w:rFonts w:ascii="Times New (W1)" w:hAnsi="Times New (W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5709"/>
    <w:rPr>
      <w:rFonts w:ascii="Times New (W1)" w:hAnsi="Times New (W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5709"/>
    <w:rPr>
      <w:rFonts w:ascii="Times New (W1)" w:hAnsi="Times New (W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5709"/>
    <w:rPr>
      <w:rFonts w:ascii="Times New (W1)" w:hAnsi="Times New (W1)"/>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5709"/>
    <w:rPr>
      <w:rFonts w:ascii="Times New (W1)" w:hAnsi="Times New (W1)"/>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5709"/>
    <w:rPr>
      <w:rFonts w:ascii="Times New (W1)" w:hAnsi="Times New (W1)"/>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5709"/>
    <w:rPr>
      <w:rFonts w:ascii="Times New (W1)" w:hAnsi="Times New (W1)"/>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5709"/>
    <w:rPr>
      <w:rFonts w:ascii="Times New (W1)" w:hAnsi="Times New (W1)"/>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5709"/>
    <w:rPr>
      <w:rFonts w:ascii="Times New (W1)" w:hAnsi="Times New (W1)"/>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5709"/>
    <w:rPr>
      <w:rFonts w:ascii="Times New (W1)" w:hAnsi="Times New (W1)"/>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D05709"/>
    <w:rPr>
      <w:rFonts w:ascii="Times New (W1)" w:hAnsi="Times New (W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5709"/>
    <w:rPr>
      <w:rFonts w:ascii="Times New (W1)" w:hAnsi="Times New (W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5709"/>
    <w:rPr>
      <w:rFonts w:ascii="Times New (W1)" w:hAnsi="Times New (W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5709"/>
    <w:rPr>
      <w:rFonts w:ascii="Times New (W1)" w:hAnsi="Times New (W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5709"/>
    <w:rPr>
      <w:rFonts w:ascii="Times New (W1)" w:hAnsi="Times New (W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5709"/>
    <w:rPr>
      <w:rFonts w:ascii="Times New (W1)" w:hAnsi="Times New (W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5709"/>
    <w:rPr>
      <w:rFonts w:ascii="Times New (W1)" w:hAnsi="Times New (W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5709"/>
    <w:rPr>
      <w:rFonts w:ascii="Times New (W1)" w:hAnsi="Times New (W1)"/>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5709"/>
    <w:rPr>
      <w:rFonts w:ascii="Times New (W1)" w:hAnsi="Times New (W1)"/>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570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5709"/>
    <w:rPr>
      <w:rFonts w:ascii="Times New (W1)" w:hAnsi="Times New (W1)"/>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5709"/>
    <w:rPr>
      <w:rFonts w:ascii="Times New (W1)" w:hAnsi="Times New (W1)"/>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5709"/>
    <w:rPr>
      <w:rFonts w:ascii="Times New (W1)" w:hAnsi="Times New (W1)"/>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5709"/>
    <w:rPr>
      <w:rFonts w:ascii="Times New (W1)" w:hAnsi="Times New (W1)"/>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5709"/>
    <w:rPr>
      <w:rFonts w:ascii="Times New (W1)" w:hAnsi="Times New (W1)"/>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5709"/>
    <w:rPr>
      <w:rFonts w:ascii="Times New (W1)" w:hAnsi="Times New (W1)"/>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5709"/>
    <w:rPr>
      <w:rFonts w:ascii="Times New (W1)" w:hAnsi="Times New (W1)"/>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5709"/>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D05709"/>
    <w:pPr>
      <w:jc w:val="both"/>
    </w:pPr>
    <w:rPr>
      <w:rFonts w:ascii="Times New (W1)" w:hAnsi="Times New (W1)"/>
      <w:sz w:val="26"/>
      <w:lang w:eastAsia="en-US"/>
    </w:rPr>
  </w:style>
  <w:style w:type="character" w:styleId="PlaceholderText">
    <w:name w:val="Placeholder Text"/>
    <w:basedOn w:val="DefaultParagraphFont"/>
    <w:uiPriority w:val="99"/>
    <w:semiHidden/>
    <w:rsid w:val="00D05709"/>
    <w:rPr>
      <w:color w:val="808080"/>
    </w:rPr>
  </w:style>
  <w:style w:type="character" w:styleId="SubtleEmphasis">
    <w:name w:val="Subtle Emphasis"/>
    <w:basedOn w:val="DefaultParagraphFont"/>
    <w:uiPriority w:val="19"/>
    <w:rsid w:val="00D05709"/>
    <w:rPr>
      <w:i/>
      <w:iCs/>
      <w:color w:val="808080" w:themeColor="text1" w:themeTint="7F"/>
    </w:rPr>
  </w:style>
  <w:style w:type="character" w:styleId="SubtleReference">
    <w:name w:val="Subtle Reference"/>
    <w:basedOn w:val="DefaultParagraphFont"/>
    <w:uiPriority w:val="31"/>
    <w:rsid w:val="00D05709"/>
    <w:rPr>
      <w:smallCaps/>
      <w:color w:val="C0504D" w:themeColor="accent2"/>
      <w:u w:val="single"/>
    </w:rPr>
  </w:style>
  <w:style w:type="paragraph" w:styleId="TOCHeading">
    <w:name w:val="TOC Heading"/>
    <w:basedOn w:val="Heading1"/>
    <w:next w:val="Normal"/>
    <w:uiPriority w:val="39"/>
    <w:semiHidden/>
    <w:unhideWhenUsed/>
    <w:qFormat/>
    <w:rsid w:val="00D05709"/>
    <w:pPr>
      <w:spacing w:after="60"/>
      <w:jc w:val="both"/>
      <w:outlineLvl w:val="9"/>
    </w:pPr>
    <w:rPr>
      <w:rFonts w:asciiTheme="majorHAnsi" w:eastAsiaTheme="majorEastAsia" w:hAnsiTheme="majorHAnsi" w:cstheme="majorBidi"/>
      <w:bCs/>
      <w:kern w:val="32"/>
      <w:sz w:val="32"/>
      <w:szCs w:val="32"/>
      <w:lang w:eastAsia="en-AU"/>
    </w:rPr>
  </w:style>
  <w:style w:type="paragraph" w:customStyle="1" w:styleId="letterheadbody">
    <w:name w:val="letterhead body"/>
    <w:basedOn w:val="Normal"/>
    <w:rsid w:val="00D05709"/>
    <w:pPr>
      <w:tabs>
        <w:tab w:val="left" w:pos="851"/>
      </w:tabs>
      <w:spacing w:after="0"/>
      <w:ind w:left="284"/>
      <w:jc w:val="left"/>
    </w:pPr>
    <w:rPr>
      <w:rFonts w:ascii="Palatino" w:hAnsi="Palatino"/>
      <w:sz w:val="20"/>
      <w:lang w:eastAsia="ja-JP"/>
    </w:rPr>
  </w:style>
  <w:style w:type="character" w:customStyle="1" w:styleId="Heading1Char">
    <w:name w:val="Heading 1 Char"/>
    <w:basedOn w:val="DefaultParagraphFont"/>
    <w:link w:val="Heading1"/>
    <w:rsid w:val="00D05709"/>
    <w:rPr>
      <w:b/>
      <w:kern w:val="28"/>
      <w:sz w:val="40"/>
      <w:lang w:eastAsia="en-US"/>
    </w:rPr>
  </w:style>
  <w:style w:type="character" w:customStyle="1" w:styleId="Heading2Char">
    <w:name w:val="Heading 2 Char"/>
    <w:basedOn w:val="DefaultParagraphFont"/>
    <w:link w:val="Heading2"/>
    <w:rsid w:val="00D05709"/>
    <w:rPr>
      <w:b/>
      <w:sz w:val="36"/>
      <w:lang w:eastAsia="en-US"/>
    </w:rPr>
  </w:style>
  <w:style w:type="character" w:customStyle="1" w:styleId="FootnoteTextChar">
    <w:name w:val="Footnote Text Char"/>
    <w:basedOn w:val="DefaultParagraphFont"/>
    <w:link w:val="FootnoteText"/>
    <w:rsid w:val="00D0570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708">
      <w:bodyDiv w:val="1"/>
      <w:marLeft w:val="0"/>
      <w:marRight w:val="0"/>
      <w:marTop w:val="0"/>
      <w:marBottom w:val="0"/>
      <w:divBdr>
        <w:top w:val="none" w:sz="0" w:space="0" w:color="auto"/>
        <w:left w:val="none" w:sz="0" w:space="0" w:color="auto"/>
        <w:bottom w:val="none" w:sz="0" w:space="0" w:color="auto"/>
        <w:right w:val="none" w:sz="0" w:space="0" w:color="auto"/>
      </w:divBdr>
    </w:div>
    <w:div w:id="733086865">
      <w:bodyDiv w:val="1"/>
      <w:marLeft w:val="0"/>
      <w:marRight w:val="0"/>
      <w:marTop w:val="0"/>
      <w:marBottom w:val="0"/>
      <w:divBdr>
        <w:top w:val="none" w:sz="0" w:space="0" w:color="auto"/>
        <w:left w:val="none" w:sz="0" w:space="0" w:color="auto"/>
        <w:bottom w:val="none" w:sz="0" w:space="0" w:color="auto"/>
        <w:right w:val="none" w:sz="0" w:space="0" w:color="auto"/>
      </w:divBdr>
    </w:div>
    <w:div w:id="1301688621">
      <w:bodyDiv w:val="1"/>
      <w:marLeft w:val="0"/>
      <w:marRight w:val="0"/>
      <w:marTop w:val="0"/>
      <w:marBottom w:val="0"/>
      <w:divBdr>
        <w:top w:val="none" w:sz="0" w:space="0" w:color="auto"/>
        <w:left w:val="none" w:sz="0" w:space="0" w:color="auto"/>
        <w:bottom w:val="none" w:sz="0" w:space="0" w:color="auto"/>
        <w:right w:val="none" w:sz="0" w:space="0" w:color="auto"/>
      </w:divBdr>
    </w:div>
    <w:div w:id="1876038111">
      <w:bodyDiv w:val="1"/>
      <w:marLeft w:val="0"/>
      <w:marRight w:val="0"/>
      <w:marTop w:val="0"/>
      <w:marBottom w:val="0"/>
      <w:divBdr>
        <w:top w:val="none" w:sz="0" w:space="0" w:color="auto"/>
        <w:left w:val="none" w:sz="0" w:space="0" w:color="auto"/>
        <w:bottom w:val="none" w:sz="0" w:space="0" w:color="auto"/>
        <w:right w:val="none" w:sz="0" w:space="0" w:color="auto"/>
      </w:divBdr>
    </w:div>
    <w:div w:id="21229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yperlink" Target="mailto:RegOrds.Sen@aph.gov.au" TargetMode="Externa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yperlink" Target="http://www.aph.gov.au/Parliamentary_Business/Committees/Senate_Committees?url=regord_ctte/index.ht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aph.gov.au/Parliamentary_Business/Committees/Senate_Committees?url=regord_ctte/alert2012.htm"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yperlink" Target="http://www.comlaw.gov.au/Details/C2012C00041"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aph.gov.au/Parliamentary_Business/Committees/Senate_Committees?url=regord_ctte/guidelines.ht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OfficeXP\Templates\SEN\Senat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Template>
  <TotalTime>39</TotalTime>
  <Pages>70</Pages>
  <Words>18667</Words>
  <Characters>113317</Characters>
  <Application>Microsoft Office Word</Application>
  <DocSecurity>0</DocSecurity>
  <Lines>944</Lines>
  <Paragraphs>263</Paragraphs>
  <ScaleCrop>false</ScaleCrop>
  <HeadingPairs>
    <vt:vector size="2" baseType="variant">
      <vt:variant>
        <vt:lpstr>Title</vt:lpstr>
      </vt:variant>
      <vt:variant>
        <vt:i4>1</vt:i4>
      </vt:variant>
    </vt:vector>
  </HeadingPairs>
  <TitlesOfParts>
    <vt:vector size="1" baseType="lpstr">
      <vt:lpstr>© Commonwealth of Australia 2004</vt:lpstr>
    </vt:vector>
  </TitlesOfParts>
  <Company>Parliament of Australia</Company>
  <LinksUpToDate>false</LinksUpToDate>
  <CharactersWithSpaces>131721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Commonwealth of Australia 2004</dc:title>
  <dc:creator>wuestj</dc:creator>
  <cp:lastModifiedBy>Janice Paull</cp:lastModifiedBy>
  <cp:revision>7</cp:revision>
  <cp:lastPrinted>2007-08-20T07:24:00Z</cp:lastPrinted>
  <dcterms:created xsi:type="dcterms:W3CDTF">2013-05-06T04:15:00Z</dcterms:created>
  <dcterms:modified xsi:type="dcterms:W3CDTF">2013-05-06T04:58:00Z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99</vt:i4>
  </property>
</Properties>
</file>