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E4B2B" w14:textId="6D161E09" w:rsidR="00BE7EA5" w:rsidRPr="001611EF" w:rsidRDefault="00056956" w:rsidP="00805F77">
      <w:pPr>
        <w:pStyle w:val="Date-SNews"/>
        <w:rPr>
          <w:i/>
          <w:iCs/>
          <w:sz w:val="22"/>
          <w:lang w:val="en-GB"/>
        </w:rPr>
      </w:pPr>
      <w:r w:rsidRPr="009F0DF0">
        <w:rPr>
          <w:lang w:val="en-GB"/>
        </w:rPr>
        <w:t>1</w:t>
      </w:r>
      <w:r w:rsidR="00925CB5" w:rsidRPr="009F0DF0">
        <w:rPr>
          <w:lang w:val="en-GB"/>
        </w:rPr>
        <w:t>8</w:t>
      </w:r>
      <w:r w:rsidR="00BE7EA5" w:rsidRPr="009F0DF0">
        <w:rPr>
          <w:lang w:val="en-GB"/>
        </w:rPr>
        <w:t xml:space="preserve"> </w:t>
      </w:r>
      <w:r w:rsidRPr="009F0DF0">
        <w:rPr>
          <w:lang w:val="en-GB"/>
        </w:rPr>
        <w:t>May</w:t>
      </w:r>
      <w:r w:rsidR="00FD0BD6" w:rsidRPr="009F0DF0">
        <w:rPr>
          <w:lang w:val="en-GB"/>
        </w:rPr>
        <w:t xml:space="preserve"> </w:t>
      </w:r>
      <w:r w:rsidR="00DF4BB6" w:rsidRPr="009F0DF0">
        <w:rPr>
          <w:lang w:val="en-GB"/>
        </w:rPr>
        <w:t>2021</w:t>
      </w:r>
    </w:p>
    <w:p w14:paraId="4D466A6E" w14:textId="77777777" w:rsidR="00BE7EA5" w:rsidRDefault="00BE7EA5" w:rsidP="001A5694">
      <w:pPr>
        <w:pStyle w:val="Heading1"/>
        <w:numPr>
          <w:ilvl w:val="0"/>
          <w:numId w:val="0"/>
        </w:numPr>
        <w:spacing w:before="240" w:after="120"/>
        <w:rPr>
          <w:lang w:val="en-GB"/>
        </w:rPr>
      </w:pPr>
      <w:r>
        <w:rPr>
          <w:lang w:val="en-GB"/>
        </w:rPr>
        <w:t>Introduction</w:t>
      </w:r>
    </w:p>
    <w:p w14:paraId="216DC9D4"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0BE48D4E" w14:textId="4CE6C396"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38D6A72A" w14:textId="72494257" w:rsidR="00A026E0" w:rsidRDefault="00A026E0" w:rsidP="0001308C">
      <w:pPr>
        <w:pStyle w:val="Heading1"/>
        <w:numPr>
          <w:ilvl w:val="0"/>
          <w:numId w:val="0"/>
        </w:numPr>
        <w:rPr>
          <w:szCs w:val="28"/>
          <w:lang w:val="en-GB"/>
        </w:rPr>
      </w:pPr>
      <w:r>
        <w:rPr>
          <w:szCs w:val="28"/>
          <w:lang w:val="en-GB"/>
        </w:rPr>
        <w:t xml:space="preserve">Annual </w:t>
      </w:r>
      <w:r w:rsidR="00432232">
        <w:rPr>
          <w:szCs w:val="28"/>
          <w:lang w:val="en-GB"/>
        </w:rPr>
        <w:t>r</w:t>
      </w:r>
      <w:r>
        <w:rPr>
          <w:szCs w:val="28"/>
          <w:lang w:val="en-GB"/>
        </w:rPr>
        <w:t>eport</w:t>
      </w:r>
    </w:p>
    <w:p w14:paraId="43FE97BB" w14:textId="01DDC086" w:rsidR="00BB40DD" w:rsidRDefault="00DE5B63" w:rsidP="00DE5B63">
      <w:pPr>
        <w:ind w:left="6"/>
      </w:pPr>
      <w:r w:rsidRPr="00DE5B63">
        <w:t xml:space="preserve">The </w:t>
      </w:r>
      <w:r w:rsidR="001E5F26">
        <w:rPr>
          <w:lang w:val="en-GB"/>
        </w:rPr>
        <w:t xml:space="preserve">Senate Scrutiny of Bills Committee </w:t>
      </w:r>
      <w:r w:rsidRPr="00DE5B63">
        <w:t xml:space="preserve">tabled its </w:t>
      </w:r>
      <w:hyperlink r:id="rId10" w:history="1">
        <w:r w:rsidRPr="00DE5B63">
          <w:rPr>
            <w:rStyle w:val="Hyperlink"/>
          </w:rPr>
          <w:t>Annual Report</w:t>
        </w:r>
      </w:hyperlink>
      <w:r w:rsidRPr="00DE5B63">
        <w:t xml:space="preserve"> </w:t>
      </w:r>
      <w:r w:rsidR="00EB27C0">
        <w:t>on 12 May. The Annual Report</w:t>
      </w:r>
      <w:r w:rsidRPr="00DE5B63">
        <w:t xml:space="preserve"> provides an overview of the committee's work in 2020, highlighting some major themes</w:t>
      </w:r>
      <w:r w:rsidR="00BB40DD">
        <w:t>, including the committee's workflow and</w:t>
      </w:r>
      <w:r w:rsidR="00056956">
        <w:t xml:space="preserve"> </w:t>
      </w:r>
      <w:r w:rsidR="00BB40DD" w:rsidRPr="00DE5B63">
        <w:t>impact on legislative development</w:t>
      </w:r>
      <w:r w:rsidR="00BB40DD">
        <w:t>.</w:t>
      </w:r>
    </w:p>
    <w:p w14:paraId="7630AA5F" w14:textId="6F57050A" w:rsidR="00BB40DD" w:rsidRDefault="00DE5B63" w:rsidP="00DE5B63">
      <w:pPr>
        <w:ind w:left="6"/>
      </w:pPr>
      <w:r w:rsidRPr="00DE5B63">
        <w:t xml:space="preserve">The committee considered </w:t>
      </w:r>
      <w:r w:rsidR="00BB40DD">
        <w:t>210 bills in 2020, providing comments on 101 of these bills.</w:t>
      </w:r>
    </w:p>
    <w:p w14:paraId="748F8AE3" w14:textId="2968E99B" w:rsidR="0001308C" w:rsidRDefault="0001308C" w:rsidP="0001308C">
      <w:pPr>
        <w:pStyle w:val="Heading1"/>
        <w:numPr>
          <w:ilvl w:val="0"/>
          <w:numId w:val="0"/>
        </w:numPr>
        <w:rPr>
          <w:szCs w:val="28"/>
          <w:lang w:val="en-GB"/>
        </w:rPr>
      </w:pPr>
      <w:r>
        <w:rPr>
          <w:szCs w:val="28"/>
          <w:lang w:val="en-GB"/>
        </w:rPr>
        <w:t>Guidelines</w:t>
      </w:r>
    </w:p>
    <w:p w14:paraId="41D02E4F" w14:textId="6F0F512A" w:rsidR="0001308C" w:rsidRDefault="0001308C" w:rsidP="0001308C">
      <w:pPr>
        <w:rPr>
          <w:lang w:val="en-GB"/>
        </w:rPr>
      </w:pPr>
      <w:r>
        <w:rPr>
          <w:lang w:val="en-GB"/>
        </w:rPr>
        <w:t xml:space="preserve">The Senate Scrutiny of Bills Committee </w:t>
      </w:r>
      <w:r w:rsidRPr="00BC78A2">
        <w:rPr>
          <w:lang w:val="en-GB"/>
        </w:rPr>
        <w:t xml:space="preserve">is in the process of preparing </w:t>
      </w:r>
      <w:hyperlink r:id="rId11" w:history="1">
        <w:r w:rsidRPr="00BC78A2">
          <w:rPr>
            <w:rStyle w:val="Hyperlink"/>
            <w:lang w:val="en-GB"/>
          </w:rPr>
          <w:t>guidelines</w:t>
        </w:r>
      </w:hyperlink>
      <w:r w:rsidRPr="00BC78A2">
        <w:rPr>
          <w:lang w:val="en-GB"/>
        </w:rPr>
        <w:t xml:space="preserve"> setting out the committee’s expectations in relation to its technical scrutiny principles. </w:t>
      </w:r>
    </w:p>
    <w:p w14:paraId="7A63995D" w14:textId="56B4E05C" w:rsidR="0001006D" w:rsidRDefault="0001006D" w:rsidP="0001308C">
      <w:pPr>
        <w:rPr>
          <w:lang w:val="en-GB"/>
        </w:rPr>
      </w:pPr>
      <w:r>
        <w:rPr>
          <w:lang w:val="en-GB"/>
        </w:rPr>
        <w:t xml:space="preserve">The committee has now published </w:t>
      </w:r>
      <w:r w:rsidR="00F923FB">
        <w:rPr>
          <w:lang w:val="en-GB"/>
        </w:rPr>
        <w:t xml:space="preserve">a second guideline on its approach to applying scrutiny principle (v) </w:t>
      </w:r>
      <w:r w:rsidR="000F0A18">
        <w:rPr>
          <w:lang w:val="en-GB"/>
        </w:rPr>
        <w:t>–</w:t>
      </w:r>
      <w:r w:rsidR="00F923FB">
        <w:rPr>
          <w:lang w:val="en-GB"/>
        </w:rPr>
        <w:t xml:space="preserve"> </w:t>
      </w:r>
      <w:r w:rsidR="000F0A18">
        <w:rPr>
          <w:lang w:val="en-GB"/>
        </w:rPr>
        <w:t>insufficient parliamentary scrutiny.</w:t>
      </w:r>
    </w:p>
    <w:p w14:paraId="406908F9" w14:textId="594C82C4" w:rsidR="00D11C82" w:rsidRDefault="00D11C82" w:rsidP="0001308C">
      <w:pPr>
        <w:rPr>
          <w:lang w:val="en-GB"/>
        </w:rPr>
      </w:pPr>
      <w:r>
        <w:rPr>
          <w:lang w:val="en-GB"/>
        </w:rPr>
        <w:t xml:space="preserve">The committee </w:t>
      </w:r>
      <w:r w:rsidRPr="00BC78A2">
        <w:rPr>
          <w:lang w:val="en-GB"/>
        </w:rPr>
        <w:t>will progressively publish guidelines for scrutiny principles (</w:t>
      </w:r>
      <w:proofErr w:type="spellStart"/>
      <w:r w:rsidRPr="00BC78A2">
        <w:rPr>
          <w:lang w:val="en-GB"/>
        </w:rPr>
        <w:t>i</w:t>
      </w:r>
      <w:proofErr w:type="spellEnd"/>
      <w:r w:rsidRPr="00BC78A2">
        <w:rPr>
          <w:lang w:val="en-GB"/>
        </w:rPr>
        <w:t xml:space="preserve">), (ii) </w:t>
      </w:r>
      <w:r>
        <w:rPr>
          <w:lang w:val="en-GB"/>
        </w:rPr>
        <w:t xml:space="preserve">and </w:t>
      </w:r>
      <w:r w:rsidRPr="00BC78A2">
        <w:rPr>
          <w:lang w:val="en-GB"/>
        </w:rPr>
        <w:t>(iii) as they are finalised.</w:t>
      </w:r>
    </w:p>
    <w:p w14:paraId="3914E6C3" w14:textId="2C581918" w:rsidR="009A67CA" w:rsidRPr="00480E06" w:rsidRDefault="009A67CA" w:rsidP="009A67CA">
      <w:pPr>
        <w:pStyle w:val="Heading1"/>
        <w:numPr>
          <w:ilvl w:val="0"/>
          <w:numId w:val="0"/>
        </w:numPr>
        <w:rPr>
          <w:szCs w:val="28"/>
          <w:lang w:val="en-GB"/>
        </w:rPr>
      </w:pPr>
      <w:r w:rsidRPr="00480E06">
        <w:rPr>
          <w:szCs w:val="28"/>
          <w:lang w:val="en-GB"/>
        </w:rPr>
        <w:t>Key scrutiny issues</w:t>
      </w:r>
      <w:r>
        <w:rPr>
          <w:szCs w:val="28"/>
          <w:lang w:val="en-GB"/>
        </w:rPr>
        <w:t xml:space="preserve">: Biosecurity Act </w:t>
      </w:r>
      <w:r w:rsidR="005975DF">
        <w:rPr>
          <w:szCs w:val="28"/>
          <w:lang w:val="en-GB"/>
        </w:rPr>
        <w:t>r</w:t>
      </w:r>
      <w:r>
        <w:rPr>
          <w:szCs w:val="28"/>
          <w:lang w:val="en-GB"/>
        </w:rPr>
        <w:t xml:space="preserve">eview </w:t>
      </w:r>
      <w:r w:rsidRPr="00A56273">
        <w:rPr>
          <w:sz w:val="20"/>
          <w:szCs w:val="20"/>
          <w:lang w:val="en-GB"/>
        </w:rPr>
        <w:t>(</w:t>
      </w:r>
      <w:hyperlink r:id="rId12" w:history="1">
        <w:r w:rsidRPr="002B59C6">
          <w:rPr>
            <w:rStyle w:val="Hyperlink"/>
            <w:i/>
            <w:iCs/>
            <w:sz w:val="20"/>
            <w:szCs w:val="20"/>
            <w:lang w:val="en-GB"/>
          </w:rPr>
          <w:t xml:space="preserve">Scrutiny Digest </w:t>
        </w:r>
        <w:r w:rsidR="00D41C20" w:rsidRPr="002B59C6">
          <w:rPr>
            <w:rStyle w:val="Hyperlink"/>
            <w:i/>
            <w:iCs/>
            <w:sz w:val="20"/>
            <w:szCs w:val="20"/>
            <w:lang w:val="en-GB"/>
          </w:rPr>
          <w:t>7</w:t>
        </w:r>
        <w:r w:rsidRPr="002B59C6">
          <w:rPr>
            <w:rStyle w:val="Hyperlink"/>
            <w:i/>
            <w:iCs/>
            <w:sz w:val="20"/>
            <w:szCs w:val="20"/>
            <w:lang w:val="en-GB"/>
          </w:rPr>
          <w:t xml:space="preserve"> of 2021</w:t>
        </w:r>
      </w:hyperlink>
      <w:r w:rsidRPr="00A56273">
        <w:rPr>
          <w:sz w:val="20"/>
          <w:szCs w:val="20"/>
          <w:lang w:val="en-GB"/>
        </w:rPr>
        <w:t>)</w:t>
      </w:r>
    </w:p>
    <w:p w14:paraId="7D5088CB" w14:textId="5D268F98" w:rsidR="009A67CA" w:rsidRDefault="0027507E" w:rsidP="0001308C">
      <w:pPr>
        <w:rPr>
          <w:lang w:val="en-GB"/>
        </w:rPr>
      </w:pPr>
      <w:r>
        <w:rPr>
          <w:lang w:val="en-GB"/>
        </w:rPr>
        <w:t>The Senate Scrutiny of Bills Committee</w:t>
      </w:r>
      <w:r w:rsidR="00855E29">
        <w:rPr>
          <w:lang w:val="en-GB"/>
        </w:rPr>
        <w:t xml:space="preserve"> </w:t>
      </w:r>
      <w:r w:rsidR="00C13AD7">
        <w:rPr>
          <w:lang w:val="en-GB"/>
        </w:rPr>
        <w:t xml:space="preserve">has undertaken a review of provisions within the </w:t>
      </w:r>
      <w:r w:rsidR="00C13AD7">
        <w:rPr>
          <w:i/>
          <w:iCs/>
          <w:lang w:val="en-GB"/>
        </w:rPr>
        <w:t xml:space="preserve">Biosecurity Act 2015 </w:t>
      </w:r>
      <w:r w:rsidR="00C13AD7">
        <w:rPr>
          <w:lang w:val="en-GB"/>
        </w:rPr>
        <w:t>which exempt instruments made under that Act from disallowance by the Parliament.</w:t>
      </w:r>
      <w:r w:rsidR="001403E5">
        <w:rPr>
          <w:lang w:val="en-GB"/>
        </w:rPr>
        <w:t xml:space="preserve"> This review was undertaken </w:t>
      </w:r>
      <w:r w:rsidR="005975DF">
        <w:rPr>
          <w:lang w:val="en-GB"/>
        </w:rPr>
        <w:t xml:space="preserve">following </w:t>
      </w:r>
      <w:r w:rsidR="00EE38DE">
        <w:rPr>
          <w:lang w:val="en-GB"/>
        </w:rPr>
        <w:t xml:space="preserve">a recommendation </w:t>
      </w:r>
      <w:r w:rsidR="00474F2A">
        <w:rPr>
          <w:lang w:val="en-GB"/>
        </w:rPr>
        <w:t xml:space="preserve">of the Senate </w:t>
      </w:r>
      <w:r w:rsidR="00474F2A" w:rsidRPr="00FD0BD6">
        <w:rPr>
          <w:lang w:val="en-GB"/>
        </w:rPr>
        <w:t xml:space="preserve">Scrutiny of Delegated Legislation </w:t>
      </w:r>
      <w:r w:rsidR="00474F2A">
        <w:rPr>
          <w:lang w:val="en-GB"/>
        </w:rPr>
        <w:t xml:space="preserve">Committee in </w:t>
      </w:r>
      <w:r w:rsidR="005975DF">
        <w:rPr>
          <w:lang w:val="en-GB"/>
        </w:rPr>
        <w:t>its</w:t>
      </w:r>
      <w:r w:rsidR="00474F2A">
        <w:rPr>
          <w:lang w:val="en-GB"/>
        </w:rPr>
        <w:t xml:space="preserve"> </w:t>
      </w:r>
      <w:hyperlink r:id="rId13" w:history="1">
        <w:r w:rsidR="00474F2A" w:rsidRPr="00474F2A">
          <w:rPr>
            <w:rStyle w:val="Hyperlink"/>
            <w:i/>
            <w:iCs/>
          </w:rPr>
          <w:t>Interim report: Exemption of delegated legislation from parliamentary oversight</w:t>
        </w:r>
      </w:hyperlink>
      <w:r w:rsidR="00474F2A">
        <w:t>.</w:t>
      </w:r>
    </w:p>
    <w:p w14:paraId="53E23F98" w14:textId="7A4B9EB6" w:rsidR="00C13AD7" w:rsidRDefault="00C13AD7" w:rsidP="0001308C">
      <w:pPr>
        <w:rPr>
          <w:lang w:val="en-GB"/>
        </w:rPr>
      </w:pPr>
      <w:r>
        <w:rPr>
          <w:lang w:val="en-GB"/>
        </w:rPr>
        <w:t xml:space="preserve">The committee identified </w:t>
      </w:r>
      <w:r w:rsidR="005975DF">
        <w:rPr>
          <w:lang w:val="en-GB"/>
        </w:rPr>
        <w:t>30</w:t>
      </w:r>
      <w:r>
        <w:rPr>
          <w:lang w:val="en-GB"/>
        </w:rPr>
        <w:t xml:space="preserve"> provisions which exempt parliamentary disallowance</w:t>
      </w:r>
      <w:r w:rsidR="003023E7">
        <w:rPr>
          <w:lang w:val="en-GB"/>
        </w:rPr>
        <w:t xml:space="preserve"> in the Act</w:t>
      </w:r>
      <w:r w:rsidR="00AE27AC">
        <w:rPr>
          <w:lang w:val="en-GB"/>
        </w:rPr>
        <w:t>.</w:t>
      </w:r>
    </w:p>
    <w:p w14:paraId="39BE5B27" w14:textId="2521F4EC" w:rsidR="00C13AD7" w:rsidRPr="00C13AD7" w:rsidRDefault="00C13AD7" w:rsidP="0001308C">
      <w:pPr>
        <w:rPr>
          <w:lang w:val="en-GB"/>
        </w:rPr>
      </w:pPr>
      <w:r>
        <w:rPr>
          <w:lang w:val="en-GB"/>
        </w:rPr>
        <w:lastRenderedPageBreak/>
        <w:t xml:space="preserve">The committee requested the minister's detailed advice as to the exceptional circumstances justifying these exemptions and whether the Act can be amended so that instruments made under </w:t>
      </w:r>
      <w:r w:rsidR="0074211D">
        <w:rPr>
          <w:lang w:val="en-GB"/>
        </w:rPr>
        <w:t>it</w:t>
      </w:r>
      <w:r>
        <w:rPr>
          <w:lang w:val="en-GB"/>
        </w:rPr>
        <w:t xml:space="preserve"> are subject to the usual parliamentary disallowance process.</w:t>
      </w:r>
    </w:p>
    <w:p w14:paraId="5A0DA128" w14:textId="48A0E1A1" w:rsidR="00BE7EA5" w:rsidRPr="00480E06" w:rsidRDefault="00BE7EA5" w:rsidP="009A67CA">
      <w:pPr>
        <w:pStyle w:val="Heading1"/>
        <w:numPr>
          <w:ilvl w:val="0"/>
          <w:numId w:val="0"/>
        </w:numPr>
        <w:rPr>
          <w:szCs w:val="28"/>
          <w:lang w:val="en-GB"/>
        </w:rPr>
      </w:pPr>
      <w:bookmarkStart w:id="0" w:name="_Hlk71796444"/>
      <w:r w:rsidRPr="00480E06">
        <w:rPr>
          <w:szCs w:val="28"/>
          <w:lang w:val="en-GB"/>
        </w:rPr>
        <w:t>Key scrutiny issues</w:t>
      </w:r>
      <w:r>
        <w:rPr>
          <w:szCs w:val="28"/>
          <w:lang w:val="en-GB"/>
        </w:rPr>
        <w:t xml:space="preserve">: Bills </w:t>
      </w:r>
      <w:bookmarkEnd w:id="0"/>
      <w:r w:rsidRPr="00A56273">
        <w:rPr>
          <w:sz w:val="20"/>
          <w:szCs w:val="20"/>
          <w:lang w:val="en-GB"/>
        </w:rPr>
        <w:t>(</w:t>
      </w:r>
      <w:hyperlink r:id="rId14" w:history="1">
        <w:r w:rsidR="00EF3BF2" w:rsidRPr="00D67611">
          <w:rPr>
            <w:rStyle w:val="Hyperlink"/>
            <w:i/>
            <w:iCs/>
            <w:sz w:val="20"/>
            <w:szCs w:val="20"/>
            <w:lang w:val="en-GB"/>
          </w:rPr>
          <w:t>Scrutiny Digest</w:t>
        </w:r>
        <w:r w:rsidRPr="00D67611">
          <w:rPr>
            <w:rStyle w:val="Hyperlink"/>
            <w:i/>
            <w:iCs/>
            <w:sz w:val="20"/>
            <w:szCs w:val="20"/>
            <w:lang w:val="en-GB"/>
          </w:rPr>
          <w:t xml:space="preserve"> </w:t>
        </w:r>
        <w:r w:rsidR="00D41C20" w:rsidRPr="00D67611">
          <w:rPr>
            <w:rStyle w:val="Hyperlink"/>
            <w:i/>
            <w:iCs/>
            <w:sz w:val="20"/>
            <w:szCs w:val="20"/>
            <w:lang w:val="en-GB"/>
          </w:rPr>
          <w:t>7</w:t>
        </w:r>
        <w:r w:rsidR="00FD0BD6" w:rsidRPr="00D67611">
          <w:rPr>
            <w:rStyle w:val="Hyperlink"/>
            <w:i/>
            <w:iCs/>
            <w:sz w:val="20"/>
            <w:szCs w:val="20"/>
            <w:lang w:val="en-GB"/>
          </w:rPr>
          <w:t xml:space="preserve"> of </w:t>
        </w:r>
        <w:r w:rsidR="00DF4BB6" w:rsidRPr="00D67611">
          <w:rPr>
            <w:rStyle w:val="Hyperlink"/>
            <w:i/>
            <w:iCs/>
            <w:sz w:val="20"/>
            <w:szCs w:val="20"/>
            <w:lang w:val="en-GB"/>
          </w:rPr>
          <w:t>2021</w:t>
        </w:r>
      </w:hyperlink>
      <w:r w:rsidRPr="00A56273">
        <w:rPr>
          <w:sz w:val="20"/>
          <w:szCs w:val="20"/>
          <w:lang w:val="en-GB"/>
        </w:rPr>
        <w:t>)</w:t>
      </w:r>
    </w:p>
    <w:p w14:paraId="03E7D575" w14:textId="77777777" w:rsidR="00766A01" w:rsidRPr="00766A01" w:rsidRDefault="00766A01" w:rsidP="00766A01">
      <w:pPr>
        <w:rPr>
          <w:rFonts w:eastAsia="Times New Roman"/>
          <w:b/>
          <w:bCs/>
          <w:color w:val="000000" w:themeColor="text1"/>
          <w:sz w:val="25"/>
          <w:szCs w:val="26"/>
        </w:rPr>
      </w:pPr>
      <w:r w:rsidRPr="00766A01">
        <w:rPr>
          <w:rFonts w:eastAsia="Times New Roman"/>
          <w:b/>
          <w:bCs/>
          <w:color w:val="000000" w:themeColor="text1"/>
          <w:sz w:val="25"/>
          <w:szCs w:val="26"/>
        </w:rPr>
        <w:t>Online Safety Bill 2021:</w:t>
      </w:r>
    </w:p>
    <w:p w14:paraId="4478DCFF" w14:textId="7FF4A593" w:rsidR="00314B7B" w:rsidRPr="00FE00B0" w:rsidRDefault="000144AF" w:rsidP="0069639D">
      <w:pPr>
        <w:pStyle w:val="ListParagraph"/>
      </w:pPr>
      <w:r w:rsidRPr="000144AF">
        <w:rPr>
          <w:i/>
          <w:u w:val="single"/>
        </w:rPr>
        <w:t>Significant matters in delegated legislation</w:t>
      </w:r>
      <w:r w:rsidR="00BE7EA5" w:rsidRPr="005975DF">
        <w:rPr>
          <w:iCs/>
        </w:rPr>
        <w:t xml:space="preserve">: </w:t>
      </w:r>
      <w:r w:rsidR="00BE7EA5">
        <w:t xml:space="preserve">the </w:t>
      </w:r>
      <w:r w:rsidR="00BE7EA5" w:rsidRPr="00805F77">
        <w:t>committee</w:t>
      </w:r>
      <w:r w:rsidR="00BE7EA5">
        <w:t xml:space="preserve"> </w:t>
      </w:r>
      <w:r w:rsidR="00D45807">
        <w:t xml:space="preserve">requested that a more </w:t>
      </w:r>
      <w:r w:rsidR="00D45807" w:rsidRPr="00D45807">
        <w:t>comprehensive addendum to the explanatory memorandum be tabled in the Parliament</w:t>
      </w:r>
      <w:r w:rsidR="00D45807">
        <w:t xml:space="preserve"> containing detailed information as to why </w:t>
      </w:r>
      <w:r w:rsidR="0069639D" w:rsidRPr="0069639D">
        <w:t>it is considered necessary and appropriate to leave</w:t>
      </w:r>
      <w:r w:rsidR="0069639D">
        <w:t xml:space="preserve"> </w:t>
      </w:r>
      <w:r w:rsidR="008F6C00" w:rsidRPr="008F6C00">
        <w:t xml:space="preserve">a broad range of </w:t>
      </w:r>
      <w:r w:rsidR="0069639D" w:rsidRPr="009A05EB">
        <w:t>significant matters to delegated legislation</w:t>
      </w:r>
      <w:r w:rsidR="0069639D">
        <w:t xml:space="preserve">. </w:t>
      </w:r>
      <w:r w:rsidR="00952381">
        <w:t>T</w:t>
      </w:r>
      <w:r w:rsidR="00314B7B">
        <w:t xml:space="preserve">he committee leaves to the Senate the appropriateness of leaving </w:t>
      </w:r>
      <w:r w:rsidR="008F6C00">
        <w:t>these significant</w:t>
      </w:r>
      <w:r w:rsidR="00314B7B">
        <w:t xml:space="preserve"> matters to delegated legislation.</w:t>
      </w:r>
    </w:p>
    <w:p w14:paraId="21F9CFEA" w14:textId="5898B7C1" w:rsidR="00BE7EA5" w:rsidRPr="00760673" w:rsidRDefault="00314B7B" w:rsidP="00760673">
      <w:pPr>
        <w:pStyle w:val="ListParagraph"/>
        <w:rPr>
          <w:i/>
          <w:u w:val="single"/>
        </w:rPr>
      </w:pPr>
      <w:r w:rsidRPr="00314B7B">
        <w:rPr>
          <w:i/>
          <w:u w:val="single"/>
        </w:rPr>
        <w:t>Broad discretionary power</w:t>
      </w:r>
      <w:r w:rsidRPr="005975DF">
        <w:t>:</w:t>
      </w:r>
      <w:r w:rsidR="00BE7EA5">
        <w:t xml:space="preserve"> the committee leaves to the Senate the appropriateness of </w:t>
      </w:r>
      <w:r w:rsidR="00760673" w:rsidRPr="00760673">
        <w:t xml:space="preserve">several provisions providing broad discretionary powers to the </w:t>
      </w:r>
      <w:proofErr w:type="spellStart"/>
      <w:r w:rsidR="00760673" w:rsidRPr="00760673">
        <w:t>eSafety</w:t>
      </w:r>
      <w:proofErr w:type="spellEnd"/>
      <w:r w:rsidR="00760673" w:rsidRPr="00760673">
        <w:t xml:space="preserve"> Commissioner for the purposes of regulating online content.</w:t>
      </w:r>
    </w:p>
    <w:p w14:paraId="07AA0A38" w14:textId="25E91AC8" w:rsidR="00BE7EA5" w:rsidRPr="00D232B6" w:rsidRDefault="00BE7EA5" w:rsidP="00D41C20">
      <w:pPr>
        <w:pStyle w:val="Heading1"/>
        <w:numPr>
          <w:ilvl w:val="0"/>
          <w:numId w:val="0"/>
        </w:numPr>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5" w:history="1">
        <w:r w:rsidRPr="00D75865">
          <w:rPr>
            <w:rStyle w:val="Hyperlink"/>
            <w:i/>
            <w:sz w:val="20"/>
            <w:szCs w:val="20"/>
          </w:rPr>
          <w:t>Delegated</w:t>
        </w:r>
        <w:r w:rsidR="00B7262B" w:rsidRPr="00D75865">
          <w:rPr>
            <w:rStyle w:val="Hyperlink"/>
            <w:i/>
            <w:sz w:val="20"/>
            <w:szCs w:val="20"/>
          </w:rPr>
          <w:t xml:space="preserve"> Legislation M</w:t>
        </w:r>
        <w:r w:rsidRPr="00D75865">
          <w:rPr>
            <w:rStyle w:val="Hyperlink"/>
            <w:i/>
            <w:sz w:val="20"/>
            <w:szCs w:val="20"/>
          </w:rPr>
          <w:t xml:space="preserve">onitor </w:t>
        </w:r>
        <w:r w:rsidR="00925CB5" w:rsidRPr="00D75865">
          <w:rPr>
            <w:rStyle w:val="Hyperlink"/>
            <w:i/>
            <w:sz w:val="20"/>
            <w:szCs w:val="20"/>
          </w:rPr>
          <w:t>7</w:t>
        </w:r>
        <w:r w:rsidR="00FD0BD6" w:rsidRPr="00D75865">
          <w:rPr>
            <w:rStyle w:val="Hyperlink"/>
            <w:i/>
            <w:sz w:val="20"/>
            <w:szCs w:val="20"/>
          </w:rPr>
          <w:t xml:space="preserve"> of </w:t>
        </w:r>
        <w:r w:rsidR="00DF4BB6" w:rsidRPr="00D75865">
          <w:rPr>
            <w:rStyle w:val="Hyperlink"/>
            <w:i/>
            <w:sz w:val="20"/>
            <w:szCs w:val="20"/>
          </w:rPr>
          <w:t>2021</w:t>
        </w:r>
      </w:hyperlink>
      <w:r w:rsidRPr="00D232B6">
        <w:rPr>
          <w:i/>
          <w:sz w:val="20"/>
          <w:szCs w:val="20"/>
        </w:rPr>
        <w:t>)</w:t>
      </w:r>
    </w:p>
    <w:p w14:paraId="2156C164" w14:textId="3EBA3BF6" w:rsidR="00BE7EA5" w:rsidRPr="00B23221" w:rsidRDefault="0057595A" w:rsidP="00766A01">
      <w:pPr>
        <w:pStyle w:val="Heading2"/>
        <w:numPr>
          <w:ilvl w:val="0"/>
          <w:numId w:val="0"/>
        </w:numPr>
        <w:spacing w:before="120"/>
        <w:rPr>
          <w:i/>
          <w:iCs/>
          <w:sz w:val="32"/>
          <w:szCs w:val="32"/>
          <w:lang w:val="en-GB"/>
        </w:rPr>
      </w:pPr>
      <w:r>
        <w:t>Aged Care Legislation Amendment (Serious Incident Response Scheme) Instrument 2021 [F2021L00222]</w:t>
      </w:r>
    </w:p>
    <w:p w14:paraId="1845D1E7" w14:textId="383FC315" w:rsidR="00BE7EA5" w:rsidRDefault="0057595A" w:rsidP="00D232B6">
      <w:pPr>
        <w:pStyle w:val="ListParagraph"/>
      </w:pPr>
      <w:r>
        <w:rPr>
          <w:i/>
          <w:u w:val="single"/>
        </w:rPr>
        <w:t>Significant matters in delegated legislation/</w:t>
      </w:r>
      <w:r w:rsidR="0081475B">
        <w:rPr>
          <w:i/>
          <w:u w:val="single"/>
        </w:rPr>
        <w:t>p</w:t>
      </w:r>
      <w:r>
        <w:rPr>
          <w:i/>
          <w:u w:val="single"/>
        </w:rPr>
        <w:t>arliamentary oversight</w:t>
      </w:r>
      <w:r w:rsidR="00BE7EA5" w:rsidRPr="00FE00B0">
        <w:t>:</w:t>
      </w:r>
      <w:r w:rsidR="00BE7EA5">
        <w:t xml:space="preserve"> the committee </w:t>
      </w:r>
      <w:r>
        <w:t>is seeking advice as to</w:t>
      </w:r>
      <w:r w:rsidR="00B27601">
        <w:t xml:space="preserve"> </w:t>
      </w:r>
      <w:r w:rsidR="00B27601" w:rsidRPr="00B27601">
        <w:t>why it is considered necessary and appropriate to use delegated legislation, rather than primary legislation, to define the concept of a 'reportable incident' for the purposes of the Serious Incident Response Scheme</w:t>
      </w:r>
      <w:r w:rsidR="00B27601">
        <w:t xml:space="preserve">. </w:t>
      </w:r>
    </w:p>
    <w:p w14:paraId="7E2A3127" w14:textId="77777777" w:rsidR="00925CB5" w:rsidRPr="00B11F84" w:rsidRDefault="00925CB5" w:rsidP="00925CB5">
      <w:pPr>
        <w:pStyle w:val="Heading1"/>
        <w:numPr>
          <w:ilvl w:val="0"/>
          <w:numId w:val="0"/>
        </w:numPr>
      </w:pPr>
      <w:r w:rsidRPr="00B11F84">
        <w:t>Scrutiny of COVID-19 related legislation</w:t>
      </w:r>
    </w:p>
    <w:p w14:paraId="68BE20BE" w14:textId="7BBF2E4E" w:rsidR="00925CB5" w:rsidRPr="00FE00B0" w:rsidRDefault="00925CB5" w:rsidP="00925CB5">
      <w:r w:rsidRPr="00B11F84">
        <w:t>The Scrutiny of Delegated Legislation Committee has continued to list all delegated legislation made in response to COVID-19</w:t>
      </w:r>
      <w:r w:rsidRPr="004D44DC">
        <w:t xml:space="preserve"> on its </w:t>
      </w:r>
      <w:hyperlink r:id="rId16" w:history="1">
        <w:r w:rsidRPr="004D44DC">
          <w:rPr>
            <w:rStyle w:val="Hyperlink"/>
          </w:rPr>
          <w:t>website</w:t>
        </w:r>
      </w:hyperlink>
      <w:r w:rsidRPr="001C35B2">
        <w:t xml:space="preserve">. As of </w:t>
      </w:r>
      <w:r>
        <w:t>13 May</w:t>
      </w:r>
      <w:r w:rsidRPr="001C35B2">
        <w:t xml:space="preserve"> 2021, 4</w:t>
      </w:r>
      <w:r>
        <w:t>78</w:t>
      </w:r>
      <w:r w:rsidRPr="001C35B2">
        <w:t xml:space="preserve"> legislative instruments have been made, of which 17</w:t>
      </w:r>
      <w:r>
        <w:t>.4 per cent</w:t>
      </w:r>
      <w:r w:rsidRPr="001C35B2">
        <w:t xml:space="preserve"> are exempt</w:t>
      </w:r>
      <w:r w:rsidRPr="004D44DC">
        <w:t xml:space="preserve"> from disallowance and scrutiny by the committee.</w:t>
      </w:r>
    </w:p>
    <w:p w14:paraId="2D9A796A" w14:textId="0D943017" w:rsidR="00BE7EA5" w:rsidRPr="00AE794A" w:rsidRDefault="00BE7EA5" w:rsidP="00D41C20">
      <w:pPr>
        <w:pStyle w:val="Heading1"/>
        <w:numPr>
          <w:ilvl w:val="0"/>
          <w:numId w:val="0"/>
        </w:numPr>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7" w:history="1">
        <w:r w:rsidRPr="00D67611">
          <w:rPr>
            <w:rStyle w:val="Hyperlink"/>
            <w:i/>
            <w:sz w:val="20"/>
            <w:szCs w:val="20"/>
          </w:rPr>
          <w:t>Scrutiny Di</w:t>
        </w:r>
        <w:r w:rsidR="00EF3BF2" w:rsidRPr="00D67611">
          <w:rPr>
            <w:rStyle w:val="Hyperlink"/>
            <w:i/>
            <w:sz w:val="20"/>
            <w:szCs w:val="20"/>
          </w:rPr>
          <w:t>gest</w:t>
        </w:r>
        <w:r w:rsidRPr="00D67611">
          <w:rPr>
            <w:rStyle w:val="Hyperlink"/>
            <w:i/>
            <w:sz w:val="20"/>
            <w:szCs w:val="20"/>
          </w:rPr>
          <w:t xml:space="preserve"> </w:t>
        </w:r>
        <w:r w:rsidR="00D41C20" w:rsidRPr="00D67611">
          <w:rPr>
            <w:rStyle w:val="Hyperlink"/>
            <w:i/>
            <w:sz w:val="20"/>
            <w:szCs w:val="20"/>
          </w:rPr>
          <w:t xml:space="preserve">7 </w:t>
        </w:r>
        <w:r w:rsidR="00FD0BD6" w:rsidRPr="00D67611">
          <w:rPr>
            <w:rStyle w:val="Hyperlink"/>
            <w:i/>
            <w:sz w:val="20"/>
            <w:szCs w:val="20"/>
          </w:rPr>
          <w:t xml:space="preserve">of </w:t>
        </w:r>
        <w:r w:rsidR="00DF4BB6" w:rsidRPr="00D67611">
          <w:rPr>
            <w:rStyle w:val="Hyperlink"/>
            <w:i/>
            <w:sz w:val="20"/>
            <w:szCs w:val="20"/>
          </w:rPr>
          <w:t>2021</w:t>
        </w:r>
      </w:hyperlink>
      <w:r w:rsidRPr="00A56273">
        <w:rPr>
          <w:sz w:val="20"/>
          <w:szCs w:val="20"/>
        </w:rPr>
        <w:t>)</w:t>
      </w:r>
    </w:p>
    <w:p w14:paraId="1A3099F9" w14:textId="529BFF4A" w:rsidR="00BE7EA5" w:rsidRPr="00805F77" w:rsidRDefault="00055EC9" w:rsidP="0088738F">
      <w:pPr>
        <w:pStyle w:val="ListParagraph"/>
        <w:spacing w:before="0" w:after="60"/>
        <w:ind w:left="709" w:hanging="425"/>
      </w:pPr>
      <w:r w:rsidRPr="008B6543">
        <w:rPr>
          <w:b/>
        </w:rPr>
        <w:t>Biosecurity Amendment (Clarifying Conditionally Non-prohibited Goods) Bill 2021</w:t>
      </w:r>
      <w:r w:rsidR="00BE7EA5" w:rsidRPr="00805F77">
        <w:t>:</w:t>
      </w:r>
      <w:r w:rsidR="00C64D93">
        <w:t xml:space="preserve"> </w:t>
      </w:r>
      <w:r w:rsidR="000178E1">
        <w:t>the committee received information in relation to</w:t>
      </w:r>
      <w:r w:rsidR="00295901" w:rsidRPr="00295901">
        <w:t xml:space="preserve"> the retrospective validation of determinations purportedly made under subsection 174(1) of the </w:t>
      </w:r>
      <w:r w:rsidR="00295901" w:rsidRPr="00295901">
        <w:rPr>
          <w:i/>
          <w:iCs/>
        </w:rPr>
        <w:t>Biosecurity Act 2015</w:t>
      </w:r>
      <w:r w:rsidR="00295901" w:rsidRPr="00295901">
        <w:t>.</w:t>
      </w:r>
      <w:r w:rsidR="00295901">
        <w:t xml:space="preserve"> </w:t>
      </w:r>
      <w:r w:rsidR="00EB5CE0">
        <w:t xml:space="preserve">The committee </w:t>
      </w:r>
      <w:r w:rsidR="00655679">
        <w:t>expressed its continuing scrutiny concerns</w:t>
      </w:r>
      <w:r w:rsidR="00A52172">
        <w:t>, however</w:t>
      </w:r>
      <w:r w:rsidR="002B7C0E">
        <w:t>,</w:t>
      </w:r>
      <w:r w:rsidR="00A52172">
        <w:t xml:space="preserve"> made no further comment given the bill had already </w:t>
      </w:r>
      <w:r w:rsidR="0081475B">
        <w:t>pas</w:t>
      </w:r>
      <w:r w:rsidR="00A52172">
        <w:t>sed both Houses of the Parliament.</w:t>
      </w:r>
    </w:p>
    <w:p w14:paraId="558F9D5A" w14:textId="6ABB635A" w:rsidR="00BE7EA5" w:rsidRPr="00805F77" w:rsidRDefault="00211CEB" w:rsidP="0088738F">
      <w:pPr>
        <w:pStyle w:val="ListParagraph"/>
        <w:spacing w:before="0" w:after="60"/>
        <w:ind w:left="709" w:hanging="425"/>
      </w:pPr>
      <w:r w:rsidRPr="008B6543">
        <w:rPr>
          <w:b/>
        </w:rPr>
        <w:t>Broadcasting Legislation Amendment (2021 Measures No. 1) Bill 2021</w:t>
      </w:r>
      <w:r w:rsidR="00BE7EA5" w:rsidRPr="00805F77">
        <w:t>:</w:t>
      </w:r>
      <w:r w:rsidR="000178E1">
        <w:t xml:space="preserve"> the committee received information in relation to</w:t>
      </w:r>
      <w:r w:rsidR="007D1439" w:rsidRPr="007D1439">
        <w:t xml:space="preserve"> significant matters in delegated legislation and the incorporation of external materials into law.</w:t>
      </w:r>
      <w:r w:rsidR="00333B01">
        <w:t xml:space="preserve"> The committee requested that the explanatory memorandum be updated to include this information</w:t>
      </w:r>
      <w:r w:rsidR="009F0DF0">
        <w:t xml:space="preserve"> and </w:t>
      </w:r>
      <w:r w:rsidR="00333B01">
        <w:t xml:space="preserve">leaves to the Senate the appropriateness of </w:t>
      </w:r>
      <w:r w:rsidR="00583381">
        <w:t>including significant matters in delegated legislation.</w:t>
      </w:r>
    </w:p>
    <w:p w14:paraId="76C0082D" w14:textId="504B4F2C" w:rsidR="00766A01" w:rsidRPr="00F06D90" w:rsidRDefault="00766A01" w:rsidP="00F06D90">
      <w:pPr>
        <w:pStyle w:val="ListParagraph"/>
      </w:pPr>
      <w:r w:rsidRPr="00766A01">
        <w:rPr>
          <w:b/>
        </w:rPr>
        <w:lastRenderedPageBreak/>
        <w:t>Competition and Consumer Amendment (Motor Vehicle Service and Repair Information Sharing Scheme) Bill 2021</w:t>
      </w:r>
      <w:r w:rsidRPr="00766A01">
        <w:rPr>
          <w:bCs/>
        </w:rPr>
        <w:t>:</w:t>
      </w:r>
      <w:r w:rsidR="00373CF5">
        <w:rPr>
          <w:bCs/>
        </w:rPr>
        <w:t xml:space="preserve"> </w:t>
      </w:r>
      <w:r w:rsidR="00F06D90">
        <w:t xml:space="preserve">the </w:t>
      </w:r>
      <w:r w:rsidR="00782986">
        <w:t>committee</w:t>
      </w:r>
      <w:r w:rsidR="007A4221">
        <w:t xml:space="preserve"> </w:t>
      </w:r>
      <w:r w:rsidR="00041518">
        <w:t xml:space="preserve">leaves to the Senate the appropriateness of </w:t>
      </w:r>
      <w:r w:rsidR="009F0DF0">
        <w:t>not providing from reports to be tabled in the Parliament</w:t>
      </w:r>
      <w:r w:rsidR="00041518">
        <w:t xml:space="preserve">, requested that the explanatory memorandum be updated to include information relating to privacy, and </w:t>
      </w:r>
      <w:r w:rsidR="00F14EC0">
        <w:t>requested that</w:t>
      </w:r>
      <w:r w:rsidR="00B22280">
        <w:t xml:space="preserve"> more detailed information </w:t>
      </w:r>
      <w:r w:rsidR="005F0DDC">
        <w:t>be provided in relation</w:t>
      </w:r>
      <w:r w:rsidR="00B22280">
        <w:t xml:space="preserve"> to the inclusion of significant penalties</w:t>
      </w:r>
      <w:r w:rsidR="009F0DF0">
        <w:t xml:space="preserve"> in infringement notices</w:t>
      </w:r>
      <w:r w:rsidR="00B22280">
        <w:t>.</w:t>
      </w:r>
    </w:p>
    <w:p w14:paraId="1E2D697C" w14:textId="6868DCFA" w:rsidR="00E954A9" w:rsidRDefault="008D1489" w:rsidP="0088738F">
      <w:pPr>
        <w:pStyle w:val="ListParagraph"/>
        <w:spacing w:before="0" w:after="60"/>
        <w:ind w:left="709" w:hanging="425"/>
        <w:rPr>
          <w:bCs/>
        </w:rPr>
      </w:pPr>
      <w:r w:rsidRPr="00373CF5">
        <w:rPr>
          <w:b/>
        </w:rPr>
        <w:t>Mutual Recognition Amendment Bill 2021</w:t>
      </w:r>
      <w:r>
        <w:rPr>
          <w:bCs/>
        </w:rPr>
        <w:t>:</w:t>
      </w:r>
      <w:r w:rsidR="00373CF5">
        <w:rPr>
          <w:bCs/>
        </w:rPr>
        <w:t xml:space="preserve"> </w:t>
      </w:r>
      <w:r w:rsidR="00F06D90">
        <w:t>the committee received information in relation to</w:t>
      </w:r>
      <w:r w:rsidR="008D5744" w:rsidRPr="008D5744">
        <w:t xml:space="preserve"> </w:t>
      </w:r>
      <w:r w:rsidR="008D5744">
        <w:t xml:space="preserve">the appropriateness of leaving significant matters to delegated legislation which is exempt from parliamentary disallowance and effective parliamentary accountability or oversight at either the Commonwealth or state level. </w:t>
      </w:r>
      <w:r w:rsidR="003B3452">
        <w:t xml:space="preserve">The committee </w:t>
      </w:r>
      <w:r w:rsidR="002C5947">
        <w:t xml:space="preserve">requested </w:t>
      </w:r>
      <w:r w:rsidR="009F0DF0">
        <w:t xml:space="preserve">that </w:t>
      </w:r>
      <w:r w:rsidR="002C5947">
        <w:t>more</w:t>
      </w:r>
      <w:r w:rsidR="009F0DF0">
        <w:t xml:space="preserve"> detailed</w:t>
      </w:r>
      <w:r w:rsidR="002C5947">
        <w:t xml:space="preserve"> information be provided in relation to what accountability and oversight measures are available at the state level.</w:t>
      </w:r>
    </w:p>
    <w:p w14:paraId="1C0F0EF4" w14:textId="0ECA2C1C" w:rsidR="008D1489" w:rsidRDefault="008D1489" w:rsidP="0088738F">
      <w:pPr>
        <w:pStyle w:val="ListParagraph"/>
        <w:spacing w:before="0" w:after="60"/>
        <w:ind w:left="709" w:hanging="425"/>
        <w:rPr>
          <w:bCs/>
        </w:rPr>
      </w:pPr>
      <w:r w:rsidRPr="008B6543">
        <w:rPr>
          <w:b/>
        </w:rPr>
        <w:t>Treasury Laws Amendment (2020 Measures No. 4) Bill 2021</w:t>
      </w:r>
      <w:r w:rsidR="0039466D">
        <w:rPr>
          <w:bCs/>
        </w:rPr>
        <w:t>:</w:t>
      </w:r>
      <w:r w:rsidR="000178E1">
        <w:rPr>
          <w:bCs/>
        </w:rPr>
        <w:t xml:space="preserve"> </w:t>
      </w:r>
      <w:r w:rsidR="000178E1">
        <w:t>the committee received information in relation to</w:t>
      </w:r>
      <w:r w:rsidR="003F0ABC">
        <w:t xml:space="preserve"> the inclusion of significant penalties in delegated legislation.</w:t>
      </w:r>
    </w:p>
    <w:p w14:paraId="1B3374CC" w14:textId="0F9ACAF9" w:rsidR="008D1489" w:rsidRPr="00F16646" w:rsidRDefault="008D1489" w:rsidP="00F16646">
      <w:pPr>
        <w:pStyle w:val="ListParagraph"/>
      </w:pPr>
      <w:r w:rsidRPr="008B6543">
        <w:rPr>
          <w:b/>
        </w:rPr>
        <w:t>Treasury Laws Amendment (2021 Measures No. 2) Bill 2021</w:t>
      </w:r>
      <w:r w:rsidR="0039466D">
        <w:rPr>
          <w:bCs/>
        </w:rPr>
        <w:t>:</w:t>
      </w:r>
      <w:r w:rsidR="000178E1">
        <w:rPr>
          <w:bCs/>
        </w:rPr>
        <w:t xml:space="preserve"> </w:t>
      </w:r>
      <w:r w:rsidR="000178E1">
        <w:t>the committee received information in relation to</w:t>
      </w:r>
      <w:r w:rsidR="009D2836">
        <w:t xml:space="preserve"> </w:t>
      </w:r>
      <w:r w:rsidR="001C295A">
        <w:t>significant matters in delegated legislation and broad discretionary power conferred on the minister.</w:t>
      </w:r>
      <w:r w:rsidR="00904A57">
        <w:t xml:space="preserve"> </w:t>
      </w:r>
      <w:r w:rsidR="00F16646">
        <w:t xml:space="preserve">The committee requested that the explanatory memorandum be updated to include this </w:t>
      </w:r>
      <w:r w:rsidR="00833343">
        <w:t>information and</w:t>
      </w:r>
      <w:r w:rsidR="00F16646">
        <w:t xml:space="preserve"> leaves to the Senate the appropriateness of the relevant provisions.</w:t>
      </w:r>
    </w:p>
    <w:p w14:paraId="37077B13" w14:textId="2E20D7B9" w:rsidR="00BE7EA5" w:rsidRPr="00AE794A" w:rsidRDefault="00BE7EA5" w:rsidP="00D41C20">
      <w:pPr>
        <w:pStyle w:val="Heading1"/>
        <w:numPr>
          <w:ilvl w:val="0"/>
          <w:numId w:val="0"/>
        </w:numPr>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8" w:history="1">
        <w:r w:rsidRPr="00D75865">
          <w:rPr>
            <w:rStyle w:val="Hyperlink"/>
            <w:i/>
            <w:iCs/>
            <w:sz w:val="20"/>
            <w:szCs w:val="20"/>
            <w:lang w:val="en-GB"/>
          </w:rPr>
          <w:t>Delegat</w:t>
        </w:r>
        <w:r w:rsidR="00B7262B" w:rsidRPr="00D75865">
          <w:rPr>
            <w:rStyle w:val="Hyperlink"/>
            <w:i/>
            <w:iCs/>
            <w:sz w:val="20"/>
            <w:szCs w:val="20"/>
            <w:lang w:val="en-GB"/>
          </w:rPr>
          <w:t>ed Legislation M</w:t>
        </w:r>
        <w:r w:rsidR="00FD0BD6" w:rsidRPr="00D75865">
          <w:rPr>
            <w:rStyle w:val="Hyperlink"/>
            <w:i/>
            <w:iCs/>
            <w:sz w:val="20"/>
            <w:szCs w:val="20"/>
            <w:lang w:val="en-GB"/>
          </w:rPr>
          <w:t xml:space="preserve">onitor </w:t>
        </w:r>
        <w:r w:rsidR="00925CB5" w:rsidRPr="00D75865">
          <w:rPr>
            <w:rStyle w:val="Hyperlink"/>
            <w:i/>
            <w:iCs/>
            <w:sz w:val="20"/>
            <w:szCs w:val="20"/>
            <w:lang w:val="en-GB"/>
          </w:rPr>
          <w:t>7</w:t>
        </w:r>
        <w:r w:rsidR="00FD0BD6" w:rsidRPr="00D75865">
          <w:rPr>
            <w:rStyle w:val="Hyperlink"/>
            <w:i/>
            <w:iCs/>
            <w:sz w:val="20"/>
            <w:szCs w:val="20"/>
            <w:lang w:val="en-GB"/>
          </w:rPr>
          <w:t xml:space="preserve"> of </w:t>
        </w:r>
        <w:r w:rsidR="00DF4BB6" w:rsidRPr="00D75865">
          <w:rPr>
            <w:rStyle w:val="Hyperlink"/>
            <w:i/>
            <w:iCs/>
            <w:sz w:val="20"/>
            <w:szCs w:val="20"/>
            <w:lang w:val="en-GB"/>
          </w:rPr>
          <w:t>2021</w:t>
        </w:r>
      </w:hyperlink>
      <w:r w:rsidRPr="00D232B6">
        <w:rPr>
          <w:i/>
          <w:iCs/>
          <w:sz w:val="20"/>
          <w:szCs w:val="20"/>
          <w:lang w:val="en-GB"/>
        </w:rPr>
        <w:t>)</w:t>
      </w:r>
    </w:p>
    <w:p w14:paraId="35096C3C" w14:textId="2399A4D6" w:rsidR="00DA2F6B" w:rsidRDefault="00DA2F6B" w:rsidP="0088738F">
      <w:pPr>
        <w:pStyle w:val="ListParagraph"/>
        <w:ind w:left="709" w:hanging="425"/>
      </w:pPr>
      <w:r w:rsidRPr="00D20C41">
        <w:t xml:space="preserve">The </w:t>
      </w:r>
      <w:r w:rsidR="00925CB5">
        <w:t>Scrutiny of Delegated Legislation</w:t>
      </w:r>
      <w:r w:rsidRPr="00D20C41">
        <w:t xml:space="preserve"> </w:t>
      </w:r>
      <w:r w:rsidR="009F0DF0">
        <w:t>C</w:t>
      </w:r>
      <w:r w:rsidRPr="00D20C41">
        <w:t xml:space="preserve">ommittee considered </w:t>
      </w:r>
      <w:r w:rsidR="00F70E1E">
        <w:t>100</w:t>
      </w:r>
      <w:r>
        <w:t xml:space="preserve"> disallowable</w:t>
      </w:r>
      <w:r w:rsidRPr="00D20C41">
        <w:t xml:space="preserve"> legislative instruments registered on the Federal Re</w:t>
      </w:r>
      <w:r>
        <w:t xml:space="preserve">gister of Legislation between </w:t>
      </w:r>
      <w:r w:rsidR="00F70E1E">
        <w:t xml:space="preserve">26 February </w:t>
      </w:r>
      <w:r w:rsidR="00DF4BB6">
        <w:t>2021</w:t>
      </w:r>
      <w:r>
        <w:t xml:space="preserve"> and </w:t>
      </w:r>
      <w:r w:rsidR="00F70E1E">
        <w:t>19 March</w:t>
      </w:r>
      <w:r w:rsidR="00FD0BD6">
        <w:t xml:space="preserve"> </w:t>
      </w:r>
      <w:r w:rsidR="00DF4BB6">
        <w:t>2021</w:t>
      </w:r>
      <w:r w:rsidRPr="00D20C41">
        <w:t>. The committee is continuing to engage with minister</w:t>
      </w:r>
      <w:r>
        <w:t xml:space="preserve">s and agencies in relation to </w:t>
      </w:r>
      <w:r w:rsidR="001A2CDE">
        <w:t>19</w:t>
      </w:r>
      <w:r w:rsidRPr="00D20C41">
        <w:t xml:space="preserve"> instruments, and has c</w:t>
      </w:r>
      <w:r>
        <w:t xml:space="preserve">oncluded its consideration of </w:t>
      </w:r>
      <w:r w:rsidR="001A2CDE">
        <w:t>25</w:t>
      </w:r>
      <w:r w:rsidRPr="00D20C41">
        <w:t xml:space="preserve"> instruments. </w:t>
      </w:r>
    </w:p>
    <w:p w14:paraId="458A010E" w14:textId="5AC2E8B3" w:rsidR="00DA2F6B" w:rsidRDefault="00DA2F6B" w:rsidP="0088738F">
      <w:pPr>
        <w:pStyle w:val="ListParagraph"/>
        <w:ind w:left="709" w:hanging="425"/>
      </w:pPr>
      <w:r>
        <w:t xml:space="preserve">All legislative instruments subject to a notice of motion for disallowance in either House of </w:t>
      </w:r>
      <w:r w:rsidR="009F0DF0">
        <w:t xml:space="preserve">the </w:t>
      </w:r>
      <w:r>
        <w:t xml:space="preserve">Parliament are listed in the </w:t>
      </w:r>
      <w:hyperlink r:id="rId19" w:history="1">
        <w:r w:rsidRPr="00D232B6">
          <w:rPr>
            <w:rStyle w:val="Hyperlink"/>
          </w:rPr>
          <w:t>Disallowance Alert</w:t>
        </w:r>
      </w:hyperlink>
      <w:r w:rsidRPr="00D232B6">
        <w:t>.</w:t>
      </w:r>
    </w:p>
    <w:p w14:paraId="5A5745F5" w14:textId="77777777" w:rsidR="00DA2F6B" w:rsidRPr="00AE794A" w:rsidRDefault="00DA2F6B" w:rsidP="00D41C20">
      <w:pPr>
        <w:pStyle w:val="Heading1"/>
        <w:numPr>
          <w:ilvl w:val="0"/>
          <w:numId w:val="0"/>
        </w:numPr>
        <w:rPr>
          <w:lang w:val="en-GB"/>
        </w:rPr>
      </w:pPr>
      <w:r>
        <w:rPr>
          <w:lang w:val="en-GB"/>
        </w:rPr>
        <w:t>Notices of motion to disallow</w:t>
      </w:r>
    </w:p>
    <w:p w14:paraId="6123B9F8" w14:textId="07BC7A1F" w:rsidR="00DA2F6B" w:rsidRDefault="009F0DF0" w:rsidP="00DA2F6B">
      <w:r>
        <w:t>T</w:t>
      </w:r>
      <w:r w:rsidR="00DA2F6B">
        <w:t xml:space="preserve">he Senate </w:t>
      </w:r>
      <w:r w:rsidR="00FD0BD6">
        <w:t xml:space="preserve">Scrutiny of Delegated Legislation </w:t>
      </w:r>
      <w:r w:rsidR="00DA2F6B">
        <w:t>Committee</w:t>
      </w:r>
      <w:r>
        <w:t xml:space="preserve"> has</w:t>
      </w:r>
      <w:r w:rsidR="00DA2F6B">
        <w:t xml:space="preserve"> resolved to </w:t>
      </w:r>
      <w:r>
        <w:rPr>
          <w:b/>
        </w:rPr>
        <w:t>give</w:t>
      </w:r>
      <w:r w:rsidR="00DA2F6B">
        <w:t xml:space="preserve"> </w:t>
      </w:r>
      <w:r w:rsidR="00F70E1E">
        <w:t xml:space="preserve">a </w:t>
      </w:r>
      <w:r w:rsidR="00DA2F6B">
        <w:t>notice of motion to disallow the following instrument</w:t>
      </w:r>
      <w:r>
        <w:t xml:space="preserve"> on 15 June 2021</w:t>
      </w:r>
      <w:r w:rsidR="00DA2F6B">
        <w:t>:</w:t>
      </w:r>
    </w:p>
    <w:p w14:paraId="4DD4B7A4" w14:textId="4A13DA23" w:rsidR="00F70E1E" w:rsidRPr="00F70E1E" w:rsidRDefault="00F70E1E" w:rsidP="00F70E1E">
      <w:pPr>
        <w:pStyle w:val="ListParagraph"/>
        <w:ind w:left="709" w:hanging="425"/>
      </w:pPr>
      <w:r w:rsidRPr="00F70E1E">
        <w:t>Telecommunications (Fibre-ready Facilities — Exempt Real Estate Development Projects) Instrument 2021 [F2021L00105]</w:t>
      </w:r>
      <w:r w:rsidR="009F0DF0">
        <w:t>.</w:t>
      </w:r>
    </w:p>
    <w:p w14:paraId="16044844" w14:textId="5A6191BD" w:rsidR="00DA2F6B" w:rsidRDefault="00BC3A7E" w:rsidP="00DA2F6B">
      <w:r>
        <w:t>T</w:t>
      </w:r>
      <w:r w:rsidR="00DA2F6B">
        <w:t xml:space="preserve">he Senate </w:t>
      </w:r>
      <w:r w:rsidR="00FD0BD6">
        <w:t>Scrutiny of Delegated Legislation</w:t>
      </w:r>
      <w:r w:rsidR="00DA2F6B">
        <w:t xml:space="preserve"> Committee </w:t>
      </w:r>
      <w:r w:rsidR="00DA2F6B">
        <w:rPr>
          <w:b/>
        </w:rPr>
        <w:t>withdr</w:t>
      </w:r>
      <w:r w:rsidR="009F0DF0">
        <w:rPr>
          <w:b/>
        </w:rPr>
        <w:t>e</w:t>
      </w:r>
      <w:r w:rsidR="00DA2F6B">
        <w:rPr>
          <w:b/>
        </w:rPr>
        <w:t>w</w:t>
      </w:r>
      <w:r w:rsidR="00DA2F6B">
        <w:t xml:space="preserve"> notices of motion to disallow the following instruments</w:t>
      </w:r>
      <w:r>
        <w:t xml:space="preserve"> on 14 May 2021</w:t>
      </w:r>
      <w:r w:rsidR="00DA2F6B">
        <w:t>:</w:t>
      </w:r>
    </w:p>
    <w:p w14:paraId="216051D3" w14:textId="77777777" w:rsidR="00F70E1E" w:rsidRPr="00F70E1E" w:rsidRDefault="00F70E1E" w:rsidP="00F70E1E">
      <w:pPr>
        <w:pStyle w:val="ListParagraph"/>
        <w:ind w:left="709" w:hanging="425"/>
      </w:pPr>
      <w:r w:rsidRPr="00F70E1E">
        <w:t>ASIC Corporations (Amendment) Instrument 2020/1064 [F2020L01571]</w:t>
      </w:r>
    </w:p>
    <w:p w14:paraId="072FE139" w14:textId="77777777" w:rsidR="00F70E1E" w:rsidRPr="00F70E1E" w:rsidRDefault="00F70E1E" w:rsidP="00F70E1E">
      <w:pPr>
        <w:pStyle w:val="ListParagraph"/>
        <w:ind w:left="709" w:hanging="425"/>
      </w:pPr>
      <w:r w:rsidRPr="00F70E1E">
        <w:t>ASIC Corporations (Amendment) Instrument 2020/1065 [F2020L01572]</w:t>
      </w:r>
    </w:p>
    <w:p w14:paraId="52E00BD1" w14:textId="77777777" w:rsidR="00F70E1E" w:rsidRPr="00F70E1E" w:rsidRDefault="00F70E1E" w:rsidP="00F70E1E">
      <w:pPr>
        <w:pStyle w:val="ListParagraph"/>
        <w:ind w:left="709" w:hanging="425"/>
      </w:pPr>
      <w:r w:rsidRPr="00F70E1E">
        <w:t>ASIC Corporations (Design and Distribution Obligations—Exchange Traded Products) Instrument 2020/1090 [F2020L01600]</w:t>
      </w:r>
    </w:p>
    <w:p w14:paraId="78322F08" w14:textId="77777777" w:rsidR="00F70E1E" w:rsidRPr="00F70E1E" w:rsidRDefault="00F70E1E" w:rsidP="00F70E1E">
      <w:pPr>
        <w:pStyle w:val="ListParagraph"/>
        <w:ind w:left="709" w:hanging="425"/>
      </w:pPr>
      <w:r w:rsidRPr="00F70E1E">
        <w:lastRenderedPageBreak/>
        <w:t>Commonwealth Grant Scheme Guidelines 2020 [F2020L01609]</w:t>
      </w:r>
    </w:p>
    <w:p w14:paraId="38434B81" w14:textId="77777777" w:rsidR="00F70E1E" w:rsidRPr="00F70E1E" w:rsidRDefault="00F70E1E" w:rsidP="00F70E1E">
      <w:pPr>
        <w:pStyle w:val="ListParagraph"/>
        <w:ind w:left="709" w:hanging="425"/>
      </w:pPr>
      <w:r w:rsidRPr="00F70E1E">
        <w:t>Competition and Consumer Amendment (AER Functions) Regulations 2020 [F2020L01606]</w:t>
      </w:r>
    </w:p>
    <w:p w14:paraId="08B4689C" w14:textId="77777777" w:rsidR="00F70E1E" w:rsidRPr="00F70E1E" w:rsidRDefault="00F70E1E" w:rsidP="00F70E1E">
      <w:pPr>
        <w:pStyle w:val="ListParagraph"/>
        <w:ind w:left="709" w:hanging="425"/>
      </w:pPr>
      <w:r w:rsidRPr="00F70E1E">
        <w:t>Competition and Consumer (Class Exemption—Collective Bargaining) Determination 2020 [F2020L01334]</w:t>
      </w:r>
    </w:p>
    <w:p w14:paraId="0C1DECDC" w14:textId="77777777" w:rsidR="00F70E1E" w:rsidRPr="00F70E1E" w:rsidRDefault="00F70E1E" w:rsidP="00F70E1E">
      <w:pPr>
        <w:pStyle w:val="ListParagraph"/>
        <w:ind w:left="709" w:hanging="425"/>
      </w:pPr>
      <w:r w:rsidRPr="00F70E1E">
        <w:t>Corporations Amendment (Corporate Insolvency Reforms) Regulations 2020 [F2020L01654]</w:t>
      </w:r>
    </w:p>
    <w:p w14:paraId="731472A2" w14:textId="77777777" w:rsidR="00F70E1E" w:rsidRPr="00F70E1E" w:rsidRDefault="00F70E1E" w:rsidP="00F70E1E">
      <w:pPr>
        <w:pStyle w:val="ListParagraph"/>
        <w:ind w:left="709" w:hanging="425"/>
      </w:pPr>
      <w:r w:rsidRPr="00F70E1E">
        <w:t>Corporations (Stay on Enforcing Certain Rights) Amendment (Corporate Insolvency Reforms) Declaration 2020 [F2020L01682]</w:t>
      </w:r>
    </w:p>
    <w:p w14:paraId="727EB253" w14:textId="77777777" w:rsidR="00F70E1E" w:rsidRPr="00F70E1E" w:rsidRDefault="00F70E1E" w:rsidP="00F70E1E">
      <w:pPr>
        <w:pStyle w:val="ListParagraph"/>
        <w:ind w:left="709" w:hanging="425"/>
      </w:pPr>
      <w:r w:rsidRPr="00F70E1E">
        <w:t>Family Law Amendment (Notice of Child Abuse, Family Violence or Risk) Rules 2020 [F2020L01361]</w:t>
      </w:r>
    </w:p>
    <w:p w14:paraId="018C1590" w14:textId="77777777" w:rsidR="00F70E1E" w:rsidRPr="00F70E1E" w:rsidRDefault="00F70E1E" w:rsidP="00F70E1E">
      <w:pPr>
        <w:pStyle w:val="ListParagraph"/>
        <w:ind w:left="709" w:hanging="425"/>
      </w:pPr>
      <w:r w:rsidRPr="00F70E1E">
        <w:t>Federal Circuit Court Amendment (Notice of Child Abuse, Family Violence or Risk) Rules 2020 [F2020L01362]</w:t>
      </w:r>
    </w:p>
    <w:p w14:paraId="45694B4F" w14:textId="77777777" w:rsidR="00F70E1E" w:rsidRDefault="00F70E1E" w:rsidP="00F70E1E">
      <w:pPr>
        <w:pStyle w:val="ListParagraph"/>
        <w:ind w:left="709" w:hanging="425"/>
      </w:pPr>
      <w:r w:rsidRPr="00F70E1E">
        <w:t>Foreign Investment Reform (Protecting Australia’s National Security) Regulations 2020 [F2020L01568]</w:t>
      </w:r>
    </w:p>
    <w:p w14:paraId="6AB43FD4" w14:textId="1D252406" w:rsidR="00F70E1E" w:rsidRDefault="00F70E1E" w:rsidP="00F70E1E">
      <w:pPr>
        <w:pStyle w:val="ListParagraph"/>
        <w:ind w:left="709" w:hanging="425"/>
      </w:pPr>
      <w:r w:rsidRPr="00F70E1E">
        <w:t>Norfolk Island Employment Rules 2020 [F2020L01536]</w:t>
      </w:r>
    </w:p>
    <w:p w14:paraId="34E3AF74" w14:textId="3DDBE617" w:rsidR="009F0DF0" w:rsidRPr="00F70E1E" w:rsidRDefault="009F0DF0" w:rsidP="00F70E1E">
      <w:pPr>
        <w:pStyle w:val="ListParagraph"/>
        <w:ind w:left="709" w:hanging="425"/>
      </w:pPr>
      <w:r w:rsidRPr="009F0DF0">
        <w:t>Part 138 (Aerial Work Operations) Manual of Standards 2020</w:t>
      </w:r>
      <w:r>
        <w:t xml:space="preserve"> [</w:t>
      </w:r>
      <w:r w:rsidRPr="009F0DF0">
        <w:t>F2020L01402</w:t>
      </w:r>
      <w:r>
        <w:t>]</w:t>
      </w:r>
    </w:p>
    <w:p w14:paraId="77B0FFC4" w14:textId="77777777" w:rsidR="00F70E1E" w:rsidRPr="00F70E1E" w:rsidRDefault="00F70E1E" w:rsidP="00F70E1E">
      <w:pPr>
        <w:pStyle w:val="ListParagraph"/>
        <w:ind w:left="709" w:hanging="425"/>
      </w:pPr>
      <w:r w:rsidRPr="00F70E1E">
        <w:t>Tax Agent Services (Specified BAS Services No. 2) Instrument 2020 [F2020L01406]</w:t>
      </w:r>
    </w:p>
    <w:p w14:paraId="5C510361" w14:textId="2ACB762A" w:rsidR="00F70E1E" w:rsidRPr="00F70E1E" w:rsidRDefault="00F70E1E" w:rsidP="00F70E1E">
      <w:pPr>
        <w:pStyle w:val="ListParagraph"/>
        <w:ind w:left="709" w:hanging="425"/>
      </w:pPr>
      <w:r w:rsidRPr="00F70E1E">
        <w:t>Taxation Administration (Remedial Power – Seasonal Labour Mobility Program) Determination 2020 [F2020L01474]</w:t>
      </w:r>
      <w:r w:rsidR="009F0DF0">
        <w:t>.</w:t>
      </w:r>
    </w:p>
    <w:p w14:paraId="01D83CDD"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20"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21"/>
      <w:headerReference w:type="first" r:id="rId22"/>
      <w:footerReference w:type="first" r:id="rId23"/>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CC8AA" w14:textId="77777777" w:rsidR="00AB01D8" w:rsidRDefault="00AB01D8" w:rsidP="00D77905">
      <w:pPr>
        <w:spacing w:after="0" w:line="240" w:lineRule="auto"/>
      </w:pPr>
      <w:r>
        <w:separator/>
      </w:r>
    </w:p>
  </w:endnote>
  <w:endnote w:type="continuationSeparator" w:id="0">
    <w:p w14:paraId="4E49CE03" w14:textId="77777777" w:rsidR="00AB01D8" w:rsidRDefault="00AB01D8"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839A1"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4F306"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391D8" w14:textId="77777777" w:rsidR="00AB01D8" w:rsidRDefault="00AB01D8" w:rsidP="00D77905">
      <w:pPr>
        <w:spacing w:after="0" w:line="240" w:lineRule="auto"/>
      </w:pPr>
      <w:r>
        <w:separator/>
      </w:r>
    </w:p>
  </w:footnote>
  <w:footnote w:type="continuationSeparator" w:id="0">
    <w:p w14:paraId="3E85B45E" w14:textId="77777777" w:rsidR="00AB01D8" w:rsidRDefault="00AB01D8"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A7046" w14:textId="77777777" w:rsidR="001F7917" w:rsidRDefault="00FD0BD6">
    <w:pPr>
      <w:pStyle w:val="Header"/>
    </w:pPr>
    <w:r>
      <w:rPr>
        <w:noProof/>
        <w:lang w:eastAsia="en-AU"/>
      </w:rPr>
      <w:drawing>
        <wp:inline distT="0" distB="0" distL="0" distR="0" wp14:anchorId="6A844346" wp14:editId="6F15CB6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267ED"/>
    <w:multiLevelType w:val="hybridMultilevel"/>
    <w:tmpl w:val="9C2CDF74"/>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11"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91631C"/>
    <w:multiLevelType w:val="hybridMultilevel"/>
    <w:tmpl w:val="FC9A5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6"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5"/>
  </w:num>
  <w:num w:numId="4">
    <w:abstractNumId w:val="9"/>
  </w:num>
  <w:num w:numId="5">
    <w:abstractNumId w:val="23"/>
  </w:num>
  <w:num w:numId="6">
    <w:abstractNumId w:val="18"/>
  </w:num>
  <w:num w:numId="7">
    <w:abstractNumId w:val="25"/>
  </w:num>
  <w:num w:numId="8">
    <w:abstractNumId w:val="20"/>
  </w:num>
  <w:num w:numId="9">
    <w:abstractNumId w:val="24"/>
  </w:num>
  <w:num w:numId="10">
    <w:abstractNumId w:val="16"/>
  </w:num>
  <w:num w:numId="11">
    <w:abstractNumId w:val="21"/>
  </w:num>
  <w:num w:numId="12">
    <w:abstractNumId w:val="22"/>
  </w:num>
  <w:num w:numId="13">
    <w:abstractNumId w:val="19"/>
  </w:num>
  <w:num w:numId="14">
    <w:abstractNumId w:val="13"/>
  </w:num>
  <w:num w:numId="15">
    <w:abstractNumId w:val="12"/>
  </w:num>
  <w:num w:numId="16">
    <w:abstractNumId w:val="11"/>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 w:numId="27">
    <w:abstractNumId w:val="10"/>
  </w:num>
  <w:num w:numId="28">
    <w:abstractNumId w:val="14"/>
  </w:num>
  <w:num w:numId="29">
    <w:abstractNumId w:val="25"/>
  </w:num>
  <w:num w:numId="30">
    <w:abstractNumId w:val="2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D8"/>
    <w:rsid w:val="000006AC"/>
    <w:rsid w:val="0001006D"/>
    <w:rsid w:val="0001308C"/>
    <w:rsid w:val="000144AF"/>
    <w:rsid w:val="00016603"/>
    <w:rsid w:val="000178E1"/>
    <w:rsid w:val="00032E67"/>
    <w:rsid w:val="00041518"/>
    <w:rsid w:val="00046BBF"/>
    <w:rsid w:val="00055EC9"/>
    <w:rsid w:val="00056956"/>
    <w:rsid w:val="0006580D"/>
    <w:rsid w:val="00080C86"/>
    <w:rsid w:val="000976B1"/>
    <w:rsid w:val="000A0E54"/>
    <w:rsid w:val="000A453A"/>
    <w:rsid w:val="000C2760"/>
    <w:rsid w:val="000E129E"/>
    <w:rsid w:val="000E2832"/>
    <w:rsid w:val="000F0A18"/>
    <w:rsid w:val="000F6DD8"/>
    <w:rsid w:val="0011174C"/>
    <w:rsid w:val="00113DF8"/>
    <w:rsid w:val="00116C2C"/>
    <w:rsid w:val="001403E5"/>
    <w:rsid w:val="00142C14"/>
    <w:rsid w:val="001857AB"/>
    <w:rsid w:val="001A2CDE"/>
    <w:rsid w:val="001A5694"/>
    <w:rsid w:val="001C295A"/>
    <w:rsid w:val="001D12CF"/>
    <w:rsid w:val="001E5F26"/>
    <w:rsid w:val="001F7917"/>
    <w:rsid w:val="00200BDE"/>
    <w:rsid w:val="00211CEB"/>
    <w:rsid w:val="00212263"/>
    <w:rsid w:val="00231FA1"/>
    <w:rsid w:val="0027507E"/>
    <w:rsid w:val="0028134D"/>
    <w:rsid w:val="002855E3"/>
    <w:rsid w:val="0029217B"/>
    <w:rsid w:val="00295901"/>
    <w:rsid w:val="002B59C6"/>
    <w:rsid w:val="002B7C0E"/>
    <w:rsid w:val="002C2BB6"/>
    <w:rsid w:val="002C5947"/>
    <w:rsid w:val="002D4A42"/>
    <w:rsid w:val="002D627A"/>
    <w:rsid w:val="002E14D3"/>
    <w:rsid w:val="002E33E2"/>
    <w:rsid w:val="003023E7"/>
    <w:rsid w:val="00314B7B"/>
    <w:rsid w:val="00333B01"/>
    <w:rsid w:val="00334D68"/>
    <w:rsid w:val="003547E9"/>
    <w:rsid w:val="0036114D"/>
    <w:rsid w:val="00371C11"/>
    <w:rsid w:val="00373CF5"/>
    <w:rsid w:val="00376075"/>
    <w:rsid w:val="003801CC"/>
    <w:rsid w:val="00385D29"/>
    <w:rsid w:val="0039466D"/>
    <w:rsid w:val="003A6069"/>
    <w:rsid w:val="003A6B86"/>
    <w:rsid w:val="003B3452"/>
    <w:rsid w:val="003C6B63"/>
    <w:rsid w:val="003D1617"/>
    <w:rsid w:val="003D47B6"/>
    <w:rsid w:val="003F0ABC"/>
    <w:rsid w:val="00432232"/>
    <w:rsid w:val="00474F2A"/>
    <w:rsid w:val="00476584"/>
    <w:rsid w:val="004835FC"/>
    <w:rsid w:val="00486023"/>
    <w:rsid w:val="004A2EB2"/>
    <w:rsid w:val="004B0C43"/>
    <w:rsid w:val="004C30DE"/>
    <w:rsid w:val="0052247D"/>
    <w:rsid w:val="005242F6"/>
    <w:rsid w:val="00525ACA"/>
    <w:rsid w:val="005378A5"/>
    <w:rsid w:val="0057595A"/>
    <w:rsid w:val="00583381"/>
    <w:rsid w:val="00584BF6"/>
    <w:rsid w:val="005975DF"/>
    <w:rsid w:val="005A0E1F"/>
    <w:rsid w:val="005A46CC"/>
    <w:rsid w:val="005B56DB"/>
    <w:rsid w:val="005D4867"/>
    <w:rsid w:val="005F0DDC"/>
    <w:rsid w:val="006024BB"/>
    <w:rsid w:val="006033E3"/>
    <w:rsid w:val="006204E4"/>
    <w:rsid w:val="006223D3"/>
    <w:rsid w:val="00622C24"/>
    <w:rsid w:val="0064101D"/>
    <w:rsid w:val="00655679"/>
    <w:rsid w:val="0066291E"/>
    <w:rsid w:val="0068651B"/>
    <w:rsid w:val="00693257"/>
    <w:rsid w:val="0069639D"/>
    <w:rsid w:val="006D1109"/>
    <w:rsid w:val="006F684E"/>
    <w:rsid w:val="0071018F"/>
    <w:rsid w:val="00710B6E"/>
    <w:rsid w:val="007321ED"/>
    <w:rsid w:val="0074211D"/>
    <w:rsid w:val="007440E5"/>
    <w:rsid w:val="007532C8"/>
    <w:rsid w:val="007548D0"/>
    <w:rsid w:val="00754ACE"/>
    <w:rsid w:val="00760673"/>
    <w:rsid w:val="00766A01"/>
    <w:rsid w:val="00782986"/>
    <w:rsid w:val="0078388C"/>
    <w:rsid w:val="00784927"/>
    <w:rsid w:val="00797C7B"/>
    <w:rsid w:val="007A4221"/>
    <w:rsid w:val="007C6FC2"/>
    <w:rsid w:val="007D1439"/>
    <w:rsid w:val="007F25C7"/>
    <w:rsid w:val="00805F77"/>
    <w:rsid w:val="0081475B"/>
    <w:rsid w:val="008238D1"/>
    <w:rsid w:val="008255D7"/>
    <w:rsid w:val="00833343"/>
    <w:rsid w:val="00855E29"/>
    <w:rsid w:val="0087318F"/>
    <w:rsid w:val="008772DC"/>
    <w:rsid w:val="00884C6C"/>
    <w:rsid w:val="0088738F"/>
    <w:rsid w:val="0089441E"/>
    <w:rsid w:val="008A357F"/>
    <w:rsid w:val="008B03F6"/>
    <w:rsid w:val="008B6543"/>
    <w:rsid w:val="008D1489"/>
    <w:rsid w:val="008D5744"/>
    <w:rsid w:val="008F6C00"/>
    <w:rsid w:val="00904A57"/>
    <w:rsid w:val="00925CB5"/>
    <w:rsid w:val="00952381"/>
    <w:rsid w:val="00954F2A"/>
    <w:rsid w:val="00981309"/>
    <w:rsid w:val="0098317C"/>
    <w:rsid w:val="009A05EB"/>
    <w:rsid w:val="009A67CA"/>
    <w:rsid w:val="009B4C2D"/>
    <w:rsid w:val="009B78DF"/>
    <w:rsid w:val="009C60E5"/>
    <w:rsid w:val="009D2836"/>
    <w:rsid w:val="009E16D8"/>
    <w:rsid w:val="009F0DF0"/>
    <w:rsid w:val="009F69A7"/>
    <w:rsid w:val="00A026E0"/>
    <w:rsid w:val="00A0382B"/>
    <w:rsid w:val="00A04D1C"/>
    <w:rsid w:val="00A34E25"/>
    <w:rsid w:val="00A40306"/>
    <w:rsid w:val="00A4199B"/>
    <w:rsid w:val="00A52172"/>
    <w:rsid w:val="00A56273"/>
    <w:rsid w:val="00A73668"/>
    <w:rsid w:val="00AB01D8"/>
    <w:rsid w:val="00AB3570"/>
    <w:rsid w:val="00AC3E02"/>
    <w:rsid w:val="00AE038E"/>
    <w:rsid w:val="00AE27AC"/>
    <w:rsid w:val="00AE4FB1"/>
    <w:rsid w:val="00AF751B"/>
    <w:rsid w:val="00B22280"/>
    <w:rsid w:val="00B27601"/>
    <w:rsid w:val="00B53760"/>
    <w:rsid w:val="00B7262B"/>
    <w:rsid w:val="00B762B0"/>
    <w:rsid w:val="00B96A7F"/>
    <w:rsid w:val="00BA05C2"/>
    <w:rsid w:val="00BB40DD"/>
    <w:rsid w:val="00BC3A7E"/>
    <w:rsid w:val="00BE242D"/>
    <w:rsid w:val="00BE6531"/>
    <w:rsid w:val="00BE7EA5"/>
    <w:rsid w:val="00C13AD7"/>
    <w:rsid w:val="00C3558B"/>
    <w:rsid w:val="00C64D93"/>
    <w:rsid w:val="00C8796B"/>
    <w:rsid w:val="00C95E31"/>
    <w:rsid w:val="00CB3A5D"/>
    <w:rsid w:val="00CB3FEC"/>
    <w:rsid w:val="00CC1897"/>
    <w:rsid w:val="00CC49B3"/>
    <w:rsid w:val="00CE31EC"/>
    <w:rsid w:val="00CF2152"/>
    <w:rsid w:val="00D04409"/>
    <w:rsid w:val="00D11666"/>
    <w:rsid w:val="00D11C82"/>
    <w:rsid w:val="00D134C7"/>
    <w:rsid w:val="00D232B6"/>
    <w:rsid w:val="00D27F8F"/>
    <w:rsid w:val="00D41C20"/>
    <w:rsid w:val="00D45807"/>
    <w:rsid w:val="00D50A2F"/>
    <w:rsid w:val="00D67611"/>
    <w:rsid w:val="00D75865"/>
    <w:rsid w:val="00D77905"/>
    <w:rsid w:val="00D86BCD"/>
    <w:rsid w:val="00D95932"/>
    <w:rsid w:val="00DA2F6B"/>
    <w:rsid w:val="00DA66C0"/>
    <w:rsid w:val="00DB3217"/>
    <w:rsid w:val="00DD0B48"/>
    <w:rsid w:val="00DD62F1"/>
    <w:rsid w:val="00DD6A96"/>
    <w:rsid w:val="00DE2F72"/>
    <w:rsid w:val="00DE5B63"/>
    <w:rsid w:val="00DE6E13"/>
    <w:rsid w:val="00DF4BB6"/>
    <w:rsid w:val="00E1788F"/>
    <w:rsid w:val="00E52A12"/>
    <w:rsid w:val="00E679DB"/>
    <w:rsid w:val="00E954A9"/>
    <w:rsid w:val="00E96D0A"/>
    <w:rsid w:val="00EB27C0"/>
    <w:rsid w:val="00EB5CE0"/>
    <w:rsid w:val="00ED761D"/>
    <w:rsid w:val="00EE1575"/>
    <w:rsid w:val="00EE38DE"/>
    <w:rsid w:val="00EF3BF2"/>
    <w:rsid w:val="00F06D90"/>
    <w:rsid w:val="00F14EC0"/>
    <w:rsid w:val="00F16646"/>
    <w:rsid w:val="00F258B3"/>
    <w:rsid w:val="00F70E1E"/>
    <w:rsid w:val="00F923FB"/>
    <w:rsid w:val="00FB5123"/>
    <w:rsid w:val="00FB6D50"/>
    <w:rsid w:val="00FD0BD6"/>
    <w:rsid w:val="00FD4C3A"/>
    <w:rsid w:val="00FD6B57"/>
    <w:rsid w:val="00FF77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FD3997"/>
  <w15:docId w15:val="{734DD9C4-A12B-44E4-AB52-F3E36B5A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161520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Parliamentary_Business/Committees/Senate/Scrutiny_of_Delegated_Legislation/Exemptfromoversight/Interim_report" TargetMode="External"/><Relationship Id="rId18" Type="http://schemas.openxmlformats.org/officeDocument/2006/relationships/hyperlink" Target="https://www.aph.gov.au/-/media/Committees/Senate/committee/regord_ctte/mon2021/Monitor_7_of_2021.pdf?la=en&amp;hash=DAC12008C611487EB032822F7275476A689BB3A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ph.gov.au/-/media/Committees/Senate/committee/scrutiny/scrutiny_digest/2021/PDF/d07_21.pdf" TargetMode="External"/><Relationship Id="rId17" Type="http://schemas.openxmlformats.org/officeDocument/2006/relationships/hyperlink" Target="https://www.aph.gov.au/-/media/Committees/Senate/committee/scrutiny/scrutiny_digest/2021/PDF/d07_21.pdf?la=en&amp;hash=2409CBCD02D4D5374BD85F60189B90F477E796C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h.gov.au/Parliamentary_Business/Committees/Senate/Scrutiny_of_Delegated_Legislation/Scrutiny_of_COVID-19_instruments" TargetMode="External"/><Relationship Id="rId20" Type="http://schemas.openxmlformats.org/officeDocument/2006/relationships/hyperlink" Target="mailto:scrutiny.sen@ap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Parliamentary_Business/Committees/Senate/Scrutiny_of_Bills/Guidelin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h.gov.au/-/media/Committees/Senate/committee/regord_ctte/mon2021/Monitor_7_of_2021.pdf?la=en&amp;hash=DAC12008C611487EB032822F7275476A689BB3A0" TargetMode="External"/><Relationship Id="rId23" Type="http://schemas.openxmlformats.org/officeDocument/2006/relationships/footer" Target="footer2.xml"/><Relationship Id="rId10" Type="http://schemas.openxmlformats.org/officeDocument/2006/relationships/hyperlink" Target="https://www.aph.gov.au/Parliamentary_Business/Committees/Senate/Scrutiny_of_Bills/Annual_Reports" TargetMode="External"/><Relationship Id="rId19" Type="http://schemas.openxmlformats.org/officeDocument/2006/relationships/hyperlink" Target="https://www.aph.gov.au/Parliamentary_Business/Committees/Senate/Regulations_and_Ordinances/Alerts"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yperlink" Target="https://www.aph.gov.au/-/media/Committees/Senate/committee/scrutiny/scrutiny_digest/2021/PDF/d07_21.pdf?la=en&amp;hash=2409CBCD02D4D5374BD85F60189B90F477E796C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Scrutiny%20News\Templates\Scrutiny%20News%202021%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2AFC-A7C5-4BD4-9F04-476E32B4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2021 template.dotx</Template>
  <TotalTime>174</TotalTime>
  <Pages>4</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Kowaluk, Matthew (SEN)</dc:creator>
  <cp:lastModifiedBy>Fletcher, Georgia (SEN)</cp:lastModifiedBy>
  <cp:revision>88</cp:revision>
  <dcterms:created xsi:type="dcterms:W3CDTF">2021-05-13T03:28:00Z</dcterms:created>
  <dcterms:modified xsi:type="dcterms:W3CDTF">2021-05-18T04:13:00Z</dcterms:modified>
</cp:coreProperties>
</file>