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4220" w14:textId="48EDEDD4" w:rsidR="00BE7EA5" w:rsidRPr="001611EF" w:rsidRDefault="0008059A" w:rsidP="00805F77">
      <w:pPr>
        <w:pStyle w:val="Date-SNews"/>
        <w:rPr>
          <w:i/>
          <w:iCs/>
          <w:sz w:val="22"/>
          <w:lang w:val="en-GB"/>
        </w:rPr>
      </w:pPr>
      <w:r>
        <w:rPr>
          <w:lang w:val="en-GB"/>
        </w:rPr>
        <w:t>19 February</w:t>
      </w:r>
      <w:r w:rsidR="00FD0BD6">
        <w:rPr>
          <w:lang w:val="en-GB"/>
        </w:rPr>
        <w:t xml:space="preserve"> 2020</w:t>
      </w:r>
    </w:p>
    <w:p w14:paraId="7B9FA48E" w14:textId="77777777" w:rsidR="00BE7EA5" w:rsidRDefault="00BE7EA5" w:rsidP="00016603">
      <w:pPr>
        <w:pStyle w:val="Heading1"/>
        <w:spacing w:before="240" w:after="120"/>
        <w:rPr>
          <w:lang w:val="en-GB"/>
        </w:rPr>
      </w:pPr>
      <w:r>
        <w:rPr>
          <w:lang w:val="en-GB"/>
        </w:rPr>
        <w:t>Introduction</w:t>
      </w:r>
    </w:p>
    <w:p w14:paraId="3678E11C"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5660BD05" w14:textId="6EEFED51" w:rsidR="00BE7EA5" w:rsidRPr="00385D29"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58405E74" w14:textId="6B37653A"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0" w:history="1">
        <w:r w:rsidR="000C0CDB">
          <w:rPr>
            <w:rStyle w:val="Hyperlink"/>
            <w:i/>
            <w:iCs/>
            <w:sz w:val="20"/>
            <w:szCs w:val="20"/>
            <w:lang w:val="en-GB"/>
          </w:rPr>
          <w:t>Scrutiny Digest 3 of 2021</w:t>
        </w:r>
      </w:hyperlink>
      <w:r w:rsidRPr="00A56273">
        <w:rPr>
          <w:sz w:val="20"/>
          <w:szCs w:val="20"/>
          <w:lang w:val="en-GB"/>
        </w:rPr>
        <w:t>)</w:t>
      </w:r>
    </w:p>
    <w:p w14:paraId="387468B9" w14:textId="2D890704" w:rsidR="00BE7EA5" w:rsidRPr="00B23221" w:rsidRDefault="00701B20" w:rsidP="00016603">
      <w:pPr>
        <w:pStyle w:val="Heading2"/>
        <w:spacing w:before="120"/>
        <w:rPr>
          <w:i/>
          <w:iCs/>
          <w:szCs w:val="32"/>
          <w:lang w:val="en-GB"/>
        </w:rPr>
      </w:pPr>
      <w:r w:rsidRPr="00701B20">
        <w:t>Treasury Laws Amendment (News Media and Digital Platforms Mandatory Bargaining Code) Bill 2020</w:t>
      </w:r>
      <w:r w:rsidR="00BE7EA5">
        <w:t xml:space="preserve"> </w:t>
      </w:r>
    </w:p>
    <w:p w14:paraId="64E26037" w14:textId="3F078740" w:rsidR="00BE7EA5" w:rsidRDefault="00701B20" w:rsidP="00805F77">
      <w:pPr>
        <w:pStyle w:val="ListParagraph"/>
      </w:pPr>
      <w:r>
        <w:rPr>
          <w:i/>
          <w:u w:val="single"/>
        </w:rPr>
        <w:t>Significant matters in delegated legislation—digital platforms</w:t>
      </w:r>
      <w:r w:rsidR="00BE7EA5" w:rsidRPr="00701B20">
        <w:rPr>
          <w:iCs/>
        </w:rPr>
        <w:t xml:space="preserve">: </w:t>
      </w:r>
      <w:r w:rsidR="00BE7EA5">
        <w:t xml:space="preserve">the </w:t>
      </w:r>
      <w:r w:rsidR="00BE7EA5" w:rsidRPr="00805F77">
        <w:t>committee</w:t>
      </w:r>
      <w:r w:rsidR="00BE7EA5">
        <w:t xml:space="preserve"> </w:t>
      </w:r>
      <w:r>
        <w:t xml:space="preserve">leaves to the Senate the appropriateness of leaving the determination of which digital platforms must participate in the </w:t>
      </w:r>
      <w:r w:rsidRPr="00701B20">
        <w:t>News Media and Digital Platforms Mandatory Bargaining Code</w:t>
      </w:r>
      <w:r>
        <w:t xml:space="preserve"> to delegated legislation.</w:t>
      </w:r>
    </w:p>
    <w:p w14:paraId="1EDC705D" w14:textId="6604F842" w:rsidR="00701B20" w:rsidRDefault="00701B20" w:rsidP="00805F77">
      <w:pPr>
        <w:pStyle w:val="ListParagraph"/>
      </w:pPr>
      <w:r>
        <w:rPr>
          <w:i/>
          <w:u w:val="single"/>
        </w:rPr>
        <w:t xml:space="preserve">Significant matters in delegated </w:t>
      </w:r>
      <w:r w:rsidRPr="00701B20">
        <w:rPr>
          <w:i/>
          <w:u w:val="single"/>
        </w:rPr>
        <w:t>legislation—general</w:t>
      </w:r>
      <w:r>
        <w:t>: the committed leaves to the Senate the appropriateness of including in the bill a range of powers to prescribe matters in delegated legislation, including provisions which enable delegated legislation to modify the operation of primary legislation.</w:t>
      </w:r>
    </w:p>
    <w:p w14:paraId="67B4E2B3" w14:textId="7B472DD7" w:rsidR="00701B20" w:rsidRPr="00FE00B0" w:rsidRDefault="00701B20" w:rsidP="00805F77">
      <w:pPr>
        <w:pStyle w:val="ListParagraph"/>
      </w:pPr>
      <w:r>
        <w:rPr>
          <w:i/>
          <w:u w:val="single"/>
        </w:rPr>
        <w:t xml:space="preserve">Parliamentary </w:t>
      </w:r>
      <w:r w:rsidRPr="00701B20">
        <w:rPr>
          <w:i/>
          <w:u w:val="single"/>
        </w:rPr>
        <w:t>scrutiny—tabling</w:t>
      </w:r>
      <w:r>
        <w:t xml:space="preserve">: the committee suggests that it would be appropriate to amend proposed section 52ZZS of the bill to provide that the minister must table the report of the statutory review of the operation of the </w:t>
      </w:r>
      <w:r w:rsidRPr="00701B20">
        <w:t>News Media and Digital Platforms Mandatory Bargaining Code</w:t>
      </w:r>
      <w:r>
        <w:t xml:space="preserve"> in the Parliament.</w:t>
      </w:r>
    </w:p>
    <w:p w14:paraId="243000D4" w14:textId="2F7E2ECB"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1" w:history="1">
        <w:r w:rsidRPr="00F55290">
          <w:rPr>
            <w:rStyle w:val="Hyperlink"/>
            <w:i/>
            <w:sz w:val="20"/>
            <w:szCs w:val="20"/>
          </w:rPr>
          <w:t>Delegated</w:t>
        </w:r>
        <w:r w:rsidR="00B7262B" w:rsidRPr="00F55290">
          <w:rPr>
            <w:rStyle w:val="Hyperlink"/>
            <w:i/>
            <w:sz w:val="20"/>
            <w:szCs w:val="20"/>
          </w:rPr>
          <w:t xml:space="preserve"> Legislation M</w:t>
        </w:r>
        <w:r w:rsidRPr="00F55290">
          <w:rPr>
            <w:rStyle w:val="Hyperlink"/>
            <w:i/>
            <w:sz w:val="20"/>
            <w:szCs w:val="20"/>
          </w:rPr>
          <w:t>onitor</w:t>
        </w:r>
        <w:r w:rsidR="000C0CDB" w:rsidRPr="00F55290">
          <w:rPr>
            <w:rStyle w:val="Hyperlink"/>
            <w:i/>
            <w:sz w:val="20"/>
            <w:szCs w:val="20"/>
          </w:rPr>
          <w:t xml:space="preserve"> 3</w:t>
        </w:r>
        <w:r w:rsidR="00FD0BD6" w:rsidRPr="00F55290">
          <w:rPr>
            <w:rStyle w:val="Hyperlink"/>
            <w:i/>
            <w:sz w:val="20"/>
            <w:szCs w:val="20"/>
          </w:rPr>
          <w:t xml:space="preserve"> of 202</w:t>
        </w:r>
        <w:r w:rsidR="000C0CDB" w:rsidRPr="00F55290">
          <w:rPr>
            <w:rStyle w:val="Hyperlink"/>
            <w:i/>
            <w:sz w:val="20"/>
            <w:szCs w:val="20"/>
          </w:rPr>
          <w:t>1</w:t>
        </w:r>
      </w:hyperlink>
      <w:r w:rsidRPr="00D232B6">
        <w:rPr>
          <w:i/>
          <w:sz w:val="20"/>
          <w:szCs w:val="20"/>
        </w:rPr>
        <w:t>)</w:t>
      </w:r>
    </w:p>
    <w:p w14:paraId="79BB7712" w14:textId="51FF4280" w:rsidR="00BE7EA5" w:rsidRPr="00B23221" w:rsidRDefault="00FA3E03" w:rsidP="00016603">
      <w:pPr>
        <w:pStyle w:val="Heading2"/>
        <w:spacing w:before="120"/>
        <w:rPr>
          <w:i/>
          <w:iCs/>
          <w:sz w:val="32"/>
          <w:szCs w:val="32"/>
          <w:lang w:val="en-GB"/>
        </w:rPr>
      </w:pPr>
      <w:r w:rsidRPr="00FA3E03">
        <w:t>Law Enforcement Integrity Commissioner Amendment (Law Enforcement Agencies) Regulations 2020 [F2020L01506]</w:t>
      </w:r>
      <w:r w:rsidR="00BE7EA5">
        <w:t xml:space="preserve"> </w:t>
      </w:r>
    </w:p>
    <w:p w14:paraId="27D3F53C" w14:textId="4820BC45" w:rsidR="00BE7EA5" w:rsidRDefault="00FA3E03" w:rsidP="00D232B6">
      <w:pPr>
        <w:pStyle w:val="ListParagraph"/>
      </w:pPr>
      <w:r>
        <w:rPr>
          <w:i/>
          <w:u w:val="single"/>
        </w:rPr>
        <w:t>Matters more appropriate for parliamentary enactment</w:t>
      </w:r>
      <w:r w:rsidR="00BE7EA5" w:rsidRPr="00FE00B0">
        <w:t>:</w:t>
      </w:r>
      <w:r w:rsidR="00BE7EA5">
        <w:t xml:space="preserve"> the committee </w:t>
      </w:r>
      <w:r>
        <w:t xml:space="preserve">is seeking advice as to </w:t>
      </w:r>
      <w:r w:rsidRPr="00FA3E03">
        <w:t>why it is considered necessary and appropriate to significantly expand the jurisdiction of the Australian Commission for Law Enforcement Integrity to four additional Commonwealth government agencies via delegated, rather than primary, legislation.</w:t>
      </w:r>
    </w:p>
    <w:p w14:paraId="5974FBF4" w14:textId="77777777" w:rsidR="000D082C" w:rsidRDefault="000D082C" w:rsidP="00760AB9">
      <w:pPr>
        <w:pStyle w:val="Heading1"/>
      </w:pPr>
    </w:p>
    <w:p w14:paraId="1D222AB2" w14:textId="25EEE932" w:rsidR="00760AB9" w:rsidRPr="00B11F84" w:rsidRDefault="00760AB9" w:rsidP="00760AB9">
      <w:pPr>
        <w:pStyle w:val="Heading1"/>
      </w:pPr>
      <w:r w:rsidRPr="00B11F84">
        <w:t>Scrutiny of COVID-19 related legislation</w:t>
      </w:r>
    </w:p>
    <w:p w14:paraId="214F973A" w14:textId="5CAA1543" w:rsidR="00760AB9" w:rsidRPr="00FE00B0" w:rsidRDefault="00760AB9" w:rsidP="00760AB9">
      <w:r w:rsidRPr="00B11F84">
        <w:t>The Scrutiny of Delegated Legislation Committee has continued to list all delegated legislation made in response to COVID-19</w:t>
      </w:r>
      <w:r w:rsidRPr="004D44DC">
        <w:t xml:space="preserve"> on its </w:t>
      </w:r>
      <w:hyperlink r:id="rId12" w:history="1">
        <w:r w:rsidRPr="004D44DC">
          <w:rPr>
            <w:rStyle w:val="Hyperlink"/>
          </w:rPr>
          <w:t>website</w:t>
        </w:r>
      </w:hyperlink>
      <w:r w:rsidRPr="004D44DC">
        <w:t xml:space="preserve">. As of </w:t>
      </w:r>
      <w:r w:rsidR="00682858">
        <w:t>18</w:t>
      </w:r>
      <w:r>
        <w:t xml:space="preserve"> February 2021</w:t>
      </w:r>
      <w:r w:rsidRPr="004D44DC">
        <w:t xml:space="preserve">, </w:t>
      </w:r>
      <w:r w:rsidRPr="00A040C5">
        <w:t>42</w:t>
      </w:r>
      <w:r w:rsidR="00682858">
        <w:t>5</w:t>
      </w:r>
      <w:r w:rsidRPr="004D44DC">
        <w:t xml:space="preserve"> legislative instruments</w:t>
      </w:r>
      <w:r>
        <w:t xml:space="preserve"> </w:t>
      </w:r>
      <w:r w:rsidRPr="004D44DC">
        <w:t xml:space="preserve">have been made, of which </w:t>
      </w:r>
      <w:r w:rsidRPr="00A040C5">
        <w:t>17.</w:t>
      </w:r>
      <w:r w:rsidR="00682858">
        <w:t>4</w:t>
      </w:r>
      <w:r w:rsidRPr="00A040C5">
        <w:t>%</w:t>
      </w:r>
      <w:r w:rsidRPr="004D44DC">
        <w:t xml:space="preserve"> are exempt from disallowance and scrutiny by the committee.</w:t>
      </w:r>
    </w:p>
    <w:p w14:paraId="0973D6D7" w14:textId="3F63427D"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000C0CDB">
          <w:rPr>
            <w:rStyle w:val="Hyperlink"/>
            <w:i/>
            <w:sz w:val="20"/>
            <w:szCs w:val="20"/>
          </w:rPr>
          <w:t>Scrutiny Digest 3 of 2021</w:t>
        </w:r>
      </w:hyperlink>
      <w:r w:rsidRPr="00A56273">
        <w:rPr>
          <w:sz w:val="20"/>
          <w:szCs w:val="20"/>
        </w:rPr>
        <w:t>)</w:t>
      </w:r>
    </w:p>
    <w:p w14:paraId="630E5856" w14:textId="5815A347" w:rsidR="0088179F" w:rsidRPr="0088179F" w:rsidRDefault="0088179F" w:rsidP="0088738F">
      <w:pPr>
        <w:pStyle w:val="ListParagraph"/>
        <w:spacing w:before="0" w:after="60"/>
        <w:ind w:left="709" w:hanging="425"/>
      </w:pPr>
      <w:r w:rsidRPr="0088179F">
        <w:rPr>
          <w:b/>
          <w:bCs/>
        </w:rPr>
        <w:t>Australian Immunisation Register Amendment (Reporting) Bill 2020</w:t>
      </w:r>
      <w:r>
        <w:t xml:space="preserve">: </w:t>
      </w:r>
      <w:r w:rsidR="005C2B13" w:rsidRPr="005C2B13">
        <w:t>the committee reiterated scrutiny concerns regarding leaving the scope of mandatory reporting obligations in relation to vaccinations to delegated legislation</w:t>
      </w:r>
      <w:r>
        <w:t xml:space="preserve">. </w:t>
      </w:r>
    </w:p>
    <w:p w14:paraId="16D69DD0" w14:textId="77777777" w:rsidR="0088179F" w:rsidRPr="00805F77" w:rsidRDefault="0088179F" w:rsidP="0088179F">
      <w:pPr>
        <w:pStyle w:val="ListParagraph"/>
        <w:spacing w:before="0" w:after="60"/>
        <w:ind w:left="709" w:hanging="425"/>
      </w:pPr>
      <w:r w:rsidRPr="0088179F">
        <w:rPr>
          <w:b/>
        </w:rPr>
        <w:t>Data Availability and Transparency Bill 2020</w:t>
      </w:r>
      <w:r w:rsidRPr="00805F77">
        <w:t>:</w:t>
      </w:r>
      <w:r>
        <w:t xml:space="preserve"> the committee received information about privacy, significant matters in delegated legislation, broad delegation of investigatory powers, and a reverse evidential burden of proof, and is seeking further advice in relation to privacy and significant matters in delegated legislation. </w:t>
      </w:r>
    </w:p>
    <w:p w14:paraId="4270FEF7" w14:textId="77777777" w:rsidR="0088179F" w:rsidRPr="0088179F" w:rsidRDefault="0088179F" w:rsidP="0088179F">
      <w:pPr>
        <w:pStyle w:val="ListParagraph"/>
        <w:spacing w:before="0" w:after="60"/>
        <w:ind w:left="709" w:hanging="425"/>
        <w:rPr>
          <w:bCs/>
        </w:rPr>
      </w:pPr>
      <w:r w:rsidRPr="0088179F">
        <w:rPr>
          <w:b/>
        </w:rPr>
        <w:t>Financial Sector Reform (Hayne Royal Commission Response No. 2) Bill 2020</w:t>
      </w:r>
      <w:r>
        <w:rPr>
          <w:bCs/>
        </w:rPr>
        <w:t xml:space="preserve">: the committee received information in relation to significant penalties and significant matters in delegated legislation. </w:t>
      </w:r>
    </w:p>
    <w:p w14:paraId="03F231BC" w14:textId="65B7E5F2" w:rsidR="0088179F" w:rsidRPr="0088179F" w:rsidRDefault="0088179F" w:rsidP="0088179F">
      <w:pPr>
        <w:pStyle w:val="ListParagraph"/>
        <w:spacing w:before="0" w:after="60"/>
        <w:ind w:left="709" w:hanging="425"/>
        <w:rPr>
          <w:bCs/>
        </w:rPr>
      </w:pPr>
      <w:r w:rsidRPr="0088179F">
        <w:rPr>
          <w:b/>
          <w:bCs/>
        </w:rPr>
        <w:t>National Emergency Declaration Bill 2020</w:t>
      </w:r>
      <w:r>
        <w:t xml:space="preserve">: the committee received information about broad discretionary power, exemption from disallowance and significant matters in delegated legislation and reiterates its request for advice in relation </w:t>
      </w:r>
      <w:r w:rsidR="005C2B13">
        <w:t xml:space="preserve">to the </w:t>
      </w:r>
      <w:r>
        <w:t>power for delegated legislation to modify primary legislation and tabling of reports</w:t>
      </w:r>
      <w:r w:rsidR="005C2B13">
        <w:t xml:space="preserve"> in Parliament</w:t>
      </w:r>
      <w:r>
        <w:t xml:space="preserve">. </w:t>
      </w:r>
    </w:p>
    <w:p w14:paraId="7D6AB144" w14:textId="1EAB0EFC" w:rsidR="0088179F" w:rsidRPr="0088179F" w:rsidRDefault="0088179F" w:rsidP="0088179F">
      <w:pPr>
        <w:pStyle w:val="ListParagraph"/>
        <w:spacing w:before="0" w:after="60"/>
        <w:ind w:left="709" w:hanging="425"/>
        <w:rPr>
          <w:b/>
        </w:rPr>
      </w:pPr>
      <w:r w:rsidRPr="0088179F">
        <w:rPr>
          <w:b/>
        </w:rPr>
        <w:t>National Emergency Declaration (Consequential Amendments) Bill 2020</w:t>
      </w:r>
      <w:r w:rsidRPr="0088179F">
        <w:rPr>
          <w:bCs/>
        </w:rPr>
        <w:t xml:space="preserve">: the committee </w:t>
      </w:r>
      <w:r w:rsidRPr="0088179F">
        <w:t>received</w:t>
      </w:r>
      <w:r w:rsidRPr="0088179F">
        <w:rPr>
          <w:bCs/>
        </w:rPr>
        <w:t xml:space="preserve"> information about </w:t>
      </w:r>
      <w:r>
        <w:rPr>
          <w:bCs/>
        </w:rPr>
        <w:t>p</w:t>
      </w:r>
      <w:r w:rsidRPr="0088179F">
        <w:rPr>
          <w:bCs/>
        </w:rPr>
        <w:t>rivacy</w:t>
      </w:r>
      <w:r>
        <w:rPr>
          <w:bCs/>
        </w:rPr>
        <w:t xml:space="preserve"> and exclusion from tabling</w:t>
      </w:r>
      <w:r w:rsidR="005C2B13">
        <w:rPr>
          <w:bCs/>
        </w:rPr>
        <w:t xml:space="preserve"> and reiterates its request for advice in relation to si</w:t>
      </w:r>
      <w:r w:rsidR="005C2B13" w:rsidRPr="005C2B13">
        <w:rPr>
          <w:bCs/>
        </w:rPr>
        <w:t>gnificant matters in non-disallowable instruments</w:t>
      </w:r>
      <w:r>
        <w:rPr>
          <w:bCs/>
        </w:rPr>
        <w:t xml:space="preserve">.  </w:t>
      </w:r>
    </w:p>
    <w:p w14:paraId="063BBC1B" w14:textId="44D16E62" w:rsidR="0088179F" w:rsidRPr="0088179F" w:rsidRDefault="0088179F" w:rsidP="0088179F">
      <w:pPr>
        <w:pStyle w:val="ListParagraph"/>
        <w:spacing w:before="0" w:after="60"/>
        <w:ind w:left="709" w:hanging="425"/>
      </w:pPr>
      <w:r w:rsidRPr="0088179F">
        <w:rPr>
          <w:b/>
          <w:bCs/>
        </w:rPr>
        <w:t>Social Services and Other Legislation Amendment (Student Assistance and Other Measures) Bill 2021</w:t>
      </w:r>
      <w:r w:rsidR="00BE7EA5" w:rsidRPr="00805F77">
        <w:t>:</w:t>
      </w:r>
      <w:r>
        <w:t xml:space="preserve"> </w:t>
      </w:r>
      <w:r w:rsidR="005C2B13" w:rsidRPr="005C2B13">
        <w:t>the committee is seeking advice as to why it is considered necessary and appropriate for legislative instruments to be included in the new definition of 'social security law'</w:t>
      </w:r>
      <w:r w:rsidR="005C2B13">
        <w:t>.</w:t>
      </w:r>
    </w:p>
    <w:p w14:paraId="02DD8FEC" w14:textId="3A064179"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4" w:history="1">
        <w:r w:rsidRPr="00F55290">
          <w:rPr>
            <w:rStyle w:val="Hyperlink"/>
            <w:i/>
            <w:iCs/>
            <w:sz w:val="20"/>
            <w:szCs w:val="20"/>
            <w:lang w:val="en-GB"/>
          </w:rPr>
          <w:t>Delegat</w:t>
        </w:r>
        <w:r w:rsidR="00B7262B" w:rsidRPr="00F55290">
          <w:rPr>
            <w:rStyle w:val="Hyperlink"/>
            <w:i/>
            <w:iCs/>
            <w:sz w:val="20"/>
            <w:szCs w:val="20"/>
            <w:lang w:val="en-GB"/>
          </w:rPr>
          <w:t>ed Legislation M</w:t>
        </w:r>
        <w:r w:rsidR="00FD0BD6" w:rsidRPr="00F55290">
          <w:rPr>
            <w:rStyle w:val="Hyperlink"/>
            <w:i/>
            <w:iCs/>
            <w:sz w:val="20"/>
            <w:szCs w:val="20"/>
            <w:lang w:val="en-GB"/>
          </w:rPr>
          <w:t xml:space="preserve">onitor </w:t>
        </w:r>
        <w:r w:rsidR="000C0CDB" w:rsidRPr="00F55290">
          <w:rPr>
            <w:rStyle w:val="Hyperlink"/>
            <w:i/>
            <w:iCs/>
            <w:sz w:val="20"/>
            <w:szCs w:val="20"/>
            <w:lang w:val="en-GB"/>
          </w:rPr>
          <w:t>3</w:t>
        </w:r>
        <w:r w:rsidR="00FD0BD6" w:rsidRPr="00F55290">
          <w:rPr>
            <w:rStyle w:val="Hyperlink"/>
            <w:i/>
            <w:iCs/>
            <w:sz w:val="20"/>
            <w:szCs w:val="20"/>
            <w:lang w:val="en-GB"/>
          </w:rPr>
          <w:t xml:space="preserve"> of 202</w:t>
        </w:r>
        <w:r w:rsidR="000C0CDB" w:rsidRPr="00F55290">
          <w:rPr>
            <w:rStyle w:val="Hyperlink"/>
            <w:i/>
            <w:iCs/>
            <w:sz w:val="20"/>
            <w:szCs w:val="20"/>
            <w:lang w:val="en-GB"/>
          </w:rPr>
          <w:t>1</w:t>
        </w:r>
      </w:hyperlink>
      <w:r w:rsidRPr="00D232B6">
        <w:rPr>
          <w:i/>
          <w:iCs/>
          <w:sz w:val="20"/>
          <w:szCs w:val="20"/>
          <w:lang w:val="en-GB"/>
        </w:rPr>
        <w:t>)</w:t>
      </w:r>
    </w:p>
    <w:p w14:paraId="08E6F228" w14:textId="2CABD34B" w:rsidR="00DA2F6B" w:rsidRDefault="00DA2F6B" w:rsidP="0088738F">
      <w:pPr>
        <w:pStyle w:val="ListParagraph"/>
        <w:ind w:left="709" w:hanging="425"/>
      </w:pPr>
      <w:r w:rsidRPr="00D20C41">
        <w:t xml:space="preserve">The Regulations and Ordinances committee considered </w:t>
      </w:r>
      <w:r w:rsidR="00760AB9">
        <w:t>79</w:t>
      </w:r>
      <w:r>
        <w:t xml:space="preserve"> disallowable</w:t>
      </w:r>
      <w:r w:rsidRPr="00D20C41">
        <w:t xml:space="preserve"> legislative instruments registered on the Federal Re</w:t>
      </w:r>
      <w:r>
        <w:t>gister of Legislation between</w:t>
      </w:r>
      <w:r w:rsidR="00760AB9">
        <w:t xml:space="preserve"> 18 November </w:t>
      </w:r>
      <w:r>
        <w:t>20</w:t>
      </w:r>
      <w:r w:rsidR="00FD0BD6">
        <w:t>20</w:t>
      </w:r>
      <w:r>
        <w:t xml:space="preserve"> and</w:t>
      </w:r>
      <w:r w:rsidR="00760AB9">
        <w:t xml:space="preserve"> 7 December</w:t>
      </w:r>
      <w:r w:rsidR="00FD0BD6">
        <w:t xml:space="preserve"> 2020</w:t>
      </w:r>
      <w:r w:rsidRPr="00D20C41">
        <w:t>. The committee is continuing to engage with minister</w:t>
      </w:r>
      <w:r>
        <w:t xml:space="preserve">s and agencies in relation to </w:t>
      </w:r>
      <w:r w:rsidR="00760AB9">
        <w:t>19</w:t>
      </w:r>
      <w:r w:rsidRPr="00D20C41">
        <w:t xml:space="preserve"> instruments, and has c</w:t>
      </w:r>
      <w:r>
        <w:t xml:space="preserve">oncluded its consideration of </w:t>
      </w:r>
      <w:r w:rsidR="00760AB9">
        <w:t>14</w:t>
      </w:r>
      <w:r w:rsidRPr="00D20C41">
        <w:t xml:space="preserve"> instruments. </w:t>
      </w:r>
    </w:p>
    <w:p w14:paraId="1EE49C76" w14:textId="77777777" w:rsidR="00DA2F6B" w:rsidRDefault="00DA2F6B" w:rsidP="0088738F">
      <w:pPr>
        <w:pStyle w:val="ListParagraph"/>
        <w:ind w:left="709" w:hanging="425"/>
      </w:pPr>
      <w:r>
        <w:t xml:space="preserve">All legislative instruments subject to a notice of motion for disallowance in either House of Parliament are listed in the </w:t>
      </w:r>
      <w:hyperlink r:id="rId15" w:history="1">
        <w:r w:rsidRPr="00D232B6">
          <w:rPr>
            <w:rStyle w:val="Hyperlink"/>
          </w:rPr>
          <w:t>Disallowance Alert</w:t>
        </w:r>
      </w:hyperlink>
      <w:r w:rsidRPr="00D232B6">
        <w:t>.</w:t>
      </w:r>
    </w:p>
    <w:p w14:paraId="325E2531" w14:textId="77777777" w:rsidR="000D082C" w:rsidRDefault="000D082C" w:rsidP="00DA2F6B">
      <w:pPr>
        <w:pStyle w:val="Heading1"/>
        <w:rPr>
          <w:lang w:val="en-GB"/>
        </w:rPr>
      </w:pPr>
    </w:p>
    <w:p w14:paraId="4353209E" w14:textId="77F2A2D8" w:rsidR="00DA2F6B" w:rsidRPr="00AE794A" w:rsidRDefault="00DA2F6B" w:rsidP="00DA2F6B">
      <w:pPr>
        <w:pStyle w:val="Heading1"/>
        <w:rPr>
          <w:lang w:val="en-GB"/>
        </w:rPr>
      </w:pPr>
      <w:r>
        <w:rPr>
          <w:lang w:val="en-GB"/>
        </w:rPr>
        <w:lastRenderedPageBreak/>
        <w:t>Notices of motion to disallow</w:t>
      </w:r>
    </w:p>
    <w:p w14:paraId="67171C1C" w14:textId="48D3AC21" w:rsidR="00DA2F6B" w:rsidRDefault="000D082C" w:rsidP="00DA2F6B">
      <w:r>
        <w:t>T</w:t>
      </w:r>
      <w:r w:rsidR="00DA2F6B">
        <w:t xml:space="preserve">he Senate </w:t>
      </w:r>
      <w:r w:rsidR="00FD0BD6">
        <w:t xml:space="preserve">Scrutiny of Delegated Legislation </w:t>
      </w:r>
      <w:r w:rsidR="00DA2F6B">
        <w:t xml:space="preserve">Committee resolved to </w:t>
      </w:r>
      <w:r w:rsidR="00DA2F6B">
        <w:rPr>
          <w:b/>
        </w:rPr>
        <w:t>place</w:t>
      </w:r>
      <w:r w:rsidR="00DA2F6B">
        <w:t xml:space="preserve"> notices of motions to disallow the following instruments:</w:t>
      </w:r>
    </w:p>
    <w:p w14:paraId="7C9E4412" w14:textId="3F201671" w:rsidR="00DA2F6B" w:rsidRDefault="00760AB9" w:rsidP="0088738F">
      <w:pPr>
        <w:pStyle w:val="ListParagraph"/>
        <w:numPr>
          <w:ilvl w:val="0"/>
          <w:numId w:val="13"/>
        </w:numPr>
        <w:ind w:left="709" w:hanging="425"/>
      </w:pPr>
      <w:bookmarkStart w:id="0" w:name="_Hlk64642535"/>
      <w:r w:rsidRPr="00760AB9">
        <w:t>Law Enforcement Integrity Commissioner Amendment (Law Enforcement Agencies) Regulations 2020 [F2020L01506]</w:t>
      </w:r>
      <w:r w:rsidR="000D082C">
        <w:t xml:space="preserve"> </w:t>
      </w:r>
      <w:bookmarkEnd w:id="0"/>
      <w:r w:rsidR="000D082C">
        <w:t>(notice to be given on 23 February 2021)</w:t>
      </w:r>
      <w:r>
        <w:t>; and</w:t>
      </w:r>
    </w:p>
    <w:p w14:paraId="16F8B71D" w14:textId="6FAA858B" w:rsidR="00760AB9" w:rsidRDefault="00760AB9" w:rsidP="0088738F">
      <w:pPr>
        <w:pStyle w:val="ListParagraph"/>
        <w:numPr>
          <w:ilvl w:val="0"/>
          <w:numId w:val="13"/>
        </w:numPr>
        <w:ind w:left="709" w:hanging="425"/>
      </w:pPr>
      <w:r w:rsidRPr="00760AB9">
        <w:t>Taxation Administration (Remedial Power – Seasonal Labour Mobility Program) Determination 2020 [F2020L01474]</w:t>
      </w:r>
      <w:r w:rsidR="000D082C">
        <w:t xml:space="preserve"> </w:t>
      </w:r>
      <w:r w:rsidR="000D082C">
        <w:t xml:space="preserve">(notice to be given on </w:t>
      </w:r>
      <w:r w:rsidR="000D082C">
        <w:t>22 February 2021</w:t>
      </w:r>
      <w:r w:rsidR="000D082C">
        <w:t>)</w:t>
      </w:r>
      <w:r>
        <w:t>.</w:t>
      </w:r>
    </w:p>
    <w:p w14:paraId="5EA667F0" w14:textId="308C0031" w:rsidR="00DA2F6B" w:rsidRDefault="000D082C" w:rsidP="00DA2F6B">
      <w:r>
        <w:t>On 18</w:t>
      </w:r>
      <w:r w:rsidR="00760AB9">
        <w:t xml:space="preserve"> February</w:t>
      </w:r>
      <w:r w:rsidR="00DA2F6B">
        <w:t xml:space="preserve"> 20</w:t>
      </w:r>
      <w:r w:rsidR="00FD0BD6">
        <w:t>2</w:t>
      </w:r>
      <w:r w:rsidR="00760AB9">
        <w:t>1</w:t>
      </w:r>
      <w:r w:rsidR="00DA2F6B">
        <w:t xml:space="preserve">, the </w:t>
      </w:r>
      <w:r>
        <w:t xml:space="preserve">Chair of the </w:t>
      </w:r>
      <w:r w:rsidR="00DA2F6B">
        <w:t xml:space="preserve">Senate </w:t>
      </w:r>
      <w:r w:rsidR="00FD0BD6">
        <w:t>Scrutiny of Delegated Legislation</w:t>
      </w:r>
      <w:r w:rsidR="00DA2F6B">
        <w:t xml:space="preserve"> Committee </w:t>
      </w:r>
      <w:r>
        <w:t>gave notice of her intention</w:t>
      </w:r>
      <w:r w:rsidR="00DA2F6B">
        <w:t xml:space="preserve"> to </w:t>
      </w:r>
      <w:r w:rsidR="00DA2F6B">
        <w:rPr>
          <w:b/>
        </w:rPr>
        <w:t>withdraw</w:t>
      </w:r>
      <w:r w:rsidR="00DA2F6B">
        <w:t xml:space="preserve"> notices of motions to disallow the following instruments</w:t>
      </w:r>
      <w:r>
        <w:t xml:space="preserve"> on 22 February</w:t>
      </w:r>
      <w:bookmarkStart w:id="1" w:name="_GoBack"/>
      <w:bookmarkEnd w:id="1"/>
      <w:r>
        <w:t xml:space="preserve"> 2021</w:t>
      </w:r>
      <w:r w:rsidR="00DA2F6B">
        <w:t>:</w:t>
      </w:r>
    </w:p>
    <w:p w14:paraId="30EE56B4" w14:textId="03DE2DE4" w:rsidR="00DA2F6B" w:rsidRDefault="00760AB9" w:rsidP="0088738F">
      <w:pPr>
        <w:pStyle w:val="ListParagraph"/>
        <w:numPr>
          <w:ilvl w:val="0"/>
          <w:numId w:val="13"/>
        </w:numPr>
        <w:ind w:left="709" w:hanging="425"/>
      </w:pPr>
      <w:r w:rsidRPr="00760AB9">
        <w:t>Legislation (Deferral of Sunsetting—Telecommunications Universal Service Obligation (Standard Telephone Service—Requirements and Circumstances) Determination) Certificate 2020 [F2020L01301]</w:t>
      </w:r>
      <w:r>
        <w:t>; and</w:t>
      </w:r>
    </w:p>
    <w:p w14:paraId="7D933CFF" w14:textId="07CC3BE5" w:rsidR="00760AB9" w:rsidRDefault="00760AB9" w:rsidP="0088738F">
      <w:pPr>
        <w:pStyle w:val="ListParagraph"/>
        <w:numPr>
          <w:ilvl w:val="0"/>
          <w:numId w:val="13"/>
        </w:numPr>
        <w:ind w:left="709" w:hanging="425"/>
      </w:pPr>
      <w:r w:rsidRPr="00760AB9">
        <w:t>Veterans' Affairs (Treatment Principles – Rehabilitation in the Home and Other Amendments) Determination 2020 [F2020L01028]</w:t>
      </w:r>
      <w:r>
        <w:t>.</w:t>
      </w:r>
    </w:p>
    <w:p w14:paraId="4280FC2D"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BB9A" w14:textId="77777777" w:rsidR="00D81759" w:rsidRDefault="00D81759" w:rsidP="00D77905">
      <w:pPr>
        <w:spacing w:after="0" w:line="240" w:lineRule="auto"/>
      </w:pPr>
      <w:r>
        <w:separator/>
      </w:r>
    </w:p>
  </w:endnote>
  <w:endnote w:type="continuationSeparator" w:id="0">
    <w:p w14:paraId="0C4B2558" w14:textId="77777777" w:rsidR="00D81759" w:rsidRDefault="00D81759"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AA50"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6BFC"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E67EC" w14:textId="77777777" w:rsidR="00D81759" w:rsidRDefault="00D81759" w:rsidP="00D77905">
      <w:pPr>
        <w:spacing w:after="0" w:line="240" w:lineRule="auto"/>
      </w:pPr>
      <w:r>
        <w:separator/>
      </w:r>
    </w:p>
  </w:footnote>
  <w:footnote w:type="continuationSeparator" w:id="0">
    <w:p w14:paraId="5FF5B62D" w14:textId="77777777" w:rsidR="00D81759" w:rsidRDefault="00D81759"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D30B" w14:textId="77777777" w:rsidR="001F7917" w:rsidRDefault="00FD0BD6">
    <w:pPr>
      <w:pStyle w:val="Header"/>
    </w:pPr>
    <w:r>
      <w:rPr>
        <w:noProof/>
        <w:lang w:eastAsia="en-AU"/>
      </w:rPr>
      <w:drawing>
        <wp:inline distT="0" distB="0" distL="0" distR="0" wp14:anchorId="39B3730F" wp14:editId="3451CAEF">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59"/>
    <w:rsid w:val="000006AC"/>
    <w:rsid w:val="00016603"/>
    <w:rsid w:val="00046BBF"/>
    <w:rsid w:val="0006580D"/>
    <w:rsid w:val="0008059A"/>
    <w:rsid w:val="00080C86"/>
    <w:rsid w:val="000976B1"/>
    <w:rsid w:val="000A0E54"/>
    <w:rsid w:val="000A453A"/>
    <w:rsid w:val="000C0CDB"/>
    <w:rsid w:val="000C2760"/>
    <w:rsid w:val="000D082C"/>
    <w:rsid w:val="000E129E"/>
    <w:rsid w:val="000E2832"/>
    <w:rsid w:val="00113DF8"/>
    <w:rsid w:val="00142C14"/>
    <w:rsid w:val="001857AB"/>
    <w:rsid w:val="001D12CF"/>
    <w:rsid w:val="001F7917"/>
    <w:rsid w:val="00200BDE"/>
    <w:rsid w:val="00212263"/>
    <w:rsid w:val="00231FA1"/>
    <w:rsid w:val="0028134D"/>
    <w:rsid w:val="0029217B"/>
    <w:rsid w:val="002D627A"/>
    <w:rsid w:val="002E14D3"/>
    <w:rsid w:val="002E33E2"/>
    <w:rsid w:val="00334D68"/>
    <w:rsid w:val="003547E9"/>
    <w:rsid w:val="00371C11"/>
    <w:rsid w:val="00376075"/>
    <w:rsid w:val="00385D29"/>
    <w:rsid w:val="003A6069"/>
    <w:rsid w:val="003D1617"/>
    <w:rsid w:val="003D47B6"/>
    <w:rsid w:val="00476584"/>
    <w:rsid w:val="004B0C43"/>
    <w:rsid w:val="004C30DE"/>
    <w:rsid w:val="005242F6"/>
    <w:rsid w:val="00525ACA"/>
    <w:rsid w:val="005378A5"/>
    <w:rsid w:val="00584BF6"/>
    <w:rsid w:val="005B56DB"/>
    <w:rsid w:val="005C2B13"/>
    <w:rsid w:val="005D4867"/>
    <w:rsid w:val="006024BB"/>
    <w:rsid w:val="006033E3"/>
    <w:rsid w:val="006204E4"/>
    <w:rsid w:val="00622C24"/>
    <w:rsid w:val="00682858"/>
    <w:rsid w:val="0068651B"/>
    <w:rsid w:val="00693257"/>
    <w:rsid w:val="006D1109"/>
    <w:rsid w:val="00701B20"/>
    <w:rsid w:val="00710B6E"/>
    <w:rsid w:val="007321ED"/>
    <w:rsid w:val="007440E5"/>
    <w:rsid w:val="00760AB9"/>
    <w:rsid w:val="00784927"/>
    <w:rsid w:val="00797C7B"/>
    <w:rsid w:val="007F25C7"/>
    <w:rsid w:val="00805F77"/>
    <w:rsid w:val="008238D1"/>
    <w:rsid w:val="008255D7"/>
    <w:rsid w:val="0087318F"/>
    <w:rsid w:val="0088179F"/>
    <w:rsid w:val="0088738F"/>
    <w:rsid w:val="008B03F6"/>
    <w:rsid w:val="0098317C"/>
    <w:rsid w:val="009B4C2D"/>
    <w:rsid w:val="009E16D8"/>
    <w:rsid w:val="009F69A7"/>
    <w:rsid w:val="00A34E25"/>
    <w:rsid w:val="00A4199B"/>
    <w:rsid w:val="00A56273"/>
    <w:rsid w:val="00A73668"/>
    <w:rsid w:val="00AC3E02"/>
    <w:rsid w:val="00AE4FB1"/>
    <w:rsid w:val="00AF751B"/>
    <w:rsid w:val="00B7262B"/>
    <w:rsid w:val="00B762B0"/>
    <w:rsid w:val="00B96A7F"/>
    <w:rsid w:val="00BE6531"/>
    <w:rsid w:val="00BE7EA5"/>
    <w:rsid w:val="00C8796B"/>
    <w:rsid w:val="00CB3A5D"/>
    <w:rsid w:val="00CB3F2A"/>
    <w:rsid w:val="00CC1897"/>
    <w:rsid w:val="00D04409"/>
    <w:rsid w:val="00D11666"/>
    <w:rsid w:val="00D232B6"/>
    <w:rsid w:val="00D50A2F"/>
    <w:rsid w:val="00D77905"/>
    <w:rsid w:val="00D81759"/>
    <w:rsid w:val="00D86BCD"/>
    <w:rsid w:val="00D95932"/>
    <w:rsid w:val="00DA2F6B"/>
    <w:rsid w:val="00DA66C0"/>
    <w:rsid w:val="00DD0B48"/>
    <w:rsid w:val="00DD62F1"/>
    <w:rsid w:val="00DD6A96"/>
    <w:rsid w:val="00DE6E13"/>
    <w:rsid w:val="00E1788F"/>
    <w:rsid w:val="00E52A12"/>
    <w:rsid w:val="00ED761D"/>
    <w:rsid w:val="00EF3BF2"/>
    <w:rsid w:val="00F47FE2"/>
    <w:rsid w:val="00F55290"/>
    <w:rsid w:val="00FA3E03"/>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866622"/>
  <w15:docId w15:val="{F77EF92C-7A83-4B43-A2C0-D05F3B7D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UnresolvedMention">
    <w:name w:val="Unresolved Mention"/>
    <w:basedOn w:val="DefaultParagraphFont"/>
    <w:uiPriority w:val="99"/>
    <w:semiHidden/>
    <w:unhideWhenUsed/>
    <w:rsid w:val="00CB3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scrutiny/scrutiny_digest/2021/PDF/d03_2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gov.au/Parliamentary_Business/Committees/Senate/Scrutiny_of_Delegated_Legislation/Scrutiny_of_COVID-19_instru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regord_ctte/mon2021/Monitor_3_of_2021.pdf" TargetMode="External"/><Relationship Id="rId5" Type="http://schemas.openxmlformats.org/officeDocument/2006/relationships/webSettings" Target="web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media/Committees/Senate/committee/scrutiny/scrutiny_digest/2021/PDF/d03_2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hyperlink" Target="https://www.aph.gov.au/-/media/Committees/Senate/committee/regord_ctte/mon2021/Monitor_3_of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0%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BB64-0223-40E4-B65B-95E4DC39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 NEW.dotx</Template>
  <TotalTime>8</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Ryall, Glenn (SEN)</cp:lastModifiedBy>
  <cp:revision>3</cp:revision>
  <dcterms:created xsi:type="dcterms:W3CDTF">2021-02-19T04:51:00Z</dcterms:created>
  <dcterms:modified xsi:type="dcterms:W3CDTF">2021-02-19T04:59:00Z</dcterms:modified>
</cp:coreProperties>
</file>