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84B3B" w14:textId="1D205184" w:rsidR="00BE7EA5" w:rsidRPr="001611EF" w:rsidRDefault="000F2785" w:rsidP="00805F77">
      <w:pPr>
        <w:pStyle w:val="Date-SNews"/>
        <w:rPr>
          <w:i/>
          <w:iCs/>
          <w:sz w:val="22"/>
          <w:lang w:val="en-GB"/>
        </w:rPr>
      </w:pPr>
      <w:r>
        <w:rPr>
          <w:lang w:val="en-GB"/>
        </w:rPr>
        <w:t>4</w:t>
      </w:r>
      <w:r w:rsidR="00BE7EA5">
        <w:rPr>
          <w:lang w:val="en-GB"/>
        </w:rPr>
        <w:t xml:space="preserve"> </w:t>
      </w:r>
      <w:r w:rsidR="00353BF2">
        <w:rPr>
          <w:lang w:val="en-GB"/>
        </w:rPr>
        <w:t>September</w:t>
      </w:r>
      <w:r w:rsidR="00FD0BD6">
        <w:rPr>
          <w:lang w:val="en-GB"/>
        </w:rPr>
        <w:t xml:space="preserve"> 2020</w:t>
      </w:r>
    </w:p>
    <w:p w14:paraId="40CB0900" w14:textId="77777777" w:rsidR="00BE7EA5" w:rsidRDefault="00BE7EA5" w:rsidP="00016603">
      <w:pPr>
        <w:pStyle w:val="Heading1"/>
        <w:spacing w:before="240" w:after="120"/>
        <w:rPr>
          <w:lang w:val="en-GB"/>
        </w:rPr>
      </w:pPr>
      <w:r>
        <w:rPr>
          <w:lang w:val="en-GB"/>
        </w:rPr>
        <w:t>Introduction</w:t>
      </w:r>
    </w:p>
    <w:p w14:paraId="48251480" w14:textId="490EA253"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w:t>
      </w:r>
      <w:r w:rsidR="00C23B67">
        <w:rPr>
          <w:lang w:val="en-GB"/>
        </w:rPr>
        <w:t>’</w:t>
      </w:r>
      <w:r>
        <w:rPr>
          <w:lang w:val="en-GB"/>
        </w:rPr>
        <w:t xml:space="preserve"> scrutiny principles (see Senate Standing Orders 23 and 24).</w:t>
      </w:r>
    </w:p>
    <w:p w14:paraId="519041A0" w14:textId="2254BCBE" w:rsidR="00BE7EA5" w:rsidRPr="00385D29" w:rsidRDefault="00BE7EA5" w:rsidP="00385D29">
      <w:r w:rsidRPr="00BE7EA5">
        <w:rPr>
          <w:lang w:val="en-GB"/>
        </w:rPr>
        <w:t xml:space="preserve">For more detail and discussion of these matters see the </w:t>
      </w:r>
      <w:r w:rsidRPr="00385D29">
        <w:t>committees</w:t>
      </w:r>
      <w:r w:rsidR="00C23B67">
        <w:t>’</w:t>
      </w:r>
      <w:r w:rsidRPr="00385D29">
        <w:t xml:space="preserve">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263269C6" w14:textId="77777777" w:rsidR="00353BF2" w:rsidRPr="00353BF2" w:rsidRDefault="00353BF2" w:rsidP="00353BF2">
      <w:pPr>
        <w:spacing w:before="360" w:after="60" w:line="240" w:lineRule="auto"/>
        <w:ind w:right="0"/>
        <w:outlineLvl w:val="0"/>
        <w:rPr>
          <w:rFonts w:ascii="Calibri" w:eastAsia="Times New Roman" w:hAnsi="Calibri"/>
          <w:b/>
          <w:bCs/>
          <w:color w:val="AB112D"/>
          <w:sz w:val="28"/>
          <w:szCs w:val="26"/>
        </w:rPr>
      </w:pPr>
      <w:r w:rsidRPr="00353BF2">
        <w:rPr>
          <w:rFonts w:ascii="Calibri" w:eastAsia="Times New Roman" w:hAnsi="Calibri"/>
          <w:b/>
          <w:bCs/>
          <w:color w:val="AB112D"/>
          <w:sz w:val="28"/>
          <w:szCs w:val="26"/>
        </w:rPr>
        <w:t>Scrutiny of COVID-19 related legislation</w:t>
      </w:r>
    </w:p>
    <w:p w14:paraId="771091D1" w14:textId="7307C23B" w:rsidR="00353BF2" w:rsidRPr="00353BF2" w:rsidRDefault="00353BF2" w:rsidP="005E7F3C">
      <w:pPr>
        <w:spacing w:before="60"/>
      </w:pPr>
      <w:r w:rsidRPr="00353BF2">
        <w:t xml:space="preserve">The Scrutiny of Delegated Legislation Committee has continued to list all delegated legislation made in response to COVID-19 on its </w:t>
      </w:r>
      <w:hyperlink r:id="rId11" w:history="1">
        <w:r w:rsidRPr="00353BF2">
          <w:rPr>
            <w:color w:val="17365D" w:themeColor="text2" w:themeShade="BF"/>
            <w:u w:val="single"/>
          </w:rPr>
          <w:t>website</w:t>
        </w:r>
      </w:hyperlink>
      <w:r w:rsidRPr="00353BF2">
        <w:t xml:space="preserve">. As of </w:t>
      </w:r>
      <w:r w:rsidR="004A3706">
        <w:t>1 September</w:t>
      </w:r>
      <w:r w:rsidR="00891670">
        <w:t xml:space="preserve"> </w:t>
      </w:r>
      <w:r w:rsidRPr="00353BF2">
        <w:t>2</w:t>
      </w:r>
      <w:r w:rsidRPr="00577CF7">
        <w:t xml:space="preserve">020, </w:t>
      </w:r>
      <w:r w:rsidR="004A3706" w:rsidRPr="00577CF7">
        <w:t>278</w:t>
      </w:r>
      <w:r w:rsidR="000F2785">
        <w:t> </w:t>
      </w:r>
      <w:r w:rsidRPr="00577CF7">
        <w:t xml:space="preserve">legislative instruments have been made, of which </w:t>
      </w:r>
      <w:r w:rsidR="004A3706" w:rsidRPr="00577CF7">
        <w:t>16.5</w:t>
      </w:r>
      <w:r w:rsidRPr="00577CF7">
        <w:t>% are exempt</w:t>
      </w:r>
      <w:r w:rsidRPr="00353BF2">
        <w:t xml:space="preserve"> from disallowance and scrutiny by the committee. </w:t>
      </w:r>
    </w:p>
    <w:p w14:paraId="51B6E44E" w14:textId="77777777" w:rsidR="00353BF2" w:rsidRPr="00353BF2" w:rsidRDefault="00353BF2" w:rsidP="00353BF2">
      <w:pPr>
        <w:spacing w:before="360" w:after="60" w:line="240" w:lineRule="auto"/>
        <w:ind w:right="0"/>
        <w:outlineLvl w:val="0"/>
        <w:rPr>
          <w:rFonts w:ascii="Calibri" w:eastAsia="Times New Roman" w:hAnsi="Calibri"/>
          <w:b/>
          <w:bCs/>
          <w:color w:val="AB112D"/>
          <w:sz w:val="28"/>
          <w:szCs w:val="28"/>
          <w:lang w:val="en-GB"/>
        </w:rPr>
      </w:pPr>
      <w:r w:rsidRPr="00353BF2">
        <w:rPr>
          <w:rFonts w:ascii="Calibri" w:eastAsia="Times New Roman" w:hAnsi="Calibri"/>
          <w:b/>
          <w:bCs/>
          <w:color w:val="AB112D"/>
          <w:sz w:val="28"/>
          <w:szCs w:val="28"/>
          <w:lang w:val="en-GB"/>
        </w:rPr>
        <w:t>Highlights</w:t>
      </w:r>
    </w:p>
    <w:p w14:paraId="70615508" w14:textId="0ACB6DB9" w:rsidR="00353BF2" w:rsidRPr="00353BF2" w:rsidRDefault="007526D0" w:rsidP="005E7F3C">
      <w:pPr>
        <w:spacing w:before="60"/>
        <w:rPr>
          <w:lang w:val="en-GB"/>
        </w:rPr>
      </w:pPr>
      <w:r>
        <w:rPr>
          <w:lang w:val="en-GB"/>
        </w:rPr>
        <w:t xml:space="preserve">On 3 September 2020 the Scrutiny of Delegated Legislation Committee </w:t>
      </w:r>
      <w:r w:rsidR="000F2785">
        <w:rPr>
          <w:lang w:val="en-GB"/>
        </w:rPr>
        <w:t>held</w:t>
      </w:r>
      <w:r>
        <w:rPr>
          <w:lang w:val="en-GB"/>
        </w:rPr>
        <w:t xml:space="preserve"> its third </w:t>
      </w:r>
      <w:hyperlink r:id="rId12" w:history="1">
        <w:r w:rsidRPr="00813ED6">
          <w:rPr>
            <w:rStyle w:val="Hyperlink"/>
            <w:lang w:val="en-GB"/>
          </w:rPr>
          <w:t>public hearing</w:t>
        </w:r>
      </w:hyperlink>
      <w:r w:rsidRPr="007526D0">
        <w:t xml:space="preserve"> </w:t>
      </w:r>
      <w:r>
        <w:t xml:space="preserve">to inform </w:t>
      </w:r>
      <w:r w:rsidRPr="00F23F1F">
        <w:rPr>
          <w:lang w:val="en-GB"/>
        </w:rPr>
        <w:t xml:space="preserve">its </w:t>
      </w:r>
      <w:hyperlink r:id="rId13" w:history="1">
        <w:r w:rsidRPr="00F23F1F">
          <w:rPr>
            <w:rStyle w:val="Hyperlink"/>
            <w:lang w:val="en-GB"/>
          </w:rPr>
          <w:t>inquiry</w:t>
        </w:r>
      </w:hyperlink>
      <w:r w:rsidRPr="00F23F1F">
        <w:rPr>
          <w:lang w:val="en-GB"/>
        </w:rPr>
        <w:t xml:space="preserve"> into the exemption of delegated legislation from parliamentary oversight.</w:t>
      </w:r>
      <w:r>
        <w:rPr>
          <w:lang w:val="en-GB"/>
        </w:rPr>
        <w:t xml:space="preserve"> </w:t>
      </w:r>
      <w:r w:rsidR="000F2785">
        <w:rPr>
          <w:lang w:val="en-GB"/>
        </w:rPr>
        <w:t>A recording of the hearing may be viewed</w:t>
      </w:r>
      <w:r>
        <w:rPr>
          <w:lang w:val="en-GB"/>
        </w:rPr>
        <w:t xml:space="preserve"> </w:t>
      </w:r>
      <w:hyperlink r:id="rId14" w:history="1">
        <w:r w:rsidRPr="00F23F1F">
          <w:rPr>
            <w:rStyle w:val="Hyperlink"/>
            <w:lang w:val="en-GB"/>
          </w:rPr>
          <w:t>here</w:t>
        </w:r>
      </w:hyperlink>
      <w:r w:rsidR="000F2785">
        <w:t xml:space="preserve">, </w:t>
      </w:r>
      <w:r w:rsidRPr="007526D0">
        <w:t>a</w:t>
      </w:r>
      <w:r>
        <w:t xml:space="preserve">nd transcripts of </w:t>
      </w:r>
      <w:r w:rsidR="000F2785">
        <w:t xml:space="preserve">all </w:t>
      </w:r>
      <w:r>
        <w:t xml:space="preserve">past hearings will be available </w:t>
      </w:r>
      <w:hyperlink r:id="rId15" w:history="1">
        <w:r w:rsidRPr="007526D0">
          <w:rPr>
            <w:rStyle w:val="Hyperlink"/>
          </w:rPr>
          <w:t>her</w:t>
        </w:r>
        <w:r w:rsidRPr="007526D0">
          <w:rPr>
            <w:rStyle w:val="Hyperlink"/>
          </w:rPr>
          <w:t>e</w:t>
        </w:r>
      </w:hyperlink>
      <w:r>
        <w:t>.</w:t>
      </w:r>
    </w:p>
    <w:p w14:paraId="610805CC" w14:textId="57F440A9"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6" w:history="1">
        <w:r w:rsidR="00EF3BF2" w:rsidRPr="000F2785">
          <w:rPr>
            <w:rStyle w:val="Hyperlink"/>
            <w:i/>
            <w:iCs/>
            <w:sz w:val="20"/>
            <w:szCs w:val="20"/>
            <w:lang w:val="en-GB"/>
          </w:rPr>
          <w:t>Scrutiny Digest</w:t>
        </w:r>
        <w:r w:rsidRPr="000F2785">
          <w:rPr>
            <w:rStyle w:val="Hyperlink"/>
            <w:i/>
            <w:iCs/>
            <w:sz w:val="20"/>
            <w:szCs w:val="20"/>
            <w:lang w:val="en-GB"/>
          </w:rPr>
          <w:t xml:space="preserve"> </w:t>
        </w:r>
        <w:r w:rsidR="00353BF2" w:rsidRPr="000F2785">
          <w:rPr>
            <w:rStyle w:val="Hyperlink"/>
            <w:i/>
            <w:iCs/>
            <w:sz w:val="20"/>
            <w:szCs w:val="20"/>
            <w:lang w:val="en-GB"/>
          </w:rPr>
          <w:t>11</w:t>
        </w:r>
        <w:r w:rsidR="00FD0BD6" w:rsidRPr="000F2785">
          <w:rPr>
            <w:rStyle w:val="Hyperlink"/>
            <w:i/>
            <w:iCs/>
            <w:sz w:val="20"/>
            <w:szCs w:val="20"/>
            <w:lang w:val="en-GB"/>
          </w:rPr>
          <w:t xml:space="preserve"> of 2020</w:t>
        </w:r>
      </w:hyperlink>
      <w:r w:rsidRPr="00A56273">
        <w:rPr>
          <w:sz w:val="20"/>
          <w:szCs w:val="20"/>
          <w:lang w:val="en-GB"/>
        </w:rPr>
        <w:t>)</w:t>
      </w:r>
    </w:p>
    <w:p w14:paraId="0BD3408C" w14:textId="7BCBEFD7" w:rsidR="00BE7EA5" w:rsidRPr="00B23221" w:rsidRDefault="00194A66" w:rsidP="00016603">
      <w:pPr>
        <w:pStyle w:val="Heading2"/>
        <w:spacing w:before="120"/>
        <w:rPr>
          <w:i/>
          <w:iCs/>
          <w:szCs w:val="32"/>
          <w:lang w:val="en-GB"/>
        </w:rPr>
      </w:pPr>
      <w:r>
        <w:t>Migration</w:t>
      </w:r>
      <w:r w:rsidR="00C13DD7">
        <w:t xml:space="preserve"> Amendment (Prohibiting Items in Immigration Detention Facilities)</w:t>
      </w:r>
      <w:r>
        <w:t xml:space="preserve"> </w:t>
      </w:r>
      <w:r w:rsidR="00BE7EA5">
        <w:t xml:space="preserve">Bill </w:t>
      </w:r>
      <w:r w:rsidR="00622C24">
        <w:t>20</w:t>
      </w:r>
      <w:r w:rsidR="007440E5">
        <w:t>20</w:t>
      </w:r>
      <w:r w:rsidR="00BE7EA5">
        <w:t xml:space="preserve"> </w:t>
      </w:r>
    </w:p>
    <w:p w14:paraId="389B3AC2" w14:textId="77777777" w:rsidR="00C13DD7" w:rsidRDefault="00C13DD7" w:rsidP="005E7F3C">
      <w:pPr>
        <w:pStyle w:val="ListParagraph"/>
        <w:ind w:left="567"/>
      </w:pPr>
      <w:r>
        <w:rPr>
          <w:i/>
          <w:u w:val="single"/>
        </w:rPr>
        <w:t>Personal rights and liberties</w:t>
      </w:r>
      <w:r w:rsidR="00BE7EA5" w:rsidRPr="00270C76">
        <w:t xml:space="preserve">: </w:t>
      </w:r>
      <w:r w:rsidR="00BE7EA5">
        <w:t xml:space="preserve">the </w:t>
      </w:r>
      <w:r w:rsidR="00BE7EA5" w:rsidRPr="00805F77">
        <w:t>committee</w:t>
      </w:r>
      <w:r w:rsidR="00BE7EA5">
        <w:t xml:space="preserve"> </w:t>
      </w:r>
      <w:r>
        <w:t>leaves to the Senate the appropriateness of broadly extending powers for the search and seizure of items in immigration detention facilities.</w:t>
      </w:r>
    </w:p>
    <w:p w14:paraId="69993228" w14:textId="77777777" w:rsidR="00C13DD7" w:rsidRDefault="00C13DD7" w:rsidP="005E7F3C">
      <w:pPr>
        <w:pStyle w:val="ListParagraph"/>
        <w:ind w:left="567"/>
      </w:pPr>
      <w:r>
        <w:rPr>
          <w:i/>
          <w:u w:val="single"/>
        </w:rPr>
        <w:t>Significant matters in delegated legislation</w:t>
      </w:r>
      <w:r w:rsidRPr="00C23B67">
        <w:t>:</w:t>
      </w:r>
      <w:r>
        <w:t xml:space="preserve"> the committee leaves to the Senate the appropriateness of allowing the minister to determine, by legislative instrument, what things are to be prohibited in immigration detention facilities.</w:t>
      </w:r>
    </w:p>
    <w:p w14:paraId="6C0E976B" w14:textId="77777777" w:rsidR="00392182" w:rsidRDefault="00C13DD7" w:rsidP="005E7F3C">
      <w:pPr>
        <w:pStyle w:val="ListParagraph"/>
        <w:ind w:left="567"/>
      </w:pPr>
      <w:r>
        <w:rPr>
          <w:i/>
          <w:u w:val="single"/>
        </w:rPr>
        <w:t>Broad discretionary power</w:t>
      </w:r>
      <w:r w:rsidRPr="00C23B67">
        <w:t>: the</w:t>
      </w:r>
      <w:r>
        <w:t xml:space="preserve"> committee leaves to the Senate the appropriateness of providing the minister with broad discretionary powers to require an authorised officer to exercise seizure powers via non-disallowable legislative instrument</w:t>
      </w:r>
      <w:r w:rsidR="00392182">
        <w:t>.</w:t>
      </w:r>
    </w:p>
    <w:p w14:paraId="426001BE" w14:textId="4C9A101A" w:rsidR="00BE7EA5" w:rsidRPr="00FE00B0" w:rsidRDefault="00392182" w:rsidP="005E7F3C">
      <w:pPr>
        <w:pStyle w:val="ListParagraph"/>
        <w:ind w:left="567"/>
      </w:pPr>
      <w:r>
        <w:rPr>
          <w:i/>
          <w:u w:val="single"/>
        </w:rPr>
        <w:lastRenderedPageBreak/>
        <w:t>Delegation of administrative powers</w:t>
      </w:r>
      <w:r w:rsidRPr="00C23B67">
        <w:t xml:space="preserve">: </w:t>
      </w:r>
      <w:r>
        <w:t xml:space="preserve">the committee leaves to the Senate the appropriateness of allowing authorised </w:t>
      </w:r>
      <w:r w:rsidR="00C23B67">
        <w:t>officers and authorised officer’</w:t>
      </w:r>
      <w:r>
        <w:t>s assistants to exercise coercive powers in circumstances where there is no legislative guidance requiring such persons to have the appropriate qualifications and expertise.</w:t>
      </w:r>
      <w:r w:rsidR="00C13DD7">
        <w:t xml:space="preserve"> </w:t>
      </w:r>
      <w:r w:rsidR="00BE7EA5">
        <w:t xml:space="preserve"> </w:t>
      </w:r>
    </w:p>
    <w:p w14:paraId="635737CB" w14:textId="32BA781B"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7" w:history="1">
        <w:r w:rsidRPr="000F2785">
          <w:rPr>
            <w:rStyle w:val="Hyperlink"/>
            <w:i/>
            <w:sz w:val="20"/>
            <w:szCs w:val="20"/>
          </w:rPr>
          <w:t>Delegated</w:t>
        </w:r>
        <w:r w:rsidR="00B7262B" w:rsidRPr="000F2785">
          <w:rPr>
            <w:rStyle w:val="Hyperlink"/>
            <w:i/>
            <w:sz w:val="20"/>
            <w:szCs w:val="20"/>
          </w:rPr>
          <w:t xml:space="preserve"> Legislation M</w:t>
        </w:r>
        <w:r w:rsidRPr="000F2785">
          <w:rPr>
            <w:rStyle w:val="Hyperlink"/>
            <w:i/>
            <w:sz w:val="20"/>
            <w:szCs w:val="20"/>
          </w:rPr>
          <w:t xml:space="preserve">onitor </w:t>
        </w:r>
        <w:r w:rsidR="00353BF2" w:rsidRPr="000F2785">
          <w:rPr>
            <w:rStyle w:val="Hyperlink"/>
            <w:i/>
            <w:sz w:val="20"/>
            <w:szCs w:val="20"/>
          </w:rPr>
          <w:t>10</w:t>
        </w:r>
        <w:r w:rsidR="00FD0BD6" w:rsidRPr="000F2785">
          <w:rPr>
            <w:rStyle w:val="Hyperlink"/>
            <w:i/>
            <w:sz w:val="20"/>
            <w:szCs w:val="20"/>
          </w:rPr>
          <w:t xml:space="preserve"> of 2020</w:t>
        </w:r>
      </w:hyperlink>
      <w:r w:rsidRPr="00D232B6">
        <w:rPr>
          <w:i/>
          <w:sz w:val="20"/>
          <w:szCs w:val="20"/>
        </w:rPr>
        <w:t>)</w:t>
      </w:r>
    </w:p>
    <w:p w14:paraId="2404617B" w14:textId="165FE631" w:rsidR="00BE7EA5" w:rsidRPr="00B23221" w:rsidRDefault="007267B7" w:rsidP="00016603">
      <w:pPr>
        <w:pStyle w:val="Heading2"/>
        <w:spacing w:before="120"/>
        <w:rPr>
          <w:i/>
          <w:iCs/>
          <w:sz w:val="32"/>
          <w:szCs w:val="32"/>
          <w:lang w:val="en-GB"/>
        </w:rPr>
      </w:pPr>
      <w:r w:rsidRPr="00FF4DE6">
        <w:rPr>
          <w:bCs w:val="0"/>
          <w:color w:val="auto"/>
          <w:lang w:eastAsia="en-AU"/>
        </w:rPr>
        <w:t>Australian Postal Corporation (Performance Standard</w:t>
      </w:r>
      <w:r w:rsidR="000F2785">
        <w:rPr>
          <w:bCs w:val="0"/>
          <w:color w:val="auto"/>
          <w:lang w:eastAsia="en-AU"/>
        </w:rPr>
        <w:t>s) Amendment (2020 Measures No. </w:t>
      </w:r>
      <w:r w:rsidRPr="00FF4DE6">
        <w:rPr>
          <w:bCs w:val="0"/>
          <w:color w:val="auto"/>
          <w:lang w:eastAsia="en-AU"/>
        </w:rPr>
        <w:t>1) Regulations 2020 [</w:t>
      </w:r>
      <w:hyperlink r:id="rId18" w:history="1">
        <w:r w:rsidRPr="00C23B67">
          <w:rPr>
            <w:rStyle w:val="Hyperlink"/>
            <w:bCs w:val="0"/>
            <w:lang w:eastAsia="en-AU"/>
          </w:rPr>
          <w:t>F2020L00579</w:t>
        </w:r>
      </w:hyperlink>
      <w:r w:rsidRPr="00FF4DE6">
        <w:rPr>
          <w:bCs w:val="0"/>
          <w:color w:val="auto"/>
          <w:lang w:eastAsia="en-AU"/>
        </w:rPr>
        <w:t>]</w:t>
      </w:r>
    </w:p>
    <w:p w14:paraId="571C7364" w14:textId="42EDA618" w:rsidR="00BE7EA5" w:rsidRPr="00FE00B0" w:rsidRDefault="007267B7" w:rsidP="005E7F3C">
      <w:pPr>
        <w:pStyle w:val="ListParagraph"/>
        <w:ind w:left="567"/>
      </w:pPr>
      <w:r>
        <w:rPr>
          <w:i/>
          <w:u w:val="single"/>
        </w:rPr>
        <w:t>Adequacy of consultation</w:t>
      </w:r>
      <w:r w:rsidR="00BE7EA5" w:rsidRPr="00FE00B0">
        <w:t>:</w:t>
      </w:r>
      <w:r w:rsidR="00BE7EA5">
        <w:t xml:space="preserve"> the committee </w:t>
      </w:r>
      <w:r w:rsidR="006B6929">
        <w:t xml:space="preserve">draws the Senate’s attention to the lack of consultation undertaken with persons likely to be affected by the instrument. Based on the minister’s </w:t>
      </w:r>
      <w:hyperlink r:id="rId19" w:history="1">
        <w:r w:rsidR="006B6929" w:rsidRPr="005E7F3C">
          <w:rPr>
            <w:rStyle w:val="Hyperlink"/>
          </w:rPr>
          <w:t>advice</w:t>
        </w:r>
      </w:hyperlink>
      <w:r w:rsidR="006B6929">
        <w:t xml:space="preserve"> that consultation will be undertaken in </w:t>
      </w:r>
      <w:r w:rsidR="00C23B67">
        <w:t>a</w:t>
      </w:r>
      <w:r w:rsidR="006B6929">
        <w:t xml:space="preserve"> future review of the instrument, the committee has resolved to</w:t>
      </w:r>
      <w:r w:rsidR="00152349">
        <w:t xml:space="preserve"> give a notice of motion to disallow the instrument on the last day notice can be given, and </w:t>
      </w:r>
      <w:r w:rsidR="00C23B67">
        <w:t xml:space="preserve">to </w:t>
      </w:r>
      <w:r w:rsidR="00152349">
        <w:t xml:space="preserve">request updates from the minister on the progress of that consultation, to assist </w:t>
      </w:r>
      <w:r w:rsidR="00D87EE1">
        <w:t>the committee</w:t>
      </w:r>
      <w:r w:rsidR="00152349">
        <w:t xml:space="preserve"> in deciding whether to proceed with the motion. </w:t>
      </w:r>
    </w:p>
    <w:p w14:paraId="4726BAC2" w14:textId="25C3F02A" w:rsidR="0065610C" w:rsidRDefault="0065610C" w:rsidP="0065610C">
      <w:pPr>
        <w:pStyle w:val="Heading2"/>
      </w:pPr>
      <w:r w:rsidRPr="00E21736">
        <w:t>Competition and Consumer (Industry Codes—Dairy) Regulations 2019 [</w:t>
      </w:r>
      <w:hyperlink r:id="rId20" w:history="1">
        <w:r w:rsidRPr="00C23B67">
          <w:rPr>
            <w:rStyle w:val="Hyperlink"/>
          </w:rPr>
          <w:t>F2019L01610</w:t>
        </w:r>
      </w:hyperlink>
      <w:r w:rsidRPr="00E21736">
        <w:t>]</w:t>
      </w:r>
    </w:p>
    <w:p w14:paraId="29B8AEDB" w14:textId="7786E18F" w:rsidR="007267B7" w:rsidRDefault="0065610C" w:rsidP="005E7F3C">
      <w:pPr>
        <w:pStyle w:val="ListParagraph"/>
        <w:numPr>
          <w:ilvl w:val="0"/>
          <w:numId w:val="15"/>
        </w:numPr>
        <w:ind w:left="567" w:hanging="284"/>
      </w:pPr>
      <w:r w:rsidRPr="00CA2F19">
        <w:rPr>
          <w:i/>
          <w:u w:val="single"/>
        </w:rPr>
        <w:t>Clarity of drafting; significant penalties</w:t>
      </w:r>
      <w:r>
        <w:rPr>
          <w:i/>
          <w:u w:val="single"/>
        </w:rPr>
        <w:t xml:space="preserve"> in delegated legislation</w:t>
      </w:r>
      <w:r w:rsidRPr="00620631">
        <w:t xml:space="preserve">: </w:t>
      </w:r>
      <w:r>
        <w:t xml:space="preserve">the </w:t>
      </w:r>
      <w:r w:rsidR="00E46E74">
        <w:t>committee draws the Senate’</w:t>
      </w:r>
      <w:r>
        <w:t>s attention to its significant scrutiny concerns about the imposition of significant civil penalties for failure to act in accordance with a term undefined in the written law</w:t>
      </w:r>
      <w:r w:rsidR="00BA198F">
        <w:t xml:space="preserve"> (</w:t>
      </w:r>
      <w:r w:rsidR="00E46E74">
        <w:t>‘</w:t>
      </w:r>
      <w:r w:rsidR="00BA198F">
        <w:t>good faith</w:t>
      </w:r>
      <w:r w:rsidR="00E46E74">
        <w:t>’</w:t>
      </w:r>
      <w:r w:rsidR="00BA198F">
        <w:t>)</w:t>
      </w:r>
      <w:r>
        <w:t xml:space="preserve">. Noting that this is a complex, systemic issue, the committee has resolved to withdraw its notice of motion to disallow the instrument, following the Attorney-General’s </w:t>
      </w:r>
      <w:hyperlink r:id="rId21" w:history="1">
        <w:r w:rsidRPr="005E7F3C">
          <w:rPr>
            <w:rStyle w:val="Hyperlink"/>
          </w:rPr>
          <w:t>undertaking</w:t>
        </w:r>
      </w:hyperlink>
      <w:r>
        <w:t xml:space="preserve"> to further inquire into this issue across Commonwealth legislation. The committee has also resolved to draw its</w:t>
      </w:r>
      <w:r w:rsidR="009245E6">
        <w:t xml:space="preserve"> scrutiny</w:t>
      </w:r>
      <w:r>
        <w:t xml:space="preserve"> concerns to the attention of the Australian Competition and Consumer Commission. </w:t>
      </w:r>
    </w:p>
    <w:p w14:paraId="213C759D" w14:textId="77777777" w:rsidR="00E46E74" w:rsidRPr="007267B7" w:rsidRDefault="00E46E74" w:rsidP="00E46E74">
      <w:pPr>
        <w:pStyle w:val="Heading2"/>
      </w:pPr>
      <w:r w:rsidRPr="009633A5">
        <w:t xml:space="preserve">Coronavirus Economic Response Package (Deferral of </w:t>
      </w:r>
      <w:proofErr w:type="spellStart"/>
      <w:r w:rsidRPr="009633A5">
        <w:t>Sunsetting</w:t>
      </w:r>
      <w:proofErr w:type="spellEnd"/>
      <w:r w:rsidRPr="009633A5">
        <w:t>—Income Management and Cashless Welfare Arrangements) Determination 2020 [</w:t>
      </w:r>
      <w:hyperlink r:id="rId22" w:history="1">
        <w:r w:rsidRPr="009633A5">
          <w:rPr>
            <w:rStyle w:val="Hyperlink"/>
          </w:rPr>
          <w:t>F2020L00572</w:t>
        </w:r>
      </w:hyperlink>
      <w:r w:rsidRPr="009633A5">
        <w:t>]</w:t>
      </w:r>
    </w:p>
    <w:p w14:paraId="2778C51B" w14:textId="67802D7C" w:rsidR="00E46E74" w:rsidRDefault="00E46E74" w:rsidP="005E7F3C">
      <w:pPr>
        <w:pStyle w:val="ListParagraph"/>
        <w:ind w:left="567" w:hanging="283"/>
      </w:pPr>
      <w:r>
        <w:rPr>
          <w:i/>
          <w:u w:val="single"/>
        </w:rPr>
        <w:t>Modification of primary legislation; parliamentary oversight</w:t>
      </w:r>
      <w:r w:rsidRPr="00FE00B0">
        <w:t>:</w:t>
      </w:r>
      <w:r>
        <w:t xml:space="preserve"> the committee draws the Senate’s attention to the use of delegated legislation to extend the sunset dates for the cashless debit card trials, where previous extensions have appropriately been made through primary legislation. Based on the </w:t>
      </w:r>
      <w:hyperlink r:id="rId23" w:history="1">
        <w:r w:rsidRPr="005E7F3C">
          <w:rPr>
            <w:rStyle w:val="Hyperlink"/>
          </w:rPr>
          <w:t>reasons</w:t>
        </w:r>
      </w:hyperlink>
      <w:r>
        <w:t xml:space="preserve"> provided by the minister for the delay in bringing the relevant </w:t>
      </w:r>
      <w:hyperlink r:id="rId24" w:history="1">
        <w:r w:rsidRPr="00D56734">
          <w:rPr>
            <w:rStyle w:val="Hyperlink"/>
          </w:rPr>
          <w:t>bill</w:t>
        </w:r>
      </w:hyperlink>
      <w:r>
        <w:t xml:space="preserve"> to extend the sunset dates before the Senate, the committee has resolved to postpone consideration of its disallowance motion until 8 October 2020, pending further updates from the minister about progress made in scheduling the bill for debate in the Senate.</w:t>
      </w:r>
    </w:p>
    <w:p w14:paraId="095AB63A" w14:textId="1F2003E0"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25" w:history="1">
        <w:r w:rsidRPr="000F2785">
          <w:rPr>
            <w:rStyle w:val="Hyperlink"/>
            <w:i/>
            <w:sz w:val="20"/>
            <w:szCs w:val="20"/>
          </w:rPr>
          <w:t>Scrutiny Di</w:t>
        </w:r>
        <w:r w:rsidR="00EF3BF2" w:rsidRPr="000F2785">
          <w:rPr>
            <w:rStyle w:val="Hyperlink"/>
            <w:i/>
            <w:sz w:val="20"/>
            <w:szCs w:val="20"/>
          </w:rPr>
          <w:t>gest</w:t>
        </w:r>
        <w:r w:rsidRPr="000F2785">
          <w:rPr>
            <w:rStyle w:val="Hyperlink"/>
            <w:i/>
            <w:sz w:val="20"/>
            <w:szCs w:val="20"/>
          </w:rPr>
          <w:t xml:space="preserve"> </w:t>
        </w:r>
        <w:r w:rsidR="00353BF2" w:rsidRPr="000F2785">
          <w:rPr>
            <w:rStyle w:val="Hyperlink"/>
            <w:i/>
            <w:sz w:val="20"/>
            <w:szCs w:val="20"/>
          </w:rPr>
          <w:t>11</w:t>
        </w:r>
        <w:r w:rsidR="00FD0BD6" w:rsidRPr="000F2785">
          <w:rPr>
            <w:rStyle w:val="Hyperlink"/>
            <w:i/>
            <w:sz w:val="20"/>
            <w:szCs w:val="20"/>
          </w:rPr>
          <w:t xml:space="preserve"> of 2020</w:t>
        </w:r>
      </w:hyperlink>
      <w:r w:rsidRPr="00A56273">
        <w:rPr>
          <w:sz w:val="20"/>
          <w:szCs w:val="20"/>
        </w:rPr>
        <w:t>)</w:t>
      </w:r>
    </w:p>
    <w:p w14:paraId="780D83AB" w14:textId="06CFD81A" w:rsidR="00BE7EA5" w:rsidRPr="00805F77" w:rsidRDefault="00194A66" w:rsidP="005E7F3C">
      <w:pPr>
        <w:pStyle w:val="ListParagraph"/>
        <w:ind w:left="567"/>
      </w:pPr>
      <w:r w:rsidRPr="00194A66">
        <w:rPr>
          <w:b/>
          <w:bCs/>
        </w:rPr>
        <w:t xml:space="preserve">Civil Aviation Amendment (Unmanned Aircraft Levy Collection and Payment) </w:t>
      </w:r>
      <w:r w:rsidR="00622C24" w:rsidRPr="00194A66">
        <w:rPr>
          <w:b/>
          <w:bCs/>
        </w:rPr>
        <w:t>Bill 20</w:t>
      </w:r>
      <w:r w:rsidR="007440E5" w:rsidRPr="00194A66">
        <w:rPr>
          <w:b/>
          <w:bCs/>
        </w:rPr>
        <w:t>20</w:t>
      </w:r>
      <w:r w:rsidR="00BE7EA5" w:rsidRPr="00805F77">
        <w:t>:</w:t>
      </w:r>
      <w:r>
        <w:t xml:space="preserve"> </w:t>
      </w:r>
      <w:r w:rsidR="009245E6">
        <w:t>the committee is seeking advice regarding</w:t>
      </w:r>
      <w:r w:rsidR="009245E6">
        <w:t xml:space="preserve"> the appropriateness of</w:t>
      </w:r>
      <w:r w:rsidR="009245E6">
        <w:t xml:space="preserve"> leaving the circumstances in which the proposed unmanned aircraft levy is payable to delegated legislation</w:t>
      </w:r>
      <w:r>
        <w:t>.</w:t>
      </w:r>
    </w:p>
    <w:p w14:paraId="39812498" w14:textId="7EE18294" w:rsidR="00BE7EA5" w:rsidRPr="00805F77" w:rsidRDefault="00194A66" w:rsidP="005E7F3C">
      <w:pPr>
        <w:pStyle w:val="ListParagraph"/>
        <w:spacing w:before="0" w:after="60"/>
        <w:ind w:left="567"/>
      </w:pPr>
      <w:r w:rsidRPr="00194A66">
        <w:rPr>
          <w:b/>
          <w:bCs/>
        </w:rPr>
        <w:lastRenderedPageBreak/>
        <w:t xml:space="preserve">Civil Aviation (Unmanned Aircraft Levy) </w:t>
      </w:r>
      <w:r w:rsidR="00622C24" w:rsidRPr="00194A66">
        <w:rPr>
          <w:b/>
          <w:bCs/>
        </w:rPr>
        <w:t>Bill 20</w:t>
      </w:r>
      <w:r w:rsidR="007440E5" w:rsidRPr="00194A66">
        <w:rPr>
          <w:b/>
          <w:bCs/>
        </w:rPr>
        <w:t>20</w:t>
      </w:r>
      <w:r w:rsidR="00BE7EA5" w:rsidRPr="00194A66">
        <w:rPr>
          <w:b/>
          <w:bCs/>
        </w:rPr>
        <w:t>:</w:t>
      </w:r>
      <w:r w:rsidR="009245E6">
        <w:rPr>
          <w:b/>
          <w:bCs/>
        </w:rPr>
        <w:t xml:space="preserve"> </w:t>
      </w:r>
      <w:r w:rsidR="009245E6">
        <w:t>the committee leaves to the Senate the appropriateness of allowing the amount of unmanned aircraft levy to be prescribed in delegated legislation</w:t>
      </w:r>
      <w:r>
        <w:t>.</w:t>
      </w:r>
    </w:p>
    <w:p w14:paraId="2A659D3B" w14:textId="6DCC92DF" w:rsidR="00BE7EA5" w:rsidRPr="001F480B" w:rsidRDefault="00194A66" w:rsidP="005E7F3C">
      <w:pPr>
        <w:pStyle w:val="ListParagraph"/>
        <w:spacing w:before="0" w:after="60"/>
        <w:ind w:left="567"/>
        <w:rPr>
          <w:b/>
          <w:bCs/>
        </w:rPr>
      </w:pPr>
      <w:r w:rsidRPr="001F480B">
        <w:rPr>
          <w:b/>
          <w:bCs/>
        </w:rPr>
        <w:t xml:space="preserve">Clean Energy Finance Corporation Amendment (Grid Reliability Fund) </w:t>
      </w:r>
      <w:r w:rsidR="007440E5" w:rsidRPr="001F480B">
        <w:rPr>
          <w:b/>
          <w:bCs/>
        </w:rPr>
        <w:t>Bill 2020</w:t>
      </w:r>
      <w:r w:rsidR="00BE7EA5" w:rsidRPr="001F480B">
        <w:rPr>
          <w:b/>
          <w:bCs/>
        </w:rPr>
        <w:t>:</w:t>
      </w:r>
      <w:r w:rsidR="001F480B">
        <w:rPr>
          <w:b/>
          <w:bCs/>
        </w:rPr>
        <w:t xml:space="preserve"> </w:t>
      </w:r>
      <w:r w:rsidR="001F480B">
        <w:t>the committee is seeking advice regarding</w:t>
      </w:r>
      <w:r w:rsidR="009245E6">
        <w:t xml:space="preserve"> the appropriateness of</w:t>
      </w:r>
      <w:r w:rsidR="001F480B">
        <w:t xml:space="preserve"> leaving criteria for which investments can be funded from the Grid Reliability Fund to non-disallowable delegated legislation.</w:t>
      </w:r>
    </w:p>
    <w:p w14:paraId="54A2489C" w14:textId="781291AB" w:rsidR="001F480B" w:rsidRPr="00C13DD7" w:rsidRDefault="001F480B" w:rsidP="005E7F3C">
      <w:pPr>
        <w:pStyle w:val="ListParagraph"/>
        <w:spacing w:before="0" w:after="60"/>
        <w:ind w:left="567"/>
        <w:rPr>
          <w:b/>
          <w:bCs/>
        </w:rPr>
      </w:pPr>
      <w:r w:rsidRPr="001F480B">
        <w:rPr>
          <w:b/>
          <w:bCs/>
        </w:rPr>
        <w:t>Coronavirus Economic Package (</w:t>
      </w:r>
      <w:proofErr w:type="spellStart"/>
      <w:r w:rsidRPr="001F480B">
        <w:rPr>
          <w:b/>
          <w:bCs/>
        </w:rPr>
        <w:t>Jobkeeper</w:t>
      </w:r>
      <w:proofErr w:type="spellEnd"/>
      <w:r w:rsidRPr="001F480B">
        <w:rPr>
          <w:b/>
          <w:bCs/>
        </w:rPr>
        <w:t xml:space="preserve"> Payments) Amendment Bill 2020</w:t>
      </w:r>
      <w:r>
        <w:rPr>
          <w:b/>
          <w:bCs/>
        </w:rPr>
        <w:t xml:space="preserve">: </w:t>
      </w:r>
      <w:r>
        <w:t xml:space="preserve">the committee </w:t>
      </w:r>
      <w:r w:rsidR="00C13DD7">
        <w:t xml:space="preserve">reiterates its previous scrutiny concerns regarding the leaving of significant matters relating to the </w:t>
      </w:r>
      <w:proofErr w:type="spellStart"/>
      <w:r w:rsidR="00C13DD7">
        <w:t>JobKeeper</w:t>
      </w:r>
      <w:proofErr w:type="spellEnd"/>
      <w:r w:rsidR="00C13DD7">
        <w:t xml:space="preserve"> scheme to delegated legislation.</w:t>
      </w:r>
    </w:p>
    <w:p w14:paraId="7B6B38B7" w14:textId="5C2B5E5C" w:rsidR="00C13DD7" w:rsidRPr="00C13DD7" w:rsidRDefault="00C13DD7" w:rsidP="005E7F3C">
      <w:pPr>
        <w:pStyle w:val="ListParagraph"/>
        <w:spacing w:before="0" w:after="60"/>
        <w:ind w:left="567"/>
        <w:rPr>
          <w:b/>
          <w:bCs/>
        </w:rPr>
      </w:pPr>
      <w:r w:rsidRPr="00C13DD7">
        <w:rPr>
          <w:b/>
          <w:bCs/>
        </w:rPr>
        <w:t>Education Legislation Amendment (Up-front Payments Tuition Protection) Bill 2020</w:t>
      </w:r>
      <w:r>
        <w:t xml:space="preserve">: the committee is seeking advice regarding </w:t>
      </w:r>
      <w:r w:rsidR="009245E6">
        <w:t xml:space="preserve">the appropriateness of </w:t>
      </w:r>
      <w:r>
        <w:t>leaving significant elements of the tuition protection scheme to delegated legislation.</w:t>
      </w:r>
    </w:p>
    <w:p w14:paraId="493B7695" w14:textId="7B4A608B" w:rsidR="00C13DD7" w:rsidRPr="00C13DD7" w:rsidRDefault="00C13DD7" w:rsidP="005E7F3C">
      <w:pPr>
        <w:pStyle w:val="ListParagraph"/>
        <w:spacing w:before="0" w:after="60"/>
        <w:ind w:left="567"/>
        <w:rPr>
          <w:b/>
          <w:bCs/>
        </w:rPr>
      </w:pPr>
      <w:r w:rsidRPr="00C13DD7">
        <w:rPr>
          <w:b/>
          <w:bCs/>
        </w:rPr>
        <w:t>Environment Protection and Biodiversity Conservation Amendment (Streamlining Environmental Approvals) Bill 2020:</w:t>
      </w:r>
      <w:r>
        <w:t xml:space="preserve"> the committee is seeking advice on the type of documents that it is envisaged may be applied, adopted or incorporated by reference and whether they will be freely available.</w:t>
      </w:r>
    </w:p>
    <w:p w14:paraId="0A54A3E6" w14:textId="0F1610B8" w:rsidR="00C13DD7" w:rsidRPr="007267B7" w:rsidRDefault="00C13DD7" w:rsidP="005E7F3C">
      <w:pPr>
        <w:pStyle w:val="ListParagraph"/>
        <w:spacing w:before="0" w:after="60"/>
        <w:ind w:left="567"/>
        <w:rPr>
          <w:b/>
          <w:bCs/>
        </w:rPr>
      </w:pPr>
      <w:r w:rsidRPr="00C13DD7">
        <w:rPr>
          <w:b/>
          <w:bCs/>
        </w:rPr>
        <w:t>Higher Education (Up-front Payments Tuition Protection Levy) Bill 2020:</w:t>
      </w:r>
      <w:r>
        <w:t xml:space="preserve"> the committee is seeking advice regarding </w:t>
      </w:r>
      <w:r w:rsidR="00B97EA3">
        <w:t xml:space="preserve">the appropriateness of </w:t>
      </w:r>
      <w:r>
        <w:t>providing the minister with a broad discretionary power to exempt providers from paying aspects of the up-front payments tuition protection levy</w:t>
      </w:r>
      <w:r w:rsidR="00B97EA3">
        <w:t xml:space="preserve">, and </w:t>
      </w:r>
      <w:r w:rsidR="00B97EA3">
        <w:t>leaves to the Senate the appropriateness of</w:t>
      </w:r>
      <w:r w:rsidR="00B97EA3">
        <w:t xml:space="preserve"> allowing core elements of the levy to be determined in delegated legislation</w:t>
      </w:r>
      <w:r>
        <w:t>.</w:t>
      </w:r>
    </w:p>
    <w:p w14:paraId="174DBB40" w14:textId="0AEDE833"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26" w:history="1">
        <w:r w:rsidRPr="000F2785">
          <w:rPr>
            <w:rStyle w:val="Hyperlink"/>
            <w:i/>
            <w:iCs/>
            <w:sz w:val="20"/>
            <w:szCs w:val="20"/>
            <w:lang w:val="en-GB"/>
          </w:rPr>
          <w:t>Delegat</w:t>
        </w:r>
        <w:r w:rsidR="00B7262B" w:rsidRPr="000F2785">
          <w:rPr>
            <w:rStyle w:val="Hyperlink"/>
            <w:i/>
            <w:iCs/>
            <w:sz w:val="20"/>
            <w:szCs w:val="20"/>
            <w:lang w:val="en-GB"/>
          </w:rPr>
          <w:t>ed Legislation M</w:t>
        </w:r>
        <w:r w:rsidR="00FD0BD6" w:rsidRPr="000F2785">
          <w:rPr>
            <w:rStyle w:val="Hyperlink"/>
            <w:i/>
            <w:iCs/>
            <w:sz w:val="20"/>
            <w:szCs w:val="20"/>
            <w:lang w:val="en-GB"/>
          </w:rPr>
          <w:t xml:space="preserve">onitor </w:t>
        </w:r>
        <w:r w:rsidR="00353BF2" w:rsidRPr="000F2785">
          <w:rPr>
            <w:rStyle w:val="Hyperlink"/>
            <w:i/>
            <w:iCs/>
            <w:sz w:val="20"/>
            <w:szCs w:val="20"/>
            <w:lang w:val="en-GB"/>
          </w:rPr>
          <w:t>10</w:t>
        </w:r>
        <w:r w:rsidR="00FD0BD6" w:rsidRPr="000F2785">
          <w:rPr>
            <w:rStyle w:val="Hyperlink"/>
            <w:i/>
            <w:iCs/>
            <w:sz w:val="20"/>
            <w:szCs w:val="20"/>
            <w:lang w:val="en-GB"/>
          </w:rPr>
          <w:t xml:space="preserve"> of 2020</w:t>
        </w:r>
      </w:hyperlink>
      <w:r w:rsidRPr="00D232B6">
        <w:rPr>
          <w:i/>
          <w:iCs/>
          <w:sz w:val="20"/>
          <w:szCs w:val="20"/>
          <w:lang w:val="en-GB"/>
        </w:rPr>
        <w:t>)</w:t>
      </w:r>
    </w:p>
    <w:p w14:paraId="1C153F6C" w14:textId="4762C3CB" w:rsidR="00DA2F6B" w:rsidRDefault="00DA2F6B" w:rsidP="00505741">
      <w:r w:rsidRPr="00D20C41">
        <w:t xml:space="preserve">The </w:t>
      </w:r>
      <w:r w:rsidR="00353BF2">
        <w:t>Scrutiny of Delegated Legislation</w:t>
      </w:r>
      <w:r w:rsidRPr="00D20C41">
        <w:t xml:space="preserve"> committee considered </w:t>
      </w:r>
      <w:r w:rsidR="005C7849">
        <w:t xml:space="preserve">155 </w:t>
      </w:r>
      <w:r>
        <w:t>disallowable</w:t>
      </w:r>
      <w:r w:rsidRPr="00D20C41">
        <w:t xml:space="preserve"> legislative instruments registered on the Federal Re</w:t>
      </w:r>
      <w:r>
        <w:t xml:space="preserve">gister of Legislation between </w:t>
      </w:r>
      <w:r w:rsidR="005C7849">
        <w:t xml:space="preserve">19 June </w:t>
      </w:r>
      <w:r>
        <w:t>20</w:t>
      </w:r>
      <w:r w:rsidR="00FD0BD6">
        <w:t>20</w:t>
      </w:r>
      <w:r>
        <w:t xml:space="preserve"> and </w:t>
      </w:r>
      <w:r w:rsidR="00AE762A">
        <w:t>22 </w:t>
      </w:r>
      <w:r w:rsidR="005C7849">
        <w:t xml:space="preserve">July </w:t>
      </w:r>
      <w:r w:rsidR="00FD0BD6">
        <w:t>2020</w:t>
      </w:r>
      <w:r w:rsidRPr="00D20C41">
        <w:t>. The committee is continuing to engage with minister</w:t>
      </w:r>
      <w:r>
        <w:t xml:space="preserve">s and agencies in relation to </w:t>
      </w:r>
      <w:r w:rsidR="005C7849">
        <w:t>31</w:t>
      </w:r>
      <w:r w:rsidR="005C7849" w:rsidRPr="00D20C41">
        <w:t xml:space="preserve"> </w:t>
      </w:r>
      <w:r w:rsidRPr="00D20C41">
        <w:t>instruments, and has c</w:t>
      </w:r>
      <w:r>
        <w:t xml:space="preserve">oncluded its consideration of </w:t>
      </w:r>
      <w:r w:rsidR="005C7849">
        <w:t>2</w:t>
      </w:r>
      <w:r w:rsidR="005C7849" w:rsidRPr="00D20C41">
        <w:t xml:space="preserve"> </w:t>
      </w:r>
      <w:r w:rsidRPr="00D20C41">
        <w:t xml:space="preserve">instruments. </w:t>
      </w:r>
    </w:p>
    <w:p w14:paraId="762EDC69" w14:textId="32FE0B21" w:rsidR="00DA2F6B" w:rsidRDefault="00DA2F6B" w:rsidP="00505741">
      <w:r>
        <w:t xml:space="preserve">All legislative instruments subject to a notice of motion for disallowance in either House of </w:t>
      </w:r>
      <w:r w:rsidR="00AE762A">
        <w:t xml:space="preserve">the </w:t>
      </w:r>
      <w:r>
        <w:t xml:space="preserve">Parliament are listed in the </w:t>
      </w:r>
      <w:hyperlink r:id="rId27" w:history="1">
        <w:r w:rsidRPr="00D232B6">
          <w:rPr>
            <w:rStyle w:val="Hyperlink"/>
          </w:rPr>
          <w:t>Disallowance Alert</w:t>
        </w:r>
      </w:hyperlink>
      <w:r w:rsidRPr="00D232B6">
        <w:t>.</w:t>
      </w:r>
    </w:p>
    <w:p w14:paraId="7ECAA19A" w14:textId="77777777" w:rsidR="00DA2F6B" w:rsidRPr="00AE794A" w:rsidRDefault="00DA2F6B" w:rsidP="00DA2F6B">
      <w:pPr>
        <w:pStyle w:val="Heading1"/>
        <w:rPr>
          <w:lang w:val="en-GB"/>
        </w:rPr>
      </w:pPr>
      <w:r>
        <w:rPr>
          <w:lang w:val="en-GB"/>
        </w:rPr>
        <w:t>Notices of motion to disallow</w:t>
      </w:r>
    </w:p>
    <w:p w14:paraId="3EA67BB8" w14:textId="078669CC" w:rsidR="00DA2F6B" w:rsidRPr="00270C76" w:rsidRDefault="00DA2F6B" w:rsidP="00DA2F6B">
      <w:pPr>
        <w:rPr>
          <w:szCs w:val="24"/>
        </w:rPr>
      </w:pPr>
      <w:r>
        <w:t xml:space="preserve">At its private meeting on Wednesday </w:t>
      </w:r>
      <w:r w:rsidR="00353BF2">
        <w:t>2 September</w:t>
      </w:r>
      <w:r w:rsidR="00FD0BD6">
        <w:t xml:space="preserve"> 2020</w:t>
      </w:r>
      <w:r>
        <w:t xml:space="preserve">, the Senate </w:t>
      </w:r>
      <w:r w:rsidR="00FD0BD6">
        <w:t xml:space="preserve">Scrutiny of Delegated </w:t>
      </w:r>
      <w:r w:rsidR="00FD0BD6" w:rsidRPr="00270C76">
        <w:rPr>
          <w:szCs w:val="24"/>
        </w:rPr>
        <w:t xml:space="preserve">Legislation </w:t>
      </w:r>
      <w:r w:rsidRPr="00270C76">
        <w:rPr>
          <w:szCs w:val="24"/>
        </w:rPr>
        <w:t xml:space="preserve">Committee resolved to </w:t>
      </w:r>
      <w:r w:rsidRPr="00270C76">
        <w:rPr>
          <w:b/>
          <w:szCs w:val="24"/>
        </w:rPr>
        <w:t>place</w:t>
      </w:r>
      <w:r w:rsidRPr="00270C76">
        <w:rPr>
          <w:szCs w:val="24"/>
        </w:rPr>
        <w:t xml:space="preserve"> </w:t>
      </w:r>
      <w:r w:rsidR="000F2785" w:rsidRPr="00270C76">
        <w:rPr>
          <w:szCs w:val="24"/>
        </w:rPr>
        <w:t>a notice of motion</w:t>
      </w:r>
      <w:r w:rsidRPr="00270C76">
        <w:rPr>
          <w:szCs w:val="24"/>
        </w:rPr>
        <w:t xml:space="preserve"> to disallow the following instrument:</w:t>
      </w:r>
    </w:p>
    <w:p w14:paraId="13E5158B" w14:textId="2FB76346" w:rsidR="00DA2F6B" w:rsidRPr="00270C76" w:rsidRDefault="000F2785" w:rsidP="00505741">
      <w:pPr>
        <w:pStyle w:val="ListParagraph"/>
        <w:numPr>
          <w:ilvl w:val="0"/>
          <w:numId w:val="13"/>
        </w:numPr>
        <w:ind w:left="567" w:hanging="283"/>
        <w:rPr>
          <w:szCs w:val="24"/>
        </w:rPr>
      </w:pPr>
      <w:r w:rsidRPr="00270C76">
        <w:rPr>
          <w:szCs w:val="24"/>
        </w:rPr>
        <w:t>Australian Postal Corporation (Performance Standard</w:t>
      </w:r>
      <w:r w:rsidR="00505741">
        <w:rPr>
          <w:szCs w:val="24"/>
        </w:rPr>
        <w:t>s) Amendment (2020 Measures No. </w:t>
      </w:r>
      <w:r w:rsidRPr="00270C76">
        <w:rPr>
          <w:szCs w:val="24"/>
        </w:rPr>
        <w:t>1) Regulations 2020 [</w:t>
      </w:r>
      <w:hyperlink r:id="rId28" w:history="1">
        <w:r w:rsidRPr="00270C76">
          <w:rPr>
            <w:rStyle w:val="Hyperlink"/>
            <w:szCs w:val="24"/>
          </w:rPr>
          <w:t>F2020L00579</w:t>
        </w:r>
      </w:hyperlink>
      <w:r w:rsidRPr="00270C76">
        <w:rPr>
          <w:szCs w:val="24"/>
        </w:rPr>
        <w:t>]</w:t>
      </w:r>
    </w:p>
    <w:p w14:paraId="078E647B" w14:textId="77777777" w:rsidR="00270C76" w:rsidRPr="00270C76" w:rsidRDefault="00270C76" w:rsidP="00270C76">
      <w:pPr>
        <w:rPr>
          <w:szCs w:val="24"/>
        </w:rPr>
      </w:pPr>
      <w:r w:rsidRPr="00270C76">
        <w:rPr>
          <w:szCs w:val="24"/>
        </w:rPr>
        <w:t xml:space="preserve">At its private meeting on Tuesday 1 September 2020, the Senate Scrutiny of Delegated Legislation Committee resolved to </w:t>
      </w:r>
      <w:r w:rsidRPr="00270C76">
        <w:rPr>
          <w:b/>
          <w:szCs w:val="24"/>
        </w:rPr>
        <w:t>withdraw</w:t>
      </w:r>
      <w:r w:rsidRPr="00270C76">
        <w:rPr>
          <w:szCs w:val="24"/>
        </w:rPr>
        <w:t xml:space="preserve"> the notice of motion to disallow the following instrument:</w:t>
      </w:r>
      <w:bookmarkStart w:id="0" w:name="_GoBack"/>
      <w:bookmarkEnd w:id="0"/>
    </w:p>
    <w:p w14:paraId="7CB18930" w14:textId="77777777" w:rsidR="00270C76" w:rsidRPr="00270C76" w:rsidRDefault="00270C76" w:rsidP="00505741">
      <w:pPr>
        <w:pStyle w:val="NormalWeb"/>
        <w:numPr>
          <w:ilvl w:val="0"/>
          <w:numId w:val="13"/>
        </w:numPr>
        <w:spacing w:before="0" w:beforeAutospacing="0" w:after="120" w:afterAutospacing="0"/>
        <w:ind w:left="567" w:hanging="283"/>
        <w:rPr>
          <w:rFonts w:ascii="Calibri" w:hAnsi="Calibri"/>
        </w:rPr>
      </w:pPr>
      <w:r w:rsidRPr="00270C76">
        <w:rPr>
          <w:rFonts w:ascii="Calibri" w:hAnsi="Calibri"/>
        </w:rPr>
        <w:t>Competition and Consumer (Industry Codes—Dairy) Regulations 2019 [</w:t>
      </w:r>
      <w:hyperlink r:id="rId29" w:history="1">
        <w:r w:rsidRPr="00270C76">
          <w:rPr>
            <w:rStyle w:val="Hyperlink"/>
            <w:rFonts w:ascii="Calibri" w:hAnsi="Calibri"/>
          </w:rPr>
          <w:t>F2019L01610</w:t>
        </w:r>
      </w:hyperlink>
      <w:r w:rsidRPr="00270C76">
        <w:rPr>
          <w:rFonts w:ascii="Calibri" w:hAnsi="Calibri"/>
        </w:rPr>
        <w:t>]</w:t>
      </w:r>
    </w:p>
    <w:p w14:paraId="567824DA" w14:textId="66F83D12" w:rsidR="00DA2F6B" w:rsidRPr="00270C76" w:rsidRDefault="00DA2F6B" w:rsidP="00DA2F6B">
      <w:pPr>
        <w:rPr>
          <w:szCs w:val="24"/>
        </w:rPr>
      </w:pPr>
      <w:r w:rsidRPr="00270C76">
        <w:rPr>
          <w:szCs w:val="24"/>
        </w:rPr>
        <w:lastRenderedPageBreak/>
        <w:t xml:space="preserve">At its private meeting on </w:t>
      </w:r>
      <w:r w:rsidR="005C7849" w:rsidRPr="00270C76">
        <w:rPr>
          <w:szCs w:val="24"/>
        </w:rPr>
        <w:t xml:space="preserve">Tuesday 1 </w:t>
      </w:r>
      <w:r w:rsidR="00353BF2" w:rsidRPr="00270C76">
        <w:rPr>
          <w:szCs w:val="24"/>
        </w:rPr>
        <w:t xml:space="preserve">September </w:t>
      </w:r>
      <w:r w:rsidRPr="00270C76">
        <w:rPr>
          <w:szCs w:val="24"/>
        </w:rPr>
        <w:t>20</w:t>
      </w:r>
      <w:r w:rsidR="00FD0BD6" w:rsidRPr="00270C76">
        <w:rPr>
          <w:szCs w:val="24"/>
        </w:rPr>
        <w:t>20</w:t>
      </w:r>
      <w:r w:rsidRPr="00270C76">
        <w:rPr>
          <w:szCs w:val="24"/>
        </w:rPr>
        <w:t xml:space="preserve">, the Senate </w:t>
      </w:r>
      <w:r w:rsidR="00FD0BD6" w:rsidRPr="00270C76">
        <w:rPr>
          <w:szCs w:val="24"/>
        </w:rPr>
        <w:t>Scrutiny of Delegated Legislation</w:t>
      </w:r>
      <w:r w:rsidRPr="00270C76">
        <w:rPr>
          <w:szCs w:val="24"/>
        </w:rPr>
        <w:t xml:space="preserve"> Committee resolved to </w:t>
      </w:r>
      <w:r w:rsidR="00270C76" w:rsidRPr="00270C76">
        <w:rPr>
          <w:b/>
          <w:szCs w:val="24"/>
        </w:rPr>
        <w:t>postpone</w:t>
      </w:r>
      <w:r w:rsidRPr="00270C76">
        <w:rPr>
          <w:szCs w:val="24"/>
        </w:rPr>
        <w:t xml:space="preserve"> </w:t>
      </w:r>
      <w:r w:rsidR="00270C76" w:rsidRPr="00270C76">
        <w:rPr>
          <w:szCs w:val="24"/>
        </w:rPr>
        <w:t xml:space="preserve">consideration of the </w:t>
      </w:r>
      <w:r w:rsidRPr="00270C76">
        <w:rPr>
          <w:szCs w:val="24"/>
        </w:rPr>
        <w:t>notice of motion to disallow the following instrument</w:t>
      </w:r>
      <w:r w:rsidR="00270C76" w:rsidRPr="00270C76">
        <w:rPr>
          <w:szCs w:val="24"/>
        </w:rPr>
        <w:t xml:space="preserve"> to 8 October 2020</w:t>
      </w:r>
      <w:r w:rsidRPr="00270C76">
        <w:rPr>
          <w:szCs w:val="24"/>
        </w:rPr>
        <w:t>:</w:t>
      </w:r>
    </w:p>
    <w:p w14:paraId="68692560" w14:textId="470841C1" w:rsidR="005C7849" w:rsidRPr="00270C76" w:rsidRDefault="00270C76" w:rsidP="00505741">
      <w:pPr>
        <w:pStyle w:val="NormalWeb"/>
        <w:numPr>
          <w:ilvl w:val="0"/>
          <w:numId w:val="13"/>
        </w:numPr>
        <w:spacing w:before="0" w:beforeAutospacing="0" w:after="0" w:afterAutospacing="0"/>
        <w:ind w:left="567" w:hanging="283"/>
        <w:rPr>
          <w:rFonts w:ascii="Calibri" w:hAnsi="Calibri"/>
        </w:rPr>
      </w:pPr>
      <w:r w:rsidRPr="00270C76">
        <w:rPr>
          <w:rFonts w:ascii="Calibri" w:hAnsi="Calibri"/>
        </w:rPr>
        <w:t xml:space="preserve">Coronavirus Economic Response Package (Deferral of </w:t>
      </w:r>
      <w:proofErr w:type="spellStart"/>
      <w:r w:rsidRPr="00270C76">
        <w:rPr>
          <w:rFonts w:ascii="Calibri" w:hAnsi="Calibri"/>
        </w:rPr>
        <w:t>Sunsetting</w:t>
      </w:r>
      <w:proofErr w:type="spellEnd"/>
      <w:r w:rsidRPr="00270C76">
        <w:rPr>
          <w:rFonts w:ascii="Calibri" w:hAnsi="Calibri"/>
        </w:rPr>
        <w:t>—Income Management and Cashless Welfare Arrangements) Determination 2020</w:t>
      </w:r>
      <w:r w:rsidR="005C7849" w:rsidRPr="00270C76">
        <w:rPr>
          <w:rFonts w:ascii="Calibri" w:hAnsi="Calibri"/>
        </w:rPr>
        <w:t xml:space="preserve"> [</w:t>
      </w:r>
      <w:hyperlink r:id="rId30" w:history="1">
        <w:r w:rsidRPr="00270C76">
          <w:rPr>
            <w:rStyle w:val="Hyperlink"/>
            <w:rFonts w:ascii="Calibri" w:hAnsi="Calibri"/>
          </w:rPr>
          <w:t>F2020L00572</w:t>
        </w:r>
      </w:hyperlink>
      <w:r w:rsidR="005C7849" w:rsidRPr="00270C76">
        <w:rPr>
          <w:rFonts w:ascii="Calibri" w:hAnsi="Calibri"/>
        </w:rPr>
        <w:t>]</w:t>
      </w:r>
    </w:p>
    <w:p w14:paraId="2E12CD65"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31"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A16552">
      <w:footerReference w:type="default" r:id="rId32"/>
      <w:headerReference w:type="first" r:id="rId33"/>
      <w:footerReference w:type="first" r:id="rId34"/>
      <w:pgSz w:w="11906" w:h="16838"/>
      <w:pgMar w:top="1134" w:right="1134" w:bottom="851" w:left="1134" w:header="709" w:footer="0"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672361" w15:done="0"/>
  <w15:commentEx w15:paraId="00129CC4" w15:done="0"/>
  <w15:commentEx w15:paraId="2A1BB43E" w15:done="0"/>
  <w15:commentEx w15:paraId="17DFA92C" w15:done="0"/>
  <w15:commentEx w15:paraId="11FCB3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72361" w16cid:durableId="22FA0434"/>
  <w16cid:commentId w16cid:paraId="00129CC4" w16cid:durableId="22F9F853"/>
  <w16cid:commentId w16cid:paraId="2A1BB43E" w16cid:durableId="22FA01E9"/>
  <w16cid:commentId w16cid:paraId="17DFA92C" w16cid:durableId="22FA0196"/>
  <w16cid:commentId w16cid:paraId="11FCB305" w16cid:durableId="22F9FD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23A10" w14:textId="77777777" w:rsidR="0098290A" w:rsidRDefault="0098290A" w:rsidP="00D77905">
      <w:pPr>
        <w:spacing w:after="0" w:line="240" w:lineRule="auto"/>
      </w:pPr>
      <w:r>
        <w:separator/>
      </w:r>
    </w:p>
  </w:endnote>
  <w:endnote w:type="continuationSeparator" w:id="0">
    <w:p w14:paraId="7958571C" w14:textId="77777777" w:rsidR="0098290A" w:rsidRDefault="0098290A"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C6E65"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DCCF"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E5550" w14:textId="77777777" w:rsidR="0098290A" w:rsidRDefault="0098290A" w:rsidP="00D77905">
      <w:pPr>
        <w:spacing w:after="0" w:line="240" w:lineRule="auto"/>
      </w:pPr>
      <w:r>
        <w:separator/>
      </w:r>
    </w:p>
  </w:footnote>
  <w:footnote w:type="continuationSeparator" w:id="0">
    <w:p w14:paraId="2CF65FAC" w14:textId="77777777" w:rsidR="0098290A" w:rsidRDefault="0098290A"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AC727" w14:textId="77777777" w:rsidR="001F7917" w:rsidRDefault="00FD0BD6">
    <w:pPr>
      <w:pStyle w:val="Header"/>
    </w:pPr>
    <w:r>
      <w:rPr>
        <w:noProof/>
        <w:lang w:eastAsia="en-AU"/>
      </w:rPr>
      <w:drawing>
        <wp:inline distT="0" distB="0" distL="0" distR="0" wp14:anchorId="036937F0" wp14:editId="7693B77E">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1E424EF"/>
    <w:multiLevelType w:val="hybridMultilevel"/>
    <w:tmpl w:val="18108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9D13856"/>
    <w:multiLevelType w:val="hybridMultilevel"/>
    <w:tmpl w:val="FBEC2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0"/>
  </w:num>
  <w:num w:numId="5">
    <w:abstractNumId w:val="11"/>
  </w:num>
  <w:num w:numId="6">
    <w:abstractNumId w:val="6"/>
  </w:num>
  <w:num w:numId="7">
    <w:abstractNumId w:val="13"/>
  </w:num>
  <w:num w:numId="8">
    <w:abstractNumId w:val="8"/>
  </w:num>
  <w:num w:numId="9">
    <w:abstractNumId w:val="12"/>
  </w:num>
  <w:num w:numId="10">
    <w:abstractNumId w:val="4"/>
  </w:num>
  <w:num w:numId="11">
    <w:abstractNumId w:val="9"/>
  </w:num>
  <w:num w:numId="12">
    <w:abstractNumId w:val="10"/>
  </w:num>
  <w:num w:numId="13">
    <w:abstractNumId w:val="7"/>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eeney, Laura (SEN)">
    <w15:presenceInfo w15:providerId="AD" w15:userId="S::Laura.D.Sweeney@aph.gov.au::887f85aa-9879-44f7-9565-b56b28f90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0A"/>
    <w:rsid w:val="000006AC"/>
    <w:rsid w:val="00016603"/>
    <w:rsid w:val="00046BBF"/>
    <w:rsid w:val="0006580D"/>
    <w:rsid w:val="00080C86"/>
    <w:rsid w:val="000976B1"/>
    <w:rsid w:val="000A0E54"/>
    <w:rsid w:val="000A453A"/>
    <w:rsid w:val="000C2760"/>
    <w:rsid w:val="000E129E"/>
    <w:rsid w:val="000E2832"/>
    <w:rsid w:val="000F2785"/>
    <w:rsid w:val="00113DF8"/>
    <w:rsid w:val="00142C14"/>
    <w:rsid w:val="00152349"/>
    <w:rsid w:val="001857AB"/>
    <w:rsid w:val="00194A66"/>
    <w:rsid w:val="001D12CF"/>
    <w:rsid w:val="001F480B"/>
    <w:rsid w:val="001F7917"/>
    <w:rsid w:val="00200BDE"/>
    <w:rsid w:val="00212263"/>
    <w:rsid w:val="00231FA1"/>
    <w:rsid w:val="00265022"/>
    <w:rsid w:val="00270C76"/>
    <w:rsid w:val="0028112C"/>
    <w:rsid w:val="0028134D"/>
    <w:rsid w:val="0029217B"/>
    <w:rsid w:val="002D627A"/>
    <w:rsid w:val="002E14D3"/>
    <w:rsid w:val="002E33E2"/>
    <w:rsid w:val="00334D68"/>
    <w:rsid w:val="00342A89"/>
    <w:rsid w:val="00343EFA"/>
    <w:rsid w:val="00353BF2"/>
    <w:rsid w:val="003547E9"/>
    <w:rsid w:val="00371C11"/>
    <w:rsid w:val="00376075"/>
    <w:rsid w:val="00382C11"/>
    <w:rsid w:val="00385D29"/>
    <w:rsid w:val="00392182"/>
    <w:rsid w:val="003A6069"/>
    <w:rsid w:val="003D47B6"/>
    <w:rsid w:val="00476584"/>
    <w:rsid w:val="004A3706"/>
    <w:rsid w:val="004B0C43"/>
    <w:rsid w:val="004C30DE"/>
    <w:rsid w:val="00505741"/>
    <w:rsid w:val="005242F6"/>
    <w:rsid w:val="00525ACA"/>
    <w:rsid w:val="005378A5"/>
    <w:rsid w:val="00577CF7"/>
    <w:rsid w:val="00584BF6"/>
    <w:rsid w:val="005B56DB"/>
    <w:rsid w:val="005C7849"/>
    <w:rsid w:val="005D4867"/>
    <w:rsid w:val="005E7F3C"/>
    <w:rsid w:val="006024BB"/>
    <w:rsid w:val="006033E3"/>
    <w:rsid w:val="006204E4"/>
    <w:rsid w:val="00622C24"/>
    <w:rsid w:val="0065610C"/>
    <w:rsid w:val="0068651B"/>
    <w:rsid w:val="00693257"/>
    <w:rsid w:val="006B6929"/>
    <w:rsid w:val="006D1109"/>
    <w:rsid w:val="00710B6E"/>
    <w:rsid w:val="007267B7"/>
    <w:rsid w:val="007321ED"/>
    <w:rsid w:val="007440E5"/>
    <w:rsid w:val="007526D0"/>
    <w:rsid w:val="00784927"/>
    <w:rsid w:val="00797C7B"/>
    <w:rsid w:val="007F25C7"/>
    <w:rsid w:val="00805F77"/>
    <w:rsid w:val="008238D1"/>
    <w:rsid w:val="008255D7"/>
    <w:rsid w:val="0087318F"/>
    <w:rsid w:val="00891670"/>
    <w:rsid w:val="008B03F6"/>
    <w:rsid w:val="008E20C0"/>
    <w:rsid w:val="009245E6"/>
    <w:rsid w:val="0098290A"/>
    <w:rsid w:val="0098317C"/>
    <w:rsid w:val="009B4C2D"/>
    <w:rsid w:val="009E16D8"/>
    <w:rsid w:val="009F69A7"/>
    <w:rsid w:val="00A16552"/>
    <w:rsid w:val="00A34E25"/>
    <w:rsid w:val="00A4199B"/>
    <w:rsid w:val="00A56273"/>
    <w:rsid w:val="00A73668"/>
    <w:rsid w:val="00AC3E02"/>
    <w:rsid w:val="00AE4FB1"/>
    <w:rsid w:val="00AE762A"/>
    <w:rsid w:val="00AF751B"/>
    <w:rsid w:val="00B7262B"/>
    <w:rsid w:val="00B762B0"/>
    <w:rsid w:val="00B96A7F"/>
    <w:rsid w:val="00B97EA3"/>
    <w:rsid w:val="00BA198F"/>
    <w:rsid w:val="00BE6531"/>
    <w:rsid w:val="00BE7EA5"/>
    <w:rsid w:val="00C13DD7"/>
    <w:rsid w:val="00C23B67"/>
    <w:rsid w:val="00C8796B"/>
    <w:rsid w:val="00CB3A5D"/>
    <w:rsid w:val="00CC1897"/>
    <w:rsid w:val="00CC5218"/>
    <w:rsid w:val="00D04409"/>
    <w:rsid w:val="00D11666"/>
    <w:rsid w:val="00D232B6"/>
    <w:rsid w:val="00D50A2F"/>
    <w:rsid w:val="00D56734"/>
    <w:rsid w:val="00D77905"/>
    <w:rsid w:val="00D86BCD"/>
    <w:rsid w:val="00D87EE1"/>
    <w:rsid w:val="00D95932"/>
    <w:rsid w:val="00DA2F6B"/>
    <w:rsid w:val="00DA66C0"/>
    <w:rsid w:val="00DD62F1"/>
    <w:rsid w:val="00DD6A96"/>
    <w:rsid w:val="00DE6E13"/>
    <w:rsid w:val="00E1788F"/>
    <w:rsid w:val="00E46E74"/>
    <w:rsid w:val="00E52A12"/>
    <w:rsid w:val="00ED761D"/>
    <w:rsid w:val="00EF3BF2"/>
    <w:rsid w:val="00FB5123"/>
    <w:rsid w:val="00FB6D50"/>
    <w:rsid w:val="00FD0BD6"/>
    <w:rsid w:val="00FD4C3A"/>
    <w:rsid w:val="00FE3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5C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7526D0"/>
    <w:rPr>
      <w:color w:val="605E5C"/>
      <w:shd w:val="clear" w:color="auto" w:fill="E1DFDD"/>
    </w:rPr>
  </w:style>
  <w:style w:type="character" w:styleId="CommentReference">
    <w:name w:val="annotation reference"/>
    <w:basedOn w:val="DefaultParagraphFont"/>
    <w:uiPriority w:val="99"/>
    <w:semiHidden/>
    <w:unhideWhenUsed/>
    <w:rsid w:val="00152349"/>
    <w:rPr>
      <w:sz w:val="16"/>
      <w:szCs w:val="16"/>
    </w:rPr>
  </w:style>
  <w:style w:type="paragraph" w:styleId="CommentText">
    <w:name w:val="annotation text"/>
    <w:basedOn w:val="Normal"/>
    <w:link w:val="CommentTextChar"/>
    <w:uiPriority w:val="99"/>
    <w:semiHidden/>
    <w:unhideWhenUsed/>
    <w:rsid w:val="00152349"/>
    <w:pPr>
      <w:spacing w:line="240" w:lineRule="auto"/>
    </w:pPr>
    <w:rPr>
      <w:sz w:val="20"/>
      <w:szCs w:val="20"/>
    </w:rPr>
  </w:style>
  <w:style w:type="character" w:customStyle="1" w:styleId="CommentTextChar">
    <w:name w:val="Comment Text Char"/>
    <w:basedOn w:val="DefaultParagraphFont"/>
    <w:link w:val="CommentText"/>
    <w:uiPriority w:val="99"/>
    <w:semiHidden/>
    <w:rsid w:val="00152349"/>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52349"/>
    <w:rPr>
      <w:b/>
      <w:bCs/>
    </w:rPr>
  </w:style>
  <w:style w:type="character" w:customStyle="1" w:styleId="CommentSubjectChar">
    <w:name w:val="Comment Subject Char"/>
    <w:basedOn w:val="CommentTextChar"/>
    <w:link w:val="CommentSubject"/>
    <w:uiPriority w:val="99"/>
    <w:semiHidden/>
    <w:rsid w:val="00152349"/>
    <w:rPr>
      <w:rFonts w:asciiTheme="minorHAnsi" w:hAnsiTheme="minorHAnsi"/>
      <w:b/>
      <w:bCs/>
      <w:lang w:eastAsia="en-US"/>
    </w:rPr>
  </w:style>
  <w:style w:type="paragraph" w:styleId="NormalWeb">
    <w:name w:val="Normal (Web)"/>
    <w:basedOn w:val="Normal"/>
    <w:uiPriority w:val="99"/>
    <w:semiHidden/>
    <w:unhideWhenUsed/>
    <w:rsid w:val="005C7849"/>
    <w:pPr>
      <w:spacing w:before="100" w:beforeAutospacing="1" w:after="100" w:afterAutospacing="1" w:line="240" w:lineRule="auto"/>
      <w:ind w:right="0"/>
    </w:pPr>
    <w:rPr>
      <w:rFonts w:ascii="Times New Roman" w:eastAsia="Times New Roman" w:hAnsi="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7526D0"/>
    <w:rPr>
      <w:color w:val="605E5C"/>
      <w:shd w:val="clear" w:color="auto" w:fill="E1DFDD"/>
    </w:rPr>
  </w:style>
  <w:style w:type="character" w:styleId="CommentReference">
    <w:name w:val="annotation reference"/>
    <w:basedOn w:val="DefaultParagraphFont"/>
    <w:uiPriority w:val="99"/>
    <w:semiHidden/>
    <w:unhideWhenUsed/>
    <w:rsid w:val="00152349"/>
    <w:rPr>
      <w:sz w:val="16"/>
      <w:szCs w:val="16"/>
    </w:rPr>
  </w:style>
  <w:style w:type="paragraph" w:styleId="CommentText">
    <w:name w:val="annotation text"/>
    <w:basedOn w:val="Normal"/>
    <w:link w:val="CommentTextChar"/>
    <w:uiPriority w:val="99"/>
    <w:semiHidden/>
    <w:unhideWhenUsed/>
    <w:rsid w:val="00152349"/>
    <w:pPr>
      <w:spacing w:line="240" w:lineRule="auto"/>
    </w:pPr>
    <w:rPr>
      <w:sz w:val="20"/>
      <w:szCs w:val="20"/>
    </w:rPr>
  </w:style>
  <w:style w:type="character" w:customStyle="1" w:styleId="CommentTextChar">
    <w:name w:val="Comment Text Char"/>
    <w:basedOn w:val="DefaultParagraphFont"/>
    <w:link w:val="CommentText"/>
    <w:uiPriority w:val="99"/>
    <w:semiHidden/>
    <w:rsid w:val="00152349"/>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52349"/>
    <w:rPr>
      <w:b/>
      <w:bCs/>
    </w:rPr>
  </w:style>
  <w:style w:type="character" w:customStyle="1" w:styleId="CommentSubjectChar">
    <w:name w:val="Comment Subject Char"/>
    <w:basedOn w:val="CommentTextChar"/>
    <w:link w:val="CommentSubject"/>
    <w:uiPriority w:val="99"/>
    <w:semiHidden/>
    <w:rsid w:val="00152349"/>
    <w:rPr>
      <w:rFonts w:asciiTheme="minorHAnsi" w:hAnsiTheme="minorHAnsi"/>
      <w:b/>
      <w:bCs/>
      <w:lang w:eastAsia="en-US"/>
    </w:rPr>
  </w:style>
  <w:style w:type="paragraph" w:styleId="NormalWeb">
    <w:name w:val="Normal (Web)"/>
    <w:basedOn w:val="Normal"/>
    <w:uiPriority w:val="99"/>
    <w:semiHidden/>
    <w:unhideWhenUsed/>
    <w:rsid w:val="005C7849"/>
    <w:pPr>
      <w:spacing w:before="100" w:beforeAutospacing="1" w:after="100" w:afterAutospacing="1" w:line="240" w:lineRule="auto"/>
      <w:ind w:right="0"/>
    </w:pPr>
    <w:rPr>
      <w:rFonts w:ascii="Times New Roman" w:eastAsia="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8840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Senate/Scrutiny_of_Delegated_Legislation/Exemptfromoversight" TargetMode="External"/><Relationship Id="rId18" Type="http://schemas.openxmlformats.org/officeDocument/2006/relationships/hyperlink" Target="https://www.legislation.gov.au/Details/F2020L00579" TargetMode="External"/><Relationship Id="rId26" Type="http://schemas.openxmlformats.org/officeDocument/2006/relationships/hyperlink" Target="https://www.aph.gov.au/-/media/Committees/Senate/committee/regord_ctte/mon2020/Monitor_10_of_2020.pdf"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aph.gov.au/-/media/Committees/Senate/committee/regord_ctte/index-of-instruments/2020/A-E/F2019L01610.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aph.gov.au/Parliamentary_Business/Committees/Senate/Scrutiny_of_Delegated_Legislation/Exemptfromoversight/Public_Hearings" TargetMode="External"/><Relationship Id="rId17" Type="http://schemas.openxmlformats.org/officeDocument/2006/relationships/hyperlink" Target="https://www.aph.gov.au/-/media/Committees/Senate/committee/regord_ctte/mon2020/Monitor_10_of_2020.pdf" TargetMode="External"/><Relationship Id="rId25" Type="http://schemas.openxmlformats.org/officeDocument/2006/relationships/hyperlink" Target="https://www.aph.gov.au/-/media/Committees/Senate/committee/scrutiny/scrutiny_digest/2020/PDF/d11.pdf" TargetMode="External"/><Relationship Id="rId33" Type="http://schemas.openxmlformats.org/officeDocument/2006/relationships/header" Target="head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aph.gov.au/-/media/Committees/Senate/committee/scrutiny/scrutiny_digest/2020/PDF/d11.pdf" TargetMode="External"/><Relationship Id="rId20" Type="http://schemas.openxmlformats.org/officeDocument/2006/relationships/hyperlink" Target="https://www.legislation.gov.au/Details/F2019L01610" TargetMode="External"/><Relationship Id="rId29" Type="http://schemas.openxmlformats.org/officeDocument/2006/relationships/hyperlink" Target="https://www.legislation.gov.au/Details/F2019L016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Scrutiny_of_Delegated_Legislation/Scrutiny_of_COVID-19_instruments" TargetMode="External"/><Relationship Id="rId24" Type="http://schemas.openxmlformats.org/officeDocument/2006/relationships/hyperlink" Target="https://www.aph.gov.au/Parliamentary_Business/Bills_Legislation/Bills_Search_Results/Result?bId=r6399"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aph.gov.au/Parliamentary_Business/Committees/Senate/Scrutiny_of_Delegated_Legislation/Exemptfromoversight/Public_Hearings" TargetMode="External"/><Relationship Id="rId23" Type="http://schemas.openxmlformats.org/officeDocument/2006/relationships/hyperlink" Target="https://www.aph.gov.au/-/media/Committees/Senate/committee/regord_ctte/index-of-instruments/2020/A-E/F2020L00572.pdf" TargetMode="External"/><Relationship Id="rId28" Type="http://schemas.openxmlformats.org/officeDocument/2006/relationships/hyperlink" Target="https://www.legislation.gov.au/Details/F2020L00579" TargetMode="External"/><Relationship Id="rId36" Type="http://schemas.openxmlformats.org/officeDocument/2006/relationships/theme" Target="theme/theme1.xm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www.aph.gov.au/-/media/Committees/Senate/committee/regord_ctte/index-of-instruments/2020/A-E/F2020L00579.pdf" TargetMode="External"/><Relationship Id="rId31" Type="http://schemas.openxmlformats.org/officeDocument/2006/relationships/hyperlink" Target="mailto:scrutiny.sen@aph.gov.au"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parlview.aph.gov.au/mediaPlayer.php?videoID=515631&amp;operation_mode=parlview" TargetMode="External"/><Relationship Id="rId22" Type="http://schemas.openxmlformats.org/officeDocument/2006/relationships/hyperlink" Target="https://www.legislation.gov.au/Details/F2020L00572" TargetMode="External"/><Relationship Id="rId27" Type="http://schemas.openxmlformats.org/officeDocument/2006/relationships/hyperlink" Target="https://www.aph.gov.au/Parliamentary_Business/Committees/Senate/Regulations_and_Ordinances/Alerts" TargetMode="External"/><Relationship Id="rId30" Type="http://schemas.openxmlformats.org/officeDocument/2006/relationships/hyperlink" Target="https://www.legislation.gov.au/Details/F2020L00572"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7052-E5D8-4E25-9E19-844C69F1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template.dotx</Template>
  <TotalTime>336</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Paton, Alex (SEN)</dc:creator>
  <cp:lastModifiedBy>Ryall, Glenn (SEN)</cp:lastModifiedBy>
  <cp:revision>19</cp:revision>
  <dcterms:created xsi:type="dcterms:W3CDTF">2020-08-31T05:59:00Z</dcterms:created>
  <dcterms:modified xsi:type="dcterms:W3CDTF">2020-09-04T03:07:00Z</dcterms:modified>
</cp:coreProperties>
</file>