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A5" w:rsidRPr="001611EF" w:rsidRDefault="006F1538" w:rsidP="00805F77">
      <w:pPr>
        <w:pStyle w:val="Date-SNews"/>
        <w:rPr>
          <w:i/>
          <w:iCs/>
          <w:sz w:val="22"/>
          <w:lang w:val="en-GB"/>
        </w:rPr>
      </w:pPr>
      <w:r>
        <w:rPr>
          <w:lang w:val="en-GB"/>
        </w:rPr>
        <w:t>28</w:t>
      </w:r>
      <w:r w:rsidR="00BE7EA5">
        <w:rPr>
          <w:lang w:val="en-GB"/>
        </w:rPr>
        <w:t xml:space="preserve"> </w:t>
      </w:r>
      <w:r>
        <w:rPr>
          <w:lang w:val="en-GB"/>
        </w:rPr>
        <w:t xml:space="preserve">November </w:t>
      </w:r>
      <w:r w:rsidR="00BE7EA5" w:rsidRPr="00DF7565">
        <w:rPr>
          <w:lang w:val="en-GB"/>
        </w:rPr>
        <w:t>201</w:t>
      </w:r>
      <w:r w:rsidR="00622C24">
        <w:rPr>
          <w:lang w:val="en-GB"/>
        </w:rPr>
        <w:t>9</w:t>
      </w:r>
    </w:p>
    <w:p w:rsidR="00BE7EA5" w:rsidRDefault="00BE7EA5" w:rsidP="00016603">
      <w:pPr>
        <w:pStyle w:val="Heading1"/>
        <w:spacing w:before="240" w:after="120"/>
        <w:rPr>
          <w:lang w:val="en-GB"/>
        </w:rPr>
      </w:pPr>
      <w:r>
        <w:rPr>
          <w:lang w:val="en-GB"/>
        </w:rPr>
        <w:t>Introduction</w:t>
      </w:r>
    </w:p>
    <w:p w:rsidR="00BE7EA5" w:rsidRDefault="00BE7EA5" w:rsidP="00BE7EA5">
      <w:pPr>
        <w:rPr>
          <w:lang w:val="en-GB"/>
        </w:rPr>
      </w:pPr>
      <w:r>
        <w:rPr>
          <w:lang w:val="en-GB"/>
        </w:rPr>
        <w:t>This newsletter highlights key aspects of the work of the Senate Scrutiny of Bills Committee and the Senate Regulations and Ordinances Committee. It h</w:t>
      </w:r>
      <w:bookmarkStart w:id="0" w:name="_GoBack"/>
      <w:bookmarkEnd w:id="0"/>
      <w:r>
        <w:rPr>
          <w:lang w:val="en-GB"/>
        </w:rPr>
        <w:t>as a particular focus on information that may be useful while bills are under consideration and legislative instruments are subject to disallowance, and seeks to raise awareness about the committees' scrutiny principles (see Senate Standing Orders 23 and 24).</w:t>
      </w:r>
    </w:p>
    <w:p w:rsidR="00BE7EA5" w:rsidRPr="00385D29" w:rsidRDefault="00BE7EA5" w:rsidP="00385D29">
      <w:r w:rsidRPr="00BE7EA5">
        <w:rPr>
          <w:lang w:val="en-GB"/>
        </w:rPr>
        <w:t xml:space="preserve">For more detail and discussion of these matters see the </w:t>
      </w:r>
      <w:r w:rsidRPr="00385D29">
        <w:t xml:space="preserve">committees' </w:t>
      </w:r>
      <w:hyperlink r:id="rId9" w:history="1">
        <w:r w:rsidRPr="00385D29">
          <w:rPr>
            <w:rStyle w:val="Hyperlink"/>
            <w:i/>
          </w:rPr>
          <w:t>Scrutiny Digests</w:t>
        </w:r>
      </w:hyperlink>
      <w:r w:rsidRPr="00385D29">
        <w:t xml:space="preserve"> and </w:t>
      </w:r>
      <w:hyperlink r:id="rId10" w:history="1">
        <w:r w:rsidRPr="00385D29">
          <w:rPr>
            <w:rStyle w:val="Hyperlink"/>
            <w:i/>
          </w:rPr>
          <w:t>Delegated legislation monitors</w:t>
        </w:r>
      </w:hyperlink>
      <w:r w:rsidRPr="00385D29">
        <w:t xml:space="preserve">. </w:t>
      </w:r>
    </w:p>
    <w:p w:rsidR="001664E9" w:rsidRDefault="001664E9" w:rsidP="00A56273">
      <w:pPr>
        <w:pStyle w:val="Heading1"/>
        <w:rPr>
          <w:szCs w:val="28"/>
          <w:lang w:val="en-GB"/>
        </w:rPr>
      </w:pPr>
      <w:r w:rsidRPr="001664E9">
        <w:rPr>
          <w:szCs w:val="28"/>
          <w:lang w:val="en-GB"/>
        </w:rPr>
        <w:t>Highlights</w:t>
      </w:r>
    </w:p>
    <w:p w:rsidR="00104958" w:rsidRDefault="007271A4" w:rsidP="00B87E90">
      <w:pPr>
        <w:rPr>
          <w:szCs w:val="28"/>
          <w:lang w:val="en-GB"/>
        </w:rPr>
      </w:pPr>
      <w:r>
        <w:rPr>
          <w:szCs w:val="28"/>
          <w:lang w:val="en-GB"/>
        </w:rPr>
        <w:t xml:space="preserve">On </w:t>
      </w:r>
      <w:r w:rsidR="001664E9">
        <w:rPr>
          <w:szCs w:val="28"/>
          <w:lang w:val="en-GB"/>
        </w:rPr>
        <w:t>27 November</w:t>
      </w:r>
      <w:r>
        <w:rPr>
          <w:szCs w:val="28"/>
          <w:lang w:val="en-GB"/>
        </w:rPr>
        <w:t xml:space="preserve"> 2019</w:t>
      </w:r>
      <w:r w:rsidR="001664E9">
        <w:rPr>
          <w:szCs w:val="28"/>
          <w:lang w:val="en-GB"/>
        </w:rPr>
        <w:t xml:space="preserve">, the Senate agreed to </w:t>
      </w:r>
      <w:hyperlink r:id="rId11" w:history="1">
        <w:r w:rsidR="001664E9" w:rsidRPr="008B4DB2">
          <w:rPr>
            <w:rStyle w:val="Hyperlink"/>
            <w:szCs w:val="28"/>
            <w:lang w:val="en-GB"/>
          </w:rPr>
          <w:t>General Business Notice of Motion No. 84</w:t>
        </w:r>
      </w:hyperlink>
      <w:r w:rsidR="0089223B">
        <w:rPr>
          <w:szCs w:val="28"/>
          <w:lang w:val="en-GB"/>
        </w:rPr>
        <w:t xml:space="preserve">, standing </w:t>
      </w:r>
      <w:r w:rsidR="001664E9">
        <w:rPr>
          <w:szCs w:val="28"/>
          <w:lang w:val="en-GB"/>
        </w:rPr>
        <w:t>in the name of the Chair of the Standing Committee on Regulations and Ordinances, to amend Senate standing orders 23 and 25(2)(a)</w:t>
      </w:r>
      <w:r w:rsidR="0089223B">
        <w:rPr>
          <w:szCs w:val="28"/>
          <w:lang w:val="en-GB"/>
        </w:rPr>
        <w:t>.</w:t>
      </w:r>
      <w:r>
        <w:rPr>
          <w:szCs w:val="28"/>
          <w:lang w:val="en-GB"/>
        </w:rPr>
        <w:t xml:space="preserve"> The amendments accord with the recommendations of the bipartisan </w:t>
      </w:r>
      <w:hyperlink r:id="rId12" w:history="1">
        <w:r w:rsidRPr="00B87E90">
          <w:rPr>
            <w:rStyle w:val="Hyperlink"/>
            <w:szCs w:val="28"/>
            <w:lang w:val="en-GB"/>
          </w:rPr>
          <w:t>report</w:t>
        </w:r>
      </w:hyperlink>
      <w:r>
        <w:rPr>
          <w:szCs w:val="28"/>
          <w:lang w:val="en-GB"/>
        </w:rPr>
        <w:t xml:space="preserve"> of the committee's 2019 </w:t>
      </w:r>
      <w:hyperlink r:id="rId13" w:history="1">
        <w:r w:rsidRPr="00B87E90">
          <w:rPr>
            <w:rStyle w:val="Hyperlink"/>
            <w:szCs w:val="28"/>
            <w:lang w:val="en-GB"/>
          </w:rPr>
          <w:t>inquiry</w:t>
        </w:r>
      </w:hyperlink>
      <w:r>
        <w:rPr>
          <w:szCs w:val="28"/>
          <w:lang w:val="en-GB"/>
        </w:rPr>
        <w:t xml:space="preserve"> into parliamentary scr</w:t>
      </w:r>
      <w:r w:rsidR="00104958">
        <w:rPr>
          <w:szCs w:val="28"/>
          <w:lang w:val="en-GB"/>
        </w:rPr>
        <w:t>utiny of delegated legislation. In summary, they:</w:t>
      </w:r>
    </w:p>
    <w:p w:rsidR="00104958" w:rsidRDefault="00104958" w:rsidP="00104958">
      <w:pPr>
        <w:pStyle w:val="ListParagraph"/>
        <w:numPr>
          <w:ilvl w:val="0"/>
          <w:numId w:val="15"/>
        </w:numPr>
        <w:rPr>
          <w:szCs w:val="28"/>
          <w:lang w:val="en-GB"/>
        </w:rPr>
      </w:pPr>
      <w:r>
        <w:rPr>
          <w:szCs w:val="28"/>
          <w:lang w:val="en-GB"/>
        </w:rPr>
        <w:t>modernise</w:t>
      </w:r>
      <w:r w:rsidR="00A06577">
        <w:rPr>
          <w:szCs w:val="28"/>
          <w:lang w:val="en-GB"/>
        </w:rPr>
        <w:t xml:space="preserve"> language and procedures;</w:t>
      </w:r>
    </w:p>
    <w:p w:rsidR="00104958" w:rsidRDefault="00A06577" w:rsidP="00104958">
      <w:pPr>
        <w:pStyle w:val="ListParagraph"/>
        <w:numPr>
          <w:ilvl w:val="0"/>
          <w:numId w:val="15"/>
        </w:numPr>
        <w:rPr>
          <w:szCs w:val="28"/>
          <w:lang w:val="en-GB"/>
        </w:rPr>
      </w:pPr>
      <w:r>
        <w:rPr>
          <w:szCs w:val="28"/>
          <w:lang w:val="en-GB"/>
        </w:rPr>
        <w:t>clarify the standing orders to reflect existing committee practice; and</w:t>
      </w:r>
    </w:p>
    <w:p w:rsidR="00A06577" w:rsidRPr="00104958" w:rsidRDefault="00A06577" w:rsidP="00104958">
      <w:pPr>
        <w:pStyle w:val="ListParagraph"/>
        <w:numPr>
          <w:ilvl w:val="0"/>
          <w:numId w:val="15"/>
        </w:numPr>
        <w:rPr>
          <w:szCs w:val="28"/>
          <w:lang w:val="en-GB"/>
        </w:rPr>
      </w:pPr>
      <w:proofErr w:type="gramStart"/>
      <w:r>
        <w:rPr>
          <w:szCs w:val="28"/>
          <w:lang w:val="en-GB"/>
        </w:rPr>
        <w:t>promote</w:t>
      </w:r>
      <w:proofErr w:type="gramEnd"/>
      <w:r>
        <w:rPr>
          <w:szCs w:val="28"/>
          <w:lang w:val="en-GB"/>
        </w:rPr>
        <w:t xml:space="preserve"> consistency with other Senate standing committees and scrutiny committees in other Westminster jurisdictions. </w:t>
      </w:r>
    </w:p>
    <w:p w:rsidR="001664E9" w:rsidRDefault="007271A4" w:rsidP="00B87E90">
      <w:pPr>
        <w:rPr>
          <w:szCs w:val="28"/>
          <w:lang w:val="en-GB"/>
        </w:rPr>
      </w:pPr>
      <w:r>
        <w:rPr>
          <w:szCs w:val="28"/>
          <w:lang w:val="en-GB"/>
        </w:rPr>
        <w:t xml:space="preserve">The amendments will take effect on 4 December 2019. Further information about the amendments is available on the committee's </w:t>
      </w:r>
      <w:hyperlink r:id="rId14" w:history="1">
        <w:r w:rsidRPr="00972B54">
          <w:rPr>
            <w:rStyle w:val="Hyperlink"/>
            <w:szCs w:val="28"/>
            <w:lang w:val="en-GB"/>
          </w:rPr>
          <w:t>website</w:t>
        </w:r>
      </w:hyperlink>
      <w:r>
        <w:rPr>
          <w:szCs w:val="28"/>
          <w:lang w:val="en-GB"/>
        </w:rPr>
        <w:t>.</w:t>
      </w:r>
    </w:p>
    <w:p w:rsidR="00BE7EA5" w:rsidRPr="00480E06" w:rsidRDefault="00BE7EA5" w:rsidP="00A56273">
      <w:pPr>
        <w:pStyle w:val="Heading1"/>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5" w:history="1">
        <w:r w:rsidR="00EF3BF2" w:rsidRPr="008B4DB2">
          <w:rPr>
            <w:rStyle w:val="Hyperlink"/>
            <w:i/>
            <w:iCs/>
            <w:sz w:val="20"/>
            <w:szCs w:val="20"/>
            <w:lang w:val="en-GB"/>
          </w:rPr>
          <w:t>Scrutiny Digest</w:t>
        </w:r>
        <w:r w:rsidRPr="008B4DB2">
          <w:rPr>
            <w:rStyle w:val="Hyperlink"/>
            <w:i/>
            <w:iCs/>
            <w:sz w:val="20"/>
            <w:szCs w:val="20"/>
            <w:lang w:val="en-GB"/>
          </w:rPr>
          <w:t xml:space="preserve"> </w:t>
        </w:r>
        <w:r w:rsidR="006F1538" w:rsidRPr="008B4DB2">
          <w:rPr>
            <w:rStyle w:val="Hyperlink"/>
            <w:i/>
            <w:iCs/>
            <w:sz w:val="20"/>
            <w:szCs w:val="20"/>
            <w:lang w:val="en-GB"/>
          </w:rPr>
          <w:t>9</w:t>
        </w:r>
        <w:r w:rsidRPr="008B4DB2">
          <w:rPr>
            <w:rStyle w:val="Hyperlink"/>
            <w:i/>
            <w:iCs/>
            <w:sz w:val="20"/>
            <w:szCs w:val="20"/>
            <w:lang w:val="en-GB"/>
          </w:rPr>
          <w:t xml:space="preserve"> of 201</w:t>
        </w:r>
        <w:r w:rsidR="00622C24" w:rsidRPr="008B4DB2">
          <w:rPr>
            <w:rStyle w:val="Hyperlink"/>
            <w:i/>
            <w:iCs/>
            <w:sz w:val="20"/>
            <w:szCs w:val="20"/>
            <w:lang w:val="en-GB"/>
          </w:rPr>
          <w:t>9</w:t>
        </w:r>
      </w:hyperlink>
      <w:r w:rsidRPr="00A56273">
        <w:rPr>
          <w:sz w:val="20"/>
          <w:szCs w:val="20"/>
          <w:lang w:val="en-GB"/>
        </w:rPr>
        <w:t>)</w:t>
      </w:r>
    </w:p>
    <w:p w:rsidR="00BE7EA5" w:rsidRPr="00B23221" w:rsidRDefault="00387612" w:rsidP="00016603">
      <w:pPr>
        <w:pStyle w:val="Heading2"/>
        <w:spacing w:before="120"/>
        <w:rPr>
          <w:i/>
          <w:iCs/>
          <w:sz w:val="32"/>
          <w:szCs w:val="32"/>
          <w:lang w:val="en-GB"/>
        </w:rPr>
      </w:pPr>
      <w:r>
        <w:t xml:space="preserve">Aged Care Legislation Amendment (New Commissioner Functions) </w:t>
      </w:r>
      <w:r w:rsidR="00BE7EA5">
        <w:t xml:space="preserve">Bill </w:t>
      </w:r>
      <w:r w:rsidR="00BE7EA5" w:rsidRPr="00C128AB">
        <w:t>201</w:t>
      </w:r>
      <w:r w:rsidR="00622C24">
        <w:t>9</w:t>
      </w:r>
      <w:r w:rsidR="00BE7EA5">
        <w:t xml:space="preserve"> </w:t>
      </w:r>
    </w:p>
    <w:p w:rsidR="00387612" w:rsidRDefault="00387612" w:rsidP="00D232B6">
      <w:pPr>
        <w:pStyle w:val="ListParagraph"/>
      </w:pPr>
      <w:r>
        <w:rPr>
          <w:i/>
          <w:u w:val="single"/>
        </w:rPr>
        <w:t>Use of force</w:t>
      </w:r>
      <w:r w:rsidR="00BE7EA5" w:rsidRPr="00FE00B0">
        <w:t>:</w:t>
      </w:r>
      <w:r w:rsidR="00BE7EA5">
        <w:t xml:space="preserve"> the committee </w:t>
      </w:r>
      <w:r>
        <w:t>considered that it may be appropriate to amend the bill to limit the use of force to persons who are authorised officers.</w:t>
      </w:r>
    </w:p>
    <w:p w:rsidR="00485708" w:rsidRDefault="00485708" w:rsidP="00D232B6">
      <w:pPr>
        <w:pStyle w:val="ListParagraph"/>
      </w:pPr>
      <w:r>
        <w:rPr>
          <w:i/>
          <w:u w:val="single"/>
        </w:rPr>
        <w:t>Broad delegation of investigatory powers</w:t>
      </w:r>
      <w:r w:rsidRPr="00485708">
        <w:t>:</w:t>
      </w:r>
      <w:r>
        <w:t xml:space="preserve"> the committee considered that it may be appropriate to amend the bill to require that a person assisting an authorised officer has suitable training or experience.</w:t>
      </w:r>
    </w:p>
    <w:p w:rsidR="00BE7EA5" w:rsidRPr="00FE00B0" w:rsidRDefault="00485708" w:rsidP="00D232B6">
      <w:pPr>
        <w:pStyle w:val="ListParagraph"/>
      </w:pPr>
      <w:r>
        <w:rPr>
          <w:i/>
          <w:u w:val="single"/>
        </w:rPr>
        <w:t>Broad delegation of administrative power</w:t>
      </w:r>
      <w:r w:rsidRPr="00485708">
        <w:t>:</w:t>
      </w:r>
      <w:r>
        <w:t xml:space="preserve"> the committee leaves to the Senate the appropriateness of allowing the Aged Care Quality and Safety Commissioner to broadly delegate his or her functions or powers. </w:t>
      </w:r>
      <w:r w:rsidR="00BE7EA5">
        <w:t xml:space="preserve"> </w:t>
      </w:r>
    </w:p>
    <w:p w:rsidR="00BE7EA5" w:rsidRPr="00D232B6" w:rsidRDefault="00BE7EA5" w:rsidP="00A56273">
      <w:pPr>
        <w:pStyle w:val="Heading1"/>
      </w:pPr>
      <w:r>
        <w:rPr>
          <w:lang w:val="en-GB"/>
        </w:rPr>
        <w:lastRenderedPageBreak/>
        <w:t xml:space="preserve">Key scrutiny </w:t>
      </w:r>
      <w:r w:rsidRPr="00A56273">
        <w:t>issues</w:t>
      </w:r>
      <w:r>
        <w:rPr>
          <w:lang w:val="en-GB"/>
        </w:rPr>
        <w:t xml:space="preserve">: </w:t>
      </w:r>
      <w:r w:rsidRPr="00D232B6">
        <w:t xml:space="preserve">Legislative instruments </w:t>
      </w:r>
      <w:r w:rsidRPr="00D232B6">
        <w:rPr>
          <w:i/>
          <w:sz w:val="20"/>
          <w:szCs w:val="20"/>
        </w:rPr>
        <w:t>(</w:t>
      </w:r>
      <w:hyperlink r:id="rId16" w:history="1">
        <w:r w:rsidRPr="008B4DB2">
          <w:rPr>
            <w:rStyle w:val="Hyperlink"/>
            <w:i/>
            <w:sz w:val="20"/>
            <w:szCs w:val="20"/>
          </w:rPr>
          <w:t>Delegated</w:t>
        </w:r>
        <w:r w:rsidR="00B7262B" w:rsidRPr="008B4DB2">
          <w:rPr>
            <w:rStyle w:val="Hyperlink"/>
            <w:i/>
            <w:sz w:val="20"/>
            <w:szCs w:val="20"/>
          </w:rPr>
          <w:t xml:space="preserve"> Legislation M</w:t>
        </w:r>
        <w:r w:rsidRPr="008B4DB2">
          <w:rPr>
            <w:rStyle w:val="Hyperlink"/>
            <w:i/>
            <w:sz w:val="20"/>
            <w:szCs w:val="20"/>
          </w:rPr>
          <w:t>onitor</w:t>
        </w:r>
        <w:r w:rsidR="006F1538" w:rsidRPr="008B4DB2">
          <w:rPr>
            <w:rStyle w:val="Hyperlink"/>
            <w:i/>
            <w:sz w:val="20"/>
            <w:szCs w:val="20"/>
          </w:rPr>
          <w:t xml:space="preserve"> 9</w:t>
        </w:r>
        <w:r w:rsidRPr="008B4DB2">
          <w:rPr>
            <w:rStyle w:val="Hyperlink"/>
            <w:i/>
            <w:sz w:val="20"/>
            <w:szCs w:val="20"/>
          </w:rPr>
          <w:t xml:space="preserve"> of 201</w:t>
        </w:r>
        <w:r w:rsidR="005D4867" w:rsidRPr="008B4DB2">
          <w:rPr>
            <w:rStyle w:val="Hyperlink"/>
            <w:i/>
            <w:sz w:val="20"/>
            <w:szCs w:val="20"/>
          </w:rPr>
          <w:t>9</w:t>
        </w:r>
      </w:hyperlink>
      <w:r w:rsidRPr="00D232B6">
        <w:rPr>
          <w:i/>
          <w:sz w:val="20"/>
          <w:szCs w:val="20"/>
        </w:rPr>
        <w:t>)</w:t>
      </w:r>
    </w:p>
    <w:p w:rsidR="00142306" w:rsidRPr="00A60C75" w:rsidRDefault="00142306" w:rsidP="00142306">
      <w:pPr>
        <w:pStyle w:val="Heading2"/>
        <w:spacing w:before="120"/>
        <w:rPr>
          <w:rFonts w:eastAsia="Calibri"/>
          <w:b w:val="0"/>
          <w:bCs w:val="0"/>
          <w:color w:val="auto"/>
          <w:sz w:val="24"/>
          <w:szCs w:val="22"/>
        </w:rPr>
      </w:pPr>
      <w:r w:rsidRPr="00A60C75">
        <w:t>Telecommunications (Protecting Australians from Terrorist or Violent Criminal Material) Direction (No. 1) 2019 [F2019L01159]</w:t>
      </w:r>
    </w:p>
    <w:p w:rsidR="00142306" w:rsidRDefault="00142306" w:rsidP="00142306">
      <w:pPr>
        <w:pStyle w:val="ListParagraph"/>
      </w:pPr>
      <w:r>
        <w:t xml:space="preserve">On 27 November 2019, the Senate Regulations and Ordinances Committee held a private briefing with the </w:t>
      </w:r>
      <w:proofErr w:type="spellStart"/>
      <w:r>
        <w:t>eSafety</w:t>
      </w:r>
      <w:proofErr w:type="spellEnd"/>
      <w:r>
        <w:t xml:space="preserve"> Commissioner, to discuss the committee's technical scrutiny concerns relating to the </w:t>
      </w:r>
      <w:r w:rsidRPr="00A60C75">
        <w:t>Telecommunications (Protecting Australians from Terrorist or Violent Criminal Material) Direction (No. 1) 2019</w:t>
      </w:r>
      <w:r>
        <w:t>.</w:t>
      </w:r>
    </w:p>
    <w:p w:rsidR="00BE7EA5" w:rsidRPr="00B23221" w:rsidRDefault="00A60C75" w:rsidP="00016603">
      <w:pPr>
        <w:pStyle w:val="Heading2"/>
        <w:spacing w:before="120"/>
        <w:rPr>
          <w:i/>
          <w:iCs/>
          <w:sz w:val="32"/>
          <w:szCs w:val="32"/>
          <w:lang w:val="en-GB"/>
        </w:rPr>
      </w:pPr>
      <w:r w:rsidRPr="00A60C75">
        <w:t>Quality of Care Amendment (Minimising Use of Restraints) Principles 2019 [F2019L00511]</w:t>
      </w:r>
    </w:p>
    <w:p w:rsidR="00BE7EA5" w:rsidRPr="00A60C75" w:rsidRDefault="00A60C75" w:rsidP="00D232B6">
      <w:pPr>
        <w:pStyle w:val="ListParagraph"/>
      </w:pPr>
      <w:r>
        <w:rPr>
          <w:i/>
          <w:u w:val="single"/>
        </w:rPr>
        <w:t>Significant matters in delegated legislation</w:t>
      </w:r>
      <w:r w:rsidRPr="007271A4">
        <w:t xml:space="preserve">: </w:t>
      </w:r>
      <w:r>
        <w:t>followi</w:t>
      </w:r>
      <w:r w:rsidR="00D365D5">
        <w:t>ng extensive engagement with the</w:t>
      </w:r>
      <w:r>
        <w:t xml:space="preserve"> committee, t</w:t>
      </w:r>
      <w:r w:rsidRPr="00A60C75">
        <w:t xml:space="preserve">he </w:t>
      </w:r>
      <w:r>
        <w:t>minister has</w:t>
      </w:r>
      <w:r w:rsidRPr="00A60C75">
        <w:t xml:space="preserve"> amend</w:t>
      </w:r>
      <w:r w:rsidR="000D7E47">
        <w:t>ed</w:t>
      </w:r>
      <w:r w:rsidRPr="00A60C75">
        <w:t xml:space="preserve"> the Quality of Care Principles 2014 to provide for a review of the matters contained </w:t>
      </w:r>
      <w:r>
        <w:t>in the instrument aft</w:t>
      </w:r>
      <w:r w:rsidR="000D7E47">
        <w:t>er 12 months of operation and the repeal of the provisions</w:t>
      </w:r>
      <w:r w:rsidR="008D1EFA">
        <w:t xml:space="preserve"> inserted by the instrument</w:t>
      </w:r>
      <w:r>
        <w:t xml:space="preserve"> after tw</w:t>
      </w:r>
      <w:r w:rsidR="00D365D5">
        <w:t>o years of operation. On the basis of these amendments</w:t>
      </w:r>
      <w:r>
        <w:t xml:space="preserve">, the committee has resolved to withdraw the notice of motion to disallow the instrument. </w:t>
      </w:r>
    </w:p>
    <w:p w:rsidR="00BE7EA5" w:rsidRPr="00AE794A" w:rsidRDefault="00BE7EA5" w:rsidP="00A56273">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7" w:history="1">
        <w:r w:rsidRPr="008B4DB2">
          <w:rPr>
            <w:rStyle w:val="Hyperlink"/>
            <w:i/>
            <w:sz w:val="20"/>
            <w:szCs w:val="20"/>
          </w:rPr>
          <w:t>Scrutiny Di</w:t>
        </w:r>
        <w:r w:rsidR="00EF3BF2" w:rsidRPr="008B4DB2">
          <w:rPr>
            <w:rStyle w:val="Hyperlink"/>
            <w:i/>
            <w:sz w:val="20"/>
            <w:szCs w:val="20"/>
          </w:rPr>
          <w:t>gest</w:t>
        </w:r>
        <w:r w:rsidR="006F1538" w:rsidRPr="008B4DB2">
          <w:rPr>
            <w:rStyle w:val="Hyperlink"/>
            <w:i/>
            <w:sz w:val="20"/>
            <w:szCs w:val="20"/>
          </w:rPr>
          <w:t xml:space="preserve"> 9</w:t>
        </w:r>
        <w:r w:rsidRPr="008B4DB2">
          <w:rPr>
            <w:rStyle w:val="Hyperlink"/>
            <w:i/>
            <w:sz w:val="20"/>
            <w:szCs w:val="20"/>
          </w:rPr>
          <w:t xml:space="preserve"> of 201</w:t>
        </w:r>
        <w:r w:rsidR="005D4867" w:rsidRPr="008B4DB2">
          <w:rPr>
            <w:rStyle w:val="Hyperlink"/>
            <w:i/>
            <w:sz w:val="20"/>
            <w:szCs w:val="20"/>
          </w:rPr>
          <w:t>9</w:t>
        </w:r>
      </w:hyperlink>
      <w:r w:rsidRPr="00A56273">
        <w:rPr>
          <w:sz w:val="20"/>
          <w:szCs w:val="20"/>
        </w:rPr>
        <w:t>)</w:t>
      </w:r>
    </w:p>
    <w:p w:rsidR="00BE7EA5" w:rsidRPr="00805F77" w:rsidRDefault="00485708" w:rsidP="00485708">
      <w:pPr>
        <w:pStyle w:val="ListParagraph"/>
      </w:pPr>
      <w:r w:rsidRPr="00D26769">
        <w:rPr>
          <w:b/>
        </w:rPr>
        <w:t xml:space="preserve">Communications Legislation Amendment (Deregulation and Other Measures) </w:t>
      </w:r>
      <w:r w:rsidR="00622C24" w:rsidRPr="00D26769">
        <w:rPr>
          <w:b/>
        </w:rPr>
        <w:t>Bill 2019</w:t>
      </w:r>
      <w:r w:rsidR="00BE7EA5" w:rsidRPr="00805F77">
        <w:t>:</w:t>
      </w:r>
      <w:r>
        <w:t xml:space="preserve"> the committee leaves to the Senate the appropriateness of removing independent merits review and providing </w:t>
      </w:r>
      <w:r w:rsidRPr="00485708">
        <w:t>broad delegations of administrative powers.</w:t>
      </w:r>
    </w:p>
    <w:p w:rsidR="00BE7EA5" w:rsidRPr="00805F77" w:rsidRDefault="00485708" w:rsidP="00016603">
      <w:pPr>
        <w:pStyle w:val="ListParagraph"/>
        <w:spacing w:before="0" w:after="60"/>
      </w:pPr>
      <w:r w:rsidRPr="00D26769">
        <w:rPr>
          <w:b/>
        </w:rPr>
        <w:t xml:space="preserve">Health Legislation Amendment (Data-matching and Other Matters) </w:t>
      </w:r>
      <w:r w:rsidR="00622C24" w:rsidRPr="00D26769">
        <w:rPr>
          <w:b/>
        </w:rPr>
        <w:t>Bill 2019</w:t>
      </w:r>
      <w:r w:rsidR="00BE7EA5" w:rsidRPr="00805F77">
        <w:t>:</w:t>
      </w:r>
      <w:r>
        <w:t xml:space="preserve"> the committee consider</w:t>
      </w:r>
      <w:r w:rsidR="00D26769">
        <w:t xml:space="preserve">ed that </w:t>
      </w:r>
      <w:r>
        <w:t>it may be appropriate to amend the bill to limit the delegation of the Chief Executive Medicare's powers.</w:t>
      </w:r>
    </w:p>
    <w:p w:rsidR="00BE7EA5" w:rsidRPr="00AE794A" w:rsidRDefault="00BE7EA5" w:rsidP="00A56273">
      <w:pPr>
        <w:pStyle w:val="Heading1"/>
        <w:rPr>
          <w:lang w:val="en-GB"/>
        </w:rPr>
      </w:pPr>
      <w:r>
        <w:rPr>
          <w:lang w:val="en-GB"/>
        </w:rPr>
        <w:t xml:space="preserve">Other legislative </w:t>
      </w:r>
      <w:r w:rsidRPr="00A56273">
        <w:t>instruments</w:t>
      </w:r>
      <w:r>
        <w:rPr>
          <w:lang w:val="en-GB"/>
        </w:rPr>
        <w:t xml:space="preserve"> commented on </w:t>
      </w:r>
      <w:r w:rsidRPr="00D232B6">
        <w:rPr>
          <w:i/>
          <w:iCs/>
          <w:sz w:val="20"/>
          <w:szCs w:val="20"/>
          <w:lang w:val="en-GB"/>
        </w:rPr>
        <w:t>(</w:t>
      </w:r>
      <w:hyperlink r:id="rId18" w:history="1">
        <w:r w:rsidRPr="008B4DB2">
          <w:rPr>
            <w:rStyle w:val="Hyperlink"/>
            <w:i/>
            <w:iCs/>
            <w:sz w:val="20"/>
            <w:szCs w:val="20"/>
            <w:lang w:val="en-GB"/>
          </w:rPr>
          <w:t>Delegat</w:t>
        </w:r>
        <w:r w:rsidR="00B7262B" w:rsidRPr="008B4DB2">
          <w:rPr>
            <w:rStyle w:val="Hyperlink"/>
            <w:i/>
            <w:iCs/>
            <w:sz w:val="20"/>
            <w:szCs w:val="20"/>
            <w:lang w:val="en-GB"/>
          </w:rPr>
          <w:t>ed Legislation M</w:t>
        </w:r>
        <w:r w:rsidR="00622C24" w:rsidRPr="008B4DB2">
          <w:rPr>
            <w:rStyle w:val="Hyperlink"/>
            <w:i/>
            <w:iCs/>
            <w:sz w:val="20"/>
            <w:szCs w:val="20"/>
            <w:lang w:val="en-GB"/>
          </w:rPr>
          <w:t xml:space="preserve">onitor </w:t>
        </w:r>
        <w:r w:rsidR="006F1538" w:rsidRPr="008B4DB2">
          <w:rPr>
            <w:rStyle w:val="Hyperlink"/>
            <w:i/>
            <w:iCs/>
            <w:sz w:val="20"/>
            <w:szCs w:val="20"/>
            <w:lang w:val="en-GB"/>
          </w:rPr>
          <w:t>9</w:t>
        </w:r>
        <w:r w:rsidR="00622C24" w:rsidRPr="008B4DB2">
          <w:rPr>
            <w:rStyle w:val="Hyperlink"/>
            <w:i/>
            <w:iCs/>
            <w:sz w:val="20"/>
            <w:szCs w:val="20"/>
            <w:lang w:val="en-GB"/>
          </w:rPr>
          <w:t xml:space="preserve"> of 2019</w:t>
        </w:r>
      </w:hyperlink>
      <w:r w:rsidRPr="00D232B6">
        <w:rPr>
          <w:i/>
          <w:iCs/>
          <w:sz w:val="20"/>
          <w:szCs w:val="20"/>
          <w:lang w:val="en-GB"/>
        </w:rPr>
        <w:t>)</w:t>
      </w:r>
    </w:p>
    <w:p w:rsidR="00DA2F6B" w:rsidRDefault="00DA2F6B" w:rsidP="00DA2F6B">
      <w:pPr>
        <w:pStyle w:val="ListParagraph"/>
      </w:pPr>
      <w:r w:rsidRPr="00D20C41">
        <w:t xml:space="preserve">The Regulations and Ordinances committee considered </w:t>
      </w:r>
      <w:r w:rsidR="00F81A2C">
        <w:t>60</w:t>
      </w:r>
      <w:r>
        <w:t xml:space="preserve"> disallowable</w:t>
      </w:r>
      <w:r w:rsidRPr="00D20C41">
        <w:t xml:space="preserve"> legislative instruments registered on the Federal Re</w:t>
      </w:r>
      <w:r>
        <w:t xml:space="preserve">gister of Legislation between </w:t>
      </w:r>
      <w:r w:rsidR="00896C98">
        <w:t>17 October</w:t>
      </w:r>
      <w:r>
        <w:t xml:space="preserve"> 2019 and </w:t>
      </w:r>
      <w:r w:rsidR="00896C98">
        <w:t>31 October</w:t>
      </w:r>
      <w:r w:rsidRPr="00D20C41">
        <w:t xml:space="preserve"> 2019. The committee is continuing to engage with minister</w:t>
      </w:r>
      <w:r>
        <w:t xml:space="preserve">s and agencies in relation to </w:t>
      </w:r>
      <w:r w:rsidR="009F7689">
        <w:t>10</w:t>
      </w:r>
      <w:r w:rsidRPr="00D20C41">
        <w:t xml:space="preserve"> instruments, and has c</w:t>
      </w:r>
      <w:r>
        <w:t xml:space="preserve">oncluded its consideration of </w:t>
      </w:r>
      <w:r w:rsidR="009F7689">
        <w:t>one</w:t>
      </w:r>
      <w:r w:rsidRPr="00D20C41">
        <w:t xml:space="preserve"> instrument. </w:t>
      </w:r>
    </w:p>
    <w:p w:rsidR="00DA2F6B" w:rsidRDefault="00DA2F6B" w:rsidP="00DA2F6B">
      <w:pPr>
        <w:pStyle w:val="ListParagraph"/>
      </w:pPr>
      <w:r>
        <w:t xml:space="preserve">All legislative instruments subject to a notice of motion for disallowance in either House of Parliament are listed in the </w:t>
      </w:r>
      <w:hyperlink r:id="rId19" w:history="1">
        <w:r w:rsidRPr="00D232B6">
          <w:rPr>
            <w:rStyle w:val="Hyperlink"/>
          </w:rPr>
          <w:t>Disallowance Alert</w:t>
        </w:r>
      </w:hyperlink>
      <w:r w:rsidRPr="00D232B6">
        <w:t>.</w:t>
      </w:r>
    </w:p>
    <w:p w:rsidR="00DA2F6B" w:rsidRPr="00AE794A" w:rsidRDefault="00DA2F6B" w:rsidP="00DA2F6B">
      <w:pPr>
        <w:pStyle w:val="Heading1"/>
        <w:rPr>
          <w:lang w:val="en-GB"/>
        </w:rPr>
      </w:pPr>
      <w:r>
        <w:rPr>
          <w:lang w:val="en-GB"/>
        </w:rPr>
        <w:t>Notices of motion to disallow</w:t>
      </w:r>
    </w:p>
    <w:p w:rsidR="00DA2F6B" w:rsidRDefault="00DA2F6B" w:rsidP="00DA2F6B">
      <w:r>
        <w:t xml:space="preserve">At its private meeting on </w:t>
      </w:r>
      <w:r w:rsidR="006F1538">
        <w:t>27 November</w:t>
      </w:r>
      <w:r>
        <w:t xml:space="preserve"> 2019, the Senate Regulations and Ordinances Committee resolved to </w:t>
      </w:r>
      <w:r>
        <w:rPr>
          <w:b/>
        </w:rPr>
        <w:t>place</w:t>
      </w:r>
      <w:r>
        <w:t xml:space="preserve"> notices of motions to disallow the following instruments:</w:t>
      </w:r>
    </w:p>
    <w:p w:rsidR="00DA2F6B" w:rsidRDefault="00077937" w:rsidP="00DA2F6B">
      <w:pPr>
        <w:pStyle w:val="ListParagraph"/>
        <w:numPr>
          <w:ilvl w:val="0"/>
          <w:numId w:val="13"/>
        </w:numPr>
      </w:pPr>
      <w:r w:rsidRPr="00077937">
        <w:t>Telecommunications (Protecting Australians from Terrorist or Violent Criminal Material) Direction (No. 1) 2019 [F2019L01159]</w:t>
      </w:r>
    </w:p>
    <w:p w:rsidR="00077937" w:rsidRDefault="00077937" w:rsidP="00DA2F6B">
      <w:pPr>
        <w:pStyle w:val="ListParagraph"/>
        <w:numPr>
          <w:ilvl w:val="0"/>
          <w:numId w:val="13"/>
        </w:numPr>
      </w:pPr>
      <w:r w:rsidRPr="00077937">
        <w:t>Financial Sector (Collection of Data) (reporting standard) determination No. 30 of 2019 [F2019L01196]</w:t>
      </w:r>
    </w:p>
    <w:p w:rsidR="00DA2F6B" w:rsidRDefault="00DA2F6B" w:rsidP="00DA2F6B">
      <w:r>
        <w:lastRenderedPageBreak/>
        <w:t xml:space="preserve">At its private meeting on </w:t>
      </w:r>
      <w:r w:rsidR="006F1538">
        <w:t>27 November</w:t>
      </w:r>
      <w:r>
        <w:t xml:space="preserve"> 2019, the Senate Regulations and Ordinances Committee resolved to </w:t>
      </w:r>
      <w:r>
        <w:rPr>
          <w:b/>
        </w:rPr>
        <w:t>withdraw</w:t>
      </w:r>
      <w:r>
        <w:t xml:space="preserve"> notices of motions to di</w:t>
      </w:r>
      <w:r w:rsidR="005C0B71">
        <w:t>sallow the following instrument</w:t>
      </w:r>
      <w:r>
        <w:t>:</w:t>
      </w:r>
    </w:p>
    <w:p w:rsidR="00077937" w:rsidRDefault="00077937" w:rsidP="00DA2F6B">
      <w:pPr>
        <w:pStyle w:val="ListParagraph"/>
        <w:numPr>
          <w:ilvl w:val="0"/>
          <w:numId w:val="13"/>
        </w:numPr>
      </w:pPr>
      <w:r w:rsidRPr="00077937">
        <w:t>Quality of Care Amendment (Minimising Use of Restraints) Principles 2019 [F2019L00511]</w:t>
      </w:r>
    </w:p>
    <w:p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Pr="008238D1">
        <w:t>) and the Senate Regulations and Ordinances Committee (Chair: Senator</w:t>
      </w:r>
      <w:r w:rsidR="00C8796B" w:rsidRPr="008238D1">
        <w:t> </w:t>
      </w:r>
      <w:r w:rsidR="006204E4">
        <w:t>the Hon</w:t>
      </w:r>
      <w:r w:rsidR="00C8796B" w:rsidRPr="008238D1">
        <w:t> </w:t>
      </w:r>
      <w:r w:rsidR="006204E4">
        <w:t>Concetta Fierravanti-Wells</w:t>
      </w:r>
      <w:r w:rsidR="00C8796B" w:rsidRPr="008238D1">
        <w:t xml:space="preserve"> and Deputy Chair: Senator </w:t>
      </w:r>
      <w:r w:rsidR="006204E4">
        <w:t>the Hon Kim</w:t>
      </w:r>
      <w:r w:rsidR="00C8796B" w:rsidRPr="008238D1">
        <w:t> </w:t>
      </w:r>
      <w:r w:rsidR="006204E4">
        <w:t>Carr</w:t>
      </w:r>
      <w:r w:rsidRPr="008238D1">
        <w:t>).</w:t>
      </w:r>
      <w:r w:rsidR="00525ACA">
        <w:br/>
      </w:r>
      <w:r w:rsidR="00525ACA">
        <w:br/>
      </w:r>
      <w:r w:rsidRPr="008238D1">
        <w:t xml:space="preserve">For any comments or questions, please contact: </w:t>
      </w:r>
      <w:r w:rsidR="008238D1" w:rsidRPr="008238D1">
        <w:br/>
      </w:r>
      <w:r w:rsidR="00896C98">
        <w:t>Glenn Ryall</w:t>
      </w:r>
      <w:r w:rsidRPr="008238D1">
        <w:t>, Secretary</w:t>
      </w:r>
      <w:r w:rsidR="00D232B6" w:rsidRPr="008238D1">
        <w:br/>
      </w:r>
      <w:r w:rsidRPr="008238D1">
        <w:t>Senate Scrutiny of Bill</w:t>
      </w:r>
      <w:r w:rsidR="00D232B6" w:rsidRPr="008238D1">
        <w:t xml:space="preserve">s Committee </w:t>
      </w:r>
      <w:r w:rsidR="00D232B6" w:rsidRPr="008238D1">
        <w:br/>
        <w:t>02 6277 </w:t>
      </w:r>
      <w:proofErr w:type="gramStart"/>
      <w:r w:rsidR="00850873">
        <w:t>3050</w:t>
      </w:r>
      <w:r w:rsidR="00C8796B" w:rsidRPr="008238D1">
        <w:t xml:space="preserve">  </w:t>
      </w:r>
      <w:r w:rsidR="00D232B6" w:rsidRPr="008238D1">
        <w:t>|</w:t>
      </w:r>
      <w:proofErr w:type="gramEnd"/>
      <w:r w:rsidR="00D232B6" w:rsidRPr="008238D1">
        <w:t xml:space="preserve">  </w:t>
      </w:r>
      <w:hyperlink r:id="rId20" w:history="1">
        <w:r w:rsidRPr="008238D1">
          <w:rPr>
            <w:rStyle w:val="Hyperlink"/>
            <w:szCs w:val="18"/>
          </w:rPr>
          <w:t>scrutiny.sen@aph.gov.au</w:t>
        </w:r>
      </w:hyperlink>
      <w:r w:rsidRPr="008238D1">
        <w:t xml:space="preserve"> </w:t>
      </w:r>
      <w:r w:rsidR="00D232B6" w:rsidRPr="008238D1">
        <w:br/>
      </w:r>
      <w:r w:rsidRPr="008238D1">
        <w:t>Regulati</w:t>
      </w:r>
      <w:r w:rsidR="00D232B6" w:rsidRPr="008238D1">
        <w:t xml:space="preserve">ons and Ordinances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Pr="00142C14">
        <w:rPr>
          <w:rStyle w:val="Hyperlink"/>
        </w:rPr>
        <w:t>regords.sen@aph.gov.au</w:t>
      </w:r>
    </w:p>
    <w:sectPr w:rsidR="00BE7EA5" w:rsidRPr="00BE7EA5" w:rsidSect="004B0C43">
      <w:footerReference w:type="default" r:id="rId21"/>
      <w:headerReference w:type="first" r:id="rId22"/>
      <w:footerReference w:type="first" r:id="rId23"/>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1EF" w:rsidRDefault="000D11EF" w:rsidP="00D77905">
      <w:pPr>
        <w:spacing w:after="0" w:line="240" w:lineRule="auto"/>
      </w:pPr>
      <w:r>
        <w:separator/>
      </w:r>
    </w:p>
  </w:endnote>
  <w:endnote w:type="continuationSeparator" w:id="0">
    <w:p w:rsidR="000D11EF" w:rsidRDefault="000D11EF"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1EF" w:rsidRDefault="000D11EF" w:rsidP="00D77905">
      <w:pPr>
        <w:spacing w:after="0" w:line="240" w:lineRule="auto"/>
      </w:pPr>
      <w:r>
        <w:separator/>
      </w:r>
    </w:p>
  </w:footnote>
  <w:footnote w:type="continuationSeparator" w:id="0">
    <w:p w:rsidR="000D11EF" w:rsidRDefault="000D11EF" w:rsidP="00D7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917" w:rsidRDefault="00A56273">
    <w:pPr>
      <w:pStyle w:val="Header"/>
    </w:pPr>
    <w:r>
      <w:rPr>
        <w:noProof/>
        <w:lang w:eastAsia="en-AU"/>
      </w:rPr>
      <w:drawing>
        <wp:inline distT="0" distB="0" distL="0" distR="0" wp14:anchorId="232D3A84" wp14:editId="192AA017">
          <wp:extent cx="6120765" cy="1132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utinyNews-email-header.png"/>
                  <pic:cNvPicPr/>
                </pic:nvPicPr>
                <pic:blipFill>
                  <a:blip r:embed="rId1">
                    <a:extLst>
                      <a:ext uri="{28A0092B-C50C-407E-A947-70E740481C1C}">
                        <a14:useLocalDpi xmlns:a14="http://schemas.microsoft.com/office/drawing/2010/main" val="0"/>
                      </a:ext>
                    </a:extLst>
                  </a:blip>
                  <a:stretch>
                    <a:fillRect/>
                  </a:stretch>
                </pic:blipFill>
                <pic:spPr>
                  <a:xfrm>
                    <a:off x="0" y="0"/>
                    <a:ext cx="6120765" cy="11322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C423AF8"/>
    <w:multiLevelType w:val="hybridMultilevel"/>
    <w:tmpl w:val="FA10C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0"/>
  </w:num>
  <w:num w:numId="5">
    <w:abstractNumId w:val="9"/>
  </w:num>
  <w:num w:numId="6">
    <w:abstractNumId w:val="4"/>
  </w:num>
  <w:num w:numId="7">
    <w:abstractNumId w:val="11"/>
  </w:num>
  <w:num w:numId="8">
    <w:abstractNumId w:val="6"/>
  </w:num>
  <w:num w:numId="9">
    <w:abstractNumId w:val="10"/>
  </w:num>
  <w:num w:numId="10">
    <w:abstractNumId w:val="2"/>
  </w:num>
  <w:num w:numId="11">
    <w:abstractNumId w:val="7"/>
  </w:num>
  <w:num w:numId="12">
    <w:abstractNumId w:val="8"/>
  </w:num>
  <w:num w:numId="13">
    <w:abstractNumId w:val="5"/>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1EF"/>
    <w:rsid w:val="000006AC"/>
    <w:rsid w:val="00016603"/>
    <w:rsid w:val="00046BBF"/>
    <w:rsid w:val="0006580D"/>
    <w:rsid w:val="00077937"/>
    <w:rsid w:val="00080C86"/>
    <w:rsid w:val="000976B1"/>
    <w:rsid w:val="000A0E54"/>
    <w:rsid w:val="000A453A"/>
    <w:rsid w:val="000C2760"/>
    <w:rsid w:val="000D11EF"/>
    <w:rsid w:val="000D7E47"/>
    <w:rsid w:val="000E129E"/>
    <w:rsid w:val="000E2832"/>
    <w:rsid w:val="00104958"/>
    <w:rsid w:val="00113DF8"/>
    <w:rsid w:val="00142306"/>
    <w:rsid w:val="00142C14"/>
    <w:rsid w:val="001664E9"/>
    <w:rsid w:val="001857AB"/>
    <w:rsid w:val="001D12CF"/>
    <w:rsid w:val="001F7917"/>
    <w:rsid w:val="00200BDE"/>
    <w:rsid w:val="00212263"/>
    <w:rsid w:val="00231FA1"/>
    <w:rsid w:val="0028134D"/>
    <w:rsid w:val="0029217B"/>
    <w:rsid w:val="002D627A"/>
    <w:rsid w:val="002E14D3"/>
    <w:rsid w:val="002E33E2"/>
    <w:rsid w:val="00334D68"/>
    <w:rsid w:val="003547E9"/>
    <w:rsid w:val="00371C11"/>
    <w:rsid w:val="00376075"/>
    <w:rsid w:val="00383893"/>
    <w:rsid w:val="00385D29"/>
    <w:rsid w:val="00387612"/>
    <w:rsid w:val="003A6069"/>
    <w:rsid w:val="003D47B6"/>
    <w:rsid w:val="004213FE"/>
    <w:rsid w:val="00476584"/>
    <w:rsid w:val="00485708"/>
    <w:rsid w:val="004B0C43"/>
    <w:rsid w:val="004C30DE"/>
    <w:rsid w:val="005242F6"/>
    <w:rsid w:val="00525ACA"/>
    <w:rsid w:val="005378A5"/>
    <w:rsid w:val="00584BF6"/>
    <w:rsid w:val="005B56DB"/>
    <w:rsid w:val="005C0B71"/>
    <w:rsid w:val="005D4867"/>
    <w:rsid w:val="006024BB"/>
    <w:rsid w:val="006033E3"/>
    <w:rsid w:val="006204E4"/>
    <w:rsid w:val="00622C24"/>
    <w:rsid w:val="0068651B"/>
    <w:rsid w:val="00693257"/>
    <w:rsid w:val="006C4841"/>
    <w:rsid w:val="006D1109"/>
    <w:rsid w:val="006F1538"/>
    <w:rsid w:val="00710B6E"/>
    <w:rsid w:val="007271A4"/>
    <w:rsid w:val="007321ED"/>
    <w:rsid w:val="00784927"/>
    <w:rsid w:val="00797C7B"/>
    <w:rsid w:val="007A224E"/>
    <w:rsid w:val="007F25C7"/>
    <w:rsid w:val="00805F77"/>
    <w:rsid w:val="008238D1"/>
    <w:rsid w:val="008255D7"/>
    <w:rsid w:val="00850873"/>
    <w:rsid w:val="0089223B"/>
    <w:rsid w:val="00896C98"/>
    <w:rsid w:val="008B03F6"/>
    <w:rsid w:val="008B4DB2"/>
    <w:rsid w:val="008B59E2"/>
    <w:rsid w:val="008D1EFA"/>
    <w:rsid w:val="00972B54"/>
    <w:rsid w:val="0098317C"/>
    <w:rsid w:val="009B4C2D"/>
    <w:rsid w:val="009E16D8"/>
    <w:rsid w:val="009F69A7"/>
    <w:rsid w:val="009F7689"/>
    <w:rsid w:val="00A06577"/>
    <w:rsid w:val="00A34E25"/>
    <w:rsid w:val="00A4199B"/>
    <w:rsid w:val="00A56273"/>
    <w:rsid w:val="00A60C75"/>
    <w:rsid w:val="00A73668"/>
    <w:rsid w:val="00AC3E02"/>
    <w:rsid w:val="00AE4FB1"/>
    <w:rsid w:val="00AF751B"/>
    <w:rsid w:val="00B7262B"/>
    <w:rsid w:val="00B762B0"/>
    <w:rsid w:val="00B87E90"/>
    <w:rsid w:val="00B96A7F"/>
    <w:rsid w:val="00BE6531"/>
    <w:rsid w:val="00BE7EA5"/>
    <w:rsid w:val="00C8796B"/>
    <w:rsid w:val="00CB3A5D"/>
    <w:rsid w:val="00CC1897"/>
    <w:rsid w:val="00D04409"/>
    <w:rsid w:val="00D11666"/>
    <w:rsid w:val="00D232B6"/>
    <w:rsid w:val="00D26769"/>
    <w:rsid w:val="00D365D5"/>
    <w:rsid w:val="00D50A2F"/>
    <w:rsid w:val="00D77905"/>
    <w:rsid w:val="00D86BCD"/>
    <w:rsid w:val="00D95932"/>
    <w:rsid w:val="00DA2F6B"/>
    <w:rsid w:val="00DA66C0"/>
    <w:rsid w:val="00DD62F1"/>
    <w:rsid w:val="00DD6A96"/>
    <w:rsid w:val="00DE6E13"/>
    <w:rsid w:val="00E1788F"/>
    <w:rsid w:val="00E52A12"/>
    <w:rsid w:val="00ED761D"/>
    <w:rsid w:val="00EF3BF2"/>
    <w:rsid w:val="00F81A2C"/>
    <w:rsid w:val="00FB5123"/>
    <w:rsid w:val="00FB6D50"/>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CommentReference">
    <w:name w:val="annotation reference"/>
    <w:basedOn w:val="DefaultParagraphFont"/>
    <w:uiPriority w:val="99"/>
    <w:semiHidden/>
    <w:unhideWhenUsed/>
    <w:rsid w:val="00B87E90"/>
    <w:rPr>
      <w:sz w:val="16"/>
      <w:szCs w:val="16"/>
    </w:rPr>
  </w:style>
  <w:style w:type="paragraph" w:styleId="CommentText">
    <w:name w:val="annotation text"/>
    <w:basedOn w:val="Normal"/>
    <w:link w:val="CommentTextChar"/>
    <w:uiPriority w:val="99"/>
    <w:semiHidden/>
    <w:unhideWhenUsed/>
    <w:rsid w:val="00B87E90"/>
    <w:pPr>
      <w:spacing w:line="240" w:lineRule="auto"/>
    </w:pPr>
    <w:rPr>
      <w:sz w:val="20"/>
      <w:szCs w:val="20"/>
    </w:rPr>
  </w:style>
  <w:style w:type="character" w:customStyle="1" w:styleId="CommentTextChar">
    <w:name w:val="Comment Text Char"/>
    <w:basedOn w:val="DefaultParagraphFont"/>
    <w:link w:val="CommentText"/>
    <w:uiPriority w:val="99"/>
    <w:semiHidden/>
    <w:rsid w:val="00B87E90"/>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B87E90"/>
    <w:rPr>
      <w:b/>
      <w:bCs/>
    </w:rPr>
  </w:style>
  <w:style w:type="character" w:customStyle="1" w:styleId="CommentSubjectChar">
    <w:name w:val="Comment Subject Char"/>
    <w:basedOn w:val="CommentTextChar"/>
    <w:link w:val="CommentSubject"/>
    <w:uiPriority w:val="99"/>
    <w:semiHidden/>
    <w:rsid w:val="00B87E90"/>
    <w:rPr>
      <w:rFonts w:asciiTheme="minorHAnsi" w:hAnsiTheme="minorHAnsi"/>
      <w:b/>
      <w:bCs/>
      <w:lang w:eastAsia="en-US"/>
    </w:rPr>
  </w:style>
  <w:style w:type="paragraph" w:styleId="Revision">
    <w:name w:val="Revision"/>
    <w:hidden/>
    <w:uiPriority w:val="99"/>
    <w:semiHidden/>
    <w:rsid w:val="00B87E90"/>
    <w:rPr>
      <w:rFonts w:asciiTheme="minorHAnsi" w:hAnsiTheme="minorHAnsi"/>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CommentReference">
    <w:name w:val="annotation reference"/>
    <w:basedOn w:val="DefaultParagraphFont"/>
    <w:uiPriority w:val="99"/>
    <w:semiHidden/>
    <w:unhideWhenUsed/>
    <w:rsid w:val="00B87E90"/>
    <w:rPr>
      <w:sz w:val="16"/>
      <w:szCs w:val="16"/>
    </w:rPr>
  </w:style>
  <w:style w:type="paragraph" w:styleId="CommentText">
    <w:name w:val="annotation text"/>
    <w:basedOn w:val="Normal"/>
    <w:link w:val="CommentTextChar"/>
    <w:uiPriority w:val="99"/>
    <w:semiHidden/>
    <w:unhideWhenUsed/>
    <w:rsid w:val="00B87E90"/>
    <w:pPr>
      <w:spacing w:line="240" w:lineRule="auto"/>
    </w:pPr>
    <w:rPr>
      <w:sz w:val="20"/>
      <w:szCs w:val="20"/>
    </w:rPr>
  </w:style>
  <w:style w:type="character" w:customStyle="1" w:styleId="CommentTextChar">
    <w:name w:val="Comment Text Char"/>
    <w:basedOn w:val="DefaultParagraphFont"/>
    <w:link w:val="CommentText"/>
    <w:uiPriority w:val="99"/>
    <w:semiHidden/>
    <w:rsid w:val="00B87E90"/>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B87E90"/>
    <w:rPr>
      <w:b/>
      <w:bCs/>
    </w:rPr>
  </w:style>
  <w:style w:type="character" w:customStyle="1" w:styleId="CommentSubjectChar">
    <w:name w:val="Comment Subject Char"/>
    <w:basedOn w:val="CommentTextChar"/>
    <w:link w:val="CommentSubject"/>
    <w:uiPriority w:val="99"/>
    <w:semiHidden/>
    <w:rsid w:val="00B87E90"/>
    <w:rPr>
      <w:rFonts w:asciiTheme="minorHAnsi" w:hAnsiTheme="minorHAnsi"/>
      <w:b/>
      <w:bCs/>
      <w:lang w:eastAsia="en-US"/>
    </w:rPr>
  </w:style>
  <w:style w:type="paragraph" w:styleId="Revision">
    <w:name w:val="Revision"/>
    <w:hidden/>
    <w:uiPriority w:val="99"/>
    <w:semiHidden/>
    <w:rsid w:val="00B87E90"/>
    <w:rPr>
      <w:rFonts w:asciiTheme="minorHAnsi" w:hAnsiTheme="minorHAns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h.gov.au/Parliamentary_Business/Committees/Senate/Regulations_and_Ordinances/DelegatedLegislation" TargetMode="External"/><Relationship Id="rId18" Type="http://schemas.openxmlformats.org/officeDocument/2006/relationships/hyperlink" Target="https://www.aph.gov.au/~/media/Committees/Senate/committee/regord_ctte/mon2019/Monitor%209%20of%202019.pdf?la=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aph.gov.au/Parliamentary_Business/Committees/Senate/Regulations_and_Ordinances/DelegatedLegislation/Report" TargetMode="External"/><Relationship Id="rId17" Type="http://schemas.openxmlformats.org/officeDocument/2006/relationships/hyperlink" Target="https://www.aph.gov.au/~/media/Committees/Senate/committee/scrutiny/scrutiny_digest/2019/PDF/d09.pdf?la=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ph.gov.au/~/media/Committees/Senate/committee/regord_ctte/mon2019/Monitor%209%20of%202019.pdf?la=en" TargetMode="External"/><Relationship Id="rId20" Type="http://schemas.openxmlformats.org/officeDocument/2006/relationships/hyperlink" Target="mailto:scrutiny.sen@ap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rlinfo.aph.gov.au/parlInfo/download/chamber/journals/cc444f08-d21e-4eb4-b9d0-2c9151c72bd2/toc_pdf/sen-jn.pdf;fileType=application%2F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aph.gov.au/~/media/Committees/Senate/committee/scrutiny/scrutiny_digest/2019/PDF/d09.pdf?la=en" TargetMode="External"/><Relationship Id="rId23" Type="http://schemas.openxmlformats.org/officeDocument/2006/relationships/footer" Target="footer2.xml"/><Relationship Id="rId10" Type="http://schemas.openxmlformats.org/officeDocument/2006/relationships/hyperlink" Target="https://www.aph.gov.au/Parliamentary_Business/Committees/Senate/Regulations_and_Ordinances/Monitor" TargetMode="External"/><Relationship Id="rId19" Type="http://schemas.openxmlformats.org/officeDocument/2006/relationships/hyperlink" Target="https://www.aph.gov.au/Parliamentary_Business/Committees/Senate/Regulations_and_Ordinances/Alerts" TargetMode="External"/><Relationship Id="rId4" Type="http://schemas.microsoft.com/office/2007/relationships/stylesWithEffects" Target="stylesWithEffect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hyperlink" Target="https://www.aph.gov.au/~/media/Committees/Senate/committee/regord_ctte/Notice%20of%20motion/briefing_note.pdf?la=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C94B0-61B4-40D3-9C87-74D8666B5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Morris, Kate (SEN)</dc:creator>
  <cp:lastModifiedBy>Morris, Kate (SEN)</cp:lastModifiedBy>
  <cp:revision>26</cp:revision>
  <dcterms:created xsi:type="dcterms:W3CDTF">2019-11-24T23:18:00Z</dcterms:created>
  <dcterms:modified xsi:type="dcterms:W3CDTF">2019-11-27T22:49:00Z</dcterms:modified>
</cp:coreProperties>
</file>