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Pr="001652A5" w:rsidRDefault="00DF7565" w:rsidP="00DF7565">
      <w:pPr>
        <w:pStyle w:val="Heading1"/>
        <w:jc w:val="center"/>
        <w:rPr>
          <w:rFonts w:eastAsia="Times New Roman"/>
          <w:lang w:val="en-GB"/>
        </w:rPr>
      </w:pPr>
      <w:bookmarkStart w:id="0" w:name="_GoBack"/>
      <w:r w:rsidRPr="001652A5">
        <w:rPr>
          <w:rFonts w:eastAsia="Times New Roman"/>
          <w:noProof/>
        </w:rPr>
        <w:drawing>
          <wp:inline distT="0" distB="0" distL="0" distR="0" wp14:anchorId="3C38EAE0" wp14:editId="6E976DBC">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Pr="001652A5" w:rsidRDefault="00BE5DB5" w:rsidP="00197963">
      <w:pPr>
        <w:pStyle w:val="Heading1"/>
        <w:spacing w:after="0"/>
        <w:rPr>
          <w:rFonts w:eastAsia="Times New Roman"/>
          <w:i/>
          <w:iCs/>
          <w:sz w:val="22"/>
          <w:szCs w:val="22"/>
          <w:lang w:val="en-GB"/>
        </w:rPr>
      </w:pPr>
      <w:r>
        <w:rPr>
          <w:rFonts w:eastAsia="Times New Roman"/>
          <w:sz w:val="36"/>
          <w:szCs w:val="36"/>
          <w:lang w:val="en-GB"/>
        </w:rPr>
        <w:t>27</w:t>
      </w:r>
      <w:r w:rsidR="00B204F9" w:rsidRPr="001652A5">
        <w:rPr>
          <w:rFonts w:eastAsia="Times New Roman"/>
          <w:sz w:val="36"/>
          <w:szCs w:val="36"/>
          <w:lang w:val="en-GB"/>
        </w:rPr>
        <w:t xml:space="preserve"> November</w:t>
      </w:r>
      <w:r w:rsidR="00DF7565" w:rsidRPr="001652A5">
        <w:rPr>
          <w:rFonts w:eastAsia="Times New Roman"/>
          <w:sz w:val="36"/>
          <w:szCs w:val="36"/>
          <w:lang w:val="en-GB"/>
        </w:rPr>
        <w:t xml:space="preserve"> 201</w:t>
      </w:r>
      <w:r w:rsidR="00E3305A" w:rsidRPr="001652A5">
        <w:rPr>
          <w:rFonts w:eastAsia="Times New Roman"/>
          <w:sz w:val="36"/>
          <w:szCs w:val="36"/>
          <w:lang w:val="en-GB"/>
        </w:rPr>
        <w:t>5</w:t>
      </w:r>
      <w:r w:rsidR="00DF7565" w:rsidRPr="001652A5">
        <w:rPr>
          <w:rFonts w:eastAsia="Times New Roman"/>
          <w:sz w:val="36"/>
          <w:szCs w:val="36"/>
          <w:lang w:val="en-GB"/>
        </w:rPr>
        <w:t xml:space="preserve"> </w:t>
      </w:r>
      <w:r w:rsidR="00DF7565" w:rsidRPr="001652A5">
        <w:rPr>
          <w:rFonts w:eastAsia="Times New Roman"/>
          <w:sz w:val="20"/>
          <w:szCs w:val="20"/>
          <w:lang w:val="en-GB"/>
        </w:rPr>
        <w:t>(</w:t>
      </w:r>
      <w:r w:rsidR="00DF7565" w:rsidRPr="001652A5">
        <w:rPr>
          <w:rFonts w:eastAsia="Times New Roman"/>
          <w:sz w:val="22"/>
          <w:szCs w:val="22"/>
          <w:lang w:val="en-GB"/>
        </w:rPr>
        <w:t>drawing on material in the committee</w:t>
      </w:r>
      <w:r w:rsidR="004467E8" w:rsidRPr="001652A5">
        <w:rPr>
          <w:rFonts w:eastAsia="Times New Roman"/>
          <w:sz w:val="22"/>
          <w:szCs w:val="22"/>
          <w:lang w:val="en-GB"/>
        </w:rPr>
        <w:t>’</w:t>
      </w:r>
      <w:r w:rsidR="00DF7565" w:rsidRPr="001652A5">
        <w:rPr>
          <w:rFonts w:eastAsia="Times New Roman"/>
          <w:sz w:val="22"/>
          <w:szCs w:val="22"/>
          <w:lang w:val="en-GB"/>
        </w:rPr>
        <w:t>s</w:t>
      </w:r>
      <w:r w:rsidR="00B13BB3" w:rsidRPr="001652A5">
        <w:rPr>
          <w:rFonts w:eastAsia="Times New Roman"/>
          <w:sz w:val="22"/>
          <w:szCs w:val="22"/>
          <w:lang w:val="en-GB"/>
        </w:rPr>
        <w:t xml:space="preserve"> </w:t>
      </w:r>
      <w:r w:rsidR="00DF7565" w:rsidRPr="001652A5">
        <w:rPr>
          <w:rFonts w:eastAsia="Times New Roman"/>
          <w:i/>
          <w:iCs/>
          <w:sz w:val="22"/>
          <w:szCs w:val="22"/>
          <w:lang w:val="en-GB"/>
        </w:rPr>
        <w:t xml:space="preserve">Alert Digest No. </w:t>
      </w:r>
      <w:r w:rsidR="00B204F9" w:rsidRPr="001652A5">
        <w:rPr>
          <w:rFonts w:eastAsia="Times New Roman"/>
          <w:i/>
          <w:iCs/>
          <w:sz w:val="22"/>
          <w:szCs w:val="22"/>
          <w:lang w:val="en-GB"/>
        </w:rPr>
        <w:t>13</w:t>
      </w:r>
      <w:r w:rsidR="00DF7565" w:rsidRPr="001652A5">
        <w:rPr>
          <w:rFonts w:eastAsia="Times New Roman"/>
          <w:i/>
          <w:iCs/>
          <w:sz w:val="22"/>
          <w:szCs w:val="22"/>
          <w:lang w:val="en-GB"/>
        </w:rPr>
        <w:t xml:space="preserve"> of 201</w:t>
      </w:r>
      <w:r w:rsidR="00F30929" w:rsidRPr="001652A5">
        <w:rPr>
          <w:rFonts w:eastAsia="Times New Roman"/>
          <w:i/>
          <w:iCs/>
          <w:sz w:val="22"/>
          <w:szCs w:val="22"/>
          <w:lang w:val="en-GB"/>
        </w:rPr>
        <w:t>5</w:t>
      </w:r>
      <w:r w:rsidR="00197963" w:rsidRPr="001652A5">
        <w:rPr>
          <w:rFonts w:eastAsia="Times New Roman"/>
          <w:i/>
          <w:iCs/>
          <w:sz w:val="22"/>
          <w:szCs w:val="22"/>
          <w:lang w:val="en-GB"/>
        </w:rPr>
        <w:t xml:space="preserve"> and</w:t>
      </w:r>
    </w:p>
    <w:p w:rsidR="00DF7565" w:rsidRPr="001652A5" w:rsidRDefault="00C270F8" w:rsidP="00197963">
      <w:pPr>
        <w:pStyle w:val="Heading1"/>
        <w:spacing w:after="0" w:line="240" w:lineRule="auto"/>
        <w:rPr>
          <w:rFonts w:eastAsia="Times New Roman"/>
          <w:sz w:val="32"/>
          <w:szCs w:val="32"/>
          <w:lang w:val="en-GB"/>
        </w:rPr>
      </w:pPr>
      <w:r w:rsidRPr="001652A5">
        <w:rPr>
          <w:rFonts w:eastAsia="Times New Roman"/>
          <w:i/>
          <w:iCs/>
          <w:sz w:val="22"/>
          <w:szCs w:val="22"/>
          <w:lang w:val="en-GB"/>
        </w:rPr>
        <w:t>Thirteenth</w:t>
      </w:r>
      <w:r w:rsidR="00197963" w:rsidRPr="001652A5">
        <w:rPr>
          <w:rFonts w:eastAsia="Times New Roman"/>
          <w:i/>
          <w:iCs/>
          <w:sz w:val="22"/>
          <w:szCs w:val="22"/>
          <w:lang w:val="en-GB"/>
        </w:rPr>
        <w:t xml:space="preserve"> Report of 201</w:t>
      </w:r>
      <w:r w:rsidR="00F30929" w:rsidRPr="001652A5">
        <w:rPr>
          <w:rFonts w:eastAsia="Times New Roman"/>
          <w:i/>
          <w:iCs/>
          <w:sz w:val="22"/>
          <w:szCs w:val="22"/>
          <w:lang w:val="en-GB"/>
        </w:rPr>
        <w:t>5</w:t>
      </w:r>
      <w:r w:rsidR="002A6292" w:rsidRPr="001652A5">
        <w:rPr>
          <w:rFonts w:eastAsia="Times New Roman"/>
          <w:iCs/>
          <w:sz w:val="22"/>
          <w:szCs w:val="22"/>
          <w:lang w:val="en-GB"/>
        </w:rPr>
        <w:t>)</w:t>
      </w:r>
    </w:p>
    <w:p w:rsidR="00DF7565" w:rsidRPr="001652A5" w:rsidRDefault="00DF7565" w:rsidP="00DF7565">
      <w:pPr>
        <w:pStyle w:val="Heading2"/>
        <w:spacing w:after="120" w:line="240" w:lineRule="auto"/>
        <w:rPr>
          <w:rFonts w:eastAsia="Times New Roman"/>
          <w:sz w:val="28"/>
          <w:szCs w:val="28"/>
          <w:lang w:val="en-GB"/>
        </w:rPr>
      </w:pPr>
      <w:r w:rsidRPr="001652A5">
        <w:rPr>
          <w:rFonts w:eastAsia="Times New Roman"/>
          <w:sz w:val="28"/>
          <w:szCs w:val="28"/>
          <w:lang w:val="en-GB"/>
        </w:rPr>
        <w:t>Introduction</w:t>
      </w:r>
    </w:p>
    <w:p w:rsidR="00BC53FD" w:rsidRPr="001652A5" w:rsidRDefault="00A96B94" w:rsidP="00DF7565">
      <w:pPr>
        <w:spacing w:after="120" w:line="240" w:lineRule="auto"/>
        <w:rPr>
          <w:sz w:val="24"/>
          <w:szCs w:val="24"/>
          <w:lang w:val="en-GB"/>
        </w:rPr>
      </w:pPr>
      <w:r w:rsidRPr="001652A5">
        <w:rPr>
          <w:sz w:val="24"/>
          <w:szCs w:val="24"/>
          <w:lang w:val="en-GB"/>
        </w:rPr>
        <w:t>This newsletter highlights key aspects of t</w:t>
      </w:r>
      <w:r w:rsidR="00DF7565" w:rsidRPr="001652A5">
        <w:rPr>
          <w:sz w:val="24"/>
          <w:szCs w:val="24"/>
          <w:lang w:val="en-GB"/>
        </w:rPr>
        <w:t>he Senate Scrutiny of Bills Committee</w:t>
      </w:r>
      <w:r w:rsidR="004467E8" w:rsidRPr="001652A5">
        <w:rPr>
          <w:sz w:val="24"/>
          <w:szCs w:val="24"/>
          <w:lang w:val="en-GB"/>
        </w:rPr>
        <w:t>’</w:t>
      </w:r>
      <w:r w:rsidRPr="001652A5">
        <w:rPr>
          <w:sz w:val="24"/>
          <w:szCs w:val="24"/>
          <w:lang w:val="en-GB"/>
        </w:rPr>
        <w:t xml:space="preserve">s </w:t>
      </w:r>
      <w:proofErr w:type="gramStart"/>
      <w:r w:rsidRPr="001652A5">
        <w:rPr>
          <w:sz w:val="24"/>
          <w:szCs w:val="24"/>
          <w:lang w:val="en-GB"/>
        </w:rPr>
        <w:t>work</w:t>
      </w:r>
      <w:r w:rsidR="00DF7565" w:rsidRPr="001652A5">
        <w:rPr>
          <w:sz w:val="24"/>
          <w:szCs w:val="24"/>
          <w:lang w:val="en-GB"/>
        </w:rPr>
        <w:t>,</w:t>
      </w:r>
      <w:proofErr w:type="gramEnd"/>
      <w:r w:rsidR="00DF7565" w:rsidRPr="001652A5">
        <w:rPr>
          <w:sz w:val="24"/>
          <w:szCs w:val="24"/>
          <w:lang w:val="en-GB"/>
        </w:rPr>
        <w:t xml:space="preserve"> with a particular focus on information that may be usefu</w:t>
      </w:r>
      <w:r w:rsidR="00B13BB3" w:rsidRPr="001652A5">
        <w:rPr>
          <w:sz w:val="24"/>
          <w:szCs w:val="24"/>
          <w:lang w:val="en-GB"/>
        </w:rPr>
        <w:t xml:space="preserve">l when bills are debated and to raise awareness </w:t>
      </w:r>
      <w:r w:rsidR="00DF7565" w:rsidRPr="001652A5">
        <w:rPr>
          <w:sz w:val="24"/>
          <w:szCs w:val="24"/>
          <w:lang w:val="en-GB"/>
        </w:rPr>
        <w:t>about scrutiny principles</w:t>
      </w:r>
      <w:r w:rsidRPr="001652A5">
        <w:rPr>
          <w:sz w:val="24"/>
          <w:szCs w:val="24"/>
          <w:lang w:val="en-GB"/>
        </w:rPr>
        <w:t xml:space="preserve"> (see Senate Standing Order 24)</w:t>
      </w:r>
      <w:r w:rsidR="00DF7565" w:rsidRPr="001652A5">
        <w:rPr>
          <w:sz w:val="24"/>
          <w:szCs w:val="24"/>
          <w:lang w:val="en-GB"/>
        </w:rPr>
        <w:t>.</w:t>
      </w:r>
    </w:p>
    <w:p w:rsidR="00DF7565" w:rsidRPr="001652A5" w:rsidRDefault="00BC53FD" w:rsidP="00DF7565">
      <w:pPr>
        <w:spacing w:after="120" w:line="240" w:lineRule="auto"/>
        <w:rPr>
          <w:sz w:val="24"/>
          <w:szCs w:val="24"/>
          <w:lang w:val="en-GB"/>
        </w:rPr>
      </w:pPr>
      <w:proofErr w:type="gramStart"/>
      <w:r w:rsidRPr="001652A5">
        <w:rPr>
          <w:sz w:val="24"/>
          <w:szCs w:val="24"/>
          <w:lang w:val="en-GB"/>
        </w:rPr>
        <w:t>F</w:t>
      </w:r>
      <w:r w:rsidR="00DF7565" w:rsidRPr="001652A5">
        <w:rPr>
          <w:sz w:val="24"/>
          <w:szCs w:val="24"/>
          <w:lang w:val="en-GB"/>
        </w:rPr>
        <w:t xml:space="preserve">or more detail and discussion of </w:t>
      </w:r>
      <w:r w:rsidR="00A96B94" w:rsidRPr="001652A5">
        <w:rPr>
          <w:sz w:val="24"/>
          <w:szCs w:val="24"/>
          <w:lang w:val="en-GB"/>
        </w:rPr>
        <w:t xml:space="preserve">these matters and </w:t>
      </w:r>
      <w:r w:rsidR="00817657" w:rsidRPr="001652A5">
        <w:rPr>
          <w:sz w:val="24"/>
          <w:szCs w:val="24"/>
          <w:lang w:val="en-GB"/>
        </w:rPr>
        <w:t xml:space="preserve">comments on </w:t>
      </w:r>
      <w:r w:rsidR="00DF7565" w:rsidRPr="001652A5">
        <w:rPr>
          <w:sz w:val="24"/>
          <w:szCs w:val="24"/>
          <w:lang w:val="en-GB"/>
        </w:rPr>
        <w:t>additional bills look to the committee</w:t>
      </w:r>
      <w:r w:rsidR="004467E8" w:rsidRPr="001652A5">
        <w:rPr>
          <w:sz w:val="24"/>
          <w:szCs w:val="24"/>
          <w:lang w:val="en-GB"/>
        </w:rPr>
        <w:t>’</w:t>
      </w:r>
      <w:r w:rsidR="00DF7565" w:rsidRPr="001652A5">
        <w:rPr>
          <w:sz w:val="24"/>
          <w:szCs w:val="24"/>
          <w:lang w:val="en-GB"/>
        </w:rPr>
        <w:t xml:space="preserve">s </w:t>
      </w:r>
      <w:hyperlink r:id="rId11" w:history="1">
        <w:r w:rsidR="00DF7565" w:rsidRPr="001652A5">
          <w:rPr>
            <w:rStyle w:val="Hyperlink"/>
            <w:i/>
            <w:iCs/>
            <w:sz w:val="24"/>
            <w:szCs w:val="24"/>
            <w:lang w:val="en-GB"/>
          </w:rPr>
          <w:t>Alert Digests</w:t>
        </w:r>
      </w:hyperlink>
      <w:r w:rsidR="00DF7565" w:rsidRPr="001652A5">
        <w:rPr>
          <w:sz w:val="24"/>
          <w:szCs w:val="24"/>
          <w:lang w:val="en-GB"/>
        </w:rPr>
        <w:t xml:space="preserve"> and </w:t>
      </w:r>
      <w:hyperlink r:id="rId12" w:history="1">
        <w:r w:rsidR="00DF7565" w:rsidRPr="001652A5">
          <w:rPr>
            <w:rStyle w:val="Hyperlink"/>
            <w:i/>
            <w:iCs/>
            <w:sz w:val="24"/>
            <w:szCs w:val="24"/>
            <w:lang w:val="en-GB"/>
          </w:rPr>
          <w:t>Reports</w:t>
        </w:r>
      </w:hyperlink>
      <w:r w:rsidR="00DF7565" w:rsidRPr="001652A5">
        <w:rPr>
          <w:sz w:val="24"/>
          <w:szCs w:val="24"/>
          <w:lang w:val="en-GB"/>
        </w:rPr>
        <w:t>.</w:t>
      </w:r>
      <w:proofErr w:type="gramEnd"/>
      <w:r w:rsidR="00DF7565" w:rsidRPr="001652A5">
        <w:rPr>
          <w:sz w:val="24"/>
          <w:szCs w:val="24"/>
          <w:lang w:val="en-GB"/>
        </w:rPr>
        <w:t xml:space="preserve"> An index to all committee comments is available </w:t>
      </w:r>
      <w:hyperlink r:id="rId13" w:history="1">
        <w:r w:rsidR="00DF7565" w:rsidRPr="001652A5">
          <w:rPr>
            <w:rStyle w:val="Hyperlink"/>
            <w:sz w:val="24"/>
            <w:szCs w:val="24"/>
            <w:lang w:val="en-GB"/>
          </w:rPr>
          <w:t>here</w:t>
        </w:r>
      </w:hyperlink>
      <w:r w:rsidR="00DF7565" w:rsidRPr="001652A5">
        <w:rPr>
          <w:sz w:val="24"/>
          <w:szCs w:val="24"/>
          <w:lang w:val="en-GB"/>
        </w:rPr>
        <w:t>.</w:t>
      </w:r>
    </w:p>
    <w:p w:rsidR="00B23221" w:rsidRPr="001652A5" w:rsidRDefault="00DF7565" w:rsidP="00DF7565">
      <w:pPr>
        <w:pStyle w:val="Heading2"/>
        <w:spacing w:after="120" w:line="240" w:lineRule="auto"/>
        <w:rPr>
          <w:rFonts w:eastAsia="Times New Roman"/>
          <w:sz w:val="28"/>
          <w:szCs w:val="28"/>
          <w:lang w:val="en-GB"/>
        </w:rPr>
      </w:pPr>
      <w:r w:rsidRPr="001652A5">
        <w:rPr>
          <w:rFonts w:eastAsia="Times New Roman"/>
          <w:sz w:val="28"/>
          <w:szCs w:val="28"/>
          <w:lang w:val="en-GB"/>
        </w:rPr>
        <w:t>Key scrutiny issues</w:t>
      </w:r>
    </w:p>
    <w:p w:rsidR="00D92E99" w:rsidRPr="001652A5" w:rsidRDefault="00533002" w:rsidP="00D92E99">
      <w:pPr>
        <w:pStyle w:val="Bullet"/>
        <w:numPr>
          <w:ilvl w:val="0"/>
          <w:numId w:val="1"/>
        </w:numPr>
        <w:spacing w:after="120" w:line="240" w:lineRule="auto"/>
        <w:ind w:left="357" w:hanging="357"/>
        <w:rPr>
          <w:i/>
          <w:iCs/>
          <w:color w:val="auto"/>
          <w:sz w:val="32"/>
          <w:szCs w:val="32"/>
          <w:lang w:val="en-GB"/>
        </w:rPr>
      </w:pPr>
      <w:r w:rsidRPr="001652A5">
        <w:rPr>
          <w:b/>
          <w:bCs/>
          <w:color w:val="auto"/>
          <w:sz w:val="25"/>
          <w:szCs w:val="25"/>
        </w:rPr>
        <w:t xml:space="preserve">Counter-Terrorism Legislation Amendment </w:t>
      </w:r>
      <w:r w:rsidR="00D92E99" w:rsidRPr="001652A5">
        <w:rPr>
          <w:b/>
          <w:bCs/>
          <w:color w:val="auto"/>
          <w:sz w:val="25"/>
          <w:szCs w:val="25"/>
        </w:rPr>
        <w:t>Bill</w:t>
      </w:r>
      <w:r w:rsidRPr="001652A5">
        <w:rPr>
          <w:b/>
          <w:bCs/>
          <w:color w:val="auto"/>
          <w:sz w:val="25"/>
          <w:szCs w:val="25"/>
        </w:rPr>
        <w:t xml:space="preserve"> (No. 1)</w:t>
      </w:r>
      <w:r w:rsidR="00D92E99" w:rsidRPr="001652A5">
        <w:rPr>
          <w:b/>
          <w:bCs/>
          <w:color w:val="auto"/>
          <w:sz w:val="25"/>
          <w:szCs w:val="25"/>
        </w:rPr>
        <w:t xml:space="preserve"> </w:t>
      </w:r>
      <w:r w:rsidR="00D92E99" w:rsidRPr="001652A5">
        <w:rPr>
          <w:b/>
          <w:bCs/>
          <w:sz w:val="25"/>
          <w:szCs w:val="25"/>
        </w:rPr>
        <w:t>201</w:t>
      </w:r>
      <w:r w:rsidR="00DA3AFA" w:rsidRPr="001652A5">
        <w:rPr>
          <w:b/>
          <w:bCs/>
          <w:sz w:val="25"/>
          <w:szCs w:val="25"/>
        </w:rPr>
        <w:t>5</w:t>
      </w:r>
      <w:r w:rsidR="00D92E99" w:rsidRPr="001652A5">
        <w:rPr>
          <w:b/>
          <w:bCs/>
          <w:sz w:val="24"/>
          <w:szCs w:val="24"/>
        </w:rPr>
        <w:t xml:space="preserve"> </w:t>
      </w:r>
      <w:r w:rsidRPr="001652A5">
        <w:rPr>
          <w:rStyle w:val="Italic"/>
          <w:sz w:val="24"/>
          <w:szCs w:val="24"/>
          <w:lang w:val="en-GB"/>
        </w:rPr>
        <w:t>(</w:t>
      </w:r>
      <w:hyperlink r:id="rId14" w:history="1">
        <w:r w:rsidRPr="001652A5">
          <w:rPr>
            <w:rStyle w:val="Hyperlink"/>
            <w:i/>
            <w:sz w:val="24"/>
            <w:szCs w:val="24"/>
            <w:lang w:val="en-GB"/>
          </w:rPr>
          <w:t>Alert Digest No. 13 of 2015</w:t>
        </w:r>
      </w:hyperlink>
      <w:r w:rsidRPr="001652A5">
        <w:rPr>
          <w:rStyle w:val="Italic"/>
          <w:sz w:val="24"/>
          <w:szCs w:val="24"/>
          <w:lang w:val="en-GB"/>
        </w:rPr>
        <w:t>)</w:t>
      </w:r>
    </w:p>
    <w:p w:rsidR="00D92E99" w:rsidRPr="00314D72" w:rsidRDefault="00533002" w:rsidP="00453487">
      <w:pPr>
        <w:pStyle w:val="Bullet"/>
        <w:numPr>
          <w:ilvl w:val="1"/>
          <w:numId w:val="1"/>
        </w:numPr>
        <w:spacing w:after="120" w:line="240" w:lineRule="auto"/>
        <w:ind w:left="993" w:hanging="426"/>
        <w:rPr>
          <w:i/>
          <w:iCs/>
          <w:sz w:val="22"/>
          <w:szCs w:val="22"/>
          <w:lang w:val="en-GB"/>
        </w:rPr>
      </w:pPr>
      <w:r w:rsidRPr="001652A5">
        <w:rPr>
          <w:iCs/>
          <w:sz w:val="22"/>
          <w:szCs w:val="22"/>
          <w:u w:val="single"/>
          <w:lang w:val="en-GB"/>
        </w:rPr>
        <w:t xml:space="preserve">Trespass on </w:t>
      </w:r>
      <w:r w:rsidRPr="00314D72">
        <w:rPr>
          <w:iCs/>
          <w:sz w:val="22"/>
          <w:szCs w:val="22"/>
          <w:u w:val="single"/>
          <w:lang w:val="en-GB"/>
        </w:rPr>
        <w:t>personal right</w:t>
      </w:r>
      <w:r w:rsidR="007C1D39" w:rsidRPr="00314D72">
        <w:rPr>
          <w:iCs/>
          <w:sz w:val="22"/>
          <w:szCs w:val="22"/>
          <w:u w:val="single"/>
          <w:lang w:val="en-GB"/>
        </w:rPr>
        <w:t>s</w:t>
      </w:r>
      <w:r w:rsidRPr="00314D72">
        <w:rPr>
          <w:iCs/>
          <w:sz w:val="22"/>
          <w:szCs w:val="22"/>
          <w:u w:val="single"/>
          <w:lang w:val="en-GB"/>
        </w:rPr>
        <w:t xml:space="preserve"> and liberties (various matters)</w:t>
      </w:r>
      <w:r w:rsidRPr="00314D72">
        <w:rPr>
          <w:iCs/>
          <w:sz w:val="22"/>
          <w:szCs w:val="22"/>
          <w:lang w:val="en-GB"/>
        </w:rPr>
        <w:t xml:space="preserve">: </w:t>
      </w:r>
      <w:r w:rsidR="00FD3CE6" w:rsidRPr="00314D72">
        <w:rPr>
          <w:iCs/>
          <w:sz w:val="22"/>
          <w:szCs w:val="22"/>
          <w:lang w:val="en-GB"/>
        </w:rPr>
        <w:t xml:space="preserve"> </w:t>
      </w:r>
      <w:r w:rsidR="00133329" w:rsidRPr="00314D72">
        <w:rPr>
          <w:iCs/>
          <w:sz w:val="22"/>
          <w:szCs w:val="22"/>
          <w:lang w:val="en-GB"/>
        </w:rPr>
        <w:t xml:space="preserve">The committee has </w:t>
      </w:r>
      <w:r w:rsidR="00133329" w:rsidRPr="00314D72">
        <w:rPr>
          <w:iCs/>
          <w:sz w:val="22"/>
          <w:szCs w:val="22"/>
          <w:u w:val="single"/>
          <w:lang w:val="en-GB"/>
        </w:rPr>
        <w:t>sought information in relation to the following matters from the Attorney-General</w:t>
      </w:r>
      <w:r w:rsidR="00133329" w:rsidRPr="00314D72">
        <w:rPr>
          <w:iCs/>
          <w:sz w:val="22"/>
          <w:szCs w:val="22"/>
          <w:lang w:val="en-GB"/>
        </w:rPr>
        <w:t>:</w:t>
      </w:r>
    </w:p>
    <w:p w:rsidR="00133329" w:rsidRPr="00314D72" w:rsidRDefault="001652A5" w:rsidP="00712EBB">
      <w:pPr>
        <w:pStyle w:val="Bullet"/>
        <w:numPr>
          <w:ilvl w:val="2"/>
          <w:numId w:val="1"/>
        </w:numPr>
        <w:spacing w:after="120" w:line="240" w:lineRule="auto"/>
        <w:ind w:left="1418" w:hanging="284"/>
        <w:rPr>
          <w:i/>
          <w:iCs/>
          <w:sz w:val="22"/>
          <w:szCs w:val="22"/>
          <w:lang w:val="en-GB"/>
        </w:rPr>
      </w:pPr>
      <w:r w:rsidRPr="00314D72">
        <w:rPr>
          <w:iCs/>
          <w:sz w:val="22"/>
          <w:szCs w:val="22"/>
          <w:lang w:val="en-GB"/>
        </w:rPr>
        <w:t>noting the proposed extension of the control order regime to 14 and 15 year olds—</w:t>
      </w:r>
      <w:r w:rsidR="00133329" w:rsidRPr="00314D72">
        <w:rPr>
          <w:iCs/>
          <w:sz w:val="22"/>
          <w:szCs w:val="22"/>
          <w:lang w:val="en-GB"/>
        </w:rPr>
        <w:t xml:space="preserve">questions </w:t>
      </w:r>
      <w:r w:rsidR="00A42474" w:rsidRPr="00314D72">
        <w:rPr>
          <w:iCs/>
          <w:sz w:val="22"/>
          <w:szCs w:val="22"/>
          <w:lang w:val="en-GB"/>
        </w:rPr>
        <w:t>about the</w:t>
      </w:r>
      <w:r w:rsidRPr="00314D72">
        <w:rPr>
          <w:iCs/>
          <w:sz w:val="22"/>
          <w:szCs w:val="22"/>
          <w:lang w:val="en-GB"/>
        </w:rPr>
        <w:t xml:space="preserve"> existing</w:t>
      </w:r>
      <w:r w:rsidR="00A42474" w:rsidRPr="00314D72">
        <w:rPr>
          <w:iCs/>
          <w:sz w:val="22"/>
          <w:szCs w:val="22"/>
          <w:lang w:val="en-GB"/>
        </w:rPr>
        <w:t xml:space="preserve"> control order regime raised by the Independent National Security Legislation Monitor </w:t>
      </w:r>
      <w:r w:rsidR="0053734C" w:rsidRPr="00314D72">
        <w:rPr>
          <w:iCs/>
          <w:sz w:val="22"/>
          <w:szCs w:val="22"/>
          <w:lang w:val="en-GB"/>
        </w:rPr>
        <w:t xml:space="preserve">(INSLM) </w:t>
      </w:r>
      <w:r w:rsidR="00A42474" w:rsidRPr="00314D72">
        <w:rPr>
          <w:iCs/>
          <w:sz w:val="22"/>
          <w:szCs w:val="22"/>
          <w:lang w:val="en-GB"/>
        </w:rPr>
        <w:t xml:space="preserve">and the </w:t>
      </w:r>
      <w:r w:rsidR="0053734C" w:rsidRPr="00314D72">
        <w:rPr>
          <w:iCs/>
          <w:sz w:val="22"/>
          <w:szCs w:val="22"/>
          <w:lang w:val="en-GB"/>
        </w:rPr>
        <w:t xml:space="preserve">INSLM’s </w:t>
      </w:r>
      <w:r w:rsidR="00A42474" w:rsidRPr="00314D72">
        <w:rPr>
          <w:iCs/>
          <w:sz w:val="22"/>
          <w:szCs w:val="22"/>
          <w:lang w:val="en-GB"/>
        </w:rPr>
        <w:t>current inquiry into control order safeguards;</w:t>
      </w:r>
    </w:p>
    <w:p w:rsidR="00A42474" w:rsidRPr="00314D72" w:rsidRDefault="00A42474" w:rsidP="00712EBB">
      <w:pPr>
        <w:pStyle w:val="Bullet"/>
        <w:numPr>
          <w:ilvl w:val="2"/>
          <w:numId w:val="1"/>
        </w:numPr>
        <w:spacing w:after="120" w:line="240" w:lineRule="auto"/>
        <w:ind w:left="1418" w:hanging="284"/>
        <w:rPr>
          <w:i/>
          <w:iCs/>
          <w:sz w:val="22"/>
          <w:szCs w:val="22"/>
          <w:lang w:val="en-GB"/>
        </w:rPr>
      </w:pPr>
      <w:r w:rsidRPr="00314D72">
        <w:rPr>
          <w:iCs/>
          <w:sz w:val="22"/>
          <w:szCs w:val="22"/>
          <w:lang w:val="en-GB"/>
        </w:rPr>
        <w:t xml:space="preserve">whether consideration has been given to </w:t>
      </w:r>
      <w:r w:rsidR="0053734C" w:rsidRPr="00314D72">
        <w:rPr>
          <w:iCs/>
          <w:sz w:val="22"/>
          <w:szCs w:val="22"/>
          <w:lang w:val="en-GB"/>
        </w:rPr>
        <w:t>including</w:t>
      </w:r>
      <w:r w:rsidRPr="00314D72">
        <w:rPr>
          <w:iCs/>
          <w:sz w:val="22"/>
          <w:szCs w:val="22"/>
          <w:lang w:val="en-GB"/>
        </w:rPr>
        <w:t xml:space="preserve"> a provision in the bill that would have the effect of requiring that </w:t>
      </w:r>
      <w:r w:rsidRPr="00314D72">
        <w:rPr>
          <w:i/>
          <w:iCs/>
          <w:sz w:val="22"/>
          <w:szCs w:val="22"/>
          <w:lang w:val="en-GB"/>
        </w:rPr>
        <w:t>all</w:t>
      </w:r>
      <w:r w:rsidRPr="00314D72">
        <w:rPr>
          <w:iCs/>
          <w:sz w:val="22"/>
          <w:szCs w:val="22"/>
          <w:lang w:val="en-GB"/>
        </w:rPr>
        <w:t xml:space="preserve"> reasonable </w:t>
      </w:r>
      <w:r w:rsidR="0053734C" w:rsidRPr="00314D72">
        <w:rPr>
          <w:iCs/>
          <w:sz w:val="22"/>
          <w:szCs w:val="22"/>
          <w:lang w:val="en-GB"/>
        </w:rPr>
        <w:t xml:space="preserve">steps are taken to notify a parent or guardian where a control </w:t>
      </w:r>
      <w:r w:rsidR="00A43393" w:rsidRPr="00314D72">
        <w:rPr>
          <w:iCs/>
          <w:sz w:val="22"/>
          <w:szCs w:val="22"/>
          <w:lang w:val="en-GB"/>
        </w:rPr>
        <w:t>order decision is made in relation to a child;</w:t>
      </w:r>
    </w:p>
    <w:p w:rsidR="00A43393" w:rsidRPr="00314D72" w:rsidRDefault="00A43393" w:rsidP="00712EBB">
      <w:pPr>
        <w:pStyle w:val="Bullet"/>
        <w:numPr>
          <w:ilvl w:val="2"/>
          <w:numId w:val="1"/>
        </w:numPr>
        <w:spacing w:after="120" w:line="240" w:lineRule="auto"/>
        <w:ind w:left="1418" w:hanging="284"/>
        <w:rPr>
          <w:i/>
          <w:iCs/>
          <w:sz w:val="22"/>
          <w:szCs w:val="22"/>
          <w:lang w:val="en-GB"/>
        </w:rPr>
      </w:pPr>
      <w:r w:rsidRPr="00314D72">
        <w:rPr>
          <w:iCs/>
          <w:sz w:val="22"/>
          <w:szCs w:val="22"/>
          <w:lang w:val="en-GB"/>
        </w:rPr>
        <w:t>how the independence of court appointed advocates is to be secured in practice;</w:t>
      </w:r>
    </w:p>
    <w:p w:rsidR="00A43393" w:rsidRPr="00314D72" w:rsidRDefault="00A43393" w:rsidP="00712EBB">
      <w:pPr>
        <w:pStyle w:val="Bullet"/>
        <w:numPr>
          <w:ilvl w:val="2"/>
          <w:numId w:val="1"/>
        </w:numPr>
        <w:spacing w:after="120" w:line="240" w:lineRule="auto"/>
        <w:ind w:left="1418" w:hanging="284"/>
        <w:rPr>
          <w:i/>
          <w:iCs/>
          <w:sz w:val="22"/>
          <w:szCs w:val="22"/>
          <w:lang w:val="en-GB"/>
        </w:rPr>
      </w:pPr>
      <w:r w:rsidRPr="00314D72">
        <w:rPr>
          <w:iCs/>
          <w:sz w:val="22"/>
          <w:szCs w:val="22"/>
          <w:lang w:val="en-GB"/>
        </w:rPr>
        <w:t>disclosure of information provided by a child to a court appointed advocate against the wishes of the child;</w:t>
      </w:r>
    </w:p>
    <w:p w:rsidR="00A43393" w:rsidRPr="001652A5" w:rsidRDefault="002055A9" w:rsidP="00712EBB">
      <w:pPr>
        <w:pStyle w:val="Bullet"/>
        <w:numPr>
          <w:ilvl w:val="2"/>
          <w:numId w:val="1"/>
        </w:numPr>
        <w:spacing w:after="120" w:line="240" w:lineRule="auto"/>
        <w:ind w:left="1418" w:hanging="284"/>
        <w:rPr>
          <w:i/>
          <w:iCs/>
          <w:sz w:val="22"/>
          <w:szCs w:val="22"/>
          <w:lang w:val="en-GB"/>
        </w:rPr>
      </w:pPr>
      <w:r>
        <w:rPr>
          <w:iCs/>
          <w:sz w:val="22"/>
          <w:szCs w:val="22"/>
          <w:lang w:val="en-GB"/>
        </w:rPr>
        <w:t xml:space="preserve">broadening </w:t>
      </w:r>
      <w:r w:rsidR="00A43393" w:rsidRPr="001652A5">
        <w:rPr>
          <w:iCs/>
          <w:sz w:val="22"/>
          <w:szCs w:val="22"/>
          <w:lang w:val="en-GB"/>
        </w:rPr>
        <w:t>the power to issue a preventative detention order (including advice as to any relevant alternative powers at the disposal of law enforcement);</w:t>
      </w:r>
    </w:p>
    <w:p w:rsidR="00A43393" w:rsidRPr="001652A5" w:rsidRDefault="00A43393"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whether each of the powers under the proposed new ‘monitoring warrant’ regime are consistent with the principles in the Guide to Framing Commonwealth Offences and the approach taken in Part IAA of the Crimes Act;</w:t>
      </w:r>
    </w:p>
    <w:p w:rsidR="00A43393" w:rsidRPr="001652A5" w:rsidRDefault="00C84DB9"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 xml:space="preserve">the use of things seized or information obtained </w:t>
      </w:r>
      <w:r w:rsidR="008B2CFA" w:rsidRPr="001652A5">
        <w:rPr>
          <w:iCs/>
          <w:sz w:val="22"/>
          <w:szCs w:val="22"/>
          <w:lang w:val="en-GB"/>
        </w:rPr>
        <w:t>in circumstances in which the relevant control order has been de</w:t>
      </w:r>
      <w:r w:rsidRPr="001652A5">
        <w:rPr>
          <w:iCs/>
          <w:sz w:val="22"/>
          <w:szCs w:val="22"/>
          <w:lang w:val="en-GB"/>
        </w:rPr>
        <w:t>clared void;</w:t>
      </w:r>
    </w:p>
    <w:p w:rsidR="00750A01" w:rsidRPr="001652A5" w:rsidRDefault="00750A01"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whether the authorisation of warrants should be limited to persons who hold judicial office;</w:t>
      </w:r>
    </w:p>
    <w:p w:rsidR="00BF08CA" w:rsidRPr="001652A5" w:rsidRDefault="00DD6C7C"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the retrospec</w:t>
      </w:r>
      <w:r w:rsidR="00573CB0">
        <w:rPr>
          <w:iCs/>
          <w:sz w:val="22"/>
          <w:szCs w:val="22"/>
          <w:lang w:val="en-GB"/>
        </w:rPr>
        <w:t>tive validation of dealing with</w:t>
      </w:r>
      <w:r w:rsidRPr="001652A5">
        <w:rPr>
          <w:iCs/>
          <w:sz w:val="22"/>
          <w:szCs w:val="22"/>
          <w:lang w:val="en-GB"/>
        </w:rPr>
        <w:t xml:space="preserve"> information relating to preventative detention orders;</w:t>
      </w:r>
    </w:p>
    <w:p w:rsidR="00DD6C7C" w:rsidRPr="001652A5" w:rsidRDefault="00B41489"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the proposed new offence of publicly advocating genocide</w:t>
      </w:r>
      <w:r w:rsidR="00A2382B" w:rsidRPr="001652A5">
        <w:rPr>
          <w:iCs/>
          <w:sz w:val="22"/>
          <w:szCs w:val="22"/>
          <w:lang w:val="en-GB"/>
        </w:rPr>
        <w:t xml:space="preserve"> (including whether it would be possible to include some guidance in the bill in relation to the meaning of ‘publicly’ and what conduct is intended to be captured by this proposed offence that is not already captured by current offences)</w:t>
      </w:r>
      <w:r w:rsidRPr="001652A5">
        <w:rPr>
          <w:iCs/>
          <w:sz w:val="22"/>
          <w:szCs w:val="22"/>
          <w:lang w:val="en-GB"/>
        </w:rPr>
        <w:t>;</w:t>
      </w:r>
    </w:p>
    <w:p w:rsidR="00A2382B" w:rsidRPr="001652A5" w:rsidRDefault="00A2382B"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the apparent lowering of the threshold for issuing a delayed notification search warrant;</w:t>
      </w:r>
    </w:p>
    <w:p w:rsidR="00A2382B" w:rsidRPr="001652A5" w:rsidRDefault="00A2382B"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lastRenderedPageBreak/>
        <w:t>provisions which would allow a court to determine that it can rely on secret evidence in particular circumstances (the committee has sought as advice as to whether the court could be expressly limited to making these</w:t>
      </w:r>
      <w:r w:rsidR="002055A9">
        <w:rPr>
          <w:iCs/>
          <w:sz w:val="22"/>
          <w:szCs w:val="22"/>
          <w:lang w:val="en-GB"/>
        </w:rPr>
        <w:t xml:space="preserve"> three new</w:t>
      </w:r>
      <w:r w:rsidRPr="001652A5">
        <w:rPr>
          <w:iCs/>
          <w:sz w:val="22"/>
          <w:szCs w:val="22"/>
          <w:lang w:val="en-GB"/>
        </w:rPr>
        <w:t xml:space="preserve"> special orders where the risk to national security is considered to reach a threshold degree of seriousness);</w:t>
      </w:r>
    </w:p>
    <w:p w:rsidR="00191115" w:rsidRPr="001652A5" w:rsidRDefault="00191115"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a provision which would allow the</w:t>
      </w:r>
      <w:r w:rsidR="002055A9">
        <w:rPr>
          <w:iCs/>
          <w:sz w:val="22"/>
          <w:szCs w:val="22"/>
          <w:lang w:val="en-GB"/>
        </w:rPr>
        <w:t xml:space="preserve"> three</w:t>
      </w:r>
      <w:r w:rsidRPr="001652A5">
        <w:rPr>
          <w:iCs/>
          <w:sz w:val="22"/>
          <w:szCs w:val="22"/>
          <w:lang w:val="en-GB"/>
        </w:rPr>
        <w:t xml:space="preserve"> new special orders in relation to secret evidence to be applied retrospectively to existing proceedings;</w:t>
      </w:r>
      <w:r w:rsidR="00B0357E" w:rsidRPr="001652A5">
        <w:rPr>
          <w:iCs/>
          <w:sz w:val="22"/>
          <w:szCs w:val="22"/>
          <w:lang w:val="en-GB"/>
        </w:rPr>
        <w:t xml:space="preserve"> and</w:t>
      </w:r>
    </w:p>
    <w:p w:rsidR="00191115" w:rsidRPr="001652A5" w:rsidRDefault="00B0357E"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 xml:space="preserve">a proposal which would allow taxation officers to disclose protected information to </w:t>
      </w:r>
      <w:r w:rsidRPr="001652A5">
        <w:rPr>
          <w:i/>
          <w:iCs/>
          <w:sz w:val="22"/>
          <w:szCs w:val="22"/>
          <w:lang w:val="en-GB"/>
        </w:rPr>
        <w:t>any</w:t>
      </w:r>
      <w:r w:rsidRPr="001652A5">
        <w:rPr>
          <w:iCs/>
          <w:sz w:val="22"/>
          <w:szCs w:val="22"/>
          <w:lang w:val="en-GB"/>
        </w:rPr>
        <w:t xml:space="preserve"> Australian government agency for the purpose of preventing or investigating conduct that relates to a matter of security (the committee noted that while some breadth in the authorisation to disclose may be appropriate, the committee has sought advice about more targeted authorisation options and noted that flexibility with some parliamentary oversight could be maintained through the use of a disallowable legislative instrument to extend authorisation to additional agencies).</w:t>
      </w:r>
    </w:p>
    <w:p w:rsidR="00C84DB9" w:rsidRPr="001652A5" w:rsidRDefault="00453487" w:rsidP="00453487">
      <w:pPr>
        <w:pStyle w:val="Bullet"/>
        <w:numPr>
          <w:ilvl w:val="1"/>
          <w:numId w:val="1"/>
        </w:numPr>
        <w:spacing w:after="120" w:line="240" w:lineRule="auto"/>
        <w:ind w:left="993" w:hanging="426"/>
        <w:rPr>
          <w:i/>
          <w:iCs/>
          <w:sz w:val="22"/>
          <w:szCs w:val="22"/>
          <w:lang w:val="en-GB"/>
        </w:rPr>
      </w:pPr>
      <w:r w:rsidRPr="001652A5">
        <w:rPr>
          <w:iCs/>
          <w:sz w:val="22"/>
          <w:szCs w:val="22"/>
          <w:u w:val="single"/>
          <w:lang w:val="en-GB"/>
        </w:rPr>
        <w:t>Trespass on</w:t>
      </w:r>
      <w:r w:rsidR="00E13EEC" w:rsidRPr="001652A5">
        <w:rPr>
          <w:iCs/>
          <w:sz w:val="22"/>
          <w:szCs w:val="22"/>
          <w:u w:val="single"/>
          <w:lang w:val="en-GB"/>
        </w:rPr>
        <w:t xml:space="preserve"> personal rights and liberties</w:t>
      </w:r>
      <w:r w:rsidRPr="001652A5">
        <w:rPr>
          <w:iCs/>
          <w:sz w:val="22"/>
          <w:szCs w:val="22"/>
          <w:lang w:val="en-GB"/>
        </w:rPr>
        <w:t xml:space="preserve">:  </w:t>
      </w:r>
      <w:r w:rsidR="00E13EEC" w:rsidRPr="001652A5">
        <w:rPr>
          <w:iCs/>
          <w:sz w:val="22"/>
          <w:szCs w:val="22"/>
          <w:lang w:val="en-GB"/>
        </w:rPr>
        <w:t xml:space="preserve">The bill </w:t>
      </w:r>
      <w:r w:rsidR="007C1D39" w:rsidRPr="001652A5">
        <w:rPr>
          <w:iCs/>
          <w:sz w:val="22"/>
          <w:szCs w:val="22"/>
          <w:lang w:val="en-GB"/>
        </w:rPr>
        <w:t>seeks to extend telecommunications interception warrants and surveillance device warrants to the control order regime. More specifically, the amendments will:</w:t>
      </w:r>
    </w:p>
    <w:p w:rsidR="00E13EEC" w:rsidRPr="001652A5" w:rsidRDefault="00E13EEC"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introduce new ‘deferred reporting’ arrangements which would permit the deferral of public reporting of the use of a warrant in certain circumstances;</w:t>
      </w:r>
    </w:p>
    <w:p w:rsidR="00E13EEC" w:rsidRPr="001652A5" w:rsidRDefault="00E13EEC" w:rsidP="00712EBB">
      <w:pPr>
        <w:pStyle w:val="Bullet"/>
        <w:numPr>
          <w:ilvl w:val="2"/>
          <w:numId w:val="1"/>
        </w:numPr>
        <w:spacing w:after="120" w:line="240" w:lineRule="auto"/>
        <w:ind w:left="1418" w:hanging="284"/>
        <w:rPr>
          <w:i/>
          <w:iCs/>
          <w:sz w:val="22"/>
          <w:szCs w:val="22"/>
          <w:lang w:val="en-GB"/>
        </w:rPr>
      </w:pPr>
      <w:r w:rsidRPr="001652A5">
        <w:rPr>
          <w:iCs/>
          <w:sz w:val="22"/>
          <w:szCs w:val="22"/>
          <w:lang w:val="en-GB"/>
        </w:rPr>
        <w:t>permit the issue of ‘B party’ warrants which target the telecommunications service of a person who ‘is likely to communicate with’ the person who is subject to the control order;</w:t>
      </w:r>
      <w:r w:rsidR="00573CB0">
        <w:rPr>
          <w:iCs/>
          <w:sz w:val="22"/>
          <w:szCs w:val="22"/>
          <w:lang w:val="en-GB"/>
        </w:rPr>
        <w:t xml:space="preserve"> and</w:t>
      </w:r>
    </w:p>
    <w:p w:rsidR="00E13EEC" w:rsidRPr="001652A5" w:rsidRDefault="00E13EEC" w:rsidP="00712EBB">
      <w:pPr>
        <w:pStyle w:val="Bullet"/>
        <w:numPr>
          <w:ilvl w:val="2"/>
          <w:numId w:val="1"/>
        </w:numPr>
        <w:spacing w:after="120" w:line="240" w:lineRule="auto"/>
        <w:ind w:left="1418" w:hanging="284"/>
        <w:rPr>
          <w:i/>
          <w:iCs/>
          <w:sz w:val="22"/>
          <w:szCs w:val="22"/>
          <w:lang w:val="en-GB"/>
        </w:rPr>
      </w:pPr>
      <w:proofErr w:type="gramStart"/>
      <w:r w:rsidRPr="001652A5">
        <w:rPr>
          <w:iCs/>
          <w:sz w:val="22"/>
          <w:szCs w:val="22"/>
          <w:lang w:val="en-GB"/>
        </w:rPr>
        <w:t>extend</w:t>
      </w:r>
      <w:proofErr w:type="gramEnd"/>
      <w:r w:rsidRPr="001652A5">
        <w:rPr>
          <w:iCs/>
          <w:sz w:val="22"/>
          <w:szCs w:val="22"/>
          <w:lang w:val="en-GB"/>
        </w:rPr>
        <w:t xml:space="preserve"> the circumst</w:t>
      </w:r>
      <w:r w:rsidR="00DD6C7C" w:rsidRPr="001652A5">
        <w:rPr>
          <w:iCs/>
          <w:sz w:val="22"/>
          <w:szCs w:val="22"/>
          <w:lang w:val="en-GB"/>
        </w:rPr>
        <w:t>ances in which agencies may use</w:t>
      </w:r>
      <w:r w:rsidRPr="001652A5">
        <w:rPr>
          <w:iCs/>
          <w:sz w:val="22"/>
          <w:szCs w:val="22"/>
          <w:lang w:val="en-GB"/>
        </w:rPr>
        <w:t xml:space="preserve"> specified surveillance devices without a warrant.</w:t>
      </w:r>
    </w:p>
    <w:p w:rsidR="007C1D39" w:rsidRPr="001652A5" w:rsidRDefault="007C1D39" w:rsidP="007C1D39">
      <w:pPr>
        <w:pStyle w:val="Bullet"/>
        <w:spacing w:after="120" w:line="240" w:lineRule="auto"/>
        <w:ind w:left="993" w:firstLine="0"/>
        <w:rPr>
          <w:iCs/>
          <w:sz w:val="22"/>
          <w:szCs w:val="22"/>
          <w:lang w:val="en-GB"/>
        </w:rPr>
      </w:pPr>
      <w:r w:rsidRPr="001652A5">
        <w:rPr>
          <w:iCs/>
          <w:sz w:val="22"/>
          <w:szCs w:val="22"/>
          <w:u w:val="single"/>
          <w:lang w:val="en-GB"/>
        </w:rPr>
        <w:t>The committee draws</w:t>
      </w:r>
      <w:r w:rsidR="00AF7D37" w:rsidRPr="001652A5">
        <w:rPr>
          <w:iCs/>
          <w:sz w:val="22"/>
          <w:szCs w:val="22"/>
          <w:u w:val="single"/>
          <w:lang w:val="en-GB"/>
        </w:rPr>
        <w:t xml:space="preserve"> this matter</w:t>
      </w:r>
      <w:r w:rsidRPr="001652A5">
        <w:rPr>
          <w:iCs/>
          <w:sz w:val="22"/>
          <w:szCs w:val="22"/>
          <w:u w:val="single"/>
          <w:lang w:val="en-GB"/>
        </w:rPr>
        <w:t xml:space="preserve"> to the attention of Senators and leaves the question of whether the proposed approach is appropriate to the Senate as a whole</w:t>
      </w:r>
      <w:r w:rsidRPr="001652A5">
        <w:rPr>
          <w:iCs/>
          <w:sz w:val="22"/>
          <w:szCs w:val="22"/>
          <w:lang w:val="en-GB"/>
        </w:rPr>
        <w:t>.</w:t>
      </w:r>
    </w:p>
    <w:p w:rsidR="00D92E99" w:rsidRPr="001652A5" w:rsidRDefault="0007496F" w:rsidP="00D92E99">
      <w:pPr>
        <w:pStyle w:val="Bullet"/>
        <w:numPr>
          <w:ilvl w:val="0"/>
          <w:numId w:val="1"/>
        </w:numPr>
        <w:spacing w:after="120" w:line="240" w:lineRule="auto"/>
        <w:ind w:left="357" w:hanging="357"/>
        <w:rPr>
          <w:i/>
          <w:iCs/>
          <w:color w:val="auto"/>
          <w:sz w:val="32"/>
          <w:szCs w:val="32"/>
          <w:lang w:val="en-GB"/>
        </w:rPr>
      </w:pPr>
      <w:r w:rsidRPr="001652A5">
        <w:rPr>
          <w:b/>
          <w:bCs/>
          <w:color w:val="auto"/>
          <w:sz w:val="25"/>
          <w:szCs w:val="25"/>
        </w:rPr>
        <w:t xml:space="preserve">Omnibus Repeal Day (Spring 2015) </w:t>
      </w:r>
      <w:r w:rsidR="00D92E99" w:rsidRPr="001652A5">
        <w:rPr>
          <w:b/>
          <w:bCs/>
          <w:color w:val="auto"/>
          <w:sz w:val="25"/>
          <w:szCs w:val="25"/>
        </w:rPr>
        <w:t xml:space="preserve">Bill </w:t>
      </w:r>
      <w:r w:rsidR="00D92E99" w:rsidRPr="001652A5">
        <w:rPr>
          <w:b/>
          <w:bCs/>
          <w:sz w:val="25"/>
          <w:szCs w:val="25"/>
        </w:rPr>
        <w:t>201</w:t>
      </w:r>
      <w:r w:rsidR="00F30929" w:rsidRPr="001652A5">
        <w:rPr>
          <w:b/>
          <w:bCs/>
          <w:sz w:val="25"/>
          <w:szCs w:val="25"/>
        </w:rPr>
        <w:t>5</w:t>
      </w:r>
      <w:r w:rsidR="000E0DF6" w:rsidRPr="001652A5">
        <w:rPr>
          <w:b/>
          <w:bCs/>
          <w:sz w:val="24"/>
          <w:szCs w:val="24"/>
        </w:rPr>
        <w:t xml:space="preserve"> </w:t>
      </w:r>
      <w:bookmarkStart w:id="1" w:name="OLE_LINK1"/>
      <w:r w:rsidR="000E0DF6" w:rsidRPr="001652A5">
        <w:rPr>
          <w:rStyle w:val="Italic"/>
          <w:sz w:val="24"/>
          <w:szCs w:val="24"/>
          <w:lang w:val="en-GB"/>
        </w:rPr>
        <w:t>(</w:t>
      </w:r>
      <w:hyperlink r:id="rId15" w:history="1">
        <w:r w:rsidR="000E0DF6" w:rsidRPr="001652A5">
          <w:rPr>
            <w:rStyle w:val="Hyperlink"/>
            <w:i/>
            <w:sz w:val="24"/>
            <w:szCs w:val="24"/>
            <w:lang w:val="en-GB"/>
          </w:rPr>
          <w:t>Alert Digest No.</w:t>
        </w:r>
        <w:r w:rsidR="00E3305A" w:rsidRPr="001652A5">
          <w:rPr>
            <w:rStyle w:val="Hyperlink"/>
            <w:i/>
            <w:sz w:val="24"/>
            <w:szCs w:val="24"/>
            <w:lang w:val="en-GB"/>
          </w:rPr>
          <w:t xml:space="preserve"> </w:t>
        </w:r>
        <w:r w:rsidR="00B204F9" w:rsidRPr="001652A5">
          <w:rPr>
            <w:rStyle w:val="Hyperlink"/>
            <w:i/>
            <w:sz w:val="24"/>
            <w:szCs w:val="24"/>
            <w:lang w:val="en-GB"/>
          </w:rPr>
          <w:t>13</w:t>
        </w:r>
        <w:r w:rsidR="00E3305A" w:rsidRPr="001652A5">
          <w:rPr>
            <w:rStyle w:val="Hyperlink"/>
            <w:i/>
            <w:sz w:val="24"/>
            <w:szCs w:val="24"/>
            <w:lang w:val="en-GB"/>
          </w:rPr>
          <w:t xml:space="preserve"> of 2015</w:t>
        </w:r>
      </w:hyperlink>
      <w:r w:rsidR="000E0DF6" w:rsidRPr="001652A5">
        <w:rPr>
          <w:rStyle w:val="Italic"/>
          <w:sz w:val="24"/>
          <w:szCs w:val="24"/>
          <w:lang w:val="en-GB"/>
        </w:rPr>
        <w:t>)</w:t>
      </w:r>
      <w:bookmarkEnd w:id="1"/>
    </w:p>
    <w:p w:rsidR="00811362" w:rsidRPr="001652A5" w:rsidRDefault="00B0357E" w:rsidP="001864A7">
      <w:pPr>
        <w:pStyle w:val="Bullet"/>
        <w:numPr>
          <w:ilvl w:val="1"/>
          <w:numId w:val="1"/>
        </w:numPr>
        <w:spacing w:after="120" w:line="240" w:lineRule="auto"/>
        <w:ind w:left="993" w:hanging="426"/>
        <w:rPr>
          <w:i/>
          <w:iCs/>
          <w:sz w:val="22"/>
          <w:szCs w:val="22"/>
          <w:u w:val="single"/>
          <w:lang w:val="en-GB"/>
        </w:rPr>
      </w:pPr>
      <w:r w:rsidRPr="001652A5">
        <w:rPr>
          <w:iCs/>
          <w:sz w:val="22"/>
          <w:szCs w:val="22"/>
          <w:u w:val="single"/>
          <w:lang w:val="en-GB"/>
        </w:rPr>
        <w:t>Parliamentary scrutiny (guidelines for omnibus repeal day bills)</w:t>
      </w:r>
      <w:r w:rsidR="000E0DF6" w:rsidRPr="001652A5">
        <w:rPr>
          <w:iCs/>
          <w:sz w:val="22"/>
          <w:szCs w:val="22"/>
          <w:lang w:val="en-GB"/>
        </w:rPr>
        <w:t>:</w:t>
      </w:r>
      <w:r w:rsidRPr="001652A5">
        <w:rPr>
          <w:iCs/>
          <w:sz w:val="22"/>
          <w:szCs w:val="22"/>
          <w:lang w:val="en-GB"/>
        </w:rPr>
        <w:t xml:space="preserve">  As this bill is the fourth omnibus repeal day bill to be considered by the Parliament, the committee has </w:t>
      </w:r>
      <w:r w:rsidRPr="001652A5">
        <w:rPr>
          <w:iCs/>
          <w:sz w:val="22"/>
          <w:szCs w:val="22"/>
          <w:u w:val="single"/>
          <w:lang w:val="en-GB"/>
        </w:rPr>
        <w:t>sought advice as to whether the government has given any consideration to developing guidelines</w:t>
      </w:r>
      <w:r w:rsidRPr="001652A5">
        <w:rPr>
          <w:iCs/>
          <w:sz w:val="22"/>
          <w:szCs w:val="22"/>
          <w:lang w:val="en-GB"/>
        </w:rPr>
        <w:t xml:space="preserve"> in relation to what may be included in (and what types of matters will be excluded from</w:t>
      </w:r>
      <w:r w:rsidR="002E519F">
        <w:rPr>
          <w:iCs/>
          <w:sz w:val="22"/>
          <w:szCs w:val="22"/>
          <w:lang w:val="en-GB"/>
        </w:rPr>
        <w:t>)</w:t>
      </w:r>
      <w:r w:rsidRPr="001652A5">
        <w:rPr>
          <w:iCs/>
          <w:sz w:val="22"/>
          <w:szCs w:val="22"/>
          <w:lang w:val="en-GB"/>
        </w:rPr>
        <w:t xml:space="preserve"> these bills in order to assist parliamentary scrutiny.</w:t>
      </w:r>
    </w:p>
    <w:p w:rsidR="00F837FC" w:rsidRPr="001652A5" w:rsidRDefault="00F837FC" w:rsidP="001864A7">
      <w:pPr>
        <w:pStyle w:val="Bullet"/>
        <w:numPr>
          <w:ilvl w:val="1"/>
          <w:numId w:val="1"/>
        </w:numPr>
        <w:spacing w:after="120" w:line="240" w:lineRule="auto"/>
        <w:ind w:left="993" w:hanging="426"/>
        <w:rPr>
          <w:i/>
          <w:iCs/>
          <w:sz w:val="22"/>
          <w:szCs w:val="22"/>
          <w:u w:val="single"/>
          <w:lang w:val="en-GB"/>
        </w:rPr>
      </w:pPr>
      <w:r w:rsidRPr="001652A5">
        <w:rPr>
          <w:iCs/>
          <w:sz w:val="22"/>
          <w:szCs w:val="22"/>
          <w:u w:val="single"/>
          <w:lang w:val="en-GB"/>
        </w:rPr>
        <w:t>Parliamentary scrutiny (new and previously introduced measures)</w:t>
      </w:r>
      <w:r w:rsidRPr="001652A5">
        <w:rPr>
          <w:iCs/>
          <w:sz w:val="22"/>
          <w:szCs w:val="22"/>
          <w:lang w:val="en-GB"/>
        </w:rPr>
        <w:t xml:space="preserve">:  This bill proposes amendments across a large number of portfolios and includes some measures previously introduced in the Omnibus Repeal Day (Spring 2014) Bill, as well as new measures. In order to assist parliamentary scrutiny, the committee has </w:t>
      </w:r>
      <w:r w:rsidRPr="001652A5">
        <w:rPr>
          <w:iCs/>
          <w:sz w:val="22"/>
          <w:szCs w:val="22"/>
          <w:u w:val="single"/>
          <w:lang w:val="en-GB"/>
        </w:rPr>
        <w:t xml:space="preserve">sought advice as to whether the explanatory memorandum to the bill can be amended to specify whether items </w:t>
      </w:r>
      <w:r w:rsidR="009B2783" w:rsidRPr="001652A5">
        <w:rPr>
          <w:iCs/>
          <w:sz w:val="22"/>
          <w:szCs w:val="22"/>
          <w:u w:val="single"/>
          <w:lang w:val="en-GB"/>
        </w:rPr>
        <w:t>are new or previously introduced measures</w:t>
      </w:r>
      <w:r w:rsidR="009B2783" w:rsidRPr="001652A5">
        <w:rPr>
          <w:iCs/>
          <w:sz w:val="22"/>
          <w:szCs w:val="22"/>
          <w:lang w:val="en-GB"/>
        </w:rPr>
        <w:t>.</w:t>
      </w:r>
    </w:p>
    <w:p w:rsidR="009B2783" w:rsidRPr="001652A5" w:rsidRDefault="009B2783" w:rsidP="001864A7">
      <w:pPr>
        <w:pStyle w:val="Bullet"/>
        <w:numPr>
          <w:ilvl w:val="1"/>
          <w:numId w:val="1"/>
        </w:numPr>
        <w:spacing w:after="120" w:line="240" w:lineRule="auto"/>
        <w:ind w:left="993" w:hanging="426"/>
        <w:rPr>
          <w:i/>
          <w:iCs/>
          <w:sz w:val="22"/>
          <w:szCs w:val="22"/>
          <w:u w:val="single"/>
          <w:lang w:val="en-GB"/>
        </w:rPr>
      </w:pPr>
      <w:r w:rsidRPr="001652A5">
        <w:rPr>
          <w:iCs/>
          <w:sz w:val="22"/>
          <w:szCs w:val="22"/>
          <w:u w:val="single"/>
          <w:lang w:val="en-GB"/>
        </w:rPr>
        <w:t xml:space="preserve">Delegation </w:t>
      </w:r>
      <w:r w:rsidRPr="00AA0B77">
        <w:rPr>
          <w:iCs/>
          <w:sz w:val="22"/>
          <w:szCs w:val="22"/>
          <w:u w:val="single"/>
          <w:lang w:val="en-GB"/>
        </w:rPr>
        <w:t>of legislative power</w:t>
      </w:r>
      <w:r w:rsidRPr="00AA0B77">
        <w:rPr>
          <w:iCs/>
          <w:sz w:val="22"/>
          <w:szCs w:val="22"/>
          <w:lang w:val="en-GB"/>
        </w:rPr>
        <w:t xml:space="preserve">: </w:t>
      </w:r>
      <w:r w:rsidR="00AD0F85" w:rsidRPr="00AA0B77">
        <w:rPr>
          <w:iCs/>
          <w:sz w:val="22"/>
          <w:szCs w:val="22"/>
          <w:lang w:val="en-GB"/>
        </w:rPr>
        <w:t xml:space="preserve"> </w:t>
      </w:r>
      <w:r w:rsidRPr="00AA0B77">
        <w:rPr>
          <w:iCs/>
          <w:sz w:val="22"/>
          <w:szCs w:val="22"/>
          <w:lang w:val="en-GB"/>
        </w:rPr>
        <w:t xml:space="preserve">The committee noted that part 2 of schedule 3 seeks to repeal various provisions in Communications and the Arts portfolio legislation that require rule-makers to consult before making certain legislative instruments (such as disability standards for telecommunications equipment). </w:t>
      </w:r>
      <w:r w:rsidRPr="00AA0B77">
        <w:rPr>
          <w:iCs/>
          <w:sz w:val="22"/>
          <w:szCs w:val="22"/>
          <w:u w:val="single"/>
          <w:lang w:val="en-GB"/>
        </w:rPr>
        <w:t xml:space="preserve">The committee drew Senators’ attention to comments that it made in relation to these provisions </w:t>
      </w:r>
      <w:r w:rsidR="005D3756" w:rsidRPr="00AA0B77">
        <w:rPr>
          <w:iCs/>
          <w:sz w:val="22"/>
          <w:szCs w:val="22"/>
          <w:u w:val="single"/>
          <w:lang w:val="en-GB"/>
        </w:rPr>
        <w:t>when they were previously introduced in 2014</w:t>
      </w:r>
      <w:r w:rsidR="00BA11EA" w:rsidRPr="00AA0B77">
        <w:rPr>
          <w:iCs/>
          <w:sz w:val="22"/>
          <w:szCs w:val="22"/>
          <w:lang w:val="en-GB"/>
        </w:rPr>
        <w:t xml:space="preserve">. At that time the committee noted </w:t>
      </w:r>
      <w:r w:rsidR="005D3756" w:rsidRPr="00AA0B77">
        <w:rPr>
          <w:iCs/>
          <w:sz w:val="22"/>
          <w:szCs w:val="22"/>
          <w:lang w:val="en-GB"/>
        </w:rPr>
        <w:t xml:space="preserve">that the </w:t>
      </w:r>
      <w:r w:rsidR="00AD0F85" w:rsidRPr="00AA0B77">
        <w:rPr>
          <w:iCs/>
          <w:sz w:val="22"/>
          <w:szCs w:val="22"/>
          <w:lang w:val="en-GB"/>
        </w:rPr>
        <w:t xml:space="preserve">default </w:t>
      </w:r>
      <w:r w:rsidR="005D3756" w:rsidRPr="00AA0B77">
        <w:rPr>
          <w:iCs/>
          <w:sz w:val="22"/>
          <w:szCs w:val="22"/>
          <w:lang w:val="en-GB"/>
        </w:rPr>
        <w:t xml:space="preserve">consultation requirements in the Legislative Instruments Act </w:t>
      </w:r>
      <w:r w:rsidR="00210E69" w:rsidRPr="00AA0B77">
        <w:rPr>
          <w:iCs/>
          <w:sz w:val="22"/>
          <w:szCs w:val="22"/>
          <w:lang w:val="en-GB"/>
        </w:rPr>
        <w:t xml:space="preserve">(the LI Act) </w:t>
      </w:r>
      <w:r w:rsidR="005D3756" w:rsidRPr="00AA0B77">
        <w:rPr>
          <w:iCs/>
          <w:sz w:val="22"/>
          <w:szCs w:val="22"/>
          <w:lang w:val="en-GB"/>
        </w:rPr>
        <w:t xml:space="preserve">are not </w:t>
      </w:r>
      <w:r w:rsidR="00BA11EA" w:rsidRPr="00AA0B77">
        <w:rPr>
          <w:iCs/>
          <w:sz w:val="22"/>
          <w:szCs w:val="22"/>
          <w:lang w:val="en-GB"/>
        </w:rPr>
        <w:t>the same as</w:t>
      </w:r>
      <w:r w:rsidR="005D3756" w:rsidRPr="00AA0B77">
        <w:rPr>
          <w:iCs/>
          <w:sz w:val="22"/>
          <w:szCs w:val="22"/>
          <w:lang w:val="en-GB"/>
        </w:rPr>
        <w:t xml:space="preserve"> the consultation requirements that would be repealed by these provisions</w:t>
      </w:r>
      <w:r w:rsidR="00210E69" w:rsidRPr="00AA0B77">
        <w:rPr>
          <w:iCs/>
          <w:sz w:val="22"/>
          <w:szCs w:val="22"/>
          <w:lang w:val="en-GB"/>
        </w:rPr>
        <w:t>—for example</w:t>
      </w:r>
      <w:r w:rsidR="00AA0B77" w:rsidRPr="00AA0B77">
        <w:rPr>
          <w:iCs/>
          <w:sz w:val="22"/>
          <w:szCs w:val="22"/>
          <w:lang w:val="en-GB"/>
        </w:rPr>
        <w:t>, the ‘no invalidity’ clause in the LI Act would begin to apply to the making of these legislative instruments, which means that a failure to meet consultation requirements does not affect the validity or enforceability of an instrument</w:t>
      </w:r>
      <w:r w:rsidR="005D3756" w:rsidRPr="00AA0B77">
        <w:rPr>
          <w:iCs/>
          <w:sz w:val="22"/>
          <w:szCs w:val="22"/>
          <w:lang w:val="en-GB"/>
        </w:rPr>
        <w:t>.</w:t>
      </w:r>
      <w:r w:rsidR="005D3756" w:rsidRPr="001652A5">
        <w:rPr>
          <w:iCs/>
          <w:sz w:val="22"/>
          <w:szCs w:val="22"/>
          <w:lang w:val="en-GB"/>
        </w:rPr>
        <w:t xml:space="preserve"> </w:t>
      </w:r>
    </w:p>
    <w:p w:rsidR="00AD0F85" w:rsidRPr="001652A5" w:rsidRDefault="00AD0F85" w:rsidP="001864A7">
      <w:pPr>
        <w:pStyle w:val="Bullet"/>
        <w:numPr>
          <w:ilvl w:val="1"/>
          <w:numId w:val="1"/>
        </w:numPr>
        <w:spacing w:after="120" w:line="240" w:lineRule="auto"/>
        <w:ind w:left="993" w:hanging="426"/>
        <w:rPr>
          <w:i/>
          <w:iCs/>
          <w:sz w:val="22"/>
          <w:szCs w:val="22"/>
          <w:u w:val="single"/>
          <w:lang w:val="en-GB"/>
        </w:rPr>
      </w:pPr>
      <w:r w:rsidRPr="001652A5">
        <w:rPr>
          <w:iCs/>
          <w:sz w:val="22"/>
          <w:szCs w:val="22"/>
          <w:u w:val="single"/>
          <w:lang w:val="en-GB"/>
        </w:rPr>
        <w:t>Use or disclosure of personal information</w:t>
      </w:r>
      <w:r w:rsidRPr="001652A5">
        <w:rPr>
          <w:iCs/>
          <w:sz w:val="22"/>
          <w:szCs w:val="22"/>
          <w:lang w:val="en-GB"/>
        </w:rPr>
        <w:t xml:space="preserve">:  The amendments in part 1 of schedule 12 would allow a person to disclose protected social security information for the purpose of research or policy </w:t>
      </w:r>
      <w:r w:rsidRPr="001652A5">
        <w:rPr>
          <w:iCs/>
          <w:sz w:val="22"/>
          <w:szCs w:val="22"/>
          <w:lang w:val="en-GB"/>
        </w:rPr>
        <w:lastRenderedPageBreak/>
        <w:t xml:space="preserve">development. As there is a detailed explanation for the approach, </w:t>
      </w:r>
      <w:r w:rsidRPr="001652A5">
        <w:rPr>
          <w:iCs/>
          <w:sz w:val="22"/>
          <w:szCs w:val="22"/>
          <w:u w:val="single"/>
          <w:lang w:val="en-GB"/>
        </w:rPr>
        <w:t>the committee leaves the question of whether the proposed approach is appropriate to the Senate as a whole</w:t>
      </w:r>
      <w:r w:rsidRPr="001652A5">
        <w:rPr>
          <w:iCs/>
          <w:sz w:val="22"/>
          <w:szCs w:val="22"/>
          <w:lang w:val="en-GB"/>
        </w:rPr>
        <w:t>.</w:t>
      </w:r>
    </w:p>
    <w:p w:rsidR="00197963" w:rsidRPr="001652A5" w:rsidRDefault="00197963" w:rsidP="00197963">
      <w:pPr>
        <w:pStyle w:val="Heading2"/>
        <w:spacing w:after="120" w:line="240" w:lineRule="auto"/>
        <w:rPr>
          <w:rFonts w:eastAsia="Times New Roman"/>
          <w:sz w:val="28"/>
          <w:szCs w:val="28"/>
        </w:rPr>
      </w:pPr>
      <w:r w:rsidRPr="001652A5">
        <w:rPr>
          <w:rFonts w:eastAsia="Times New Roman"/>
          <w:sz w:val="28"/>
          <w:szCs w:val="28"/>
          <w:lang w:val="en-GB"/>
        </w:rPr>
        <w:t xml:space="preserve">Other </w:t>
      </w:r>
      <w:r w:rsidR="0035683C" w:rsidRPr="001652A5">
        <w:rPr>
          <w:rFonts w:eastAsia="Times New Roman"/>
          <w:sz w:val="28"/>
          <w:szCs w:val="28"/>
          <w:lang w:val="en-GB"/>
        </w:rPr>
        <w:t xml:space="preserve">comments and </w:t>
      </w:r>
      <w:r w:rsidRPr="001652A5">
        <w:rPr>
          <w:rFonts w:eastAsia="Times New Roman"/>
          <w:sz w:val="28"/>
          <w:szCs w:val="28"/>
          <w:lang w:val="en-GB"/>
        </w:rPr>
        <w:t>responses received</w:t>
      </w:r>
      <w:r w:rsidRPr="001652A5">
        <w:rPr>
          <w:rFonts w:eastAsia="Times New Roman"/>
          <w:sz w:val="24"/>
          <w:szCs w:val="24"/>
          <w:lang w:val="en-GB"/>
        </w:rPr>
        <w:t xml:space="preserve"> </w:t>
      </w:r>
    </w:p>
    <w:p w:rsidR="00610206" w:rsidRPr="001652A5" w:rsidRDefault="00000546" w:rsidP="0035683C">
      <w:pPr>
        <w:pStyle w:val="Bullet"/>
        <w:numPr>
          <w:ilvl w:val="0"/>
          <w:numId w:val="5"/>
        </w:numPr>
        <w:spacing w:after="120" w:line="240" w:lineRule="auto"/>
        <w:ind w:left="567" w:hanging="567"/>
        <w:rPr>
          <w:rStyle w:val="Italic"/>
          <w:i w:val="0"/>
          <w:sz w:val="22"/>
          <w:szCs w:val="22"/>
          <w:lang w:val="en-GB"/>
        </w:rPr>
      </w:pPr>
      <w:r w:rsidRPr="001864A7">
        <w:rPr>
          <w:b/>
          <w:iCs/>
          <w:sz w:val="23"/>
          <w:szCs w:val="23"/>
          <w:lang w:val="en-GB"/>
        </w:rPr>
        <w:t xml:space="preserve">Aviation Transport Security Amendment (Cargo) </w:t>
      </w:r>
      <w:r w:rsidR="00DB4AE7" w:rsidRPr="001864A7">
        <w:rPr>
          <w:b/>
          <w:iCs/>
          <w:sz w:val="23"/>
          <w:szCs w:val="23"/>
          <w:lang w:val="en-GB"/>
        </w:rPr>
        <w:t>Bill 201</w:t>
      </w:r>
      <w:r w:rsidR="00E3305A" w:rsidRPr="001864A7">
        <w:rPr>
          <w:b/>
          <w:iCs/>
          <w:sz w:val="23"/>
          <w:szCs w:val="23"/>
          <w:lang w:val="en-GB"/>
        </w:rPr>
        <w:t>5</w:t>
      </w:r>
      <w:r w:rsidRPr="001864A7">
        <w:rPr>
          <w:iCs/>
          <w:sz w:val="23"/>
          <w:szCs w:val="23"/>
          <w:lang w:val="en-GB"/>
        </w:rPr>
        <w:t>:</w:t>
      </w:r>
      <w:r w:rsidRPr="001652A5">
        <w:rPr>
          <w:iCs/>
          <w:sz w:val="22"/>
          <w:szCs w:val="22"/>
          <w:lang w:val="en-GB"/>
        </w:rPr>
        <w:t xml:space="preserve"> The committee had sought advice about the breadth of the power to make legislative instruments authorising the opening or cargo. The committee noted the Minister’s advice that the authority to open cargo is limited to safeguarding against unlawful interference with aviation, requested that key information be included in the explanatory memorandum, and made no further comment.</w:t>
      </w:r>
      <w:r w:rsidR="0035683C" w:rsidRPr="001652A5">
        <w:rPr>
          <w:iCs/>
          <w:sz w:val="22"/>
          <w:szCs w:val="22"/>
          <w:lang w:val="en-GB"/>
        </w:rPr>
        <w:t xml:space="preserve"> </w:t>
      </w:r>
      <w:r w:rsidR="00533002" w:rsidRPr="001652A5">
        <w:rPr>
          <w:iCs/>
          <w:sz w:val="22"/>
          <w:szCs w:val="22"/>
          <w:lang w:val="en-GB"/>
        </w:rPr>
        <w:t xml:space="preserve"> </w:t>
      </w:r>
      <w:r w:rsidR="0035683C" w:rsidRPr="001652A5">
        <w:rPr>
          <w:rStyle w:val="Italic"/>
          <w:rFonts w:eastAsia="Times New Roman"/>
          <w:color w:val="auto"/>
          <w:sz w:val="22"/>
          <w:szCs w:val="24"/>
          <w:lang w:val="en-GB"/>
        </w:rPr>
        <w:t>(</w:t>
      </w:r>
      <w:hyperlink r:id="rId16" w:history="1">
        <w:r w:rsidR="0035683C" w:rsidRPr="001652A5">
          <w:rPr>
            <w:rStyle w:val="Hyperlink"/>
            <w:rFonts w:eastAsia="Times New Roman"/>
            <w:i/>
            <w:sz w:val="22"/>
            <w:szCs w:val="24"/>
            <w:lang w:val="en-GB"/>
          </w:rPr>
          <w:t>Thirteenth Report of 2015</w:t>
        </w:r>
      </w:hyperlink>
      <w:r w:rsidR="0035683C" w:rsidRPr="001652A5">
        <w:rPr>
          <w:rStyle w:val="Italic"/>
          <w:rFonts w:eastAsia="Times New Roman"/>
          <w:color w:val="auto"/>
          <w:sz w:val="22"/>
          <w:szCs w:val="24"/>
          <w:lang w:val="en-GB"/>
        </w:rPr>
        <w:t>)</w:t>
      </w:r>
    </w:p>
    <w:p w:rsidR="0035683C" w:rsidRPr="001652A5" w:rsidRDefault="0035683C" w:rsidP="00EB418F">
      <w:pPr>
        <w:pStyle w:val="Bullet"/>
        <w:numPr>
          <w:ilvl w:val="0"/>
          <w:numId w:val="5"/>
        </w:numPr>
        <w:spacing w:after="0" w:line="240" w:lineRule="auto"/>
        <w:ind w:left="567" w:hanging="567"/>
        <w:rPr>
          <w:iCs/>
          <w:sz w:val="22"/>
          <w:szCs w:val="22"/>
          <w:lang w:val="en-GB"/>
        </w:rPr>
      </w:pPr>
      <w:r w:rsidRPr="001864A7">
        <w:rPr>
          <w:b/>
          <w:iCs/>
          <w:sz w:val="23"/>
          <w:szCs w:val="23"/>
          <w:lang w:val="en-GB"/>
        </w:rPr>
        <w:t>Migration Amendment (Charging for a Migration Outcome) Bill 2015 / Migration and Maritime Powers Amendment Bill (No.</w:t>
      </w:r>
      <w:r w:rsidRPr="001864A7">
        <w:rPr>
          <w:iCs/>
          <w:sz w:val="23"/>
          <w:szCs w:val="23"/>
          <w:lang w:val="en-GB"/>
        </w:rPr>
        <w:t xml:space="preserve"> </w:t>
      </w:r>
      <w:r w:rsidRPr="001864A7">
        <w:rPr>
          <w:b/>
          <w:iCs/>
          <w:sz w:val="23"/>
          <w:szCs w:val="23"/>
          <w:lang w:val="en-GB"/>
        </w:rPr>
        <w:t>1) 2015</w:t>
      </w:r>
      <w:r w:rsidRPr="001864A7">
        <w:rPr>
          <w:iCs/>
          <w:sz w:val="23"/>
          <w:szCs w:val="23"/>
          <w:lang w:val="en-GB"/>
        </w:rPr>
        <w:t>:</w:t>
      </w:r>
      <w:r w:rsidRPr="001652A5">
        <w:rPr>
          <w:iCs/>
          <w:sz w:val="22"/>
          <w:szCs w:val="22"/>
          <w:lang w:val="en-GB"/>
        </w:rPr>
        <w:t xml:space="preserve"> The committee thanked the Minister for revising the explanatory material accompanying these bills.</w:t>
      </w:r>
      <w:r w:rsidR="00533002" w:rsidRPr="001652A5">
        <w:rPr>
          <w:iCs/>
          <w:sz w:val="22"/>
          <w:szCs w:val="22"/>
          <w:lang w:val="en-GB"/>
        </w:rPr>
        <w:t xml:space="preserve">  </w:t>
      </w:r>
      <w:r w:rsidR="00533002" w:rsidRPr="001652A5">
        <w:rPr>
          <w:rFonts w:eastAsia="Times New Roman"/>
          <w:color w:val="auto"/>
          <w:sz w:val="22"/>
          <w:szCs w:val="22"/>
          <w:lang w:val="en-GB"/>
        </w:rPr>
        <w:t>(</w:t>
      </w:r>
      <w:hyperlink r:id="rId17" w:history="1">
        <w:r w:rsidR="00533002" w:rsidRPr="001652A5">
          <w:rPr>
            <w:rStyle w:val="Hyperlink"/>
            <w:rFonts w:eastAsia="Times New Roman"/>
            <w:i/>
            <w:iCs/>
            <w:sz w:val="22"/>
            <w:szCs w:val="22"/>
            <w:lang w:val="en-GB"/>
          </w:rPr>
          <w:t>Alert Digest No. 13 of 2015</w:t>
        </w:r>
      </w:hyperlink>
      <w:r w:rsidR="00533002" w:rsidRPr="001652A5">
        <w:rPr>
          <w:rFonts w:eastAsia="Times New Roman"/>
          <w:color w:val="auto"/>
          <w:sz w:val="22"/>
          <w:szCs w:val="22"/>
          <w:lang w:val="en-GB"/>
        </w:rPr>
        <w:t>)</w:t>
      </w:r>
    </w:p>
    <w:p w:rsidR="00EB730F" w:rsidRPr="001652A5" w:rsidRDefault="00EB730F" w:rsidP="00EB730F">
      <w:pPr>
        <w:spacing w:before="120" w:after="120" w:line="240" w:lineRule="auto"/>
        <w:rPr>
          <w:rFonts w:ascii="Georgia" w:hAnsi="Georgia"/>
          <w:color w:val="372C21"/>
          <w:sz w:val="20"/>
          <w:szCs w:val="20"/>
          <w:lang w:val="en-GB"/>
        </w:rPr>
      </w:pPr>
      <w:r w:rsidRPr="001652A5">
        <w:rPr>
          <w:rFonts w:ascii="Georgia" w:hAnsi="Georgia"/>
          <w:color w:val="372C21"/>
          <w:sz w:val="20"/>
          <w:szCs w:val="20"/>
          <w:lang w:val="en-GB"/>
        </w:rPr>
        <w:t>______________________________________________________________________</w:t>
      </w:r>
    </w:p>
    <w:p w:rsidR="00DF7565" w:rsidRPr="001652A5" w:rsidRDefault="00BF7761" w:rsidP="006C4E55">
      <w:pPr>
        <w:spacing w:before="120" w:after="120" w:line="240" w:lineRule="auto"/>
        <w:rPr>
          <w:sz w:val="22"/>
          <w:szCs w:val="22"/>
        </w:rPr>
      </w:pPr>
      <w:r w:rsidRPr="001652A5">
        <w:rPr>
          <w:rFonts w:ascii="Georgia" w:hAnsi="Georgia"/>
          <w:color w:val="372C21"/>
          <w:sz w:val="20"/>
          <w:szCs w:val="20"/>
          <w:lang w:val="en-GB"/>
        </w:rPr>
        <w:t xml:space="preserve">This document contains a very brief summary of some recent comments made by the Senate Scrutiny of Bills Committee (Chair: Senator </w:t>
      </w:r>
      <w:r w:rsidR="00A96B94" w:rsidRPr="001652A5">
        <w:rPr>
          <w:rFonts w:ascii="Georgia" w:hAnsi="Georgia"/>
          <w:color w:val="372C21"/>
          <w:sz w:val="20"/>
          <w:szCs w:val="20"/>
          <w:lang w:val="en-GB"/>
        </w:rPr>
        <w:t>Helen Polley</w:t>
      </w:r>
      <w:r w:rsidRPr="001652A5">
        <w:rPr>
          <w:rFonts w:ascii="Georgia" w:hAnsi="Georgia"/>
          <w:color w:val="372C21"/>
          <w:sz w:val="20"/>
          <w:szCs w:val="20"/>
          <w:lang w:val="en-GB"/>
        </w:rPr>
        <w:t xml:space="preserve"> and Deputy Chair: Senator </w:t>
      </w:r>
      <w:r w:rsidR="008119FF" w:rsidRPr="001652A5">
        <w:rPr>
          <w:rFonts w:ascii="Georgia" w:hAnsi="Georgia"/>
          <w:color w:val="372C21"/>
          <w:sz w:val="20"/>
          <w:szCs w:val="20"/>
          <w:lang w:val="en-GB"/>
        </w:rPr>
        <w:t>John Williams</w:t>
      </w:r>
      <w:r w:rsidRPr="001652A5">
        <w:rPr>
          <w:rFonts w:ascii="Georgia" w:hAnsi="Georgia"/>
          <w:color w:val="372C21"/>
          <w:sz w:val="20"/>
          <w:szCs w:val="20"/>
          <w:lang w:val="en-GB"/>
        </w:rPr>
        <w:t>).</w:t>
      </w:r>
    </w:p>
    <w:p w:rsidR="00EB730F" w:rsidRPr="001652A5" w:rsidRDefault="00DF7565" w:rsidP="006C4E55">
      <w:pPr>
        <w:spacing w:line="240" w:lineRule="auto"/>
        <w:rPr>
          <w:rFonts w:ascii="Georgia" w:hAnsi="Georgia"/>
          <w:color w:val="372C21"/>
          <w:sz w:val="20"/>
          <w:szCs w:val="20"/>
          <w:lang w:val="en-GB"/>
        </w:rPr>
      </w:pPr>
      <w:r w:rsidRPr="001652A5">
        <w:rPr>
          <w:rFonts w:ascii="Georgia" w:hAnsi="Georgia"/>
          <w:color w:val="372C21"/>
          <w:sz w:val="20"/>
          <w:szCs w:val="20"/>
          <w:lang w:val="en-GB"/>
        </w:rPr>
        <w:t>For any comments or questions, please contact:</w:t>
      </w:r>
      <w:r w:rsidR="00EB730F" w:rsidRPr="001652A5">
        <w:rPr>
          <w:rFonts w:ascii="Georgia" w:hAnsi="Georgia"/>
          <w:color w:val="372C21"/>
          <w:sz w:val="20"/>
          <w:szCs w:val="20"/>
          <w:lang w:val="en-GB"/>
        </w:rPr>
        <w:t xml:space="preserve"> </w:t>
      </w:r>
      <w:r w:rsidRPr="001652A5">
        <w:rPr>
          <w:rFonts w:ascii="Georgia" w:hAnsi="Georgia"/>
          <w:color w:val="372C21"/>
          <w:sz w:val="20"/>
          <w:szCs w:val="20"/>
          <w:lang w:val="en-GB"/>
        </w:rPr>
        <w:t xml:space="preserve"> </w:t>
      </w:r>
    </w:p>
    <w:p w:rsidR="00E46B72" w:rsidRDefault="00DF7565" w:rsidP="006C4E55">
      <w:pPr>
        <w:spacing w:after="120" w:line="240" w:lineRule="auto"/>
      </w:pPr>
      <w:r w:rsidRPr="001652A5">
        <w:rPr>
          <w:rFonts w:ascii="Georgia" w:hAnsi="Georgia"/>
          <w:color w:val="372C21"/>
          <w:sz w:val="18"/>
          <w:szCs w:val="18"/>
          <w:lang w:val="en-GB"/>
        </w:rPr>
        <w:t xml:space="preserve">Ms Toni Dawes, Secretary, </w:t>
      </w:r>
      <w:proofErr w:type="gramStart"/>
      <w:r w:rsidRPr="001652A5">
        <w:rPr>
          <w:rFonts w:ascii="Georgia" w:hAnsi="Georgia"/>
          <w:color w:val="372C21"/>
          <w:sz w:val="18"/>
          <w:szCs w:val="18"/>
          <w:lang w:val="en-GB"/>
        </w:rPr>
        <w:t>Senate</w:t>
      </w:r>
      <w:proofErr w:type="gramEnd"/>
      <w:r w:rsidRPr="001652A5">
        <w:rPr>
          <w:rFonts w:ascii="Georgia" w:hAnsi="Georgia"/>
          <w:color w:val="372C21"/>
          <w:sz w:val="18"/>
          <w:szCs w:val="18"/>
          <w:lang w:val="en-GB"/>
        </w:rPr>
        <w:t xml:space="preserve"> Scrutiny of Bills Committee T: 02 6277 3050, E:</w:t>
      </w:r>
      <w:r w:rsidRPr="001652A5">
        <w:rPr>
          <w:rFonts w:ascii="Georgia" w:hAnsi="Georgia"/>
          <w:color w:val="372C21"/>
          <w:sz w:val="20"/>
          <w:szCs w:val="20"/>
          <w:lang w:val="en-GB"/>
        </w:rPr>
        <w:t xml:space="preserve"> </w:t>
      </w:r>
      <w:hyperlink r:id="rId18" w:history="1">
        <w:r w:rsidRPr="001652A5">
          <w:rPr>
            <w:rStyle w:val="Hyperlink"/>
            <w:sz w:val="20"/>
            <w:szCs w:val="20"/>
            <w:lang w:val="en-GB"/>
          </w:rPr>
          <w:t>scrutiny.sen@aph.gov.au</w:t>
        </w:r>
      </w:hyperlink>
      <w:r w:rsidRPr="001652A5">
        <w:rPr>
          <w:rFonts w:ascii="Georgia" w:hAnsi="Georgia"/>
          <w:sz w:val="20"/>
          <w:szCs w:val="20"/>
          <w:lang w:val="en-GB"/>
        </w:rPr>
        <w:t>.</w:t>
      </w:r>
      <w:r>
        <w:rPr>
          <w:rFonts w:ascii="Georgia" w:hAnsi="Georgia"/>
          <w:color w:val="372C21"/>
          <w:sz w:val="20"/>
          <w:szCs w:val="20"/>
          <w:lang w:val="en-GB"/>
        </w:rPr>
        <w:t xml:space="preserve"> </w:t>
      </w:r>
      <w:bookmarkEnd w:id="0"/>
    </w:p>
    <w:sectPr w:rsidR="00E46B72" w:rsidSect="009714E5">
      <w:headerReference w:type="even" r:id="rId19"/>
      <w:headerReference w:type="default" r:id="rId20"/>
      <w:footerReference w:type="even" r:id="rId21"/>
      <w:footerReference w:type="default" r:id="rId22"/>
      <w:headerReference w:type="first" r:id="rId23"/>
      <w:footerReference w:type="first" r:id="rId24"/>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00546"/>
    <w:rsid w:val="0003605F"/>
    <w:rsid w:val="0007496F"/>
    <w:rsid w:val="000A674A"/>
    <w:rsid w:val="000C7799"/>
    <w:rsid w:val="000D5BE5"/>
    <w:rsid w:val="000E0DF6"/>
    <w:rsid w:val="00133329"/>
    <w:rsid w:val="001652A5"/>
    <w:rsid w:val="00166FDA"/>
    <w:rsid w:val="001864A7"/>
    <w:rsid w:val="00191115"/>
    <w:rsid w:val="00197963"/>
    <w:rsid w:val="001C117D"/>
    <w:rsid w:val="001F7B08"/>
    <w:rsid w:val="002055A9"/>
    <w:rsid w:val="00210E69"/>
    <w:rsid w:val="00290028"/>
    <w:rsid w:val="002A6292"/>
    <w:rsid w:val="002B62F0"/>
    <w:rsid w:val="002C6824"/>
    <w:rsid w:val="002E519F"/>
    <w:rsid w:val="00314D72"/>
    <w:rsid w:val="003210AB"/>
    <w:rsid w:val="00345D2C"/>
    <w:rsid w:val="00350129"/>
    <w:rsid w:val="0035683C"/>
    <w:rsid w:val="00385B78"/>
    <w:rsid w:val="003871A9"/>
    <w:rsid w:val="003A6F30"/>
    <w:rsid w:val="004467E8"/>
    <w:rsid w:val="004470F2"/>
    <w:rsid w:val="00453487"/>
    <w:rsid w:val="0047621B"/>
    <w:rsid w:val="00480E06"/>
    <w:rsid w:val="00484052"/>
    <w:rsid w:val="00485D0E"/>
    <w:rsid w:val="004A34DF"/>
    <w:rsid w:val="00533002"/>
    <w:rsid w:val="0053734C"/>
    <w:rsid w:val="00573CB0"/>
    <w:rsid w:val="005866EE"/>
    <w:rsid w:val="005D3756"/>
    <w:rsid w:val="005E62F3"/>
    <w:rsid w:val="005F0A10"/>
    <w:rsid w:val="00602D18"/>
    <w:rsid w:val="00610206"/>
    <w:rsid w:val="0061086F"/>
    <w:rsid w:val="00610DA9"/>
    <w:rsid w:val="006218B9"/>
    <w:rsid w:val="00624533"/>
    <w:rsid w:val="006673D0"/>
    <w:rsid w:val="006A6A59"/>
    <w:rsid w:val="006B4D5B"/>
    <w:rsid w:val="006C4E55"/>
    <w:rsid w:val="006D3653"/>
    <w:rsid w:val="006E1B3E"/>
    <w:rsid w:val="00712EBB"/>
    <w:rsid w:val="007143FA"/>
    <w:rsid w:val="00731ED6"/>
    <w:rsid w:val="0075013D"/>
    <w:rsid w:val="00750A01"/>
    <w:rsid w:val="00757F9C"/>
    <w:rsid w:val="00772D23"/>
    <w:rsid w:val="007C1D39"/>
    <w:rsid w:val="00805FB0"/>
    <w:rsid w:val="00811362"/>
    <w:rsid w:val="008119FF"/>
    <w:rsid w:val="00817657"/>
    <w:rsid w:val="008475FD"/>
    <w:rsid w:val="00864387"/>
    <w:rsid w:val="008B2CFA"/>
    <w:rsid w:val="0091191F"/>
    <w:rsid w:val="009714E5"/>
    <w:rsid w:val="00971745"/>
    <w:rsid w:val="009A4615"/>
    <w:rsid w:val="009B2783"/>
    <w:rsid w:val="009B43BC"/>
    <w:rsid w:val="009D41EE"/>
    <w:rsid w:val="00A134C4"/>
    <w:rsid w:val="00A2382B"/>
    <w:rsid w:val="00A379C8"/>
    <w:rsid w:val="00A410E1"/>
    <w:rsid w:val="00A42474"/>
    <w:rsid w:val="00A43393"/>
    <w:rsid w:val="00A86D8F"/>
    <w:rsid w:val="00A96B94"/>
    <w:rsid w:val="00AA0B77"/>
    <w:rsid w:val="00AD0F85"/>
    <w:rsid w:val="00AE794A"/>
    <w:rsid w:val="00AF7D37"/>
    <w:rsid w:val="00B00268"/>
    <w:rsid w:val="00B0357E"/>
    <w:rsid w:val="00B13BB3"/>
    <w:rsid w:val="00B204F9"/>
    <w:rsid w:val="00B23221"/>
    <w:rsid w:val="00B3427B"/>
    <w:rsid w:val="00B41489"/>
    <w:rsid w:val="00B74B20"/>
    <w:rsid w:val="00B97586"/>
    <w:rsid w:val="00BA025A"/>
    <w:rsid w:val="00BA11EA"/>
    <w:rsid w:val="00BA1337"/>
    <w:rsid w:val="00BC53FD"/>
    <w:rsid w:val="00BE5DB5"/>
    <w:rsid w:val="00BF00A5"/>
    <w:rsid w:val="00BF08CA"/>
    <w:rsid w:val="00BF7761"/>
    <w:rsid w:val="00C128AB"/>
    <w:rsid w:val="00C2267A"/>
    <w:rsid w:val="00C270F8"/>
    <w:rsid w:val="00C3004F"/>
    <w:rsid w:val="00C5010F"/>
    <w:rsid w:val="00C80366"/>
    <w:rsid w:val="00C84DB9"/>
    <w:rsid w:val="00CD014F"/>
    <w:rsid w:val="00CF44A7"/>
    <w:rsid w:val="00D00415"/>
    <w:rsid w:val="00D362A6"/>
    <w:rsid w:val="00D92E99"/>
    <w:rsid w:val="00D931B7"/>
    <w:rsid w:val="00DA3AFA"/>
    <w:rsid w:val="00DB4AE7"/>
    <w:rsid w:val="00DC0CE5"/>
    <w:rsid w:val="00DD6C7C"/>
    <w:rsid w:val="00DF745B"/>
    <w:rsid w:val="00DF7565"/>
    <w:rsid w:val="00DF79FE"/>
    <w:rsid w:val="00E13EEC"/>
    <w:rsid w:val="00E16857"/>
    <w:rsid w:val="00E3305A"/>
    <w:rsid w:val="00E46B72"/>
    <w:rsid w:val="00E72246"/>
    <w:rsid w:val="00EB418F"/>
    <w:rsid w:val="00EB730F"/>
    <w:rsid w:val="00EE5560"/>
    <w:rsid w:val="00EE560C"/>
    <w:rsid w:val="00F128D3"/>
    <w:rsid w:val="00F23CAB"/>
    <w:rsid w:val="00F30929"/>
    <w:rsid w:val="00F50468"/>
    <w:rsid w:val="00F837FC"/>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yperlink" Target="mailto:scrutiny.sen@aph.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http://www.aph.gov.au/Parliamentary_Business/Committees/Senate/Scrutiny_of_Bills/Alerts_Digests/2015/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5/index" TargetMode="External"/><Relationship Id="rId23" Type="http://schemas.openxmlformats.org/officeDocument/2006/relationships/header" Target="header3.xml"/><Relationship Id="rId10" Type="http://schemas.openxmlformats.org/officeDocument/2006/relationships/image" Target="cid:image004.jpg@01CE6CE9.1863653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Alerts_Digests/2015/inde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E3B2C-A406-4DA1-9E22-9C9976B6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3</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45</cp:revision>
  <cp:lastPrinted>2015-11-27T03:05:00Z</cp:lastPrinted>
  <dcterms:created xsi:type="dcterms:W3CDTF">2015-11-19T03:03:00Z</dcterms:created>
  <dcterms:modified xsi:type="dcterms:W3CDTF">2015-11-27T03:46:00Z</dcterms:modified>
</cp:coreProperties>
</file>