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8D3" w:rsidRPr="006A6F7F" w:rsidRDefault="00CD18D3" w:rsidP="00CD18D3">
      <w:pPr>
        <w:pStyle w:val="Level3"/>
        <w:numPr>
          <w:ilvl w:val="0"/>
          <w:numId w:val="0"/>
        </w:numPr>
      </w:pPr>
      <w:bookmarkStart w:id="0" w:name="_Toc340231490"/>
      <w:bookmarkStart w:id="1" w:name="_Toc357501262"/>
      <w:bookmarkStart w:id="2" w:name="_Toc357761275"/>
      <w:bookmarkStart w:id="3" w:name="_Toc357762305"/>
      <w:bookmarkStart w:id="4" w:name="_Toc368399096"/>
      <w:bookmarkStart w:id="5" w:name="_Toc368399166"/>
      <w:bookmarkStart w:id="6" w:name="_Toc368401283"/>
      <w:bookmarkStart w:id="7" w:name="_Toc379879386"/>
      <w:bookmarkStart w:id="8" w:name="_Toc379888075"/>
      <w:bookmarkStart w:id="9" w:name="_Toc405368283"/>
      <w:bookmarkStart w:id="10" w:name="_Toc424218689"/>
      <w:bookmarkStart w:id="11" w:name="_Toc424219070"/>
      <w:bookmarkStart w:id="12" w:name="_Toc424219205"/>
      <w:bookmarkStart w:id="13" w:name="_Toc492465178"/>
      <w:bookmarkStart w:id="14" w:name="_Toc340231481"/>
    </w:p>
    <w:p w:rsidR="00CD18D3" w:rsidRPr="006A6F7F" w:rsidRDefault="00CD18D3" w:rsidP="00CD18D3">
      <w:pPr>
        <w:pStyle w:val="Level3"/>
        <w:numPr>
          <w:ilvl w:val="0"/>
          <w:numId w:val="0"/>
        </w:numPr>
      </w:pPr>
    </w:p>
    <w:p w:rsidR="00CD18D3" w:rsidRPr="00076793" w:rsidRDefault="00CD18D3" w:rsidP="00CD18D3">
      <w:pPr>
        <w:pStyle w:val="Level3"/>
        <w:numPr>
          <w:ilvl w:val="0"/>
          <w:numId w:val="0"/>
        </w:numPr>
        <w:rPr>
          <w:rFonts w:asciiTheme="minorHAnsi" w:hAnsiTheme="minorHAnsi"/>
        </w:rPr>
      </w:pPr>
    </w:p>
    <w:p w:rsidR="00CD18D3" w:rsidRPr="00076793" w:rsidRDefault="00CD18D3" w:rsidP="00CD18D3">
      <w:pPr>
        <w:ind w:left="1920"/>
        <w:rPr>
          <w:rFonts w:asciiTheme="minorHAnsi" w:hAnsiTheme="minorHAnsi"/>
          <w:sz w:val="36"/>
        </w:rPr>
      </w:pPr>
      <w:r w:rsidRPr="00076793">
        <w:rPr>
          <w:rFonts w:asciiTheme="minorHAnsi" w:hAnsiTheme="minorHAnsi"/>
          <w:sz w:val="36"/>
        </w:rPr>
        <w:t>The Senate</w:t>
      </w:r>
    </w:p>
    <w:p w:rsidR="00CD18D3" w:rsidRPr="00076793" w:rsidRDefault="00CD18D3" w:rsidP="00CD18D3">
      <w:pPr>
        <w:pStyle w:val="Level3"/>
        <w:numPr>
          <w:ilvl w:val="0"/>
          <w:numId w:val="0"/>
        </w:numPr>
        <w:rPr>
          <w:rFonts w:asciiTheme="minorHAnsi" w:hAnsiTheme="minorHAnsi"/>
        </w:rPr>
      </w:pPr>
    </w:p>
    <w:p w:rsidR="00CD18D3" w:rsidRPr="00076793" w:rsidRDefault="00CD18D3" w:rsidP="00CD18D3">
      <w:pPr>
        <w:pStyle w:val="Level3"/>
        <w:numPr>
          <w:ilvl w:val="0"/>
          <w:numId w:val="0"/>
        </w:numPr>
        <w:rPr>
          <w:rFonts w:asciiTheme="minorHAnsi" w:hAnsiTheme="minorHAnsi"/>
        </w:rPr>
      </w:pPr>
    </w:p>
    <w:p w:rsidR="00CD18D3" w:rsidRDefault="00CD18D3" w:rsidP="00CD18D3">
      <w:pPr>
        <w:pStyle w:val="Level3"/>
        <w:numPr>
          <w:ilvl w:val="0"/>
          <w:numId w:val="0"/>
        </w:numPr>
        <w:rPr>
          <w:rFonts w:asciiTheme="minorHAnsi" w:hAnsiTheme="minorHAnsi"/>
        </w:rPr>
      </w:pPr>
    </w:p>
    <w:p w:rsidR="00CD18D3" w:rsidRPr="00076793" w:rsidRDefault="00CD18D3" w:rsidP="00CD18D3">
      <w:pPr>
        <w:pStyle w:val="Level3"/>
        <w:numPr>
          <w:ilvl w:val="0"/>
          <w:numId w:val="0"/>
        </w:numPr>
        <w:rPr>
          <w:rFonts w:asciiTheme="minorHAnsi" w:hAnsiTheme="minorHAnsi"/>
        </w:rPr>
      </w:pPr>
    </w:p>
    <w:p w:rsidR="00CD18D3" w:rsidRPr="00076793" w:rsidRDefault="00CD18D3" w:rsidP="00CD18D3">
      <w:pPr>
        <w:pStyle w:val="Level3"/>
        <w:numPr>
          <w:ilvl w:val="0"/>
          <w:numId w:val="0"/>
        </w:numPr>
        <w:tabs>
          <w:tab w:val="left" w:pos="1920"/>
        </w:tabs>
        <w:ind w:right="866"/>
        <w:jc w:val="left"/>
        <w:rPr>
          <w:rFonts w:asciiTheme="minorHAnsi" w:hAnsiTheme="minorHAnsi"/>
        </w:rPr>
      </w:pPr>
    </w:p>
    <w:p w:rsidR="00CD18D3" w:rsidRPr="00076793" w:rsidRDefault="00CD18D3" w:rsidP="00CD18D3">
      <w:pPr>
        <w:pBdr>
          <w:top w:val="single" w:sz="4" w:space="14" w:color="auto"/>
          <w:bottom w:val="single" w:sz="4" w:space="15" w:color="auto"/>
        </w:pBdr>
        <w:spacing w:after="0" w:line="540" w:lineRule="exact"/>
        <w:ind w:left="1922" w:right="2564"/>
        <w:jc w:val="left"/>
        <w:rPr>
          <w:rFonts w:asciiTheme="minorHAnsi" w:hAnsiTheme="minorHAnsi"/>
          <w:sz w:val="44"/>
          <w:szCs w:val="44"/>
        </w:rPr>
      </w:pPr>
      <w:r w:rsidRPr="00076793">
        <w:rPr>
          <w:rFonts w:asciiTheme="minorHAnsi" w:hAnsiTheme="minorHAnsi"/>
          <w:sz w:val="44"/>
          <w:szCs w:val="44"/>
        </w:rPr>
        <w:t>Standing</w:t>
      </w:r>
    </w:p>
    <w:p w:rsidR="00CD18D3" w:rsidRPr="00076793" w:rsidRDefault="00CD18D3" w:rsidP="00CD18D3">
      <w:pPr>
        <w:pBdr>
          <w:top w:val="single" w:sz="4" w:space="14" w:color="auto"/>
          <w:bottom w:val="single" w:sz="4" w:space="15" w:color="auto"/>
        </w:pBdr>
        <w:spacing w:after="0" w:line="540" w:lineRule="exact"/>
        <w:ind w:left="1922" w:right="2564"/>
        <w:jc w:val="left"/>
        <w:rPr>
          <w:rFonts w:asciiTheme="minorHAnsi" w:hAnsiTheme="minorHAnsi"/>
          <w:sz w:val="44"/>
          <w:szCs w:val="44"/>
        </w:rPr>
      </w:pPr>
      <w:r w:rsidRPr="00076793">
        <w:rPr>
          <w:rFonts w:asciiTheme="minorHAnsi" w:hAnsiTheme="minorHAnsi"/>
          <w:sz w:val="44"/>
          <w:szCs w:val="44"/>
        </w:rPr>
        <w:t xml:space="preserve">Committee on Regulations and Ordinances </w:t>
      </w:r>
    </w:p>
    <w:p w:rsidR="00CD18D3" w:rsidRPr="00076793" w:rsidRDefault="00CD18D3" w:rsidP="00CD18D3">
      <w:pPr>
        <w:tabs>
          <w:tab w:val="left" w:pos="8640"/>
        </w:tabs>
        <w:spacing w:before="720" w:after="0" w:line="460" w:lineRule="exact"/>
        <w:ind w:left="1922" w:right="1244"/>
        <w:jc w:val="left"/>
        <w:rPr>
          <w:rFonts w:asciiTheme="minorHAnsi" w:hAnsiTheme="minorHAnsi"/>
          <w:sz w:val="36"/>
          <w:szCs w:val="36"/>
        </w:rPr>
      </w:pPr>
      <w:r w:rsidRPr="00076793">
        <w:rPr>
          <w:rFonts w:asciiTheme="minorHAnsi" w:hAnsiTheme="minorHAnsi"/>
          <w:sz w:val="36"/>
          <w:szCs w:val="36"/>
        </w:rPr>
        <w:t>Delegated legislation monitor</w:t>
      </w:r>
    </w:p>
    <w:p w:rsidR="00CD18D3" w:rsidRPr="00076793" w:rsidRDefault="00CD18D3" w:rsidP="00CD18D3">
      <w:pPr>
        <w:tabs>
          <w:tab w:val="left" w:pos="8789"/>
        </w:tabs>
        <w:spacing w:before="600" w:after="0" w:line="480" w:lineRule="exact"/>
        <w:ind w:left="1922" w:right="237"/>
        <w:jc w:val="left"/>
        <w:rPr>
          <w:rFonts w:asciiTheme="minorHAnsi" w:hAnsiTheme="minorHAnsi"/>
          <w:sz w:val="24"/>
          <w:szCs w:val="24"/>
        </w:rPr>
      </w:pPr>
      <w:r w:rsidRPr="00076793">
        <w:rPr>
          <w:rFonts w:asciiTheme="minorHAnsi" w:hAnsiTheme="minorHAnsi"/>
          <w:sz w:val="24"/>
          <w:szCs w:val="24"/>
        </w:rPr>
        <w:t xml:space="preserve">Monitor </w:t>
      </w:r>
      <w:r>
        <w:rPr>
          <w:rFonts w:asciiTheme="minorHAnsi" w:hAnsiTheme="minorHAnsi"/>
          <w:sz w:val="24"/>
          <w:szCs w:val="24"/>
        </w:rPr>
        <w:t>11</w:t>
      </w:r>
      <w:r w:rsidRPr="00076793">
        <w:rPr>
          <w:rFonts w:asciiTheme="minorHAnsi" w:hAnsiTheme="minorHAnsi"/>
          <w:sz w:val="24"/>
          <w:szCs w:val="24"/>
        </w:rPr>
        <w:t xml:space="preserve"> of 2017</w:t>
      </w:r>
    </w:p>
    <w:p w:rsidR="00CD18D3" w:rsidRDefault="00CD18D3" w:rsidP="00CD18D3">
      <w:pPr>
        <w:tabs>
          <w:tab w:val="left" w:pos="8789"/>
        </w:tabs>
        <w:spacing w:before="600" w:after="0" w:line="240" w:lineRule="exact"/>
        <w:ind w:left="1922" w:right="238"/>
        <w:jc w:val="left"/>
        <w:rPr>
          <w:sz w:val="24"/>
          <w:szCs w:val="24"/>
        </w:rPr>
      </w:pPr>
    </w:p>
    <w:p w:rsidR="00CD18D3" w:rsidRPr="002D2B97" w:rsidRDefault="00CD18D3" w:rsidP="00CD18D3">
      <w:pPr>
        <w:tabs>
          <w:tab w:val="left" w:pos="8789"/>
        </w:tabs>
        <w:spacing w:after="0" w:line="240" w:lineRule="exact"/>
        <w:ind w:left="1922" w:right="238"/>
        <w:jc w:val="left"/>
        <w:rPr>
          <w:sz w:val="24"/>
          <w:szCs w:val="24"/>
        </w:rPr>
      </w:pPr>
    </w:p>
    <w:p w:rsidR="00CD18D3" w:rsidRDefault="00CD18D3" w:rsidP="00CD18D3">
      <w:pPr>
        <w:rPr>
          <w:sz w:val="18"/>
        </w:rPr>
      </w:pPr>
    </w:p>
    <w:p w:rsidR="00CD18D3" w:rsidRDefault="00CD18D3" w:rsidP="00CD18D3">
      <w:pPr>
        <w:rPr>
          <w:sz w:val="18"/>
        </w:rPr>
      </w:pPr>
    </w:p>
    <w:p w:rsidR="00CD18D3" w:rsidRDefault="00CD18D3" w:rsidP="00CD18D3">
      <w:pPr>
        <w:rPr>
          <w:sz w:val="18"/>
        </w:rPr>
      </w:pPr>
    </w:p>
    <w:p w:rsidR="00CD18D3" w:rsidRDefault="00CD18D3" w:rsidP="00CD18D3">
      <w:pPr>
        <w:rPr>
          <w:sz w:val="18"/>
        </w:rPr>
      </w:pPr>
    </w:p>
    <w:p w:rsidR="00CD18D3" w:rsidRDefault="00CD18D3" w:rsidP="00CD18D3">
      <w:pPr>
        <w:rPr>
          <w:sz w:val="18"/>
        </w:rPr>
      </w:pPr>
    </w:p>
    <w:p w:rsidR="00CD18D3" w:rsidRDefault="00CD18D3" w:rsidP="00CD18D3">
      <w:pPr>
        <w:rPr>
          <w:sz w:val="18"/>
        </w:rPr>
      </w:pPr>
    </w:p>
    <w:p w:rsidR="00CD18D3" w:rsidRDefault="00CD18D3" w:rsidP="00CD18D3">
      <w:pPr>
        <w:rPr>
          <w:sz w:val="18"/>
        </w:rPr>
      </w:pPr>
    </w:p>
    <w:p w:rsidR="00CD18D3" w:rsidRDefault="00CD18D3" w:rsidP="00CD18D3">
      <w:pPr>
        <w:tabs>
          <w:tab w:val="right" w:pos="8789"/>
        </w:tabs>
        <w:spacing w:after="0"/>
        <w:jc w:val="left"/>
        <w:rPr>
          <w:sz w:val="28"/>
        </w:rPr>
      </w:pPr>
      <w:r>
        <w:rPr>
          <w:sz w:val="28"/>
        </w:rPr>
        <w:tab/>
      </w:r>
    </w:p>
    <w:p w:rsidR="00CD18D3" w:rsidRPr="00076793" w:rsidRDefault="00CD18D3" w:rsidP="00CD18D3">
      <w:pPr>
        <w:tabs>
          <w:tab w:val="right" w:pos="8789"/>
        </w:tabs>
        <w:spacing w:after="0"/>
        <w:jc w:val="left"/>
        <w:rPr>
          <w:rFonts w:asciiTheme="minorHAnsi" w:hAnsiTheme="minorHAnsi" w:cs="Calibri"/>
          <w:sz w:val="28"/>
        </w:rPr>
      </w:pPr>
      <w:r>
        <w:rPr>
          <w:sz w:val="28"/>
        </w:rPr>
        <w:tab/>
      </w:r>
      <w:r w:rsidRPr="007F1356">
        <w:rPr>
          <w:rFonts w:asciiTheme="minorHAnsi" w:hAnsiTheme="minorHAnsi"/>
          <w:sz w:val="28"/>
        </w:rPr>
        <w:t xml:space="preserve">6 September </w:t>
      </w:r>
      <w:r w:rsidRPr="007F1356">
        <w:rPr>
          <w:rFonts w:asciiTheme="minorHAnsi" w:hAnsiTheme="minorHAnsi" w:cs="Calibri"/>
          <w:sz w:val="28"/>
        </w:rPr>
        <w:t>201</w:t>
      </w:r>
      <w:r>
        <w:rPr>
          <w:rFonts w:asciiTheme="minorHAnsi" w:hAnsiTheme="minorHAnsi" w:cs="Calibri"/>
          <w:sz w:val="28"/>
        </w:rPr>
        <w:t>7</w:t>
      </w:r>
    </w:p>
    <w:p w:rsidR="00CD18D3" w:rsidRPr="00076793" w:rsidRDefault="00CD18D3" w:rsidP="00CD18D3">
      <w:pPr>
        <w:spacing w:after="0"/>
        <w:jc w:val="left"/>
        <w:rPr>
          <w:rFonts w:asciiTheme="minorHAnsi" w:hAnsiTheme="minorHAnsi"/>
          <w:spacing w:val="-3"/>
          <w:sz w:val="24"/>
          <w:szCs w:val="24"/>
        </w:rPr>
      </w:pPr>
      <w:r>
        <w:rPr>
          <w:sz w:val="28"/>
        </w:rPr>
        <w:br w:type="page"/>
      </w:r>
      <w:r w:rsidRPr="00076793">
        <w:rPr>
          <w:rFonts w:asciiTheme="minorHAnsi" w:hAnsiTheme="minorHAnsi"/>
          <w:spacing w:val="-3"/>
          <w:sz w:val="24"/>
          <w:szCs w:val="24"/>
        </w:rPr>
        <w:lastRenderedPageBreak/>
        <w:t>© Commonwealth of Australia 2017</w:t>
      </w:r>
    </w:p>
    <w:p w:rsidR="00CD18D3" w:rsidRPr="00076793" w:rsidRDefault="00CD18D3" w:rsidP="00CD18D3">
      <w:pPr>
        <w:suppressAutoHyphens/>
        <w:spacing w:after="0"/>
        <w:rPr>
          <w:rFonts w:asciiTheme="minorHAnsi" w:hAnsiTheme="minorHAnsi"/>
          <w:spacing w:val="-3"/>
          <w:sz w:val="24"/>
          <w:szCs w:val="24"/>
        </w:rPr>
      </w:pPr>
    </w:p>
    <w:p w:rsidR="00CD18D3" w:rsidRPr="00076793" w:rsidRDefault="00CD18D3" w:rsidP="00CD18D3">
      <w:pPr>
        <w:spacing w:after="0"/>
        <w:outlineLvl w:val="0"/>
        <w:rPr>
          <w:rFonts w:asciiTheme="minorHAnsi" w:hAnsiTheme="minorHAnsi"/>
          <w:spacing w:val="-3"/>
          <w:sz w:val="24"/>
          <w:szCs w:val="24"/>
        </w:rPr>
      </w:pPr>
      <w:r w:rsidRPr="00076793">
        <w:rPr>
          <w:rFonts w:asciiTheme="minorHAnsi" w:hAnsiTheme="minorHAnsi"/>
          <w:spacing w:val="-3"/>
          <w:sz w:val="24"/>
          <w:szCs w:val="24"/>
        </w:rPr>
        <w:t>ISSN 2201-8689 (print)</w:t>
      </w:r>
    </w:p>
    <w:p w:rsidR="00CD18D3" w:rsidRPr="00076793" w:rsidRDefault="00CD18D3" w:rsidP="00CD18D3">
      <w:pPr>
        <w:spacing w:after="0"/>
        <w:outlineLvl w:val="0"/>
        <w:rPr>
          <w:rFonts w:asciiTheme="minorHAnsi" w:hAnsiTheme="minorHAnsi"/>
          <w:spacing w:val="-3"/>
          <w:sz w:val="24"/>
          <w:szCs w:val="24"/>
        </w:rPr>
      </w:pPr>
      <w:r w:rsidRPr="00076793">
        <w:rPr>
          <w:rFonts w:asciiTheme="minorHAnsi" w:hAnsiTheme="minorHAnsi"/>
          <w:spacing w:val="-3"/>
          <w:sz w:val="24"/>
          <w:szCs w:val="24"/>
        </w:rPr>
        <w:t>ISSN 1447-2147 (online)</w:t>
      </w:r>
    </w:p>
    <w:p w:rsidR="00CD18D3" w:rsidRPr="00076793" w:rsidRDefault="00CD18D3" w:rsidP="00CD18D3">
      <w:pPr>
        <w:suppressAutoHyphens/>
        <w:spacing w:after="0"/>
        <w:rPr>
          <w:rFonts w:asciiTheme="minorHAnsi" w:hAnsiTheme="minorHAnsi"/>
          <w:spacing w:val="-3"/>
        </w:rPr>
      </w:pPr>
    </w:p>
    <w:p w:rsidR="00CD18D3" w:rsidRPr="00076793" w:rsidRDefault="00CD18D3" w:rsidP="00CD18D3">
      <w:pPr>
        <w:suppressAutoHyphens/>
        <w:spacing w:after="0"/>
        <w:rPr>
          <w:rFonts w:asciiTheme="minorHAnsi" w:hAnsiTheme="minorHAnsi"/>
          <w:spacing w:val="-3"/>
        </w:rPr>
      </w:pPr>
    </w:p>
    <w:p w:rsidR="00CD18D3" w:rsidRPr="00076793" w:rsidRDefault="00CD18D3" w:rsidP="00CD18D3">
      <w:pPr>
        <w:suppressAutoHyphens/>
        <w:spacing w:after="0"/>
        <w:rPr>
          <w:rFonts w:asciiTheme="minorHAnsi" w:hAnsiTheme="minorHAnsi"/>
          <w:spacing w:val="-3"/>
        </w:rPr>
      </w:pPr>
    </w:p>
    <w:p w:rsidR="00CD18D3" w:rsidRPr="00076793" w:rsidRDefault="00CD18D3" w:rsidP="00CD18D3">
      <w:pPr>
        <w:suppressAutoHyphens/>
        <w:spacing w:after="0"/>
        <w:rPr>
          <w:rFonts w:asciiTheme="minorHAnsi" w:hAnsiTheme="minorHAnsi"/>
          <w:spacing w:val="-3"/>
        </w:rPr>
      </w:pPr>
    </w:p>
    <w:p w:rsidR="00CD18D3" w:rsidRPr="00076793" w:rsidRDefault="00CD18D3" w:rsidP="00CD18D3">
      <w:pPr>
        <w:suppressAutoHyphens/>
        <w:spacing w:after="0"/>
        <w:rPr>
          <w:rFonts w:asciiTheme="minorHAnsi" w:hAnsiTheme="minorHAnsi"/>
          <w:spacing w:val="-3"/>
        </w:rPr>
      </w:pPr>
    </w:p>
    <w:p w:rsidR="00CD18D3" w:rsidRPr="00076793" w:rsidRDefault="00CD18D3" w:rsidP="00CD18D3">
      <w:pPr>
        <w:suppressAutoHyphens/>
        <w:spacing w:after="0"/>
        <w:rPr>
          <w:rFonts w:asciiTheme="minorHAnsi" w:hAnsiTheme="minorHAnsi"/>
          <w:spacing w:val="-3"/>
        </w:rPr>
      </w:pPr>
    </w:p>
    <w:p w:rsidR="00CD18D3" w:rsidRPr="00076793" w:rsidRDefault="00CD18D3" w:rsidP="00CD18D3">
      <w:pPr>
        <w:suppressAutoHyphens/>
        <w:spacing w:after="0"/>
        <w:rPr>
          <w:rFonts w:asciiTheme="minorHAnsi" w:hAnsiTheme="minorHAnsi"/>
          <w:spacing w:val="-3"/>
        </w:rPr>
      </w:pPr>
    </w:p>
    <w:p w:rsidR="00CD18D3" w:rsidRPr="00076793" w:rsidRDefault="00CD18D3" w:rsidP="00CD18D3">
      <w:pPr>
        <w:suppressAutoHyphens/>
        <w:spacing w:after="0"/>
        <w:rPr>
          <w:rFonts w:asciiTheme="minorHAnsi" w:hAnsiTheme="minorHAnsi"/>
          <w:spacing w:val="-3"/>
        </w:rPr>
      </w:pPr>
    </w:p>
    <w:p w:rsidR="00CD18D3" w:rsidRPr="00076793" w:rsidRDefault="00CD18D3" w:rsidP="00CD18D3">
      <w:pPr>
        <w:suppressAutoHyphens/>
        <w:spacing w:after="0"/>
        <w:rPr>
          <w:rFonts w:asciiTheme="minorHAnsi" w:hAnsiTheme="minorHAnsi"/>
          <w:spacing w:val="-3"/>
        </w:rPr>
      </w:pPr>
    </w:p>
    <w:p w:rsidR="00CD18D3" w:rsidRPr="00076793" w:rsidRDefault="00CD18D3" w:rsidP="00CD18D3">
      <w:pPr>
        <w:suppressAutoHyphens/>
        <w:spacing w:after="0"/>
        <w:rPr>
          <w:rFonts w:asciiTheme="minorHAnsi" w:hAnsiTheme="minorHAnsi"/>
          <w:spacing w:val="-3"/>
        </w:rPr>
      </w:pPr>
    </w:p>
    <w:p w:rsidR="00CD18D3" w:rsidRPr="00076793" w:rsidRDefault="00CD18D3" w:rsidP="00CD18D3">
      <w:pPr>
        <w:suppressAutoHyphens/>
        <w:spacing w:after="0"/>
        <w:rPr>
          <w:rFonts w:asciiTheme="minorHAnsi" w:hAnsiTheme="minorHAnsi"/>
          <w:spacing w:val="-3"/>
        </w:rPr>
      </w:pPr>
    </w:p>
    <w:p w:rsidR="00CD18D3" w:rsidRPr="00076793" w:rsidRDefault="00CD18D3" w:rsidP="00CD18D3">
      <w:pPr>
        <w:suppressAutoHyphens/>
        <w:spacing w:after="0"/>
        <w:rPr>
          <w:rFonts w:asciiTheme="minorHAnsi" w:hAnsiTheme="minorHAnsi"/>
          <w:spacing w:val="-3"/>
        </w:rPr>
      </w:pPr>
    </w:p>
    <w:p w:rsidR="00CD18D3" w:rsidRPr="00076793" w:rsidRDefault="00CD18D3" w:rsidP="00CD18D3">
      <w:pPr>
        <w:suppressAutoHyphens/>
        <w:spacing w:after="0"/>
        <w:rPr>
          <w:rFonts w:asciiTheme="minorHAnsi" w:hAnsiTheme="minorHAnsi"/>
          <w:spacing w:val="-3"/>
        </w:rPr>
      </w:pPr>
    </w:p>
    <w:p w:rsidR="00CD18D3" w:rsidRPr="00076793" w:rsidRDefault="00CD18D3" w:rsidP="00CD18D3">
      <w:pPr>
        <w:suppressAutoHyphens/>
        <w:spacing w:after="0"/>
        <w:rPr>
          <w:rFonts w:asciiTheme="minorHAnsi" w:hAnsiTheme="minorHAnsi"/>
          <w:spacing w:val="-3"/>
        </w:rPr>
      </w:pPr>
    </w:p>
    <w:p w:rsidR="00CD18D3" w:rsidRPr="00076793" w:rsidRDefault="00CD18D3" w:rsidP="00CD18D3">
      <w:pPr>
        <w:suppressAutoHyphens/>
        <w:spacing w:after="0"/>
        <w:rPr>
          <w:rFonts w:asciiTheme="minorHAnsi" w:hAnsiTheme="minorHAnsi"/>
          <w:spacing w:val="-3"/>
        </w:rPr>
      </w:pPr>
    </w:p>
    <w:p w:rsidR="00CD18D3" w:rsidRPr="00076793" w:rsidRDefault="00CD18D3" w:rsidP="00CD18D3">
      <w:pPr>
        <w:suppressAutoHyphens/>
        <w:spacing w:after="0"/>
        <w:rPr>
          <w:rFonts w:asciiTheme="minorHAnsi" w:hAnsiTheme="minorHAnsi"/>
          <w:spacing w:val="-3"/>
        </w:rPr>
      </w:pPr>
    </w:p>
    <w:p w:rsidR="00CD18D3" w:rsidRPr="00076793" w:rsidRDefault="00CD18D3" w:rsidP="00CD18D3">
      <w:pPr>
        <w:suppressAutoHyphens/>
        <w:spacing w:after="0"/>
        <w:rPr>
          <w:rFonts w:asciiTheme="minorHAnsi" w:hAnsiTheme="minorHAnsi"/>
          <w:spacing w:val="-3"/>
        </w:rPr>
      </w:pPr>
    </w:p>
    <w:p w:rsidR="00CD18D3" w:rsidRPr="00076793" w:rsidRDefault="00CD18D3" w:rsidP="00CD18D3">
      <w:pPr>
        <w:suppressAutoHyphens/>
        <w:spacing w:after="0"/>
        <w:rPr>
          <w:rFonts w:asciiTheme="minorHAnsi" w:hAnsiTheme="minorHAnsi"/>
          <w:spacing w:val="-3"/>
        </w:rPr>
      </w:pPr>
    </w:p>
    <w:p w:rsidR="00CD18D3" w:rsidRPr="00076793" w:rsidRDefault="00CD18D3" w:rsidP="00CD18D3">
      <w:pPr>
        <w:suppressAutoHyphens/>
        <w:spacing w:after="0"/>
        <w:rPr>
          <w:rFonts w:asciiTheme="minorHAnsi" w:hAnsiTheme="minorHAnsi"/>
          <w:spacing w:val="-3"/>
        </w:rPr>
      </w:pPr>
    </w:p>
    <w:p w:rsidR="00CD18D3" w:rsidRPr="00076793" w:rsidRDefault="00CD18D3" w:rsidP="00CD18D3">
      <w:pPr>
        <w:suppressAutoHyphens/>
        <w:spacing w:after="0"/>
        <w:rPr>
          <w:rFonts w:asciiTheme="minorHAnsi" w:hAnsiTheme="minorHAnsi"/>
          <w:spacing w:val="-3"/>
        </w:rPr>
      </w:pPr>
    </w:p>
    <w:p w:rsidR="00CD18D3" w:rsidRPr="00076793" w:rsidRDefault="00CD18D3" w:rsidP="00CD18D3">
      <w:pPr>
        <w:suppressAutoHyphens/>
        <w:spacing w:after="0"/>
        <w:rPr>
          <w:rFonts w:asciiTheme="minorHAnsi" w:hAnsiTheme="minorHAnsi"/>
          <w:spacing w:val="-3"/>
        </w:rPr>
      </w:pPr>
    </w:p>
    <w:p w:rsidR="00CD18D3" w:rsidRPr="00076793" w:rsidRDefault="00CD18D3" w:rsidP="00CD18D3">
      <w:pPr>
        <w:suppressAutoHyphens/>
        <w:spacing w:after="0"/>
        <w:rPr>
          <w:rFonts w:asciiTheme="minorHAnsi" w:hAnsiTheme="minorHAnsi"/>
          <w:spacing w:val="-3"/>
        </w:rPr>
      </w:pPr>
    </w:p>
    <w:p w:rsidR="00CD18D3" w:rsidRPr="00076793" w:rsidRDefault="00CD18D3" w:rsidP="00CD18D3">
      <w:pPr>
        <w:suppressAutoHyphens/>
        <w:spacing w:after="0"/>
        <w:rPr>
          <w:rFonts w:asciiTheme="minorHAnsi" w:hAnsiTheme="minorHAnsi"/>
          <w:spacing w:val="-3"/>
        </w:rPr>
      </w:pPr>
    </w:p>
    <w:p w:rsidR="00CD18D3" w:rsidRPr="00076793" w:rsidRDefault="00CD18D3" w:rsidP="00CD18D3">
      <w:pPr>
        <w:suppressAutoHyphens/>
        <w:spacing w:after="0"/>
        <w:rPr>
          <w:rFonts w:asciiTheme="minorHAnsi" w:hAnsiTheme="minorHAnsi"/>
          <w:spacing w:val="-3"/>
        </w:rPr>
      </w:pPr>
    </w:p>
    <w:p w:rsidR="00CD18D3" w:rsidRPr="00076793" w:rsidRDefault="00CD18D3" w:rsidP="00CD18D3">
      <w:pPr>
        <w:suppressAutoHyphens/>
        <w:spacing w:after="0"/>
        <w:rPr>
          <w:rFonts w:asciiTheme="minorHAnsi" w:hAnsiTheme="minorHAnsi"/>
          <w:spacing w:val="-3"/>
        </w:rPr>
      </w:pPr>
    </w:p>
    <w:p w:rsidR="00CD18D3" w:rsidRDefault="00CD18D3" w:rsidP="00CD18D3">
      <w:pPr>
        <w:suppressAutoHyphens/>
        <w:spacing w:after="0"/>
        <w:rPr>
          <w:rFonts w:asciiTheme="minorHAnsi" w:hAnsiTheme="minorHAnsi"/>
          <w:spacing w:val="-3"/>
        </w:rPr>
      </w:pPr>
    </w:p>
    <w:p w:rsidR="00CD18D3" w:rsidRPr="00CE6266" w:rsidRDefault="00CD18D3" w:rsidP="00CD18D3">
      <w:pPr>
        <w:suppressAutoHyphens/>
        <w:spacing w:after="0"/>
        <w:rPr>
          <w:rFonts w:asciiTheme="minorHAnsi" w:hAnsiTheme="minorHAnsi"/>
          <w:spacing w:val="-3"/>
          <w:sz w:val="22"/>
          <w:szCs w:val="22"/>
        </w:rPr>
      </w:pPr>
      <w:r w:rsidRPr="00076793">
        <w:rPr>
          <w:rFonts w:asciiTheme="minorHAnsi" w:hAnsiTheme="minorHAnsi"/>
          <w:spacing w:val="-3"/>
          <w:sz w:val="22"/>
          <w:szCs w:val="22"/>
        </w:rPr>
        <w:t>This document was prepared by the Senate Standing Committee on Regulations and Ordinances and printed by the Senate Printing Unit, Department of the Senate, Parliament House, Canberra.</w:t>
      </w:r>
    </w:p>
    <w:p w:rsidR="00CD18D3" w:rsidRDefault="00CD18D3" w:rsidP="00CD18D3">
      <w:pPr>
        <w:pStyle w:val="Heading1"/>
        <w:sectPr w:rsidR="00CD18D3" w:rsidSect="00CD18D3">
          <w:headerReference w:type="even" r:id="rId9"/>
          <w:footerReference w:type="even" r:id="rId10"/>
          <w:footerReference w:type="default" r:id="rId11"/>
          <w:headerReference w:type="first" r:id="rId12"/>
          <w:footerReference w:type="first" r:id="rId13"/>
          <w:pgSz w:w="11906" w:h="16838" w:code="9"/>
          <w:pgMar w:top="1440" w:right="1440" w:bottom="1202" w:left="1440" w:header="1134" w:footer="720" w:gutter="0"/>
          <w:pgNumType w:fmt="lowerRoman" w:start="1"/>
          <w:cols w:space="720"/>
          <w:docGrid w:linePitch="354"/>
        </w:sectPr>
      </w:pPr>
    </w:p>
    <w:p w:rsidR="00CD18D3" w:rsidRPr="0042531B" w:rsidRDefault="00CD18D3" w:rsidP="00CD18D3">
      <w:pPr>
        <w:pStyle w:val="Heading1"/>
      </w:pPr>
      <w:r w:rsidRPr="0042531B">
        <w:lastRenderedPageBreak/>
        <w:t>Membership of the committee</w:t>
      </w:r>
      <w:bookmarkEnd w:id="14"/>
    </w:p>
    <w:p w:rsidR="00CD18D3" w:rsidRPr="0042531B" w:rsidRDefault="00CD18D3" w:rsidP="00CD18D3">
      <w:pPr>
        <w:spacing w:after="0"/>
      </w:pPr>
    </w:p>
    <w:p w:rsidR="00CD18D3" w:rsidRPr="0042531B" w:rsidRDefault="00CD18D3" w:rsidP="00CD18D3">
      <w:pPr>
        <w:spacing w:after="0"/>
      </w:pPr>
    </w:p>
    <w:p w:rsidR="00CD18D3" w:rsidRPr="0042531B" w:rsidRDefault="00CD18D3" w:rsidP="00CD18D3">
      <w:pPr>
        <w:tabs>
          <w:tab w:val="left" w:pos="4536"/>
        </w:tabs>
        <w:outlineLvl w:val="0"/>
        <w:rPr>
          <w:b/>
        </w:rPr>
      </w:pPr>
      <w:bookmarkStart w:id="15" w:name="_Toc340231482"/>
      <w:r w:rsidRPr="0042531B">
        <w:rPr>
          <w:b/>
        </w:rPr>
        <w:t>Current members</w:t>
      </w:r>
      <w:bookmarkEnd w:id="15"/>
    </w:p>
    <w:p w:rsidR="00CD18D3" w:rsidRPr="0042531B" w:rsidRDefault="00CD18D3" w:rsidP="00CD18D3">
      <w:pPr>
        <w:pStyle w:val="JNP2"/>
        <w:tabs>
          <w:tab w:val="right" w:pos="9026"/>
        </w:tabs>
        <w:ind w:left="0"/>
        <w:rPr>
          <w:rFonts w:ascii="Calibri" w:hAnsi="Calibri"/>
          <w:sz w:val="24"/>
          <w:szCs w:val="24"/>
          <w:lang w:val="en-AU"/>
        </w:rPr>
      </w:pPr>
      <w:r w:rsidRPr="0042531B">
        <w:rPr>
          <w:rFonts w:ascii="Calibri" w:hAnsi="Calibri"/>
          <w:sz w:val="24"/>
          <w:szCs w:val="24"/>
          <w:lang w:val="en-AU"/>
        </w:rPr>
        <w:t>Senator John Williams (Chair)</w:t>
      </w:r>
      <w:r w:rsidRPr="0042531B">
        <w:rPr>
          <w:rFonts w:ascii="Calibri" w:hAnsi="Calibri"/>
          <w:sz w:val="24"/>
          <w:szCs w:val="24"/>
          <w:lang w:val="en-AU"/>
        </w:rPr>
        <w:tab/>
        <w:t>New South Wales, NAT</w:t>
      </w:r>
    </w:p>
    <w:p w:rsidR="00CD18D3" w:rsidRPr="0042531B" w:rsidRDefault="00CD18D3" w:rsidP="00CD18D3">
      <w:pPr>
        <w:pStyle w:val="JNP2"/>
        <w:tabs>
          <w:tab w:val="right" w:pos="9026"/>
        </w:tabs>
        <w:ind w:left="0"/>
        <w:rPr>
          <w:rFonts w:ascii="Calibri" w:hAnsi="Calibri"/>
          <w:sz w:val="24"/>
          <w:szCs w:val="24"/>
          <w:lang w:val="en-AU"/>
        </w:rPr>
      </w:pPr>
      <w:r w:rsidRPr="0042531B">
        <w:rPr>
          <w:rFonts w:ascii="Calibri" w:hAnsi="Calibri"/>
          <w:sz w:val="24"/>
          <w:szCs w:val="24"/>
          <w:lang w:val="en-AU"/>
        </w:rPr>
        <w:t>Senator Gavin Marshall (Deputy Chair)</w:t>
      </w:r>
      <w:r w:rsidRPr="0042531B">
        <w:rPr>
          <w:rFonts w:ascii="Calibri" w:hAnsi="Calibri"/>
          <w:sz w:val="24"/>
          <w:szCs w:val="24"/>
          <w:lang w:val="en-AU"/>
        </w:rPr>
        <w:tab/>
        <w:t>Victoria, ALP</w:t>
      </w:r>
    </w:p>
    <w:p w:rsidR="00CD18D3" w:rsidRPr="0042531B" w:rsidRDefault="00CD18D3" w:rsidP="00CD18D3">
      <w:pPr>
        <w:pStyle w:val="JNP2"/>
        <w:tabs>
          <w:tab w:val="right" w:pos="9026"/>
        </w:tabs>
        <w:ind w:left="0"/>
        <w:rPr>
          <w:rFonts w:ascii="Calibri" w:hAnsi="Calibri"/>
          <w:sz w:val="24"/>
          <w:szCs w:val="24"/>
          <w:lang w:val="en-AU"/>
        </w:rPr>
      </w:pPr>
      <w:r w:rsidRPr="0042531B">
        <w:rPr>
          <w:rFonts w:ascii="Calibri" w:hAnsi="Calibri"/>
          <w:sz w:val="24"/>
          <w:szCs w:val="24"/>
          <w:lang w:val="en-AU"/>
        </w:rPr>
        <w:t>Senator Anthony Chisholm</w:t>
      </w:r>
      <w:r w:rsidRPr="0042531B">
        <w:rPr>
          <w:rFonts w:ascii="Calibri" w:hAnsi="Calibri"/>
          <w:sz w:val="24"/>
          <w:szCs w:val="24"/>
          <w:lang w:val="en-AU"/>
        </w:rPr>
        <w:tab/>
        <w:t>Queensland, ALP</w:t>
      </w:r>
    </w:p>
    <w:p w:rsidR="00CD18D3" w:rsidRPr="0042531B" w:rsidRDefault="00CD18D3" w:rsidP="00CD18D3">
      <w:pPr>
        <w:pStyle w:val="JNP2"/>
        <w:tabs>
          <w:tab w:val="right" w:pos="9026"/>
        </w:tabs>
        <w:ind w:left="0"/>
        <w:rPr>
          <w:rFonts w:ascii="Calibri" w:hAnsi="Calibri"/>
          <w:sz w:val="24"/>
          <w:szCs w:val="24"/>
          <w:lang w:val="en-AU"/>
        </w:rPr>
      </w:pPr>
      <w:r w:rsidRPr="0042531B">
        <w:rPr>
          <w:rFonts w:ascii="Calibri" w:hAnsi="Calibri"/>
          <w:sz w:val="24"/>
          <w:szCs w:val="24"/>
          <w:lang w:val="en-AU"/>
        </w:rPr>
        <w:t>Senator Jane Hume</w:t>
      </w:r>
      <w:r w:rsidRPr="0042531B">
        <w:rPr>
          <w:rFonts w:ascii="Calibri" w:hAnsi="Calibri"/>
          <w:sz w:val="24"/>
          <w:szCs w:val="24"/>
          <w:lang w:val="en-AU"/>
        </w:rPr>
        <w:tab/>
        <w:t>Victoria, LP</w:t>
      </w:r>
    </w:p>
    <w:p w:rsidR="00CD18D3" w:rsidRPr="0042531B" w:rsidRDefault="00CD18D3" w:rsidP="00CD18D3">
      <w:pPr>
        <w:pStyle w:val="JNP2"/>
        <w:tabs>
          <w:tab w:val="right" w:pos="9026"/>
        </w:tabs>
        <w:ind w:left="0"/>
        <w:rPr>
          <w:rFonts w:ascii="Calibri" w:hAnsi="Calibri"/>
          <w:sz w:val="24"/>
          <w:szCs w:val="24"/>
          <w:lang w:val="en-AU"/>
        </w:rPr>
      </w:pPr>
      <w:r w:rsidRPr="0042531B">
        <w:rPr>
          <w:rFonts w:ascii="Calibri" w:hAnsi="Calibri"/>
          <w:sz w:val="24"/>
          <w:szCs w:val="24"/>
          <w:lang w:val="en-AU"/>
        </w:rPr>
        <w:t>Senator Linda Reynolds</w:t>
      </w:r>
      <w:r w:rsidRPr="0042531B">
        <w:rPr>
          <w:rFonts w:ascii="Calibri" w:hAnsi="Calibri"/>
          <w:sz w:val="24"/>
          <w:szCs w:val="24"/>
          <w:lang w:val="en-AU"/>
        </w:rPr>
        <w:tab/>
        <w:t>Western Australia, LP</w:t>
      </w:r>
    </w:p>
    <w:p w:rsidR="00CD18D3" w:rsidRPr="0042531B" w:rsidRDefault="00CD18D3" w:rsidP="00CD18D3">
      <w:pPr>
        <w:pStyle w:val="JNP2"/>
        <w:tabs>
          <w:tab w:val="right" w:pos="9026"/>
        </w:tabs>
        <w:ind w:left="0"/>
        <w:rPr>
          <w:rFonts w:ascii="Calibri" w:hAnsi="Calibri"/>
          <w:sz w:val="24"/>
          <w:szCs w:val="24"/>
          <w:lang w:val="en-AU"/>
        </w:rPr>
      </w:pPr>
      <w:r w:rsidRPr="0042531B">
        <w:rPr>
          <w:rFonts w:ascii="Calibri" w:hAnsi="Calibri"/>
          <w:sz w:val="24"/>
          <w:szCs w:val="24"/>
          <w:lang w:val="en-AU"/>
        </w:rPr>
        <w:t>Senator the Hon Lisa Singh</w:t>
      </w:r>
      <w:r w:rsidRPr="0042531B">
        <w:rPr>
          <w:rFonts w:ascii="Calibri" w:hAnsi="Calibri"/>
          <w:sz w:val="24"/>
          <w:szCs w:val="24"/>
          <w:lang w:val="en-AU"/>
        </w:rPr>
        <w:tab/>
        <w:t>Tasmania, ALP</w:t>
      </w:r>
    </w:p>
    <w:p w:rsidR="00CD18D3" w:rsidRPr="0042531B" w:rsidRDefault="00CD18D3" w:rsidP="00CD18D3">
      <w:pPr>
        <w:spacing w:after="0"/>
        <w:rPr>
          <w:sz w:val="24"/>
          <w:szCs w:val="24"/>
        </w:rPr>
      </w:pPr>
    </w:p>
    <w:p w:rsidR="00CD18D3" w:rsidRPr="0042531B" w:rsidRDefault="00CD18D3" w:rsidP="00CD18D3">
      <w:pPr>
        <w:spacing w:after="0"/>
        <w:rPr>
          <w:sz w:val="24"/>
          <w:szCs w:val="24"/>
        </w:rPr>
      </w:pPr>
    </w:p>
    <w:p w:rsidR="00CD18D3" w:rsidRPr="0042531B" w:rsidRDefault="00CD18D3" w:rsidP="00CD18D3">
      <w:pPr>
        <w:spacing w:after="0"/>
        <w:rPr>
          <w:sz w:val="24"/>
          <w:szCs w:val="24"/>
        </w:rPr>
      </w:pPr>
    </w:p>
    <w:p w:rsidR="00CD18D3" w:rsidRPr="0042531B" w:rsidRDefault="00CD18D3" w:rsidP="00CD18D3">
      <w:pPr>
        <w:spacing w:after="0"/>
        <w:rPr>
          <w:sz w:val="24"/>
          <w:szCs w:val="24"/>
        </w:rPr>
      </w:pPr>
    </w:p>
    <w:p w:rsidR="00CD18D3" w:rsidRPr="0042531B" w:rsidRDefault="00CD18D3" w:rsidP="00CD18D3">
      <w:pPr>
        <w:rPr>
          <w:b/>
        </w:rPr>
      </w:pPr>
      <w:bookmarkStart w:id="16" w:name="_Toc340231484"/>
      <w:r w:rsidRPr="0042531B">
        <w:rPr>
          <w:b/>
        </w:rPr>
        <w:t>Secretariat</w:t>
      </w:r>
      <w:bookmarkEnd w:id="16"/>
    </w:p>
    <w:p w:rsidR="00CD18D3" w:rsidRPr="0042531B" w:rsidRDefault="00CD18D3" w:rsidP="00CD18D3">
      <w:pPr>
        <w:spacing w:before="0" w:after="0"/>
        <w:rPr>
          <w:sz w:val="24"/>
          <w:szCs w:val="24"/>
        </w:rPr>
      </w:pPr>
      <w:bookmarkStart w:id="17" w:name="_Toc340231485"/>
      <w:r w:rsidRPr="0042531B">
        <w:rPr>
          <w:sz w:val="24"/>
          <w:szCs w:val="24"/>
        </w:rPr>
        <w:t>Ms Toni Dawes, Secretary</w:t>
      </w:r>
      <w:bookmarkEnd w:id="17"/>
    </w:p>
    <w:p w:rsidR="00CD18D3" w:rsidRPr="0042531B" w:rsidRDefault="00CD18D3" w:rsidP="00CD18D3">
      <w:pPr>
        <w:spacing w:before="0" w:after="0"/>
        <w:rPr>
          <w:sz w:val="24"/>
          <w:szCs w:val="24"/>
        </w:rPr>
      </w:pPr>
      <w:r>
        <w:rPr>
          <w:sz w:val="24"/>
          <w:szCs w:val="24"/>
        </w:rPr>
        <w:t>Ms Shennia Spillane</w:t>
      </w:r>
      <w:r w:rsidRPr="0042531B">
        <w:rPr>
          <w:sz w:val="24"/>
          <w:szCs w:val="24"/>
        </w:rPr>
        <w:t>, Principal Research Officer</w:t>
      </w:r>
    </w:p>
    <w:p w:rsidR="00CD18D3" w:rsidRPr="0042531B" w:rsidRDefault="00CD18D3" w:rsidP="00CD18D3">
      <w:pPr>
        <w:spacing w:before="0" w:after="0"/>
        <w:rPr>
          <w:sz w:val="24"/>
          <w:szCs w:val="24"/>
        </w:rPr>
      </w:pPr>
      <w:r w:rsidRPr="0042531B">
        <w:rPr>
          <w:sz w:val="24"/>
          <w:szCs w:val="24"/>
        </w:rPr>
        <w:t>Ms Eloise Menzies, Senior Research Officer</w:t>
      </w:r>
    </w:p>
    <w:p w:rsidR="00CD18D3" w:rsidRPr="0042531B" w:rsidRDefault="00CD18D3" w:rsidP="00CD18D3">
      <w:pPr>
        <w:spacing w:before="0" w:after="0"/>
        <w:rPr>
          <w:sz w:val="24"/>
          <w:szCs w:val="24"/>
        </w:rPr>
      </w:pPr>
      <w:r w:rsidRPr="0042531B">
        <w:rPr>
          <w:sz w:val="24"/>
          <w:szCs w:val="24"/>
        </w:rPr>
        <w:t>Ms Morana Kavgic, Legislative Research Officer</w:t>
      </w:r>
    </w:p>
    <w:p w:rsidR="00CD18D3" w:rsidRPr="0042531B" w:rsidRDefault="00CD18D3" w:rsidP="00CD18D3">
      <w:pPr>
        <w:spacing w:after="0"/>
        <w:rPr>
          <w:sz w:val="24"/>
          <w:szCs w:val="24"/>
        </w:rPr>
      </w:pPr>
    </w:p>
    <w:p w:rsidR="00CD18D3" w:rsidRPr="0042531B" w:rsidRDefault="00CD18D3" w:rsidP="00CD18D3">
      <w:pPr>
        <w:spacing w:after="0"/>
        <w:rPr>
          <w:sz w:val="24"/>
          <w:szCs w:val="24"/>
        </w:rPr>
      </w:pPr>
    </w:p>
    <w:p w:rsidR="00CD18D3" w:rsidRPr="0042531B" w:rsidRDefault="00CD18D3" w:rsidP="00CD18D3">
      <w:pPr>
        <w:spacing w:after="0"/>
        <w:rPr>
          <w:sz w:val="24"/>
          <w:szCs w:val="24"/>
        </w:rPr>
      </w:pPr>
    </w:p>
    <w:p w:rsidR="00CD18D3" w:rsidRPr="0042531B" w:rsidRDefault="00CD18D3" w:rsidP="00CD18D3">
      <w:pPr>
        <w:spacing w:after="0"/>
        <w:rPr>
          <w:sz w:val="24"/>
          <w:szCs w:val="24"/>
        </w:rPr>
      </w:pPr>
    </w:p>
    <w:p w:rsidR="00CD18D3" w:rsidRPr="0042531B" w:rsidRDefault="00CD18D3" w:rsidP="00CD18D3">
      <w:pPr>
        <w:rPr>
          <w:b/>
        </w:rPr>
      </w:pPr>
      <w:bookmarkStart w:id="18" w:name="_Toc340231486"/>
      <w:r w:rsidRPr="0042531B">
        <w:rPr>
          <w:b/>
        </w:rPr>
        <w:t>Committee legal adviser</w:t>
      </w:r>
      <w:bookmarkEnd w:id="18"/>
    </w:p>
    <w:p w:rsidR="00CD18D3" w:rsidRPr="0042531B" w:rsidRDefault="00CD18D3" w:rsidP="00CD18D3">
      <w:pPr>
        <w:rPr>
          <w:sz w:val="24"/>
          <w:szCs w:val="24"/>
        </w:rPr>
      </w:pPr>
      <w:r w:rsidRPr="0042531B">
        <w:rPr>
          <w:sz w:val="24"/>
          <w:szCs w:val="24"/>
        </w:rPr>
        <w:t>Mr Stephen Argument</w:t>
      </w:r>
    </w:p>
    <w:p w:rsidR="00CD18D3" w:rsidRPr="0042531B" w:rsidRDefault="00CD18D3" w:rsidP="00CD18D3">
      <w:pPr>
        <w:spacing w:after="0"/>
        <w:rPr>
          <w:sz w:val="24"/>
          <w:szCs w:val="24"/>
        </w:rPr>
      </w:pPr>
    </w:p>
    <w:p w:rsidR="00CD18D3" w:rsidRPr="0042531B" w:rsidRDefault="00CD18D3" w:rsidP="00CD18D3">
      <w:pPr>
        <w:spacing w:after="0"/>
        <w:rPr>
          <w:sz w:val="24"/>
          <w:szCs w:val="24"/>
        </w:rPr>
      </w:pPr>
    </w:p>
    <w:p w:rsidR="00CD18D3" w:rsidRPr="0042531B" w:rsidRDefault="00CD18D3" w:rsidP="00CD18D3">
      <w:pPr>
        <w:spacing w:after="0"/>
        <w:rPr>
          <w:sz w:val="24"/>
          <w:szCs w:val="24"/>
        </w:rPr>
      </w:pPr>
    </w:p>
    <w:p w:rsidR="00CD18D3" w:rsidRPr="0042531B" w:rsidRDefault="00CD18D3" w:rsidP="00CD18D3">
      <w:pPr>
        <w:spacing w:after="0"/>
        <w:rPr>
          <w:sz w:val="24"/>
          <w:szCs w:val="24"/>
        </w:rPr>
      </w:pPr>
    </w:p>
    <w:p w:rsidR="00CD18D3" w:rsidRPr="0042531B" w:rsidRDefault="00CD18D3" w:rsidP="00CD18D3">
      <w:pPr>
        <w:rPr>
          <w:b/>
        </w:rPr>
      </w:pPr>
      <w:bookmarkStart w:id="19" w:name="_Toc340231487"/>
      <w:r w:rsidRPr="0042531B">
        <w:rPr>
          <w:b/>
        </w:rPr>
        <w:t>Committee contacts</w:t>
      </w:r>
      <w:bookmarkEnd w:id="19"/>
    </w:p>
    <w:p w:rsidR="00CD18D3" w:rsidRPr="0042531B" w:rsidRDefault="00CD18D3" w:rsidP="00CD18D3">
      <w:pPr>
        <w:spacing w:before="0" w:after="0"/>
        <w:rPr>
          <w:sz w:val="24"/>
          <w:szCs w:val="24"/>
        </w:rPr>
      </w:pPr>
      <w:bookmarkStart w:id="20" w:name="_Toc340231488"/>
      <w:r w:rsidRPr="0042531B">
        <w:rPr>
          <w:sz w:val="24"/>
          <w:szCs w:val="24"/>
        </w:rPr>
        <w:t>PO Box 6100</w:t>
      </w:r>
      <w:bookmarkEnd w:id="20"/>
    </w:p>
    <w:p w:rsidR="00CD18D3" w:rsidRPr="0042531B" w:rsidRDefault="00CD18D3" w:rsidP="00CD18D3">
      <w:pPr>
        <w:spacing w:before="0" w:after="0"/>
        <w:rPr>
          <w:sz w:val="24"/>
          <w:szCs w:val="24"/>
        </w:rPr>
      </w:pPr>
      <w:r w:rsidRPr="0042531B">
        <w:rPr>
          <w:sz w:val="24"/>
          <w:szCs w:val="24"/>
        </w:rPr>
        <w:t>Parliament House</w:t>
      </w:r>
    </w:p>
    <w:p w:rsidR="00CD18D3" w:rsidRPr="0042531B" w:rsidRDefault="00CD18D3" w:rsidP="00CD18D3">
      <w:pPr>
        <w:spacing w:before="0" w:after="0"/>
        <w:rPr>
          <w:sz w:val="24"/>
          <w:szCs w:val="24"/>
        </w:rPr>
      </w:pPr>
      <w:r w:rsidRPr="0042531B">
        <w:rPr>
          <w:sz w:val="24"/>
          <w:szCs w:val="24"/>
        </w:rPr>
        <w:t>Canberra ACT 2600</w:t>
      </w:r>
    </w:p>
    <w:p w:rsidR="00CD18D3" w:rsidRPr="0042531B" w:rsidRDefault="00CD18D3" w:rsidP="00CD18D3">
      <w:pPr>
        <w:spacing w:before="0" w:after="0"/>
        <w:rPr>
          <w:sz w:val="24"/>
          <w:szCs w:val="24"/>
        </w:rPr>
      </w:pPr>
      <w:r w:rsidRPr="0042531B">
        <w:rPr>
          <w:sz w:val="24"/>
          <w:szCs w:val="24"/>
        </w:rPr>
        <w:t>Ph: 02 6277 3066</w:t>
      </w:r>
    </w:p>
    <w:p w:rsidR="00CD18D3" w:rsidRPr="0042531B" w:rsidRDefault="00CD18D3" w:rsidP="00CD18D3">
      <w:pPr>
        <w:spacing w:before="0" w:after="0"/>
        <w:rPr>
          <w:sz w:val="24"/>
          <w:szCs w:val="24"/>
        </w:rPr>
      </w:pPr>
      <w:r w:rsidRPr="0042531B">
        <w:rPr>
          <w:sz w:val="24"/>
          <w:szCs w:val="24"/>
        </w:rPr>
        <w:t>Email: regords.sen@aph.gov.au</w:t>
      </w:r>
    </w:p>
    <w:p w:rsidR="00CD18D3" w:rsidRPr="0042531B" w:rsidRDefault="00CD18D3" w:rsidP="00CD18D3">
      <w:pPr>
        <w:spacing w:before="0"/>
        <w:rPr>
          <w:color w:val="000000"/>
          <w:sz w:val="24"/>
          <w:szCs w:val="24"/>
        </w:rPr>
      </w:pPr>
      <w:bookmarkStart w:id="21" w:name="_Toc340231489"/>
      <w:r w:rsidRPr="0042531B">
        <w:rPr>
          <w:sz w:val="24"/>
          <w:szCs w:val="24"/>
        </w:rPr>
        <w:t xml:space="preserve">Website: </w:t>
      </w:r>
      <w:bookmarkEnd w:id="21"/>
      <w:r w:rsidRPr="0042531B">
        <w:rPr>
          <w:color w:val="000000"/>
          <w:sz w:val="24"/>
          <w:szCs w:val="24"/>
        </w:rPr>
        <w:fldChar w:fldCharType="begin"/>
      </w:r>
      <w:r w:rsidRPr="0042531B">
        <w:rPr>
          <w:color w:val="000000"/>
          <w:sz w:val="24"/>
          <w:szCs w:val="24"/>
        </w:rPr>
        <w:instrText xml:space="preserve"> HYPERLINK "http://www.aph.gov.au/senate_regord_ctte" </w:instrText>
      </w:r>
      <w:r w:rsidRPr="0042531B">
        <w:rPr>
          <w:color w:val="000000"/>
          <w:sz w:val="24"/>
          <w:szCs w:val="24"/>
        </w:rPr>
        <w:fldChar w:fldCharType="separate"/>
      </w:r>
      <w:r w:rsidRPr="0042531B">
        <w:rPr>
          <w:rStyle w:val="Hyperlink"/>
          <w:sz w:val="24"/>
          <w:szCs w:val="24"/>
        </w:rPr>
        <w:t>http://www.aph.gov.au/senate_regord_ctte</w:t>
      </w:r>
      <w:r w:rsidRPr="0042531B">
        <w:rPr>
          <w:color w:val="000000"/>
          <w:sz w:val="24"/>
          <w:szCs w:val="24"/>
        </w:rPr>
        <w:fldChar w:fldCharType="end"/>
      </w:r>
    </w:p>
    <w:p w:rsidR="00CD18D3" w:rsidRPr="007E04A9" w:rsidRDefault="00CD18D3" w:rsidP="00CD18D3">
      <w:pPr>
        <w:spacing w:after="0"/>
      </w:pPr>
    </w:p>
    <w:p w:rsidR="00CD18D3" w:rsidRPr="00520991" w:rsidRDefault="00CD18D3" w:rsidP="00CD18D3"/>
    <w:p w:rsidR="00CD18D3" w:rsidRDefault="00CD18D3" w:rsidP="00CD18D3">
      <w:pPr>
        <w:pStyle w:val="Heading1"/>
        <w:sectPr w:rsidR="00CD18D3" w:rsidSect="00CD18D3">
          <w:headerReference w:type="default" r:id="rId14"/>
          <w:footerReference w:type="even" r:id="rId15"/>
          <w:footerReference w:type="default" r:id="rId16"/>
          <w:pgSz w:w="11906" w:h="16838" w:code="9"/>
          <w:pgMar w:top="1440" w:right="1440" w:bottom="1202" w:left="1440" w:header="1134" w:footer="720" w:gutter="0"/>
          <w:pgNumType w:fmt="lowerRoman" w:start="3"/>
          <w:cols w:space="720"/>
          <w:docGrid w:linePitch="354"/>
        </w:sectPr>
      </w:pPr>
    </w:p>
    <w:p w:rsidR="00CD18D3" w:rsidRPr="009E5C55" w:rsidRDefault="00CD18D3" w:rsidP="00CD18D3">
      <w:pPr>
        <w:pStyle w:val="Heading1"/>
      </w:pPr>
      <w:r w:rsidRPr="009E5C55">
        <w:lastRenderedPageBreak/>
        <w:t>Contents</w:t>
      </w:r>
      <w:bookmarkEnd w:id="0"/>
      <w:bookmarkEnd w:id="1"/>
      <w:bookmarkEnd w:id="2"/>
      <w:bookmarkEnd w:id="3"/>
      <w:bookmarkEnd w:id="4"/>
      <w:bookmarkEnd w:id="5"/>
      <w:bookmarkEnd w:id="6"/>
      <w:bookmarkEnd w:id="7"/>
      <w:bookmarkEnd w:id="8"/>
      <w:bookmarkEnd w:id="9"/>
      <w:bookmarkEnd w:id="10"/>
      <w:bookmarkEnd w:id="11"/>
      <w:bookmarkEnd w:id="12"/>
      <w:bookmarkEnd w:id="13"/>
    </w:p>
    <w:p w:rsidR="00CD18D3" w:rsidRPr="009E5C55" w:rsidRDefault="00CD18D3" w:rsidP="00CD18D3">
      <w:pPr>
        <w:pStyle w:val="TOC1"/>
        <w:tabs>
          <w:tab w:val="right" w:leader="dot" w:pos="9016"/>
        </w:tabs>
        <w:rPr>
          <w:rFonts w:ascii="Calibri" w:eastAsiaTheme="minorEastAsia" w:hAnsi="Calibri" w:cstheme="minorBidi"/>
          <w:b w:val="0"/>
          <w:i/>
          <w:noProof/>
          <w:sz w:val="22"/>
          <w:szCs w:val="22"/>
          <w:lang w:eastAsia="en-AU"/>
        </w:rPr>
      </w:pPr>
      <w:r w:rsidRPr="009E5C55">
        <w:rPr>
          <w:rFonts w:ascii="Calibri" w:hAnsi="Calibri"/>
          <w:noProof/>
        </w:rPr>
        <w:t>Membership of the committee</w:t>
      </w:r>
      <w:r w:rsidRPr="009E5C55">
        <w:rPr>
          <w:rFonts w:ascii="Calibri" w:hAnsi="Calibri"/>
          <w:b w:val="0"/>
          <w:noProof/>
          <w:sz w:val="26"/>
          <w:szCs w:val="26"/>
        </w:rPr>
        <w:tab/>
      </w:r>
      <w:r w:rsidRPr="009E5C55">
        <w:rPr>
          <w:rFonts w:ascii="Calibri" w:hAnsi="Calibri"/>
          <w:b w:val="0"/>
          <w:i/>
          <w:noProof/>
          <w:sz w:val="26"/>
          <w:szCs w:val="26"/>
        </w:rPr>
        <w:t>iii</w:t>
      </w:r>
    </w:p>
    <w:p w:rsidR="00CD18D3" w:rsidRPr="009E5C55" w:rsidRDefault="00CD18D3" w:rsidP="00CD18D3">
      <w:pPr>
        <w:pStyle w:val="TOC1"/>
        <w:tabs>
          <w:tab w:val="right" w:leader="dot" w:pos="9016"/>
        </w:tabs>
        <w:rPr>
          <w:rFonts w:ascii="Calibri" w:eastAsiaTheme="minorEastAsia" w:hAnsi="Calibri" w:cstheme="minorBidi"/>
          <w:b w:val="0"/>
          <w:i/>
          <w:noProof/>
          <w:sz w:val="22"/>
          <w:szCs w:val="22"/>
          <w:lang w:eastAsia="en-AU"/>
        </w:rPr>
      </w:pPr>
      <w:r w:rsidRPr="009E5C55">
        <w:rPr>
          <w:rFonts w:ascii="Calibri" w:hAnsi="Calibri"/>
          <w:noProof/>
        </w:rPr>
        <w:t>Introduction</w:t>
      </w:r>
      <w:r w:rsidRPr="009E5C55">
        <w:rPr>
          <w:rFonts w:ascii="Calibri" w:hAnsi="Calibri"/>
          <w:b w:val="0"/>
          <w:noProof/>
          <w:sz w:val="26"/>
          <w:szCs w:val="26"/>
        </w:rPr>
        <w:tab/>
      </w:r>
      <w:r w:rsidRPr="009E5C55">
        <w:rPr>
          <w:rFonts w:ascii="Calibri" w:hAnsi="Calibri"/>
          <w:b w:val="0"/>
          <w:i/>
          <w:noProof/>
          <w:sz w:val="26"/>
          <w:szCs w:val="26"/>
        </w:rPr>
        <w:t>i</w:t>
      </w:r>
      <w:r>
        <w:rPr>
          <w:rFonts w:ascii="Calibri" w:hAnsi="Calibri"/>
          <w:b w:val="0"/>
          <w:i/>
          <w:noProof/>
          <w:sz w:val="26"/>
          <w:szCs w:val="26"/>
        </w:rPr>
        <w:t>x</w:t>
      </w:r>
    </w:p>
    <w:p w:rsidR="00CD18D3" w:rsidRPr="009E5C55" w:rsidRDefault="00CD18D3" w:rsidP="00CD18D3">
      <w:pPr>
        <w:pStyle w:val="TOC1"/>
        <w:tabs>
          <w:tab w:val="right" w:leader="dot" w:pos="9016"/>
        </w:tabs>
        <w:rPr>
          <w:rFonts w:ascii="Calibri" w:eastAsiaTheme="minorEastAsia" w:hAnsi="Calibri" w:cstheme="minorBidi"/>
          <w:b w:val="0"/>
          <w:noProof/>
          <w:sz w:val="22"/>
          <w:szCs w:val="22"/>
          <w:lang w:eastAsia="en-AU"/>
        </w:rPr>
      </w:pPr>
      <w:r w:rsidRPr="009E5C55">
        <w:rPr>
          <w:rFonts w:ascii="Calibri" w:hAnsi="Calibri"/>
          <w:noProof/>
        </w:rPr>
        <w:t>Chapter 1 – New and continuing matters</w:t>
      </w:r>
    </w:p>
    <w:p w:rsidR="00CD18D3" w:rsidRPr="009E5C55" w:rsidRDefault="00CD18D3" w:rsidP="00CD18D3">
      <w:pPr>
        <w:pStyle w:val="TOC2"/>
        <w:tabs>
          <w:tab w:val="right" w:leader="dot" w:pos="9016"/>
        </w:tabs>
        <w:rPr>
          <w:rFonts w:ascii="Calibri" w:eastAsiaTheme="minorEastAsia" w:hAnsi="Calibri" w:cstheme="minorBidi"/>
          <w:b w:val="0"/>
          <w:noProof/>
          <w:sz w:val="22"/>
          <w:szCs w:val="22"/>
          <w:lang w:eastAsia="en-AU"/>
        </w:rPr>
      </w:pPr>
      <w:r w:rsidRPr="009E5C55">
        <w:rPr>
          <w:rFonts w:ascii="Calibri" w:hAnsi="Calibri"/>
          <w:noProof/>
        </w:rPr>
        <w:t>Response required</w:t>
      </w:r>
    </w:p>
    <w:p w:rsidR="00CD18D3" w:rsidRPr="0091114F" w:rsidRDefault="00CD18D3" w:rsidP="00CD18D3">
      <w:pPr>
        <w:pStyle w:val="TOC3"/>
        <w:tabs>
          <w:tab w:val="right" w:leader="dot" w:pos="9016"/>
        </w:tabs>
        <w:jc w:val="left"/>
        <w:rPr>
          <w:rFonts w:ascii="Calibri" w:hAnsi="Calibri"/>
          <w:noProof/>
        </w:rPr>
      </w:pPr>
      <w:r w:rsidRPr="0091114F">
        <w:rPr>
          <w:rFonts w:ascii="Calibri" w:hAnsi="Calibri"/>
          <w:noProof/>
        </w:rPr>
        <w:t>Airports (Protection of Airsp</w:t>
      </w:r>
      <w:r>
        <w:rPr>
          <w:rFonts w:ascii="Calibri" w:hAnsi="Calibri"/>
          <w:noProof/>
        </w:rPr>
        <w:t>ace) Amendment Regulations 2017</w:t>
      </w:r>
      <w:r>
        <w:rPr>
          <w:rFonts w:ascii="Calibri" w:hAnsi="Calibri"/>
          <w:noProof/>
        </w:rPr>
        <w:br/>
      </w:r>
      <w:r w:rsidRPr="0091114F">
        <w:rPr>
          <w:rFonts w:ascii="Calibri" w:hAnsi="Calibri"/>
          <w:noProof/>
        </w:rPr>
        <w:t>[F2017L00969]</w:t>
      </w:r>
      <w:r w:rsidRPr="0091114F">
        <w:rPr>
          <w:rFonts w:ascii="Calibri" w:hAnsi="Calibri"/>
          <w:noProof/>
        </w:rPr>
        <w:tab/>
        <w:t>1</w:t>
      </w:r>
    </w:p>
    <w:p w:rsidR="00CD18D3" w:rsidRPr="0091114F" w:rsidRDefault="00CD18D3" w:rsidP="00CD18D3">
      <w:pPr>
        <w:pStyle w:val="TOC3"/>
        <w:tabs>
          <w:tab w:val="right" w:leader="dot" w:pos="9016"/>
        </w:tabs>
        <w:jc w:val="left"/>
        <w:rPr>
          <w:rFonts w:ascii="Calibri" w:hAnsi="Calibri"/>
          <w:noProof/>
        </w:rPr>
      </w:pPr>
      <w:r w:rsidRPr="0091114F">
        <w:rPr>
          <w:rFonts w:ascii="Calibri" w:hAnsi="Calibri"/>
          <w:noProof/>
        </w:rPr>
        <w:t>ASIC Corporations (Amendment) Instrument 2017/642 [F2017L00905]</w:t>
      </w:r>
      <w:r w:rsidRPr="0091114F">
        <w:rPr>
          <w:rFonts w:ascii="Calibri" w:hAnsi="Calibri"/>
          <w:noProof/>
        </w:rPr>
        <w:tab/>
        <w:t>3</w:t>
      </w:r>
    </w:p>
    <w:p w:rsidR="00CD18D3" w:rsidRPr="0091114F" w:rsidRDefault="00CD18D3" w:rsidP="00CD18D3">
      <w:pPr>
        <w:pStyle w:val="TOC3"/>
        <w:tabs>
          <w:tab w:val="right" w:leader="dot" w:pos="9016"/>
        </w:tabs>
        <w:jc w:val="left"/>
        <w:rPr>
          <w:rFonts w:ascii="Calibri" w:hAnsi="Calibri"/>
          <w:noProof/>
        </w:rPr>
      </w:pPr>
      <w:r w:rsidRPr="0091114F">
        <w:rPr>
          <w:rFonts w:ascii="Calibri" w:hAnsi="Calibri"/>
          <w:noProof/>
        </w:rPr>
        <w:t>ASIC Credit (Amendment) Instrument 2017/641 [F2017L00904]</w:t>
      </w:r>
      <w:r w:rsidRPr="0091114F">
        <w:rPr>
          <w:rFonts w:ascii="Calibri" w:hAnsi="Calibri"/>
          <w:noProof/>
        </w:rPr>
        <w:tab/>
        <w:t>3</w:t>
      </w:r>
    </w:p>
    <w:p w:rsidR="00CD18D3" w:rsidRPr="0091114F" w:rsidRDefault="00CD18D3" w:rsidP="00CD18D3">
      <w:pPr>
        <w:pStyle w:val="TOC3"/>
        <w:tabs>
          <w:tab w:val="right" w:leader="dot" w:pos="9016"/>
        </w:tabs>
        <w:jc w:val="left"/>
        <w:rPr>
          <w:rFonts w:ascii="Calibri" w:hAnsi="Calibri"/>
          <w:noProof/>
        </w:rPr>
      </w:pPr>
      <w:r w:rsidRPr="0091114F">
        <w:rPr>
          <w:rFonts w:ascii="Calibri" w:hAnsi="Calibri"/>
          <w:noProof/>
        </w:rPr>
        <w:t>CASA EX106/17 - Exemptions and directions - use of portable electronic devices when loading fuel [F2017L00975]</w:t>
      </w:r>
      <w:r w:rsidRPr="0091114F">
        <w:rPr>
          <w:rFonts w:ascii="Calibri" w:hAnsi="Calibri"/>
          <w:noProof/>
        </w:rPr>
        <w:tab/>
        <w:t>5</w:t>
      </w:r>
    </w:p>
    <w:p w:rsidR="00CD18D3" w:rsidRPr="0091114F" w:rsidRDefault="00CD18D3" w:rsidP="00CD18D3">
      <w:pPr>
        <w:pStyle w:val="TOC3"/>
        <w:tabs>
          <w:tab w:val="right" w:leader="dot" w:pos="9016"/>
        </w:tabs>
        <w:jc w:val="left"/>
        <w:rPr>
          <w:rFonts w:ascii="Calibri" w:hAnsi="Calibri"/>
          <w:noProof/>
        </w:rPr>
      </w:pPr>
      <w:r w:rsidRPr="0091114F">
        <w:rPr>
          <w:rFonts w:ascii="Calibri" w:hAnsi="Calibri"/>
          <w:noProof/>
        </w:rPr>
        <w:t>Charter of the United Nations (UN Sanction Enforcement Law) Amendment Declaration 2017 (No. 2) [F2017L00991]</w:t>
      </w:r>
      <w:r w:rsidRPr="0091114F">
        <w:rPr>
          <w:rFonts w:ascii="Calibri" w:hAnsi="Calibri"/>
          <w:noProof/>
        </w:rPr>
        <w:tab/>
        <w:t>7</w:t>
      </w:r>
    </w:p>
    <w:p w:rsidR="00CD18D3" w:rsidRPr="0091114F" w:rsidRDefault="00CD18D3" w:rsidP="00CD18D3">
      <w:pPr>
        <w:pStyle w:val="TOC3"/>
        <w:tabs>
          <w:tab w:val="right" w:leader="dot" w:pos="9016"/>
        </w:tabs>
        <w:jc w:val="left"/>
        <w:rPr>
          <w:rFonts w:ascii="Calibri" w:hAnsi="Calibri"/>
          <w:noProof/>
        </w:rPr>
      </w:pPr>
      <w:r w:rsidRPr="0091114F">
        <w:rPr>
          <w:rFonts w:ascii="Calibri" w:hAnsi="Calibri"/>
          <w:noProof/>
        </w:rPr>
        <w:t xml:space="preserve">Fisheries Management (International </w:t>
      </w:r>
      <w:r>
        <w:rPr>
          <w:rFonts w:ascii="Calibri" w:hAnsi="Calibri"/>
          <w:noProof/>
        </w:rPr>
        <w:t>Agreements) Amendment</w:t>
      </w:r>
      <w:r>
        <w:rPr>
          <w:rFonts w:ascii="Calibri" w:hAnsi="Calibri"/>
          <w:noProof/>
        </w:rPr>
        <w:br/>
        <w:t xml:space="preserve">(2015 and </w:t>
      </w:r>
      <w:r w:rsidRPr="0091114F">
        <w:rPr>
          <w:rFonts w:ascii="Calibri" w:hAnsi="Calibri"/>
          <w:noProof/>
        </w:rPr>
        <w:t>2016 Measures) Regulations 2017 [F2017L00920]</w:t>
      </w:r>
      <w:r w:rsidRPr="0091114F">
        <w:rPr>
          <w:rFonts w:ascii="Calibri" w:hAnsi="Calibri"/>
          <w:noProof/>
        </w:rPr>
        <w:tab/>
        <w:t>8</w:t>
      </w:r>
    </w:p>
    <w:p w:rsidR="00CD18D3" w:rsidRPr="0091114F" w:rsidRDefault="00CD18D3" w:rsidP="00CD18D3">
      <w:pPr>
        <w:pStyle w:val="TOC3"/>
        <w:tabs>
          <w:tab w:val="right" w:leader="dot" w:pos="9016"/>
        </w:tabs>
        <w:jc w:val="left"/>
        <w:rPr>
          <w:rFonts w:ascii="Calibri" w:hAnsi="Calibri"/>
          <w:noProof/>
        </w:rPr>
      </w:pPr>
      <w:r w:rsidRPr="0091114F">
        <w:rPr>
          <w:rFonts w:ascii="Calibri" w:hAnsi="Calibri"/>
          <w:noProof/>
        </w:rPr>
        <w:t>Great Barrier Reef Marine Park Amendment (Whitsundays Plan of Management) Instrument 2017 [F2017L00932]</w:t>
      </w:r>
      <w:r w:rsidRPr="0091114F">
        <w:rPr>
          <w:rFonts w:ascii="Calibri" w:hAnsi="Calibri"/>
          <w:noProof/>
        </w:rPr>
        <w:tab/>
        <w:t>10</w:t>
      </w:r>
    </w:p>
    <w:p w:rsidR="00CD18D3" w:rsidRPr="0091114F" w:rsidRDefault="00CD18D3" w:rsidP="00CD18D3">
      <w:pPr>
        <w:pStyle w:val="TOC3"/>
        <w:tabs>
          <w:tab w:val="right" w:leader="dot" w:pos="9016"/>
        </w:tabs>
        <w:jc w:val="left"/>
        <w:rPr>
          <w:rFonts w:ascii="Calibri" w:hAnsi="Calibri"/>
          <w:noProof/>
        </w:rPr>
      </w:pPr>
      <w:r w:rsidRPr="0091114F">
        <w:rPr>
          <w:rFonts w:ascii="Calibri" w:hAnsi="Calibri"/>
          <w:noProof/>
        </w:rPr>
        <w:t>Norfolk Island Continued Laws Amendment (Director of Public Prosecutions) Ordinance 2017 [F2017L00986]</w:t>
      </w:r>
      <w:r w:rsidRPr="0091114F">
        <w:rPr>
          <w:rFonts w:ascii="Calibri" w:hAnsi="Calibri"/>
          <w:noProof/>
        </w:rPr>
        <w:tab/>
        <w:t>12</w:t>
      </w:r>
    </w:p>
    <w:p w:rsidR="00CD18D3" w:rsidRPr="009E5C55" w:rsidRDefault="00CD18D3" w:rsidP="00CD18D3">
      <w:pPr>
        <w:pStyle w:val="TOC3"/>
        <w:tabs>
          <w:tab w:val="right" w:leader="dot" w:pos="9016"/>
        </w:tabs>
        <w:jc w:val="left"/>
        <w:rPr>
          <w:rFonts w:ascii="Calibri" w:eastAsiaTheme="minorEastAsia" w:hAnsi="Calibri" w:cstheme="minorBidi"/>
          <w:noProof/>
          <w:sz w:val="22"/>
          <w:szCs w:val="22"/>
          <w:lang w:eastAsia="en-AU"/>
        </w:rPr>
      </w:pPr>
      <w:r w:rsidRPr="0091114F">
        <w:rPr>
          <w:rFonts w:ascii="Calibri" w:hAnsi="Calibri"/>
          <w:noProof/>
        </w:rPr>
        <w:t>Private Health Insurance (Benefit Req</w:t>
      </w:r>
      <w:r>
        <w:rPr>
          <w:rFonts w:ascii="Calibri" w:hAnsi="Calibri"/>
          <w:noProof/>
        </w:rPr>
        <w:t>uirements) Amendment Rules 2017</w:t>
      </w:r>
      <w:r>
        <w:rPr>
          <w:rFonts w:ascii="Calibri" w:hAnsi="Calibri"/>
          <w:noProof/>
        </w:rPr>
        <w:br/>
      </w:r>
      <w:r w:rsidRPr="0091114F">
        <w:rPr>
          <w:rFonts w:ascii="Calibri" w:hAnsi="Calibri"/>
          <w:noProof/>
        </w:rPr>
        <w:t>(No. 6) [F2017L00894]</w:t>
      </w:r>
      <w:r w:rsidRPr="0091114F">
        <w:rPr>
          <w:rFonts w:ascii="Calibri" w:hAnsi="Calibri"/>
          <w:noProof/>
        </w:rPr>
        <w:tab/>
        <w:t>13</w:t>
      </w:r>
    </w:p>
    <w:p w:rsidR="00CD18D3" w:rsidRPr="009E5C55" w:rsidRDefault="00CD18D3" w:rsidP="00CD18D3">
      <w:pPr>
        <w:pStyle w:val="TOC2"/>
        <w:tabs>
          <w:tab w:val="right" w:leader="dot" w:pos="9016"/>
        </w:tabs>
        <w:rPr>
          <w:rFonts w:ascii="Calibri" w:eastAsiaTheme="minorEastAsia" w:hAnsi="Calibri" w:cstheme="minorBidi"/>
          <w:b w:val="0"/>
          <w:noProof/>
          <w:sz w:val="22"/>
          <w:szCs w:val="22"/>
          <w:lang w:eastAsia="en-AU"/>
        </w:rPr>
      </w:pPr>
      <w:r w:rsidRPr="009E5C55">
        <w:rPr>
          <w:rFonts w:ascii="Calibri" w:hAnsi="Calibri"/>
          <w:noProof/>
        </w:rPr>
        <w:t>Further response required</w:t>
      </w:r>
    </w:p>
    <w:p w:rsidR="00CD18D3" w:rsidRPr="009E5C55" w:rsidRDefault="00CD18D3" w:rsidP="00CD18D3">
      <w:pPr>
        <w:pStyle w:val="TOC3"/>
        <w:tabs>
          <w:tab w:val="right" w:leader="dot" w:pos="9016"/>
        </w:tabs>
        <w:rPr>
          <w:rFonts w:ascii="Calibri" w:eastAsiaTheme="minorEastAsia" w:hAnsi="Calibri" w:cstheme="minorBidi"/>
          <w:noProof/>
          <w:sz w:val="22"/>
          <w:szCs w:val="22"/>
          <w:lang w:eastAsia="en-AU"/>
        </w:rPr>
      </w:pPr>
      <w:r w:rsidRPr="0091114F">
        <w:rPr>
          <w:rFonts w:ascii="Calibri" w:hAnsi="Calibri"/>
          <w:noProof/>
        </w:rPr>
        <w:t>Inspector of Transport Security Regulations 2017 [F2017L00510]</w:t>
      </w:r>
      <w:r w:rsidRPr="0091114F">
        <w:rPr>
          <w:rFonts w:ascii="Calibri" w:hAnsi="Calibri"/>
          <w:noProof/>
        </w:rPr>
        <w:tab/>
        <w:t>15</w:t>
      </w:r>
    </w:p>
    <w:p w:rsidR="00CD18D3" w:rsidRPr="009E5C55" w:rsidRDefault="00CD18D3" w:rsidP="00CD18D3">
      <w:pPr>
        <w:pStyle w:val="TOC2"/>
        <w:tabs>
          <w:tab w:val="right" w:leader="dot" w:pos="9016"/>
        </w:tabs>
        <w:rPr>
          <w:rFonts w:ascii="Calibri" w:eastAsiaTheme="minorEastAsia" w:hAnsi="Calibri" w:cstheme="minorBidi"/>
          <w:b w:val="0"/>
          <w:noProof/>
          <w:sz w:val="22"/>
          <w:szCs w:val="22"/>
          <w:lang w:eastAsia="en-AU"/>
        </w:rPr>
      </w:pPr>
      <w:r w:rsidRPr="009E5C55">
        <w:rPr>
          <w:rFonts w:ascii="Calibri" w:hAnsi="Calibri"/>
          <w:noProof/>
        </w:rPr>
        <w:t>Advice only</w:t>
      </w:r>
    </w:p>
    <w:p w:rsidR="00CD18D3" w:rsidRPr="0091114F" w:rsidRDefault="00CD18D3" w:rsidP="00CD18D3">
      <w:pPr>
        <w:pStyle w:val="TOC3"/>
        <w:tabs>
          <w:tab w:val="right" w:leader="dot" w:pos="9016"/>
        </w:tabs>
        <w:jc w:val="left"/>
        <w:rPr>
          <w:rFonts w:ascii="Calibri" w:hAnsi="Calibri"/>
          <w:noProof/>
        </w:rPr>
      </w:pPr>
      <w:r w:rsidRPr="0091114F">
        <w:rPr>
          <w:rFonts w:ascii="Calibri" w:hAnsi="Calibri"/>
          <w:noProof/>
        </w:rPr>
        <w:t>AD/CFM56/15 Amdt 2 Fuel Filter Cover Attachment Inspecti</w:t>
      </w:r>
      <w:r>
        <w:rPr>
          <w:rFonts w:ascii="Calibri" w:hAnsi="Calibri"/>
          <w:noProof/>
        </w:rPr>
        <w:t>on</w:t>
      </w:r>
      <w:r>
        <w:rPr>
          <w:rFonts w:ascii="Calibri" w:hAnsi="Calibri"/>
          <w:noProof/>
        </w:rPr>
        <w:br/>
      </w:r>
      <w:r w:rsidRPr="0091114F">
        <w:rPr>
          <w:rFonts w:ascii="Calibri" w:hAnsi="Calibri"/>
          <w:noProof/>
        </w:rPr>
        <w:t>[F2017L00910]</w:t>
      </w:r>
      <w:r w:rsidRPr="0091114F">
        <w:rPr>
          <w:rFonts w:ascii="Calibri" w:hAnsi="Calibri"/>
          <w:noProof/>
        </w:rPr>
        <w:tab/>
        <w:t>19</w:t>
      </w:r>
    </w:p>
    <w:p w:rsidR="00CD18D3" w:rsidRPr="0091114F" w:rsidRDefault="00CD18D3" w:rsidP="00CD18D3">
      <w:pPr>
        <w:pStyle w:val="TOC3"/>
        <w:tabs>
          <w:tab w:val="right" w:leader="dot" w:pos="9016"/>
        </w:tabs>
        <w:jc w:val="left"/>
        <w:rPr>
          <w:rFonts w:ascii="Calibri" w:hAnsi="Calibri"/>
          <w:noProof/>
        </w:rPr>
      </w:pPr>
      <w:r w:rsidRPr="0091114F">
        <w:rPr>
          <w:rFonts w:ascii="Calibri" w:hAnsi="Calibri"/>
          <w:noProof/>
        </w:rPr>
        <w:t>Authorised Deposit-taking Institutions Supervisory Levy Imposition Determination 2017 [F2017L00906]</w:t>
      </w:r>
      <w:r w:rsidRPr="0091114F">
        <w:rPr>
          <w:rFonts w:ascii="Calibri" w:hAnsi="Calibri"/>
          <w:noProof/>
        </w:rPr>
        <w:tab/>
        <w:t>21</w:t>
      </w:r>
    </w:p>
    <w:p w:rsidR="00CD18D3" w:rsidRPr="0091114F" w:rsidRDefault="00CD18D3" w:rsidP="00CD18D3">
      <w:pPr>
        <w:pStyle w:val="TOC3"/>
        <w:tabs>
          <w:tab w:val="right" w:leader="dot" w:pos="9016"/>
        </w:tabs>
        <w:jc w:val="left"/>
        <w:rPr>
          <w:rFonts w:ascii="Calibri" w:hAnsi="Calibri"/>
          <w:noProof/>
        </w:rPr>
      </w:pPr>
      <w:r w:rsidRPr="0091114F">
        <w:rPr>
          <w:rFonts w:ascii="Calibri" w:hAnsi="Calibri"/>
          <w:noProof/>
        </w:rPr>
        <w:t>Authorised Non-operating Holding Companies Supervisory Levy Imposition Determination 2017 [F2017L00908]</w:t>
      </w:r>
      <w:r w:rsidRPr="0091114F">
        <w:rPr>
          <w:rFonts w:ascii="Calibri" w:hAnsi="Calibri"/>
          <w:noProof/>
        </w:rPr>
        <w:tab/>
        <w:t>21</w:t>
      </w:r>
    </w:p>
    <w:p w:rsidR="00CD18D3" w:rsidRPr="0091114F" w:rsidRDefault="00CD18D3" w:rsidP="00CD18D3">
      <w:pPr>
        <w:pStyle w:val="TOC3"/>
        <w:tabs>
          <w:tab w:val="right" w:leader="dot" w:pos="9016"/>
        </w:tabs>
        <w:jc w:val="left"/>
        <w:rPr>
          <w:rFonts w:ascii="Calibri" w:hAnsi="Calibri"/>
          <w:noProof/>
        </w:rPr>
      </w:pPr>
      <w:r w:rsidRPr="0091114F">
        <w:rPr>
          <w:rFonts w:ascii="Calibri" w:hAnsi="Calibri"/>
          <w:noProof/>
        </w:rPr>
        <w:t>General Insurance Supervisory Levy Imposition Determination 2017 [F2017L00911]</w:t>
      </w:r>
      <w:r w:rsidRPr="0091114F">
        <w:rPr>
          <w:rFonts w:ascii="Calibri" w:hAnsi="Calibri"/>
          <w:noProof/>
        </w:rPr>
        <w:tab/>
        <w:t>21</w:t>
      </w:r>
    </w:p>
    <w:p w:rsidR="00CD18D3" w:rsidRPr="0091114F" w:rsidRDefault="00CD18D3" w:rsidP="00CD18D3">
      <w:pPr>
        <w:pStyle w:val="TOC3"/>
        <w:tabs>
          <w:tab w:val="right" w:leader="dot" w:pos="9016"/>
        </w:tabs>
        <w:jc w:val="left"/>
        <w:rPr>
          <w:rFonts w:ascii="Calibri" w:hAnsi="Calibri"/>
          <w:noProof/>
        </w:rPr>
      </w:pPr>
      <w:r w:rsidRPr="0091114F">
        <w:rPr>
          <w:rFonts w:ascii="Calibri" w:hAnsi="Calibri"/>
          <w:noProof/>
        </w:rPr>
        <w:lastRenderedPageBreak/>
        <w:t>Life Insurance Supervisory Lev</w:t>
      </w:r>
      <w:r>
        <w:rPr>
          <w:rFonts w:ascii="Calibri" w:hAnsi="Calibri"/>
          <w:noProof/>
        </w:rPr>
        <w:t>y Imposition Determination 2017</w:t>
      </w:r>
      <w:r>
        <w:rPr>
          <w:rFonts w:ascii="Calibri" w:hAnsi="Calibri"/>
          <w:noProof/>
        </w:rPr>
        <w:br/>
      </w:r>
      <w:r w:rsidRPr="0091114F">
        <w:rPr>
          <w:rFonts w:ascii="Calibri" w:hAnsi="Calibri"/>
          <w:noProof/>
        </w:rPr>
        <w:t>[F2017L00912]</w:t>
      </w:r>
      <w:r w:rsidRPr="0091114F">
        <w:rPr>
          <w:rFonts w:ascii="Calibri" w:hAnsi="Calibri"/>
          <w:noProof/>
        </w:rPr>
        <w:tab/>
        <w:t>21</w:t>
      </w:r>
    </w:p>
    <w:p w:rsidR="00CD18D3" w:rsidRPr="0091114F" w:rsidRDefault="00CD18D3" w:rsidP="00CD18D3">
      <w:pPr>
        <w:pStyle w:val="TOC3"/>
        <w:tabs>
          <w:tab w:val="right" w:leader="dot" w:pos="9016"/>
        </w:tabs>
        <w:jc w:val="left"/>
        <w:rPr>
          <w:rFonts w:ascii="Calibri" w:hAnsi="Calibri"/>
          <w:noProof/>
        </w:rPr>
      </w:pPr>
      <w:r w:rsidRPr="0091114F">
        <w:rPr>
          <w:rFonts w:ascii="Calibri" w:hAnsi="Calibri"/>
          <w:noProof/>
        </w:rPr>
        <w:t>Superannuation Supervisory Levy Imposition Determination 2017 [F2017L00914]</w:t>
      </w:r>
      <w:r w:rsidRPr="0091114F">
        <w:rPr>
          <w:rFonts w:ascii="Calibri" w:hAnsi="Calibri"/>
          <w:noProof/>
        </w:rPr>
        <w:tab/>
        <w:t>21</w:t>
      </w:r>
    </w:p>
    <w:p w:rsidR="00CD18D3" w:rsidRPr="0091114F" w:rsidRDefault="00CD18D3" w:rsidP="00CD18D3">
      <w:pPr>
        <w:pStyle w:val="TOC3"/>
        <w:tabs>
          <w:tab w:val="right" w:leader="dot" w:pos="9016"/>
        </w:tabs>
        <w:jc w:val="left"/>
        <w:rPr>
          <w:rFonts w:ascii="Calibri" w:hAnsi="Calibri"/>
          <w:noProof/>
        </w:rPr>
      </w:pPr>
      <w:r w:rsidRPr="0091114F">
        <w:rPr>
          <w:rFonts w:ascii="Calibri" w:hAnsi="Calibri"/>
          <w:noProof/>
        </w:rPr>
        <w:t>Legislation (ACT Self-Government Instrumen</w:t>
      </w:r>
      <w:r>
        <w:rPr>
          <w:rFonts w:ascii="Calibri" w:hAnsi="Calibri"/>
          <w:noProof/>
        </w:rPr>
        <w:t>ts) Sunset-altering</w:t>
      </w:r>
      <w:r>
        <w:rPr>
          <w:rFonts w:ascii="Calibri" w:hAnsi="Calibri"/>
          <w:noProof/>
        </w:rPr>
        <w:br/>
      </w:r>
      <w:r w:rsidRPr="0091114F">
        <w:rPr>
          <w:rFonts w:ascii="Calibri" w:hAnsi="Calibri"/>
          <w:noProof/>
        </w:rPr>
        <w:t>Declaration 2017 [F2017L00942]</w:t>
      </w:r>
      <w:r w:rsidRPr="0091114F">
        <w:rPr>
          <w:rFonts w:ascii="Calibri" w:hAnsi="Calibri"/>
          <w:noProof/>
        </w:rPr>
        <w:tab/>
        <w:t>22</w:t>
      </w:r>
    </w:p>
    <w:p w:rsidR="00CD18D3" w:rsidRPr="0091114F" w:rsidRDefault="00CD18D3" w:rsidP="00CD18D3">
      <w:pPr>
        <w:pStyle w:val="TOC3"/>
        <w:tabs>
          <w:tab w:val="right" w:leader="dot" w:pos="9016"/>
        </w:tabs>
        <w:jc w:val="left"/>
        <w:rPr>
          <w:rFonts w:ascii="Calibri" w:hAnsi="Calibri"/>
          <w:noProof/>
        </w:rPr>
      </w:pPr>
      <w:r w:rsidRPr="0091114F">
        <w:rPr>
          <w:rFonts w:ascii="Calibri" w:hAnsi="Calibri"/>
          <w:noProof/>
        </w:rPr>
        <w:t>National Health (IVF Program</w:t>
      </w:r>
      <w:r>
        <w:rPr>
          <w:rFonts w:ascii="Calibri" w:hAnsi="Calibri"/>
          <w:noProof/>
        </w:rPr>
        <w:t>) Special Arrangement Amendment</w:t>
      </w:r>
      <w:r>
        <w:rPr>
          <w:rFonts w:ascii="Calibri" w:hAnsi="Calibri"/>
          <w:noProof/>
        </w:rPr>
        <w:br/>
      </w:r>
      <w:r w:rsidRPr="0091114F">
        <w:rPr>
          <w:rFonts w:ascii="Calibri" w:hAnsi="Calibri"/>
          <w:noProof/>
        </w:rPr>
        <w:t>Instrument 2017 (No. 1) [F2017L00957]</w:t>
      </w:r>
      <w:r w:rsidRPr="0091114F">
        <w:rPr>
          <w:rFonts w:ascii="Calibri" w:hAnsi="Calibri"/>
          <w:noProof/>
        </w:rPr>
        <w:tab/>
        <w:t>23</w:t>
      </w:r>
    </w:p>
    <w:p w:rsidR="00CD18D3" w:rsidRPr="0091114F" w:rsidRDefault="00CD18D3" w:rsidP="00CD18D3">
      <w:pPr>
        <w:pStyle w:val="TOC3"/>
        <w:tabs>
          <w:tab w:val="right" w:leader="dot" w:pos="9016"/>
        </w:tabs>
        <w:jc w:val="left"/>
        <w:rPr>
          <w:rFonts w:ascii="Calibri" w:hAnsi="Calibri"/>
          <w:noProof/>
        </w:rPr>
      </w:pPr>
      <w:r w:rsidRPr="0091114F">
        <w:rPr>
          <w:rFonts w:ascii="Calibri" w:hAnsi="Calibri"/>
          <w:noProof/>
        </w:rPr>
        <w:t>Ozone Protection and Synthetic Greenhouse Gas Management Legislation Amendment (2017 Measures No. 1) Regulations 2017 [F2017L00964]</w:t>
      </w:r>
      <w:r w:rsidRPr="0091114F">
        <w:rPr>
          <w:rFonts w:ascii="Calibri" w:hAnsi="Calibri"/>
          <w:noProof/>
        </w:rPr>
        <w:tab/>
        <w:t>25</w:t>
      </w:r>
    </w:p>
    <w:p w:rsidR="00CD18D3" w:rsidRPr="0091114F" w:rsidRDefault="00CD18D3" w:rsidP="00CD18D3">
      <w:pPr>
        <w:pStyle w:val="TOC3"/>
        <w:tabs>
          <w:tab w:val="right" w:leader="dot" w:pos="9016"/>
        </w:tabs>
        <w:jc w:val="left"/>
        <w:rPr>
          <w:rFonts w:ascii="Calibri" w:hAnsi="Calibri"/>
          <w:noProof/>
        </w:rPr>
      </w:pPr>
      <w:r w:rsidRPr="0091114F">
        <w:rPr>
          <w:rFonts w:ascii="Calibri" w:hAnsi="Calibri"/>
          <w:noProof/>
        </w:rPr>
        <w:t>Taxation Administration (Remedial Power—Foreign Resident Capital Gains Withholding) Determination 2017 [F2017L00992]</w:t>
      </w:r>
      <w:r w:rsidRPr="0091114F">
        <w:rPr>
          <w:rFonts w:ascii="Calibri" w:hAnsi="Calibri"/>
          <w:noProof/>
        </w:rPr>
        <w:tab/>
        <w:t>28</w:t>
      </w:r>
    </w:p>
    <w:p w:rsidR="00CD18D3" w:rsidRPr="0091114F" w:rsidRDefault="00CD18D3" w:rsidP="00CD18D3">
      <w:pPr>
        <w:pStyle w:val="TOC3"/>
        <w:tabs>
          <w:tab w:val="right" w:leader="dot" w:pos="9016"/>
        </w:tabs>
        <w:jc w:val="left"/>
        <w:rPr>
          <w:rFonts w:ascii="Calibri" w:hAnsi="Calibri"/>
          <w:noProof/>
        </w:rPr>
      </w:pPr>
      <w:r w:rsidRPr="0091114F">
        <w:rPr>
          <w:rFonts w:ascii="Calibri" w:hAnsi="Calibri"/>
          <w:noProof/>
        </w:rPr>
        <w:t>Therapeutic Goods Information (Sharing information about in-house in vitro diagnostic medical devices) Specification 2017 [F2017L00965]</w:t>
      </w:r>
      <w:r w:rsidRPr="0091114F">
        <w:rPr>
          <w:rFonts w:ascii="Calibri" w:hAnsi="Calibri"/>
          <w:noProof/>
        </w:rPr>
        <w:tab/>
        <w:t>31</w:t>
      </w:r>
    </w:p>
    <w:p w:rsidR="00CD18D3" w:rsidRPr="009E5C55" w:rsidRDefault="00CD18D3" w:rsidP="00CD18D3">
      <w:pPr>
        <w:pStyle w:val="TOC3"/>
        <w:tabs>
          <w:tab w:val="right" w:leader="dot" w:pos="9016"/>
        </w:tabs>
        <w:jc w:val="left"/>
        <w:rPr>
          <w:rFonts w:ascii="Calibri" w:eastAsiaTheme="minorEastAsia" w:hAnsi="Calibri" w:cstheme="minorBidi"/>
          <w:noProof/>
          <w:sz w:val="22"/>
          <w:szCs w:val="22"/>
          <w:lang w:eastAsia="en-AU"/>
        </w:rPr>
      </w:pPr>
      <w:r w:rsidRPr="0091114F">
        <w:rPr>
          <w:rFonts w:ascii="Calibri" w:hAnsi="Calibri"/>
          <w:noProof/>
        </w:rPr>
        <w:t>Therapeutic Goods (Permissible Ingredients) Determination No. 3 of 2017 [F2017L00926]</w:t>
      </w:r>
      <w:r w:rsidRPr="0091114F">
        <w:rPr>
          <w:rFonts w:ascii="Calibri" w:hAnsi="Calibri"/>
          <w:noProof/>
        </w:rPr>
        <w:tab/>
        <w:t>33</w:t>
      </w:r>
    </w:p>
    <w:p w:rsidR="00CD18D3" w:rsidRPr="0091114F" w:rsidRDefault="00CD18D3" w:rsidP="00CD18D3">
      <w:pPr>
        <w:pStyle w:val="TOC3"/>
        <w:tabs>
          <w:tab w:val="right" w:leader="dot" w:pos="9016"/>
        </w:tabs>
        <w:jc w:val="left"/>
        <w:rPr>
          <w:rFonts w:asciiTheme="minorHAnsi" w:hAnsiTheme="minorHAnsi"/>
          <w:noProof/>
        </w:rPr>
      </w:pPr>
      <w:r w:rsidRPr="0091114F">
        <w:rPr>
          <w:rFonts w:asciiTheme="minorHAnsi" w:hAnsiTheme="minorHAnsi"/>
          <w:noProof/>
        </w:rPr>
        <w:t xml:space="preserve">Multiple instruments that appear to rely on section 10 of the </w:t>
      </w:r>
      <w:r w:rsidRPr="0091114F">
        <w:rPr>
          <w:rFonts w:asciiTheme="minorHAnsi" w:hAnsiTheme="minorHAnsi"/>
          <w:i/>
          <w:noProof/>
        </w:rPr>
        <w:t>Acts Interpretation Act 1901</w:t>
      </w:r>
      <w:r w:rsidRPr="0091114F">
        <w:rPr>
          <w:rFonts w:asciiTheme="minorHAnsi" w:hAnsiTheme="minorHAnsi"/>
          <w:noProof/>
        </w:rPr>
        <w:t xml:space="preserve"> (as applied by paragraph 13(1)(a) of the </w:t>
      </w:r>
      <w:r w:rsidRPr="0091114F">
        <w:rPr>
          <w:rFonts w:asciiTheme="minorHAnsi" w:hAnsiTheme="minorHAnsi"/>
          <w:i/>
          <w:noProof/>
        </w:rPr>
        <w:t>Legislation Act 2003</w:t>
      </w:r>
      <w:r w:rsidRPr="0091114F">
        <w:rPr>
          <w:rFonts w:asciiTheme="minorHAnsi" w:hAnsiTheme="minorHAnsi"/>
          <w:noProof/>
        </w:rPr>
        <w:t>)</w:t>
      </w:r>
      <w:r w:rsidRPr="0091114F">
        <w:rPr>
          <w:rFonts w:asciiTheme="minorHAnsi" w:hAnsiTheme="minorHAnsi"/>
          <w:noProof/>
        </w:rPr>
        <w:tab/>
        <w:t>35</w:t>
      </w:r>
    </w:p>
    <w:p w:rsidR="00CD18D3" w:rsidRPr="0091114F" w:rsidRDefault="00CD18D3" w:rsidP="00CD18D3">
      <w:pPr>
        <w:pStyle w:val="TOC3"/>
        <w:tabs>
          <w:tab w:val="right" w:leader="dot" w:pos="9016"/>
        </w:tabs>
        <w:jc w:val="left"/>
        <w:rPr>
          <w:rFonts w:asciiTheme="minorHAnsi" w:eastAsiaTheme="minorEastAsia" w:hAnsiTheme="minorHAnsi" w:cstheme="minorBidi"/>
          <w:noProof/>
          <w:sz w:val="22"/>
          <w:szCs w:val="22"/>
          <w:lang w:eastAsia="en-AU"/>
        </w:rPr>
      </w:pPr>
      <w:r w:rsidRPr="0091114F">
        <w:rPr>
          <w:rFonts w:asciiTheme="minorHAnsi" w:hAnsiTheme="minorHAnsi"/>
          <w:noProof/>
        </w:rPr>
        <w:t xml:space="preserve">Multiple instruments that appear to rely on subsection 33(3) of the </w:t>
      </w:r>
      <w:r w:rsidRPr="0091114F">
        <w:rPr>
          <w:rFonts w:asciiTheme="minorHAnsi" w:hAnsiTheme="minorHAnsi"/>
          <w:i/>
          <w:noProof/>
        </w:rPr>
        <w:t>Acts Interpretation Act 1901</w:t>
      </w:r>
      <w:r w:rsidRPr="0091114F">
        <w:rPr>
          <w:rFonts w:asciiTheme="minorHAnsi" w:hAnsiTheme="minorHAnsi"/>
          <w:noProof/>
        </w:rPr>
        <w:tab/>
        <w:t>37</w:t>
      </w:r>
    </w:p>
    <w:p w:rsidR="00CD18D3" w:rsidRPr="009E5C55" w:rsidRDefault="00CD18D3" w:rsidP="00CD18D3">
      <w:pPr>
        <w:pStyle w:val="TOC1"/>
        <w:tabs>
          <w:tab w:val="right" w:leader="dot" w:pos="9016"/>
        </w:tabs>
        <w:rPr>
          <w:rFonts w:ascii="Calibri" w:hAnsi="Calibri"/>
          <w:b w:val="0"/>
          <w:noProof/>
          <w:sz w:val="26"/>
          <w:szCs w:val="26"/>
        </w:rPr>
      </w:pPr>
      <w:r w:rsidRPr="009E5C55">
        <w:rPr>
          <w:rFonts w:ascii="Calibri" w:hAnsi="Calibri"/>
          <w:noProof/>
        </w:rPr>
        <w:t>Chapter 2 – Concluded matters</w:t>
      </w:r>
    </w:p>
    <w:p w:rsidR="00CD18D3" w:rsidRPr="0091114F" w:rsidRDefault="00CD18D3" w:rsidP="00CD18D3">
      <w:pPr>
        <w:pStyle w:val="TOC3"/>
        <w:tabs>
          <w:tab w:val="right" w:leader="dot" w:pos="9016"/>
        </w:tabs>
        <w:jc w:val="left"/>
        <w:rPr>
          <w:rFonts w:ascii="Calibri" w:hAnsi="Calibri"/>
          <w:noProof/>
        </w:rPr>
      </w:pPr>
      <w:r w:rsidRPr="0091114F">
        <w:rPr>
          <w:rFonts w:ascii="Calibri" w:hAnsi="Calibri"/>
          <w:noProof/>
        </w:rPr>
        <w:t>Australian Radiation Protecti</w:t>
      </w:r>
      <w:r>
        <w:rPr>
          <w:rFonts w:ascii="Calibri" w:hAnsi="Calibri"/>
          <w:noProof/>
        </w:rPr>
        <w:t>on and Nuclear Safety Amendment</w:t>
      </w:r>
      <w:r>
        <w:rPr>
          <w:rFonts w:ascii="Calibri" w:hAnsi="Calibri"/>
          <w:noProof/>
        </w:rPr>
        <w:br/>
      </w:r>
      <w:r w:rsidRPr="0091114F">
        <w:rPr>
          <w:rFonts w:ascii="Calibri" w:hAnsi="Calibri"/>
          <w:noProof/>
        </w:rPr>
        <w:t>(2017 Measures No. 1) Regulations 2017 [F2017L00781]</w:t>
      </w:r>
      <w:r w:rsidRPr="0091114F">
        <w:rPr>
          <w:rFonts w:ascii="Calibri" w:hAnsi="Calibri"/>
          <w:noProof/>
        </w:rPr>
        <w:tab/>
        <w:t>39</w:t>
      </w:r>
    </w:p>
    <w:p w:rsidR="00CD18D3" w:rsidRPr="0091114F" w:rsidRDefault="00CD18D3" w:rsidP="00CD18D3">
      <w:pPr>
        <w:pStyle w:val="TOC3"/>
        <w:tabs>
          <w:tab w:val="right" w:leader="dot" w:pos="9016"/>
        </w:tabs>
        <w:jc w:val="left"/>
        <w:rPr>
          <w:rFonts w:ascii="Calibri" w:hAnsi="Calibri"/>
          <w:noProof/>
        </w:rPr>
      </w:pPr>
      <w:r w:rsidRPr="0091114F">
        <w:rPr>
          <w:rFonts w:ascii="Calibri" w:hAnsi="Calibri"/>
          <w:noProof/>
        </w:rPr>
        <w:t>Australian Radiation Protection and Nuclear Safety (Licence Charges) Amendment (2017 Measures No. 1) Regulations 2017 [F2017L00808]</w:t>
      </w:r>
      <w:r w:rsidRPr="0091114F">
        <w:rPr>
          <w:rFonts w:ascii="Calibri" w:hAnsi="Calibri"/>
          <w:noProof/>
        </w:rPr>
        <w:tab/>
        <w:t>42</w:t>
      </w:r>
    </w:p>
    <w:p w:rsidR="00CD18D3" w:rsidRPr="0091114F" w:rsidRDefault="00CD18D3" w:rsidP="00CD18D3">
      <w:pPr>
        <w:pStyle w:val="TOC3"/>
        <w:tabs>
          <w:tab w:val="right" w:leader="dot" w:pos="9016"/>
        </w:tabs>
        <w:jc w:val="left"/>
        <w:rPr>
          <w:rFonts w:ascii="Calibri" w:hAnsi="Calibri"/>
          <w:noProof/>
        </w:rPr>
      </w:pPr>
      <w:r w:rsidRPr="0091114F">
        <w:rPr>
          <w:rFonts w:ascii="Calibri" w:hAnsi="Calibri"/>
          <w:noProof/>
        </w:rPr>
        <w:t>Banking (prudential standard) determination No. 2 of 2017 - Prudential Standard APS 001 – Definitions [F2017L00661]</w:t>
      </w:r>
      <w:r w:rsidRPr="0091114F">
        <w:rPr>
          <w:rFonts w:ascii="Calibri" w:hAnsi="Calibri"/>
          <w:noProof/>
        </w:rPr>
        <w:tab/>
        <w:t>45</w:t>
      </w:r>
    </w:p>
    <w:p w:rsidR="00CD18D3" w:rsidRPr="0091114F" w:rsidRDefault="00CD18D3" w:rsidP="00CD18D3">
      <w:pPr>
        <w:pStyle w:val="TOC3"/>
        <w:tabs>
          <w:tab w:val="right" w:leader="dot" w:pos="9016"/>
        </w:tabs>
        <w:jc w:val="left"/>
        <w:rPr>
          <w:rFonts w:ascii="Calibri" w:hAnsi="Calibri"/>
          <w:noProof/>
        </w:rPr>
      </w:pPr>
      <w:r w:rsidRPr="0091114F">
        <w:rPr>
          <w:rFonts w:ascii="Calibri" w:hAnsi="Calibri"/>
          <w:noProof/>
        </w:rPr>
        <w:t>Building and Construction Industry (Improving Productivity) (Federal Safety Officers) General Directions 2017 [F2017L00655]</w:t>
      </w:r>
      <w:r w:rsidRPr="0091114F">
        <w:rPr>
          <w:rFonts w:ascii="Calibri" w:hAnsi="Calibri"/>
          <w:noProof/>
        </w:rPr>
        <w:tab/>
        <w:t>47</w:t>
      </w:r>
    </w:p>
    <w:p w:rsidR="00CD18D3" w:rsidRPr="0091114F" w:rsidRDefault="00CD18D3" w:rsidP="00CD18D3">
      <w:pPr>
        <w:pStyle w:val="TOC3"/>
        <w:tabs>
          <w:tab w:val="right" w:leader="dot" w:pos="9016"/>
        </w:tabs>
        <w:jc w:val="left"/>
        <w:rPr>
          <w:rFonts w:ascii="Calibri" w:hAnsi="Calibri"/>
          <w:noProof/>
        </w:rPr>
      </w:pPr>
      <w:r w:rsidRPr="0091114F">
        <w:rPr>
          <w:rFonts w:ascii="Calibri" w:hAnsi="Calibri"/>
          <w:noProof/>
        </w:rPr>
        <w:t>Civil Aviation Order 95.10 Instrument 2017 [F2017L00480]</w:t>
      </w:r>
      <w:r w:rsidRPr="0091114F">
        <w:rPr>
          <w:rFonts w:ascii="Calibri" w:hAnsi="Calibri"/>
          <w:noProof/>
        </w:rPr>
        <w:tab/>
        <w:t>50</w:t>
      </w:r>
    </w:p>
    <w:p w:rsidR="00CD18D3" w:rsidRPr="0091114F" w:rsidRDefault="00CD18D3" w:rsidP="00CD18D3">
      <w:pPr>
        <w:pStyle w:val="TOC3"/>
        <w:tabs>
          <w:tab w:val="right" w:leader="dot" w:pos="9016"/>
        </w:tabs>
        <w:jc w:val="left"/>
        <w:rPr>
          <w:rFonts w:ascii="Calibri" w:hAnsi="Calibri"/>
          <w:noProof/>
        </w:rPr>
      </w:pPr>
      <w:r w:rsidRPr="0091114F">
        <w:rPr>
          <w:rFonts w:ascii="Calibri" w:hAnsi="Calibri"/>
          <w:noProof/>
        </w:rPr>
        <w:t>Competition and Consumer (Industry Code—Sugar) Regulations 2017 [F2017L00387]</w:t>
      </w:r>
      <w:r w:rsidRPr="0091114F">
        <w:rPr>
          <w:rFonts w:ascii="Calibri" w:hAnsi="Calibri"/>
          <w:noProof/>
        </w:rPr>
        <w:tab/>
        <w:t>53</w:t>
      </w:r>
    </w:p>
    <w:p w:rsidR="00CD18D3" w:rsidRPr="0091114F" w:rsidRDefault="00CD18D3" w:rsidP="00CD18D3">
      <w:pPr>
        <w:pStyle w:val="TOC3"/>
        <w:tabs>
          <w:tab w:val="right" w:leader="dot" w:pos="9016"/>
        </w:tabs>
        <w:jc w:val="left"/>
        <w:rPr>
          <w:rFonts w:ascii="Calibri" w:hAnsi="Calibri"/>
          <w:noProof/>
        </w:rPr>
      </w:pPr>
      <w:r w:rsidRPr="0091114F">
        <w:rPr>
          <w:rFonts w:ascii="Calibri" w:hAnsi="Calibri"/>
          <w:noProof/>
        </w:rPr>
        <w:t>Consumer Goods (Babies’ Dummies and Dummy Chains) Safety Standard 2017 [F2017L00516]</w:t>
      </w:r>
      <w:r w:rsidRPr="0091114F">
        <w:rPr>
          <w:rFonts w:ascii="Calibri" w:hAnsi="Calibri"/>
          <w:noProof/>
        </w:rPr>
        <w:tab/>
        <w:t>57</w:t>
      </w:r>
    </w:p>
    <w:p w:rsidR="00CD18D3" w:rsidRPr="0091114F" w:rsidRDefault="00CD18D3" w:rsidP="00CD18D3">
      <w:pPr>
        <w:pStyle w:val="TOC3"/>
        <w:tabs>
          <w:tab w:val="right" w:leader="dot" w:pos="9016"/>
        </w:tabs>
        <w:jc w:val="left"/>
        <w:rPr>
          <w:rFonts w:ascii="Calibri" w:hAnsi="Calibri"/>
          <w:noProof/>
        </w:rPr>
      </w:pPr>
      <w:r w:rsidRPr="0091114F">
        <w:rPr>
          <w:rFonts w:ascii="Calibri" w:hAnsi="Calibri"/>
          <w:noProof/>
        </w:rPr>
        <w:t>Consumer Goods (Children’s Nightwear and Limited Daywear and Paper Patterns for Children’s Nightwear) Safety Standard 2017 [F2017L00452]</w:t>
      </w:r>
      <w:r w:rsidRPr="0091114F">
        <w:rPr>
          <w:rFonts w:ascii="Calibri" w:hAnsi="Calibri"/>
          <w:noProof/>
        </w:rPr>
        <w:tab/>
        <w:t>57</w:t>
      </w:r>
    </w:p>
    <w:p w:rsidR="00CD18D3" w:rsidRPr="0091114F" w:rsidRDefault="00CD18D3" w:rsidP="00CD18D3">
      <w:pPr>
        <w:pStyle w:val="TOC3"/>
        <w:tabs>
          <w:tab w:val="right" w:leader="dot" w:pos="9016"/>
        </w:tabs>
        <w:jc w:val="left"/>
        <w:rPr>
          <w:rFonts w:ascii="Calibri" w:hAnsi="Calibri"/>
          <w:noProof/>
        </w:rPr>
      </w:pPr>
      <w:r w:rsidRPr="0091114F">
        <w:rPr>
          <w:rFonts w:ascii="Calibri" w:hAnsi="Calibri"/>
          <w:noProof/>
        </w:rPr>
        <w:lastRenderedPageBreak/>
        <w:t>Extension of the Ban Period for the In</w:t>
      </w:r>
      <w:r>
        <w:rPr>
          <w:rFonts w:ascii="Calibri" w:hAnsi="Calibri"/>
          <w:noProof/>
        </w:rPr>
        <w:t>terim Ban on Certain Decorative</w:t>
      </w:r>
      <w:r>
        <w:rPr>
          <w:rFonts w:ascii="Calibri" w:hAnsi="Calibri"/>
          <w:noProof/>
        </w:rPr>
        <w:br/>
      </w:r>
      <w:r w:rsidRPr="0091114F">
        <w:rPr>
          <w:rFonts w:ascii="Calibri" w:hAnsi="Calibri"/>
          <w:noProof/>
        </w:rPr>
        <w:t>Alcohol Fuelled Devices [F2017L00518]</w:t>
      </w:r>
      <w:r w:rsidRPr="0091114F">
        <w:rPr>
          <w:rFonts w:ascii="Calibri" w:hAnsi="Calibri"/>
          <w:noProof/>
        </w:rPr>
        <w:tab/>
        <w:t>57</w:t>
      </w:r>
    </w:p>
    <w:p w:rsidR="00CD18D3" w:rsidRPr="0091114F" w:rsidRDefault="00CD18D3" w:rsidP="00CD18D3">
      <w:pPr>
        <w:pStyle w:val="TOC3"/>
        <w:tabs>
          <w:tab w:val="right" w:leader="dot" w:pos="9016"/>
        </w:tabs>
        <w:jc w:val="left"/>
        <w:rPr>
          <w:rFonts w:ascii="Calibri" w:hAnsi="Calibri"/>
          <w:noProof/>
        </w:rPr>
      </w:pPr>
      <w:r w:rsidRPr="0091114F">
        <w:rPr>
          <w:rFonts w:ascii="Calibri" w:hAnsi="Calibri"/>
          <w:noProof/>
        </w:rPr>
        <w:t>Defence Determination 2017/18,</w:t>
      </w:r>
      <w:r>
        <w:rPr>
          <w:rFonts w:ascii="Calibri" w:hAnsi="Calibri"/>
          <w:noProof/>
        </w:rPr>
        <w:t xml:space="preserve"> Overseas conditions of service </w:t>
      </w:r>
      <w:r w:rsidRPr="0091114F">
        <w:rPr>
          <w:rFonts w:ascii="Calibri" w:hAnsi="Calibri"/>
          <w:noProof/>
        </w:rPr>
        <w:t>(Budget measure 2017-18 –</w:t>
      </w:r>
      <w:r>
        <w:rPr>
          <w:rFonts w:ascii="Calibri" w:hAnsi="Calibri"/>
          <w:noProof/>
        </w:rPr>
        <w:t xml:space="preserve"> Overseas allowances) amendment </w:t>
      </w:r>
      <w:r w:rsidRPr="0091114F">
        <w:rPr>
          <w:rFonts w:ascii="Calibri" w:hAnsi="Calibri"/>
          <w:noProof/>
        </w:rPr>
        <w:t>[F2017L00657]</w:t>
      </w:r>
      <w:r w:rsidRPr="0091114F">
        <w:rPr>
          <w:rFonts w:ascii="Calibri" w:hAnsi="Calibri"/>
          <w:noProof/>
        </w:rPr>
        <w:tab/>
        <w:t>62</w:t>
      </w:r>
    </w:p>
    <w:p w:rsidR="00CD18D3" w:rsidRPr="0091114F" w:rsidRDefault="00CD18D3" w:rsidP="00CD18D3">
      <w:pPr>
        <w:pStyle w:val="TOC3"/>
        <w:tabs>
          <w:tab w:val="right" w:leader="dot" w:pos="9016"/>
        </w:tabs>
        <w:jc w:val="left"/>
        <w:rPr>
          <w:rFonts w:ascii="Calibri" w:hAnsi="Calibri"/>
          <w:noProof/>
        </w:rPr>
      </w:pPr>
      <w:r w:rsidRPr="0091114F">
        <w:rPr>
          <w:rFonts w:ascii="Calibri" w:hAnsi="Calibri"/>
          <w:noProof/>
        </w:rPr>
        <w:t>Do Not Call Register (Access Fees) Determination 2017 [F2017L00841]</w:t>
      </w:r>
      <w:r w:rsidRPr="0091114F">
        <w:rPr>
          <w:rFonts w:ascii="Calibri" w:hAnsi="Calibri"/>
          <w:noProof/>
        </w:rPr>
        <w:tab/>
        <w:t>65</w:t>
      </w:r>
    </w:p>
    <w:p w:rsidR="00CD18D3" w:rsidRPr="0091114F" w:rsidRDefault="00CD18D3" w:rsidP="00CD18D3">
      <w:pPr>
        <w:pStyle w:val="TOC3"/>
        <w:tabs>
          <w:tab w:val="right" w:leader="dot" w:pos="9016"/>
        </w:tabs>
        <w:jc w:val="left"/>
        <w:rPr>
          <w:rFonts w:ascii="Calibri" w:hAnsi="Calibri"/>
          <w:noProof/>
        </w:rPr>
      </w:pPr>
      <w:r w:rsidRPr="0091114F">
        <w:rPr>
          <w:rFonts w:ascii="Calibri" w:hAnsi="Calibri"/>
          <w:noProof/>
        </w:rPr>
        <w:t>Hazardous Waste (Regulation of Exports and Imports) Legislation Amendment (2017 Measures) Regulations 2017 [F2017L00788]</w:t>
      </w:r>
      <w:r w:rsidRPr="0091114F">
        <w:rPr>
          <w:rFonts w:ascii="Calibri" w:hAnsi="Calibri"/>
          <w:noProof/>
        </w:rPr>
        <w:tab/>
        <w:t>67</w:t>
      </w:r>
    </w:p>
    <w:p w:rsidR="00CD18D3" w:rsidRPr="0091114F" w:rsidRDefault="00CD18D3" w:rsidP="00CD18D3">
      <w:pPr>
        <w:pStyle w:val="TOC3"/>
        <w:tabs>
          <w:tab w:val="right" w:leader="dot" w:pos="9016"/>
        </w:tabs>
        <w:jc w:val="left"/>
        <w:rPr>
          <w:rFonts w:ascii="Calibri" w:hAnsi="Calibri"/>
          <w:noProof/>
        </w:rPr>
      </w:pPr>
      <w:r w:rsidRPr="0091114F">
        <w:rPr>
          <w:rFonts w:ascii="Calibri" w:hAnsi="Calibri"/>
          <w:noProof/>
        </w:rPr>
        <w:t>Higher Education (HELP Program Commonwealth Officers) Instrument 2017 [F2017L00622]</w:t>
      </w:r>
      <w:r w:rsidRPr="0091114F">
        <w:rPr>
          <w:rFonts w:ascii="Calibri" w:hAnsi="Calibri"/>
          <w:noProof/>
        </w:rPr>
        <w:tab/>
        <w:t>72</w:t>
      </w:r>
    </w:p>
    <w:p w:rsidR="00CD18D3" w:rsidRPr="0091114F" w:rsidRDefault="00CD18D3" w:rsidP="00CD18D3">
      <w:pPr>
        <w:pStyle w:val="TOC3"/>
        <w:tabs>
          <w:tab w:val="right" w:leader="dot" w:pos="9016"/>
        </w:tabs>
        <w:jc w:val="left"/>
        <w:rPr>
          <w:rFonts w:ascii="Calibri" w:hAnsi="Calibri"/>
          <w:noProof/>
        </w:rPr>
      </w:pPr>
      <w:r w:rsidRPr="0091114F">
        <w:rPr>
          <w:rFonts w:ascii="Calibri" w:hAnsi="Calibri"/>
          <w:noProof/>
        </w:rPr>
        <w:t>Migration Amendment (Working Holiday Maker Visa Application Charges) Regulations 2017 [F2017L00576]</w:t>
      </w:r>
      <w:r w:rsidRPr="0091114F">
        <w:rPr>
          <w:rFonts w:ascii="Calibri" w:hAnsi="Calibri"/>
          <w:noProof/>
        </w:rPr>
        <w:tab/>
        <w:t>75</w:t>
      </w:r>
    </w:p>
    <w:p w:rsidR="00CD18D3" w:rsidRPr="0091114F" w:rsidRDefault="00CD18D3" w:rsidP="00CD18D3">
      <w:pPr>
        <w:pStyle w:val="TOC3"/>
        <w:tabs>
          <w:tab w:val="right" w:leader="dot" w:pos="9016"/>
        </w:tabs>
        <w:jc w:val="left"/>
        <w:rPr>
          <w:rFonts w:ascii="Calibri" w:hAnsi="Calibri"/>
          <w:noProof/>
        </w:rPr>
      </w:pPr>
      <w:r w:rsidRPr="0091114F">
        <w:rPr>
          <w:rFonts w:ascii="Calibri" w:hAnsi="Calibri"/>
          <w:noProof/>
        </w:rPr>
        <w:t>Migration Legislation Amendment (2017 Measures No. 2) Regulations 2017 [F2017L00549]</w:t>
      </w:r>
      <w:r w:rsidRPr="0091114F">
        <w:rPr>
          <w:rFonts w:ascii="Calibri" w:hAnsi="Calibri"/>
          <w:noProof/>
        </w:rPr>
        <w:tab/>
        <w:t>78</w:t>
      </w:r>
    </w:p>
    <w:p w:rsidR="00CD18D3" w:rsidRPr="0091114F" w:rsidRDefault="00CD18D3" w:rsidP="00CD18D3">
      <w:pPr>
        <w:pStyle w:val="TOC3"/>
        <w:tabs>
          <w:tab w:val="right" w:leader="dot" w:pos="9016"/>
        </w:tabs>
        <w:jc w:val="left"/>
        <w:rPr>
          <w:rFonts w:ascii="Calibri" w:hAnsi="Calibri"/>
          <w:noProof/>
        </w:rPr>
      </w:pPr>
      <w:r w:rsidRPr="0091114F">
        <w:rPr>
          <w:rFonts w:ascii="Calibri" w:hAnsi="Calibri"/>
          <w:noProof/>
        </w:rPr>
        <w:t>National Health (Weighted average discl</w:t>
      </w:r>
      <w:r>
        <w:rPr>
          <w:rFonts w:ascii="Calibri" w:hAnsi="Calibri"/>
          <w:noProof/>
        </w:rPr>
        <w:t>osed price – October 2017</w:t>
      </w:r>
      <w:r>
        <w:rPr>
          <w:rFonts w:ascii="Calibri" w:hAnsi="Calibri"/>
          <w:noProof/>
        </w:rPr>
        <w:br/>
      </w:r>
      <w:r w:rsidRPr="0091114F">
        <w:rPr>
          <w:rFonts w:ascii="Calibri" w:hAnsi="Calibri"/>
          <w:noProof/>
        </w:rPr>
        <w:t>reduction day) Determination 2017 (PB 44 of 2017) [F2017L00676]</w:t>
      </w:r>
      <w:r w:rsidRPr="0091114F">
        <w:rPr>
          <w:rFonts w:ascii="Calibri" w:hAnsi="Calibri"/>
          <w:noProof/>
        </w:rPr>
        <w:tab/>
        <w:t>81</w:t>
      </w:r>
    </w:p>
    <w:p w:rsidR="00CD18D3" w:rsidRPr="0091114F" w:rsidRDefault="00CD18D3" w:rsidP="00CD18D3">
      <w:pPr>
        <w:pStyle w:val="TOC3"/>
        <w:tabs>
          <w:tab w:val="right" w:leader="dot" w:pos="9016"/>
        </w:tabs>
        <w:jc w:val="left"/>
        <w:rPr>
          <w:rFonts w:ascii="Calibri" w:hAnsi="Calibri"/>
          <w:noProof/>
        </w:rPr>
      </w:pPr>
      <w:r w:rsidRPr="0091114F">
        <w:rPr>
          <w:rFonts w:ascii="Calibri" w:hAnsi="Calibri"/>
          <w:noProof/>
        </w:rPr>
        <w:t>Occupational Health and Safety (Maritime Industry) (Prescribed Ship or Unit — Intra-State Trade) Declaration 2017 [F2017L00673]</w:t>
      </w:r>
      <w:r w:rsidRPr="0091114F">
        <w:rPr>
          <w:rFonts w:ascii="Calibri" w:hAnsi="Calibri"/>
          <w:noProof/>
        </w:rPr>
        <w:tab/>
        <w:t>84</w:t>
      </w:r>
    </w:p>
    <w:p w:rsidR="00CD18D3" w:rsidRPr="0091114F" w:rsidRDefault="00CD18D3" w:rsidP="00CD18D3">
      <w:pPr>
        <w:pStyle w:val="TOC3"/>
        <w:tabs>
          <w:tab w:val="right" w:leader="dot" w:pos="9016"/>
        </w:tabs>
        <w:jc w:val="left"/>
        <w:rPr>
          <w:rFonts w:ascii="Calibri" w:hAnsi="Calibri"/>
          <w:noProof/>
        </w:rPr>
      </w:pPr>
      <w:r w:rsidRPr="0091114F">
        <w:rPr>
          <w:rFonts w:ascii="Calibri" w:hAnsi="Calibri"/>
          <w:noProof/>
        </w:rPr>
        <w:t>Seafarers Rehabilitation and Compensation (Prescribed Ship — Intra-State Trade) Declaration 2017 [F2017L00674]</w:t>
      </w:r>
      <w:r w:rsidRPr="0091114F">
        <w:rPr>
          <w:rFonts w:ascii="Calibri" w:hAnsi="Calibri"/>
          <w:noProof/>
        </w:rPr>
        <w:tab/>
        <w:t>84</w:t>
      </w:r>
    </w:p>
    <w:p w:rsidR="00CD18D3" w:rsidRPr="0091114F" w:rsidRDefault="00CD18D3" w:rsidP="00CD18D3">
      <w:pPr>
        <w:pStyle w:val="TOC3"/>
        <w:tabs>
          <w:tab w:val="right" w:leader="dot" w:pos="9016"/>
        </w:tabs>
        <w:jc w:val="left"/>
        <w:rPr>
          <w:rFonts w:ascii="Calibri" w:hAnsi="Calibri"/>
          <w:noProof/>
        </w:rPr>
      </w:pPr>
      <w:r w:rsidRPr="0091114F">
        <w:rPr>
          <w:rFonts w:ascii="Calibri" w:hAnsi="Calibri"/>
          <w:noProof/>
        </w:rPr>
        <w:t>Private Health Insurance (Benefit Req</w:t>
      </w:r>
      <w:r>
        <w:rPr>
          <w:rFonts w:ascii="Calibri" w:hAnsi="Calibri"/>
          <w:noProof/>
        </w:rPr>
        <w:t>uirements) Amendment Rules 2017</w:t>
      </w:r>
      <w:r>
        <w:rPr>
          <w:rFonts w:ascii="Calibri" w:hAnsi="Calibri"/>
          <w:noProof/>
        </w:rPr>
        <w:br/>
      </w:r>
      <w:r w:rsidRPr="0091114F">
        <w:rPr>
          <w:rFonts w:ascii="Calibri" w:hAnsi="Calibri"/>
          <w:noProof/>
        </w:rPr>
        <w:t>(No. 4) [F2017L00603]</w:t>
      </w:r>
      <w:r w:rsidRPr="0091114F">
        <w:rPr>
          <w:rFonts w:ascii="Calibri" w:hAnsi="Calibri"/>
          <w:noProof/>
        </w:rPr>
        <w:tab/>
        <w:t>86</w:t>
      </w:r>
    </w:p>
    <w:p w:rsidR="00CD18D3" w:rsidRPr="0091114F" w:rsidRDefault="00CD18D3" w:rsidP="00CD18D3">
      <w:pPr>
        <w:pStyle w:val="TOC3"/>
        <w:tabs>
          <w:tab w:val="right" w:leader="dot" w:pos="9016"/>
        </w:tabs>
        <w:jc w:val="left"/>
        <w:rPr>
          <w:rFonts w:ascii="Calibri" w:hAnsi="Calibri"/>
          <w:noProof/>
        </w:rPr>
      </w:pPr>
      <w:r w:rsidRPr="0091114F">
        <w:rPr>
          <w:rFonts w:ascii="Calibri" w:hAnsi="Calibri"/>
          <w:noProof/>
        </w:rPr>
        <w:t>Social Security (Exemptions from Non-payment and Waiting Periods - Activities) Specification 2017 [F2017L00719]</w:t>
      </w:r>
      <w:r w:rsidRPr="0091114F">
        <w:rPr>
          <w:rFonts w:ascii="Calibri" w:hAnsi="Calibri"/>
          <w:noProof/>
        </w:rPr>
        <w:tab/>
        <w:t>88</w:t>
      </w:r>
    </w:p>
    <w:p w:rsidR="00CD18D3" w:rsidRPr="009E5C55" w:rsidRDefault="00CD18D3" w:rsidP="00CD18D3">
      <w:pPr>
        <w:pStyle w:val="TOC3"/>
        <w:tabs>
          <w:tab w:val="right" w:leader="dot" w:pos="9016"/>
        </w:tabs>
        <w:jc w:val="left"/>
        <w:rPr>
          <w:rFonts w:ascii="Calibri" w:eastAsiaTheme="minorEastAsia" w:hAnsi="Calibri" w:cstheme="minorBidi"/>
          <w:noProof/>
          <w:sz w:val="22"/>
          <w:szCs w:val="22"/>
          <w:lang w:eastAsia="en-AU"/>
        </w:rPr>
      </w:pPr>
      <w:r w:rsidRPr="0091114F">
        <w:rPr>
          <w:rFonts w:ascii="Calibri" w:hAnsi="Calibri"/>
          <w:noProof/>
        </w:rPr>
        <w:t>VET Student Loans (Charges) Regulations 2017 [F2017L00821]</w:t>
      </w:r>
      <w:r w:rsidRPr="0091114F">
        <w:rPr>
          <w:rFonts w:ascii="Calibri" w:hAnsi="Calibri"/>
          <w:noProof/>
        </w:rPr>
        <w:tab/>
        <w:t>90</w:t>
      </w:r>
    </w:p>
    <w:p w:rsidR="00CD18D3" w:rsidRPr="009E5C55" w:rsidRDefault="00CD18D3" w:rsidP="00CD18D3"/>
    <w:p w:rsidR="00CD18D3" w:rsidRDefault="00CD18D3" w:rsidP="00CD18D3">
      <w:pPr>
        <w:rPr>
          <w:rFonts w:asciiTheme="minorHAnsi" w:hAnsiTheme="minorHAnsi"/>
          <w:sz w:val="16"/>
          <w:szCs w:val="16"/>
        </w:rPr>
      </w:pPr>
      <w:r>
        <w:rPr>
          <w:rFonts w:asciiTheme="minorHAnsi" w:hAnsiTheme="minorHAnsi"/>
          <w:sz w:val="16"/>
          <w:szCs w:val="16"/>
        </w:rPr>
        <w:fldChar w:fldCharType="begin"/>
      </w:r>
      <w:r>
        <w:rPr>
          <w:rFonts w:asciiTheme="minorHAnsi" w:hAnsiTheme="minorHAnsi"/>
          <w:sz w:val="16"/>
          <w:szCs w:val="16"/>
        </w:rPr>
        <w:instrText xml:space="preserve"> RD  "\\\\home2\\SEN-LegislativeScrutinyUnit\\Regs &amp; Ords\\MONITOR\\2017\\Monitor 11\\04 intro.docx" </w:instrText>
      </w:r>
      <w:r>
        <w:rPr>
          <w:rFonts w:asciiTheme="minorHAnsi" w:hAnsiTheme="minorHAnsi"/>
          <w:sz w:val="16"/>
          <w:szCs w:val="16"/>
        </w:rPr>
        <w:fldChar w:fldCharType="end"/>
      </w:r>
    </w:p>
    <w:p w:rsidR="00CD18D3" w:rsidRDefault="00CD18D3" w:rsidP="00CD18D3">
      <w:pPr>
        <w:rPr>
          <w:rFonts w:asciiTheme="minorHAnsi" w:hAnsiTheme="minorHAnsi"/>
          <w:sz w:val="16"/>
          <w:szCs w:val="16"/>
        </w:rPr>
      </w:pPr>
      <w:r>
        <w:rPr>
          <w:rFonts w:asciiTheme="minorHAnsi" w:hAnsiTheme="minorHAnsi"/>
          <w:sz w:val="16"/>
          <w:szCs w:val="16"/>
        </w:rPr>
        <w:fldChar w:fldCharType="begin"/>
      </w:r>
      <w:r>
        <w:rPr>
          <w:rFonts w:asciiTheme="minorHAnsi" w:hAnsiTheme="minorHAnsi"/>
          <w:sz w:val="16"/>
          <w:szCs w:val="16"/>
        </w:rPr>
        <w:instrText xml:space="preserve"> RD  "\\\\home2\\SEN-LegislativeScrutinyUnit\\Regs &amp; Ords\\MONITOR\\2017\\Monitor 11\\05 new.docx" </w:instrText>
      </w:r>
      <w:r>
        <w:rPr>
          <w:rFonts w:asciiTheme="minorHAnsi" w:hAnsiTheme="minorHAnsi"/>
          <w:sz w:val="16"/>
          <w:szCs w:val="16"/>
        </w:rPr>
        <w:fldChar w:fldCharType="end"/>
      </w:r>
    </w:p>
    <w:p w:rsidR="00CD18D3" w:rsidRDefault="00CD18D3" w:rsidP="00CD18D3">
      <w:pPr>
        <w:rPr>
          <w:rFonts w:asciiTheme="minorHAnsi" w:hAnsiTheme="minorHAnsi"/>
          <w:sz w:val="16"/>
          <w:szCs w:val="16"/>
        </w:rPr>
      </w:pPr>
      <w:r>
        <w:rPr>
          <w:rFonts w:asciiTheme="minorHAnsi" w:hAnsiTheme="minorHAnsi"/>
          <w:sz w:val="16"/>
          <w:szCs w:val="16"/>
        </w:rPr>
        <w:fldChar w:fldCharType="begin"/>
      </w:r>
      <w:r>
        <w:rPr>
          <w:rFonts w:asciiTheme="minorHAnsi" w:hAnsiTheme="minorHAnsi"/>
          <w:sz w:val="16"/>
          <w:szCs w:val="16"/>
        </w:rPr>
        <w:instrText xml:space="preserve"> RD  "\\\\home2\\SEN-LegislativeScrutinyUnit\\Regs &amp; Ords\\MONITOR\\2017\\Monitor 11\\06 concluded.docx" </w:instrText>
      </w:r>
      <w:r>
        <w:rPr>
          <w:rFonts w:asciiTheme="minorHAnsi" w:hAnsiTheme="minorHAnsi"/>
          <w:sz w:val="16"/>
          <w:szCs w:val="16"/>
        </w:rPr>
        <w:fldChar w:fldCharType="end"/>
      </w:r>
    </w:p>
    <w:p w:rsidR="00CD18D3" w:rsidRPr="009E5C55" w:rsidRDefault="00CD18D3" w:rsidP="00CD18D3"/>
    <w:p w:rsidR="00CD18D3" w:rsidRPr="009E5C55" w:rsidRDefault="00CD18D3" w:rsidP="00CD18D3">
      <w:pPr>
        <w:pStyle w:val="Heading1"/>
      </w:pPr>
      <w:r w:rsidRPr="009E5C55">
        <w:br w:type="page"/>
      </w:r>
    </w:p>
    <w:p w:rsidR="00CD18D3" w:rsidRPr="009E5C55" w:rsidRDefault="00CD18D3" w:rsidP="00CD18D3">
      <w:pPr>
        <w:spacing w:before="0" w:after="0"/>
        <w:jc w:val="left"/>
        <w:sectPr w:rsidR="00CD18D3" w:rsidRPr="009E5C55" w:rsidSect="002B2721">
          <w:headerReference w:type="default" r:id="rId17"/>
          <w:pgSz w:w="11906" w:h="16838" w:code="9"/>
          <w:pgMar w:top="1440" w:right="1440" w:bottom="1202" w:left="1440" w:header="1134" w:footer="720" w:gutter="0"/>
          <w:pgNumType w:fmt="lowerRoman" w:start="5"/>
          <w:cols w:space="720"/>
          <w:docGrid w:linePitch="354"/>
        </w:sectPr>
      </w:pPr>
    </w:p>
    <w:p w:rsidR="00CD18D3" w:rsidRPr="009E5C55" w:rsidRDefault="00CD18D3" w:rsidP="00CD18D3">
      <w:pPr>
        <w:spacing w:before="0" w:after="0"/>
        <w:jc w:val="left"/>
      </w:pPr>
    </w:p>
    <w:p w:rsidR="00CD18D3" w:rsidRDefault="00CD18D3" w:rsidP="00CD18D3">
      <w:pPr>
        <w:pStyle w:val="Heading1"/>
        <w:rPr>
          <w:rFonts w:asciiTheme="minorHAnsi" w:hAnsiTheme="minorHAnsi"/>
        </w:rPr>
        <w:sectPr w:rsidR="00CD18D3" w:rsidSect="00930631">
          <w:headerReference w:type="even" r:id="rId18"/>
          <w:headerReference w:type="default" r:id="rId19"/>
          <w:footerReference w:type="even" r:id="rId20"/>
          <w:footerReference w:type="default" r:id="rId21"/>
          <w:headerReference w:type="first" r:id="rId22"/>
          <w:footerReference w:type="first" r:id="rId23"/>
          <w:pgSz w:w="11906" w:h="16838" w:code="9"/>
          <w:pgMar w:top="1440" w:right="1440" w:bottom="1202" w:left="1440" w:header="1134" w:footer="720" w:gutter="0"/>
          <w:pgNumType w:start="39"/>
          <w:cols w:space="720"/>
          <w:titlePg/>
        </w:sectPr>
      </w:pPr>
    </w:p>
    <w:p w:rsidR="00CD18D3" w:rsidRPr="00101D19" w:rsidRDefault="00CD18D3" w:rsidP="00CD18D3">
      <w:pPr>
        <w:pStyle w:val="Heading1"/>
        <w:rPr>
          <w:rFonts w:asciiTheme="minorHAnsi" w:hAnsiTheme="minorHAnsi"/>
        </w:rPr>
      </w:pPr>
      <w:r w:rsidRPr="00101D19">
        <w:rPr>
          <w:rFonts w:asciiTheme="minorHAnsi" w:hAnsiTheme="minorHAnsi"/>
        </w:rPr>
        <w:lastRenderedPageBreak/>
        <w:t>Introduction</w:t>
      </w:r>
    </w:p>
    <w:p w:rsidR="00CD18D3" w:rsidRPr="00101D19" w:rsidRDefault="00CD18D3" w:rsidP="00CD18D3">
      <w:pPr>
        <w:pStyle w:val="Heading3"/>
        <w:rPr>
          <w:rFonts w:asciiTheme="minorHAnsi" w:hAnsiTheme="minorHAnsi"/>
        </w:rPr>
      </w:pPr>
      <w:r w:rsidRPr="00101D19">
        <w:rPr>
          <w:rFonts w:asciiTheme="minorHAnsi" w:hAnsiTheme="minorHAnsi"/>
        </w:rPr>
        <w:t>Terms of reference</w:t>
      </w:r>
    </w:p>
    <w:p w:rsidR="00CD18D3" w:rsidRPr="005B393E" w:rsidRDefault="00CD18D3" w:rsidP="00CD18D3">
      <w:pPr>
        <w:pStyle w:val="Level1"/>
        <w:numPr>
          <w:ilvl w:val="0"/>
          <w:numId w:val="0"/>
        </w:numPr>
        <w:rPr>
          <w:rFonts w:asciiTheme="minorHAnsi" w:hAnsiTheme="minorHAnsi"/>
        </w:rPr>
      </w:pPr>
      <w:r w:rsidRPr="00101D19">
        <w:rPr>
          <w:rFonts w:asciiTheme="minorHAnsi" w:hAnsiTheme="minorHAnsi"/>
        </w:rPr>
        <w:t>The Senate Standing Committee on Regulations and O</w:t>
      </w:r>
      <w:r w:rsidRPr="005B393E">
        <w:rPr>
          <w:rFonts w:asciiTheme="minorHAnsi" w:hAnsiTheme="minorHAnsi"/>
        </w:rPr>
        <w:t>rdinances (the committee) was established in 1932. The role of the committee is to examine the technical qualities of all disallowable instruments of delegated legislation and decide whether they comply with the committee's non-partisan scrutiny principles of personal rights and parliamentary propriety.</w:t>
      </w:r>
    </w:p>
    <w:p w:rsidR="00CD18D3" w:rsidRPr="005B393E" w:rsidRDefault="00CD18D3" w:rsidP="00CD18D3">
      <w:pPr>
        <w:pStyle w:val="Level1"/>
        <w:numPr>
          <w:ilvl w:val="0"/>
          <w:numId w:val="0"/>
        </w:numPr>
        <w:rPr>
          <w:rFonts w:asciiTheme="minorHAnsi" w:hAnsiTheme="minorHAnsi"/>
        </w:rPr>
      </w:pPr>
      <w:r w:rsidRPr="005B393E">
        <w:rPr>
          <w:rFonts w:asciiTheme="minorHAnsi" w:hAnsiTheme="minorHAnsi"/>
        </w:rPr>
        <w:t>Senate Standing Order 23(3) requires the committee to scrutinise each instrument referred to it to ensure:</w:t>
      </w:r>
    </w:p>
    <w:p w:rsidR="00CD18D3" w:rsidRPr="005B393E" w:rsidRDefault="00CD18D3" w:rsidP="00CD18D3">
      <w:pPr>
        <w:pStyle w:val="Quote"/>
        <w:tabs>
          <w:tab w:val="left" w:pos="1418"/>
        </w:tabs>
        <w:ind w:left="1418" w:hanging="709"/>
        <w:rPr>
          <w:rFonts w:asciiTheme="minorHAnsi" w:hAnsiTheme="minorHAnsi"/>
        </w:rPr>
      </w:pPr>
      <w:r w:rsidRPr="005B393E">
        <w:rPr>
          <w:rFonts w:asciiTheme="minorHAnsi" w:hAnsiTheme="minorHAnsi"/>
        </w:rPr>
        <w:t>(a)</w:t>
      </w:r>
      <w:r w:rsidRPr="005B393E">
        <w:rPr>
          <w:rFonts w:asciiTheme="minorHAnsi" w:hAnsiTheme="minorHAnsi"/>
        </w:rPr>
        <w:tab/>
        <w:t>that it is in accordance with the statute;</w:t>
      </w:r>
    </w:p>
    <w:p w:rsidR="00CD18D3" w:rsidRPr="005B393E" w:rsidRDefault="00CD18D3" w:rsidP="00CD18D3">
      <w:pPr>
        <w:pStyle w:val="Quote"/>
        <w:tabs>
          <w:tab w:val="left" w:pos="1418"/>
        </w:tabs>
        <w:ind w:left="1418" w:hanging="709"/>
        <w:rPr>
          <w:rFonts w:asciiTheme="minorHAnsi" w:hAnsiTheme="minorHAnsi"/>
        </w:rPr>
      </w:pPr>
      <w:r w:rsidRPr="005B393E">
        <w:rPr>
          <w:rFonts w:asciiTheme="minorHAnsi" w:hAnsiTheme="minorHAnsi"/>
        </w:rPr>
        <w:t>(b)</w:t>
      </w:r>
      <w:r w:rsidRPr="005B393E">
        <w:rPr>
          <w:rFonts w:asciiTheme="minorHAnsi" w:hAnsiTheme="minorHAnsi"/>
        </w:rPr>
        <w:tab/>
        <w:t>that it does not trespass unduly on personal rights and liberties;</w:t>
      </w:r>
    </w:p>
    <w:p w:rsidR="00CD18D3" w:rsidRPr="005B393E" w:rsidRDefault="00CD18D3" w:rsidP="00CD18D3">
      <w:pPr>
        <w:pStyle w:val="Quote"/>
        <w:tabs>
          <w:tab w:val="left" w:pos="1418"/>
        </w:tabs>
        <w:ind w:left="1418" w:hanging="709"/>
        <w:rPr>
          <w:rFonts w:asciiTheme="minorHAnsi" w:hAnsiTheme="minorHAnsi"/>
        </w:rPr>
      </w:pPr>
      <w:r w:rsidRPr="005B393E">
        <w:rPr>
          <w:rFonts w:asciiTheme="minorHAnsi" w:hAnsiTheme="minorHAnsi"/>
        </w:rPr>
        <w:t>(c)</w:t>
      </w:r>
      <w:r w:rsidRPr="005B393E">
        <w:rPr>
          <w:rFonts w:asciiTheme="minorHAnsi" w:hAnsiTheme="minorHAnsi"/>
        </w:rPr>
        <w:tab/>
        <w:t>that it does not unduly make the rights and liberties of citizens dependent upon administrative decisions which are not subject to review of their merits by a judicial or other independent tribunal; and</w:t>
      </w:r>
    </w:p>
    <w:p w:rsidR="00CD18D3" w:rsidRPr="003906F5" w:rsidRDefault="00CD18D3" w:rsidP="00CD18D3">
      <w:pPr>
        <w:pStyle w:val="Quote"/>
        <w:tabs>
          <w:tab w:val="left" w:pos="1418"/>
        </w:tabs>
        <w:ind w:left="1418" w:hanging="709"/>
        <w:rPr>
          <w:rFonts w:asciiTheme="minorHAnsi" w:hAnsiTheme="minorHAnsi"/>
        </w:rPr>
      </w:pPr>
      <w:r w:rsidRPr="003906F5">
        <w:rPr>
          <w:rFonts w:asciiTheme="minorHAnsi" w:hAnsiTheme="minorHAnsi"/>
        </w:rPr>
        <w:t>(d)</w:t>
      </w:r>
      <w:r w:rsidRPr="003906F5">
        <w:rPr>
          <w:rFonts w:asciiTheme="minorHAnsi" w:hAnsiTheme="minorHAnsi"/>
        </w:rPr>
        <w:tab/>
        <w:t>that it does not contain matter more appropriate for parliamentary enactment.</w:t>
      </w:r>
    </w:p>
    <w:p w:rsidR="00CD18D3" w:rsidRPr="003906F5" w:rsidRDefault="00CD18D3" w:rsidP="00CD18D3">
      <w:pPr>
        <w:pStyle w:val="Heading3"/>
        <w:rPr>
          <w:rFonts w:asciiTheme="minorHAnsi" w:hAnsiTheme="minorHAnsi"/>
        </w:rPr>
      </w:pPr>
      <w:r w:rsidRPr="003906F5">
        <w:rPr>
          <w:rFonts w:asciiTheme="minorHAnsi" w:hAnsiTheme="minorHAnsi"/>
        </w:rPr>
        <w:t>Nature of the committee's scrutiny</w:t>
      </w:r>
    </w:p>
    <w:p w:rsidR="00CD18D3" w:rsidRPr="003906F5" w:rsidRDefault="00CD18D3" w:rsidP="00CD18D3">
      <w:pPr>
        <w:pStyle w:val="Level1"/>
        <w:numPr>
          <w:ilvl w:val="0"/>
          <w:numId w:val="0"/>
        </w:numPr>
        <w:rPr>
          <w:rFonts w:asciiTheme="minorHAnsi" w:hAnsiTheme="minorHAnsi"/>
        </w:rPr>
      </w:pPr>
      <w:r w:rsidRPr="003906F5">
        <w:rPr>
          <w:rFonts w:asciiTheme="minorHAnsi" w:hAnsiTheme="minorHAnsi"/>
        </w:rPr>
        <w:t>The committee's scrutiny principles capture a wide variety of issues but relate primarily to technical legislative scrutiny. The committee therefore does not generally examine or consider the policy merits of delegated legislation. In cases where an instrument is considered not to comply with the committee's scrutiny principles, the committee's usual approach is to correspond with the responsible minister or instrument-maker seeking further explanation or clarification of the matter at issue, or seeking an undertaking for specific action to address the committee's concern.</w:t>
      </w:r>
    </w:p>
    <w:p w:rsidR="00CD18D3" w:rsidRPr="003906F5" w:rsidRDefault="00CD18D3" w:rsidP="00CD18D3">
      <w:pPr>
        <w:pStyle w:val="Level1"/>
        <w:numPr>
          <w:ilvl w:val="0"/>
          <w:numId w:val="0"/>
        </w:numPr>
        <w:rPr>
          <w:rFonts w:asciiTheme="minorHAnsi" w:hAnsiTheme="minorHAnsi"/>
        </w:rPr>
      </w:pPr>
      <w:r w:rsidRPr="003906F5">
        <w:rPr>
          <w:rFonts w:asciiTheme="minorHAnsi" w:hAnsiTheme="minorHAnsi"/>
        </w:rPr>
        <w:t xml:space="preserve">The committee's work is supported by processes for the registration, tabling and disallowance of legislative instruments under the </w:t>
      </w:r>
      <w:r w:rsidRPr="003906F5">
        <w:rPr>
          <w:rFonts w:asciiTheme="minorHAnsi" w:hAnsiTheme="minorHAnsi"/>
          <w:i/>
        </w:rPr>
        <w:t>Legislation Act 2003</w:t>
      </w:r>
      <w:r w:rsidRPr="003906F5">
        <w:rPr>
          <w:rFonts w:asciiTheme="minorHAnsi" w:hAnsiTheme="minorHAnsi"/>
        </w:rPr>
        <w:t>.</w:t>
      </w:r>
      <w:r w:rsidRPr="003906F5">
        <w:rPr>
          <w:rStyle w:val="FootnoteReference"/>
          <w:rFonts w:asciiTheme="minorHAnsi" w:hAnsiTheme="minorHAnsi"/>
        </w:rPr>
        <w:footnoteReference w:id="1"/>
      </w:r>
    </w:p>
    <w:p w:rsidR="00CD18D3" w:rsidRPr="003906F5" w:rsidRDefault="00CD18D3" w:rsidP="00CD18D3">
      <w:pPr>
        <w:pStyle w:val="Heading3"/>
        <w:rPr>
          <w:rFonts w:asciiTheme="minorHAnsi" w:hAnsiTheme="minorHAnsi"/>
        </w:rPr>
      </w:pPr>
      <w:r w:rsidRPr="003906F5">
        <w:rPr>
          <w:rFonts w:asciiTheme="minorHAnsi" w:hAnsiTheme="minorHAnsi"/>
        </w:rPr>
        <w:t>Publications</w:t>
      </w:r>
    </w:p>
    <w:p w:rsidR="00CD18D3" w:rsidRPr="003906F5" w:rsidRDefault="00CD18D3" w:rsidP="00CD18D3">
      <w:pPr>
        <w:pStyle w:val="Level1"/>
        <w:numPr>
          <w:ilvl w:val="0"/>
          <w:numId w:val="0"/>
        </w:numPr>
        <w:rPr>
          <w:rFonts w:asciiTheme="minorHAnsi" w:hAnsiTheme="minorHAnsi"/>
        </w:rPr>
      </w:pPr>
      <w:r w:rsidRPr="003906F5">
        <w:rPr>
          <w:rFonts w:asciiTheme="minorHAnsi" w:hAnsiTheme="minorHAnsi"/>
        </w:rPr>
        <w:t xml:space="preserve">The committee's usual practice is to table a report, the </w:t>
      </w:r>
      <w:r w:rsidRPr="003906F5">
        <w:rPr>
          <w:rFonts w:asciiTheme="minorHAnsi" w:hAnsiTheme="minorHAnsi"/>
          <w:i/>
        </w:rPr>
        <w:t xml:space="preserve">Delegated legislation monitor </w:t>
      </w:r>
      <w:r w:rsidRPr="003906F5">
        <w:rPr>
          <w:rFonts w:asciiTheme="minorHAnsi" w:hAnsiTheme="minorHAnsi"/>
        </w:rPr>
        <w:t xml:space="preserve">(the monitor), each sitting week of the Senate. The monitor provides an overview of the committee's scrutiny of disallowable instruments of delegated legislation for the </w:t>
      </w:r>
      <w:r w:rsidRPr="003906F5">
        <w:rPr>
          <w:rFonts w:asciiTheme="minorHAnsi" w:hAnsiTheme="minorHAnsi"/>
        </w:rPr>
        <w:lastRenderedPageBreak/>
        <w:t>preceding period. Disallowable instruments of delegated legislation detailed in the monitor are also listed in the 'Index of instruments' on the committee's website.</w:t>
      </w:r>
      <w:r w:rsidRPr="003906F5">
        <w:rPr>
          <w:rStyle w:val="FootnoteReference"/>
          <w:rFonts w:asciiTheme="minorHAnsi" w:hAnsiTheme="minorHAnsi"/>
        </w:rPr>
        <w:footnoteReference w:id="2"/>
      </w:r>
    </w:p>
    <w:p w:rsidR="00CD18D3" w:rsidRPr="003906F5" w:rsidRDefault="00CD18D3" w:rsidP="00CD18D3">
      <w:pPr>
        <w:pStyle w:val="Heading3"/>
        <w:rPr>
          <w:rFonts w:asciiTheme="minorHAnsi" w:hAnsiTheme="minorHAnsi"/>
        </w:rPr>
      </w:pPr>
      <w:r w:rsidRPr="003906F5">
        <w:rPr>
          <w:rFonts w:asciiTheme="minorHAnsi" w:hAnsiTheme="minorHAnsi"/>
        </w:rPr>
        <w:t>Structure of the monitor</w:t>
      </w:r>
    </w:p>
    <w:p w:rsidR="00CD18D3" w:rsidRPr="003906F5" w:rsidRDefault="00CD18D3" w:rsidP="00CD18D3">
      <w:pPr>
        <w:pStyle w:val="Level1"/>
        <w:numPr>
          <w:ilvl w:val="0"/>
          <w:numId w:val="0"/>
        </w:numPr>
        <w:rPr>
          <w:rFonts w:asciiTheme="minorHAnsi" w:hAnsiTheme="minorHAnsi"/>
        </w:rPr>
      </w:pPr>
      <w:r w:rsidRPr="003906F5">
        <w:rPr>
          <w:rFonts w:asciiTheme="minorHAnsi" w:hAnsiTheme="minorHAnsi"/>
        </w:rPr>
        <w:t>The monitor is comprised of the following parts:</w:t>
      </w:r>
    </w:p>
    <w:p w:rsidR="00CD18D3" w:rsidRPr="003906F5" w:rsidRDefault="00CD18D3" w:rsidP="00CD18D3">
      <w:pPr>
        <w:pStyle w:val="Bullet1"/>
        <w:tabs>
          <w:tab w:val="clear" w:pos="851"/>
          <w:tab w:val="left" w:pos="567"/>
        </w:tabs>
        <w:ind w:left="567" w:hanging="567"/>
        <w:rPr>
          <w:rFonts w:asciiTheme="minorHAnsi" w:hAnsiTheme="minorHAnsi"/>
        </w:rPr>
      </w:pPr>
      <w:r w:rsidRPr="003906F5">
        <w:rPr>
          <w:rFonts w:asciiTheme="minorHAnsi" w:hAnsiTheme="minorHAnsi"/>
          <w:b/>
        </w:rPr>
        <w:t>Chapter 1 New and continuing matters</w:t>
      </w:r>
      <w:r w:rsidRPr="003906F5">
        <w:rPr>
          <w:rFonts w:asciiTheme="minorHAnsi" w:hAnsiTheme="minorHAnsi"/>
        </w:rPr>
        <w:t>: identifies disallowable instruments of delegated legislation about which the committee has raised a concern and agreed to write to the relevant minister or instrument-maker:</w:t>
      </w:r>
    </w:p>
    <w:p w:rsidR="00CD18D3" w:rsidRPr="003906F5" w:rsidRDefault="00CD18D3" w:rsidP="00CD18D3">
      <w:pPr>
        <w:pStyle w:val="Bullet1"/>
        <w:numPr>
          <w:ilvl w:val="0"/>
          <w:numId w:val="43"/>
        </w:numPr>
        <w:tabs>
          <w:tab w:val="clear" w:pos="851"/>
          <w:tab w:val="left" w:pos="567"/>
        </w:tabs>
        <w:ind w:left="1134" w:hanging="567"/>
        <w:rPr>
          <w:rFonts w:asciiTheme="minorHAnsi" w:hAnsiTheme="minorHAnsi"/>
        </w:rPr>
      </w:pPr>
      <w:r w:rsidRPr="003906F5">
        <w:rPr>
          <w:rFonts w:asciiTheme="minorHAnsi" w:hAnsiTheme="minorHAnsi"/>
        </w:rPr>
        <w:t xml:space="preserve">seeking an explanation/information; or </w:t>
      </w:r>
    </w:p>
    <w:p w:rsidR="00CD18D3" w:rsidRPr="003906F5" w:rsidRDefault="00CD18D3" w:rsidP="00CD18D3">
      <w:pPr>
        <w:pStyle w:val="Bullet1"/>
        <w:numPr>
          <w:ilvl w:val="0"/>
          <w:numId w:val="43"/>
        </w:numPr>
        <w:tabs>
          <w:tab w:val="clear" w:pos="851"/>
          <w:tab w:val="left" w:pos="567"/>
        </w:tabs>
        <w:ind w:left="1134" w:hanging="567"/>
        <w:rPr>
          <w:rFonts w:asciiTheme="minorHAnsi" w:hAnsiTheme="minorHAnsi"/>
        </w:rPr>
      </w:pPr>
      <w:r w:rsidRPr="003906F5">
        <w:rPr>
          <w:rFonts w:asciiTheme="minorHAnsi" w:hAnsiTheme="minorHAnsi"/>
        </w:rPr>
        <w:t>seeking further explanation/information subsequent to a response; or</w:t>
      </w:r>
    </w:p>
    <w:p w:rsidR="00CD18D3" w:rsidRPr="003906F5" w:rsidRDefault="00CD18D3" w:rsidP="00CD18D3">
      <w:pPr>
        <w:pStyle w:val="Bullet1"/>
        <w:numPr>
          <w:ilvl w:val="0"/>
          <w:numId w:val="43"/>
        </w:numPr>
        <w:tabs>
          <w:tab w:val="clear" w:pos="851"/>
          <w:tab w:val="left" w:pos="567"/>
        </w:tabs>
        <w:ind w:left="1134" w:hanging="567"/>
        <w:rPr>
          <w:rFonts w:asciiTheme="minorHAnsi" w:hAnsiTheme="minorHAnsi"/>
        </w:rPr>
      </w:pPr>
      <w:r w:rsidRPr="003906F5">
        <w:rPr>
          <w:rFonts w:asciiTheme="minorHAnsi" w:hAnsiTheme="minorHAnsi"/>
        </w:rPr>
        <w:t>on an advice only basis.</w:t>
      </w:r>
    </w:p>
    <w:p w:rsidR="00CD18D3" w:rsidRPr="003906F5" w:rsidRDefault="00CD18D3" w:rsidP="00CD18D3">
      <w:pPr>
        <w:pStyle w:val="Bullet1"/>
        <w:tabs>
          <w:tab w:val="clear" w:pos="851"/>
          <w:tab w:val="left" w:pos="567"/>
        </w:tabs>
        <w:ind w:left="567" w:hanging="567"/>
        <w:rPr>
          <w:rFonts w:asciiTheme="minorHAnsi" w:hAnsiTheme="minorHAnsi"/>
        </w:rPr>
      </w:pPr>
      <w:r w:rsidRPr="003906F5">
        <w:rPr>
          <w:rFonts w:asciiTheme="minorHAnsi" w:hAnsiTheme="minorHAnsi"/>
          <w:b/>
        </w:rPr>
        <w:t>Chapter 2 Concluded matters</w:t>
      </w:r>
      <w:r w:rsidRPr="003906F5">
        <w:rPr>
          <w:rFonts w:asciiTheme="minorHAnsi" w:hAnsiTheme="minorHAnsi"/>
        </w:rPr>
        <w:t>: sets out matters which have been concluded following the receipt of additional information from ministers or relevant instrument-makers, including by the giving of an undertaking to review, amend or remake a given instrument at a future date.</w:t>
      </w:r>
    </w:p>
    <w:p w:rsidR="00CD18D3" w:rsidRPr="003906F5" w:rsidRDefault="00CD18D3" w:rsidP="00CD18D3">
      <w:pPr>
        <w:pStyle w:val="Heading3"/>
        <w:rPr>
          <w:rFonts w:asciiTheme="minorHAnsi" w:hAnsiTheme="minorHAnsi"/>
        </w:rPr>
      </w:pPr>
      <w:r w:rsidRPr="003906F5">
        <w:rPr>
          <w:rFonts w:asciiTheme="minorHAnsi" w:hAnsiTheme="minorHAnsi"/>
        </w:rPr>
        <w:t>Ministerial correspondence</w:t>
      </w:r>
    </w:p>
    <w:p w:rsidR="00CD18D3" w:rsidRPr="003906F5" w:rsidRDefault="00CD18D3" w:rsidP="00CD18D3">
      <w:pPr>
        <w:rPr>
          <w:szCs w:val="26"/>
        </w:rPr>
      </w:pPr>
      <w:r w:rsidRPr="003906F5">
        <w:rPr>
          <w:szCs w:val="26"/>
        </w:rPr>
        <w:t>Correspondence relating to matters raised by the committee is published on the committee's website.</w:t>
      </w:r>
      <w:r w:rsidRPr="003906F5">
        <w:rPr>
          <w:rStyle w:val="FootnoteReference"/>
          <w:szCs w:val="26"/>
        </w:rPr>
        <w:footnoteReference w:id="3"/>
      </w:r>
    </w:p>
    <w:p w:rsidR="00CD18D3" w:rsidRPr="003906F5" w:rsidRDefault="00CD18D3" w:rsidP="00CD18D3">
      <w:pPr>
        <w:pStyle w:val="Heading3"/>
        <w:rPr>
          <w:rFonts w:asciiTheme="minorHAnsi" w:hAnsiTheme="minorHAnsi"/>
        </w:rPr>
      </w:pPr>
      <w:r w:rsidRPr="003906F5">
        <w:rPr>
          <w:rFonts w:asciiTheme="minorHAnsi" w:hAnsiTheme="minorHAnsi"/>
        </w:rPr>
        <w:t>Guidelines</w:t>
      </w:r>
    </w:p>
    <w:p w:rsidR="00CD18D3" w:rsidRPr="00EA011E" w:rsidRDefault="00CD18D3" w:rsidP="00CD18D3">
      <w:r w:rsidRPr="003906F5">
        <w:t>Guidelines referred to by the committee are published on the committee's website.</w:t>
      </w:r>
      <w:r w:rsidRPr="003906F5">
        <w:rPr>
          <w:rStyle w:val="FootnoteReference"/>
        </w:rPr>
        <w:footnoteReference w:id="4"/>
      </w:r>
    </w:p>
    <w:p w:rsidR="00CD18D3" w:rsidRPr="005B393E" w:rsidRDefault="00CD18D3" w:rsidP="00CD18D3">
      <w:pPr>
        <w:pStyle w:val="Heading3"/>
        <w:rPr>
          <w:rFonts w:asciiTheme="minorHAnsi" w:hAnsiTheme="minorHAnsi"/>
        </w:rPr>
      </w:pPr>
      <w:r w:rsidRPr="005B393E">
        <w:rPr>
          <w:rFonts w:asciiTheme="minorHAnsi" w:hAnsiTheme="minorHAnsi"/>
        </w:rPr>
        <w:t>Acknowledgement</w:t>
      </w:r>
    </w:p>
    <w:p w:rsidR="00CD18D3" w:rsidRPr="005B393E" w:rsidRDefault="00CD18D3" w:rsidP="00CD18D3">
      <w:pPr>
        <w:pStyle w:val="Level1"/>
        <w:numPr>
          <w:ilvl w:val="0"/>
          <w:numId w:val="0"/>
        </w:numPr>
        <w:rPr>
          <w:rFonts w:asciiTheme="minorHAnsi" w:hAnsiTheme="minorHAnsi"/>
        </w:rPr>
      </w:pPr>
      <w:r w:rsidRPr="005B393E">
        <w:rPr>
          <w:rFonts w:asciiTheme="minorHAnsi" w:hAnsiTheme="minorHAnsi"/>
        </w:rPr>
        <w:t>The committee wishes to acknowledge the cooperation of the ministers,</w:t>
      </w:r>
      <w:r w:rsidRPr="005B393E">
        <w:rPr>
          <w:rFonts w:asciiTheme="minorHAnsi" w:hAnsiTheme="minorHAnsi"/>
        </w:rPr>
        <w:br/>
        <w:t>instrument-makers and departments who assisted the committee with its consideration of the issues raised in this monitor.</w:t>
      </w:r>
    </w:p>
    <w:p w:rsidR="00CD18D3" w:rsidRPr="005B393E" w:rsidRDefault="00CD18D3" w:rsidP="00CD18D3">
      <w:pPr>
        <w:pStyle w:val="Heading3"/>
        <w:rPr>
          <w:rFonts w:asciiTheme="minorHAnsi" w:hAnsiTheme="minorHAnsi"/>
        </w:rPr>
      </w:pPr>
      <w:r w:rsidRPr="005B393E">
        <w:rPr>
          <w:rFonts w:asciiTheme="minorHAnsi" w:hAnsiTheme="minorHAnsi"/>
        </w:rPr>
        <w:t>General information</w:t>
      </w:r>
    </w:p>
    <w:p w:rsidR="00CD18D3" w:rsidRPr="005B393E" w:rsidRDefault="00CD18D3" w:rsidP="00CD18D3">
      <w:pPr>
        <w:pStyle w:val="Level1"/>
        <w:numPr>
          <w:ilvl w:val="0"/>
          <w:numId w:val="0"/>
        </w:numPr>
        <w:rPr>
          <w:rFonts w:asciiTheme="minorHAnsi" w:hAnsiTheme="minorHAnsi"/>
        </w:rPr>
      </w:pPr>
      <w:r w:rsidRPr="005B393E">
        <w:rPr>
          <w:rFonts w:asciiTheme="minorHAnsi" w:hAnsiTheme="minorHAnsi"/>
        </w:rPr>
        <w:t>The Federal Register of Legislation should be consulted for the text of instruments, explanatory statements, and associated information.</w:t>
      </w:r>
      <w:r w:rsidRPr="005B393E">
        <w:rPr>
          <w:rStyle w:val="FootnoteReference"/>
          <w:rFonts w:asciiTheme="minorHAnsi" w:hAnsiTheme="minorHAnsi"/>
        </w:rPr>
        <w:footnoteReference w:id="5"/>
      </w:r>
      <w:r w:rsidRPr="005B393E">
        <w:rPr>
          <w:rFonts w:asciiTheme="minorHAnsi" w:hAnsiTheme="minorHAnsi"/>
        </w:rPr>
        <w:t xml:space="preserve"> </w:t>
      </w:r>
    </w:p>
    <w:p w:rsidR="00CD18D3" w:rsidRPr="005B393E" w:rsidRDefault="00CD18D3" w:rsidP="00CD18D3">
      <w:pPr>
        <w:pStyle w:val="Level1"/>
        <w:numPr>
          <w:ilvl w:val="0"/>
          <w:numId w:val="0"/>
        </w:numPr>
        <w:rPr>
          <w:rFonts w:asciiTheme="minorHAnsi" w:hAnsiTheme="minorHAnsi"/>
        </w:rPr>
      </w:pPr>
      <w:r w:rsidRPr="005B393E">
        <w:rPr>
          <w:rFonts w:asciiTheme="minorHAnsi" w:hAnsiTheme="minorHAnsi"/>
        </w:rPr>
        <w:t>The Senate Disallowable Instruments List provides an informal listing of tabled instruments for which disallowance motions may be moved in the Senate.</w:t>
      </w:r>
      <w:r w:rsidRPr="005B393E">
        <w:rPr>
          <w:rStyle w:val="FootnoteReference"/>
          <w:rFonts w:asciiTheme="minorHAnsi" w:hAnsiTheme="minorHAnsi"/>
        </w:rPr>
        <w:footnoteReference w:id="6"/>
      </w:r>
      <w:r w:rsidRPr="005B393E">
        <w:rPr>
          <w:rFonts w:asciiTheme="minorHAnsi" w:hAnsiTheme="minorHAnsi"/>
        </w:rPr>
        <w:t xml:space="preserve"> </w:t>
      </w:r>
    </w:p>
    <w:p w:rsidR="00CD18D3" w:rsidRPr="005B393E" w:rsidRDefault="00CD18D3" w:rsidP="00CD18D3">
      <w:pPr>
        <w:pStyle w:val="Level1"/>
        <w:numPr>
          <w:ilvl w:val="0"/>
          <w:numId w:val="0"/>
        </w:numPr>
        <w:rPr>
          <w:rFonts w:asciiTheme="minorHAnsi" w:hAnsiTheme="minorHAnsi"/>
          <w:b/>
        </w:rPr>
      </w:pPr>
      <w:r w:rsidRPr="005B393E">
        <w:rPr>
          <w:rFonts w:asciiTheme="minorHAnsi" w:hAnsiTheme="minorHAnsi"/>
        </w:rPr>
        <w:lastRenderedPageBreak/>
        <w:t>The Disallowance Alert records all notices of motion for the disallowance of instruments, and their progress and eventual outcome.</w:t>
      </w:r>
      <w:r w:rsidRPr="005B393E">
        <w:rPr>
          <w:rStyle w:val="FootnoteReference"/>
          <w:rFonts w:asciiTheme="minorHAnsi" w:hAnsiTheme="minorHAnsi"/>
        </w:rPr>
        <w:footnoteReference w:id="7"/>
      </w:r>
      <w:r w:rsidRPr="005B393E">
        <w:rPr>
          <w:rFonts w:asciiTheme="minorHAnsi" w:hAnsiTheme="minorHAnsi"/>
        </w:rPr>
        <w:t xml:space="preserve"> </w:t>
      </w:r>
    </w:p>
    <w:p w:rsidR="00CD18D3" w:rsidRPr="005B393E" w:rsidRDefault="00CD18D3" w:rsidP="00CD18D3">
      <w:pPr>
        <w:pStyle w:val="Bullet1"/>
        <w:numPr>
          <w:ilvl w:val="0"/>
          <w:numId w:val="0"/>
        </w:numPr>
        <w:spacing w:after="0"/>
        <w:ind w:left="851" w:hanging="851"/>
        <w:rPr>
          <w:rFonts w:asciiTheme="minorHAnsi" w:hAnsiTheme="minorHAnsi"/>
          <w:b/>
          <w:sz w:val="24"/>
          <w:szCs w:val="24"/>
        </w:rPr>
      </w:pPr>
    </w:p>
    <w:p w:rsidR="00CD18D3" w:rsidRPr="005B393E" w:rsidRDefault="00CD18D3" w:rsidP="00CD18D3">
      <w:pPr>
        <w:pStyle w:val="Bullet1"/>
        <w:numPr>
          <w:ilvl w:val="0"/>
          <w:numId w:val="0"/>
        </w:numPr>
        <w:spacing w:after="0"/>
        <w:ind w:left="851" w:hanging="851"/>
        <w:rPr>
          <w:rFonts w:asciiTheme="minorHAnsi" w:hAnsiTheme="minorHAnsi"/>
          <w:b/>
          <w:sz w:val="24"/>
          <w:szCs w:val="24"/>
        </w:rPr>
      </w:pPr>
    </w:p>
    <w:p w:rsidR="00CD18D3" w:rsidRDefault="00CD18D3" w:rsidP="00CD18D3">
      <w:pPr>
        <w:spacing w:before="0" w:after="0"/>
        <w:jc w:val="left"/>
        <w:rPr>
          <w:rFonts w:asciiTheme="minorHAnsi" w:hAnsiTheme="minorHAnsi"/>
          <w:b/>
          <w:sz w:val="24"/>
          <w:szCs w:val="24"/>
        </w:rPr>
      </w:pPr>
      <w:r>
        <w:rPr>
          <w:rFonts w:asciiTheme="minorHAnsi" w:hAnsiTheme="minorHAnsi"/>
          <w:b/>
          <w:sz w:val="24"/>
          <w:szCs w:val="24"/>
        </w:rPr>
        <w:br w:type="page"/>
      </w:r>
    </w:p>
    <w:p w:rsidR="00CD18D3" w:rsidRPr="005B393E" w:rsidRDefault="00CD18D3" w:rsidP="00CD18D3">
      <w:pPr>
        <w:pStyle w:val="Bullet1"/>
        <w:numPr>
          <w:ilvl w:val="0"/>
          <w:numId w:val="0"/>
        </w:numPr>
        <w:spacing w:after="240"/>
        <w:ind w:left="851" w:hanging="851"/>
        <w:rPr>
          <w:rFonts w:asciiTheme="minorHAnsi" w:hAnsiTheme="minorHAnsi"/>
          <w:b/>
          <w:sz w:val="24"/>
          <w:szCs w:val="24"/>
        </w:rPr>
      </w:pPr>
    </w:p>
    <w:p w:rsidR="00CD18D3" w:rsidRDefault="00CD18D3" w:rsidP="00CD18D3">
      <w:pPr>
        <w:pStyle w:val="Heading1"/>
        <w:spacing w:before="120"/>
        <w:sectPr w:rsidR="00CD18D3" w:rsidSect="002B2721">
          <w:footerReference w:type="even" r:id="rId24"/>
          <w:headerReference w:type="first" r:id="rId25"/>
          <w:pgSz w:w="11906" w:h="16838" w:code="9"/>
          <w:pgMar w:top="1440" w:right="1440" w:bottom="1202" w:left="1440" w:header="1134" w:footer="720" w:gutter="0"/>
          <w:pgNumType w:fmt="lowerRoman" w:start="9"/>
          <w:cols w:space="720"/>
          <w:titlePg/>
        </w:sectPr>
      </w:pPr>
    </w:p>
    <w:p w:rsidR="00CD18D3" w:rsidRPr="00E54765" w:rsidRDefault="00CD18D3" w:rsidP="00CD18D3">
      <w:pPr>
        <w:pStyle w:val="Heading1"/>
        <w:spacing w:before="120"/>
      </w:pPr>
      <w:r w:rsidRPr="00E54765">
        <w:lastRenderedPageBreak/>
        <w:t>Chapter 1</w:t>
      </w:r>
    </w:p>
    <w:p w:rsidR="00CD18D3" w:rsidRPr="00E54765" w:rsidRDefault="00CD18D3" w:rsidP="002B2721">
      <w:pPr>
        <w:pStyle w:val="Heading2"/>
        <w:spacing w:line="276" w:lineRule="auto"/>
      </w:pPr>
      <w:r w:rsidRPr="00E54765">
        <w:t>New and continuing matters</w:t>
      </w:r>
    </w:p>
    <w:p w:rsidR="00CD18D3" w:rsidRDefault="00CD18D3" w:rsidP="00CD18D3">
      <w:pPr>
        <w:pStyle w:val="Level1"/>
        <w:numPr>
          <w:ilvl w:val="0"/>
          <w:numId w:val="0"/>
        </w:numPr>
      </w:pPr>
      <w:r w:rsidRPr="00E54765">
        <w:t xml:space="preserve">This chapter details concerns in relation to disallowable instruments of delegated legislation received by the Senate Standing Committee on Regulations and Ordinances </w:t>
      </w:r>
      <w:r>
        <w:t>(the committee) between 7 J</w:t>
      </w:r>
      <w:r w:rsidRPr="00793EBD">
        <w:t xml:space="preserve">uly 2017 and </w:t>
      </w:r>
      <w:r w:rsidRPr="00BF0E40">
        <w:t>10 August 2017</w:t>
      </w:r>
      <w:r>
        <w:br/>
      </w:r>
      <w:r w:rsidRPr="00E54765">
        <w:t>(new matter</w:t>
      </w:r>
      <w:r w:rsidRPr="00276DA3">
        <w:t>s); and matters previously raised in relation to which the committee seeks further information (continuing matters).</w:t>
      </w:r>
    </w:p>
    <w:p w:rsidR="00CD18D3" w:rsidRPr="00E54765" w:rsidRDefault="00CD18D3" w:rsidP="00CD18D3">
      <w:pPr>
        <w:pStyle w:val="Level1"/>
        <w:numPr>
          <w:ilvl w:val="0"/>
          <w:numId w:val="0"/>
        </w:numPr>
      </w:pPr>
      <w:r w:rsidRPr="00C14A20">
        <w:t>Guidelines referred to by the committee are published on the committee's website.</w:t>
      </w:r>
      <w:r w:rsidRPr="00C14A20">
        <w:rPr>
          <w:rStyle w:val="FootnoteReference"/>
        </w:rPr>
        <w:footnoteReference w:id="8"/>
      </w:r>
    </w:p>
    <w:p w:rsidR="00CD18D3" w:rsidRPr="00E54765" w:rsidRDefault="00CD18D3" w:rsidP="002B2721">
      <w:pPr>
        <w:pStyle w:val="Heading2"/>
        <w:spacing w:line="276" w:lineRule="auto"/>
      </w:pPr>
      <w:r w:rsidRPr="00E54765">
        <w:t>Response required</w:t>
      </w:r>
    </w:p>
    <w:p w:rsidR="00CD18D3" w:rsidRDefault="00CD18D3" w:rsidP="00CD18D3">
      <w:pPr>
        <w:pStyle w:val="Level1"/>
        <w:numPr>
          <w:ilvl w:val="0"/>
          <w:numId w:val="0"/>
        </w:numPr>
      </w:pPr>
      <w:r w:rsidRPr="00E54765">
        <w:t>The committee requests an explanation or information from relevant ministers or instrument-makers with respect to the following concerns.</w:t>
      </w:r>
    </w:p>
    <w:p w:rsidR="00CD18D3" w:rsidRDefault="00CD18D3" w:rsidP="00CD18D3">
      <w:pPr>
        <w:pStyle w:val="Level1"/>
        <w:numPr>
          <w:ilvl w:val="0"/>
          <w:numId w:val="0"/>
        </w:numPr>
        <w:spacing w:before="0"/>
      </w:pPr>
    </w:p>
    <w:p w:rsidR="002B2721" w:rsidRDefault="002B2721" w:rsidP="00CD18D3">
      <w:pPr>
        <w:pStyle w:val="Level1"/>
        <w:numPr>
          <w:ilvl w:val="0"/>
          <w:numId w:val="0"/>
        </w:numPr>
        <w:spacing w:before="0"/>
      </w:pPr>
    </w:p>
    <w:tbl>
      <w:tblPr>
        <w:tblW w:w="0" w:type="auto"/>
        <w:tblInd w:w="108" w:type="dxa"/>
        <w:tblLook w:val="04A0" w:firstRow="1" w:lastRow="0" w:firstColumn="1" w:lastColumn="0" w:noHBand="0" w:noVBand="1"/>
      </w:tblPr>
      <w:tblGrid>
        <w:gridCol w:w="2694"/>
        <w:gridCol w:w="6378"/>
      </w:tblGrid>
      <w:tr w:rsidR="00CD18D3" w:rsidRPr="00322850" w:rsidTr="002B2721">
        <w:tc>
          <w:tcPr>
            <w:tcW w:w="2694" w:type="dxa"/>
            <w:tcBorders>
              <w:top w:val="single" w:sz="12" w:space="0" w:color="auto"/>
              <w:right w:val="single" w:sz="12" w:space="0" w:color="auto"/>
            </w:tcBorders>
          </w:tcPr>
          <w:p w:rsidR="00CD18D3" w:rsidRPr="00322850" w:rsidRDefault="00CD18D3" w:rsidP="002B2721">
            <w:pPr>
              <w:rPr>
                <w:b/>
                <w:sz w:val="24"/>
                <w:szCs w:val="24"/>
              </w:rPr>
            </w:pPr>
            <w:r w:rsidRPr="00322850">
              <w:rPr>
                <w:b/>
                <w:sz w:val="24"/>
                <w:szCs w:val="24"/>
              </w:rPr>
              <w:t>Instrument</w:t>
            </w:r>
          </w:p>
        </w:tc>
        <w:tc>
          <w:tcPr>
            <w:tcW w:w="6378" w:type="dxa"/>
            <w:tcBorders>
              <w:top w:val="single" w:sz="12" w:space="0" w:color="auto"/>
              <w:left w:val="single" w:sz="12" w:space="0" w:color="auto"/>
            </w:tcBorders>
          </w:tcPr>
          <w:p w:rsidR="00CD18D3" w:rsidRPr="00322850" w:rsidRDefault="00CD18D3" w:rsidP="002B2721">
            <w:pPr>
              <w:pStyle w:val="Heading3"/>
              <w:rPr>
                <w:sz w:val="24"/>
                <w:szCs w:val="24"/>
              </w:rPr>
            </w:pPr>
            <w:r w:rsidRPr="00786081">
              <w:rPr>
                <w:noProof/>
                <w:sz w:val="24"/>
                <w:szCs w:val="24"/>
              </w:rPr>
              <w:t>Airports (Protection of Airspace) Amendment Regulations 2017 [F2017L00969]</w:t>
            </w:r>
          </w:p>
        </w:tc>
      </w:tr>
      <w:tr w:rsidR="00CD18D3" w:rsidRPr="00322850" w:rsidTr="002B2721">
        <w:tc>
          <w:tcPr>
            <w:tcW w:w="2694" w:type="dxa"/>
            <w:tcBorders>
              <w:right w:val="single" w:sz="12" w:space="0" w:color="auto"/>
            </w:tcBorders>
          </w:tcPr>
          <w:p w:rsidR="00CD18D3" w:rsidRPr="00322850" w:rsidRDefault="00CD18D3" w:rsidP="002B2721">
            <w:pPr>
              <w:rPr>
                <w:b/>
                <w:sz w:val="24"/>
                <w:szCs w:val="24"/>
              </w:rPr>
            </w:pPr>
            <w:r w:rsidRPr="00322850">
              <w:rPr>
                <w:b/>
                <w:sz w:val="24"/>
                <w:szCs w:val="24"/>
              </w:rPr>
              <w:t>Purpose</w:t>
            </w:r>
          </w:p>
        </w:tc>
        <w:tc>
          <w:tcPr>
            <w:tcW w:w="6378" w:type="dxa"/>
            <w:tcBorders>
              <w:left w:val="single" w:sz="12" w:space="0" w:color="auto"/>
            </w:tcBorders>
          </w:tcPr>
          <w:p w:rsidR="00CD18D3" w:rsidRPr="00322850" w:rsidRDefault="00CD18D3" w:rsidP="002B2721">
            <w:pPr>
              <w:rPr>
                <w:sz w:val="24"/>
                <w:szCs w:val="24"/>
              </w:rPr>
            </w:pPr>
            <w:r w:rsidRPr="00786081">
              <w:rPr>
                <w:noProof/>
                <w:sz w:val="24"/>
                <w:szCs w:val="24"/>
              </w:rPr>
              <w:t>Amend the Airports (Protection of Airspace) Regulations 1996 to exempt certain controlled activities on and around the Sydney West Airport site during airport construction and prior to the commencement of air transport operations</w:t>
            </w:r>
          </w:p>
        </w:tc>
      </w:tr>
      <w:tr w:rsidR="00CD18D3" w:rsidRPr="00322850" w:rsidTr="002B2721">
        <w:tc>
          <w:tcPr>
            <w:tcW w:w="2694" w:type="dxa"/>
            <w:tcBorders>
              <w:right w:val="single" w:sz="12" w:space="0" w:color="auto"/>
            </w:tcBorders>
          </w:tcPr>
          <w:p w:rsidR="00CD18D3" w:rsidRPr="00322850" w:rsidRDefault="00CD18D3" w:rsidP="002B2721">
            <w:pPr>
              <w:rPr>
                <w:b/>
                <w:sz w:val="24"/>
                <w:szCs w:val="24"/>
              </w:rPr>
            </w:pPr>
            <w:r w:rsidRPr="00322850">
              <w:rPr>
                <w:b/>
                <w:sz w:val="24"/>
                <w:szCs w:val="24"/>
              </w:rPr>
              <w:t>Authorising legislation</w:t>
            </w:r>
          </w:p>
        </w:tc>
        <w:tc>
          <w:tcPr>
            <w:tcW w:w="6378" w:type="dxa"/>
            <w:tcBorders>
              <w:left w:val="single" w:sz="12" w:space="0" w:color="auto"/>
            </w:tcBorders>
          </w:tcPr>
          <w:p w:rsidR="00CD18D3" w:rsidRPr="00322850" w:rsidRDefault="00CD18D3" w:rsidP="002B2721">
            <w:pPr>
              <w:rPr>
                <w:i/>
                <w:sz w:val="24"/>
                <w:szCs w:val="24"/>
              </w:rPr>
            </w:pPr>
            <w:r w:rsidRPr="00786081">
              <w:rPr>
                <w:i/>
                <w:noProof/>
                <w:sz w:val="24"/>
                <w:szCs w:val="24"/>
              </w:rPr>
              <w:t>Airports Act 1996</w:t>
            </w:r>
          </w:p>
        </w:tc>
      </w:tr>
      <w:tr w:rsidR="00CD18D3" w:rsidRPr="00322850" w:rsidTr="002B2721">
        <w:tc>
          <w:tcPr>
            <w:tcW w:w="2694" w:type="dxa"/>
            <w:tcBorders>
              <w:right w:val="single" w:sz="12" w:space="0" w:color="auto"/>
            </w:tcBorders>
          </w:tcPr>
          <w:p w:rsidR="00CD18D3" w:rsidRPr="00322850" w:rsidRDefault="00CD18D3" w:rsidP="002B2721">
            <w:pPr>
              <w:rPr>
                <w:b/>
                <w:sz w:val="24"/>
                <w:szCs w:val="24"/>
              </w:rPr>
            </w:pPr>
            <w:r w:rsidRPr="00322850">
              <w:rPr>
                <w:b/>
                <w:sz w:val="24"/>
                <w:szCs w:val="24"/>
              </w:rPr>
              <w:t>Department</w:t>
            </w:r>
          </w:p>
        </w:tc>
        <w:tc>
          <w:tcPr>
            <w:tcW w:w="6378" w:type="dxa"/>
            <w:tcBorders>
              <w:left w:val="single" w:sz="12" w:space="0" w:color="auto"/>
            </w:tcBorders>
          </w:tcPr>
          <w:p w:rsidR="00CD18D3" w:rsidRPr="00322850" w:rsidRDefault="00CD18D3" w:rsidP="002B2721">
            <w:pPr>
              <w:rPr>
                <w:sz w:val="24"/>
                <w:szCs w:val="24"/>
              </w:rPr>
            </w:pPr>
            <w:r w:rsidRPr="00786081">
              <w:rPr>
                <w:noProof/>
                <w:sz w:val="24"/>
                <w:szCs w:val="24"/>
              </w:rPr>
              <w:t>Infrastructure and Regional Development</w:t>
            </w:r>
          </w:p>
        </w:tc>
      </w:tr>
      <w:tr w:rsidR="00CD18D3" w:rsidRPr="00322850" w:rsidTr="002B2721">
        <w:tc>
          <w:tcPr>
            <w:tcW w:w="2694" w:type="dxa"/>
            <w:tcBorders>
              <w:right w:val="single" w:sz="12" w:space="0" w:color="auto"/>
            </w:tcBorders>
          </w:tcPr>
          <w:p w:rsidR="00CD18D3" w:rsidRPr="00322850" w:rsidRDefault="00CD18D3" w:rsidP="002B2721">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CD18D3" w:rsidRPr="00322850" w:rsidRDefault="00CD18D3" w:rsidP="002B2721">
            <w:pPr>
              <w:rPr>
                <w:sz w:val="24"/>
                <w:szCs w:val="24"/>
              </w:rPr>
            </w:pPr>
            <w:r>
              <w:rPr>
                <w:sz w:val="24"/>
                <w:szCs w:val="24"/>
              </w:rPr>
              <w:t xml:space="preserve">15 sitting days after tabling (tabled Senate </w:t>
            </w:r>
            <w:r w:rsidRPr="00786081">
              <w:rPr>
                <w:noProof/>
                <w:sz w:val="24"/>
                <w:szCs w:val="24"/>
              </w:rPr>
              <w:t>8 August</w:t>
            </w:r>
            <w:r>
              <w:rPr>
                <w:sz w:val="24"/>
                <w:szCs w:val="24"/>
              </w:rPr>
              <w:t xml:space="preserve"> 2017)</w:t>
            </w:r>
            <w:r>
              <w:rPr>
                <w:sz w:val="24"/>
                <w:szCs w:val="24"/>
              </w:rPr>
              <w:br/>
              <w:t>Notice of motion to disallow currently must be given by</w:t>
            </w:r>
            <w:r>
              <w:rPr>
                <w:sz w:val="24"/>
                <w:szCs w:val="24"/>
              </w:rPr>
              <w:br/>
            </w:r>
            <w:r w:rsidRPr="00786081">
              <w:rPr>
                <w:noProof/>
                <w:sz w:val="24"/>
                <w:szCs w:val="24"/>
              </w:rPr>
              <w:t>16 October</w:t>
            </w:r>
            <w:r>
              <w:rPr>
                <w:sz w:val="24"/>
                <w:szCs w:val="24"/>
              </w:rPr>
              <w:t xml:space="preserve"> 2017</w:t>
            </w:r>
          </w:p>
        </w:tc>
      </w:tr>
      <w:tr w:rsidR="00CD18D3" w:rsidRPr="00322850" w:rsidTr="002B2721">
        <w:tc>
          <w:tcPr>
            <w:tcW w:w="2694" w:type="dxa"/>
            <w:tcBorders>
              <w:bottom w:val="single" w:sz="12" w:space="0" w:color="auto"/>
              <w:right w:val="single" w:sz="12" w:space="0" w:color="auto"/>
            </w:tcBorders>
          </w:tcPr>
          <w:p w:rsidR="00CD18D3" w:rsidRPr="00322850" w:rsidRDefault="00CD18D3" w:rsidP="002B2721">
            <w:pPr>
              <w:rPr>
                <w:b/>
                <w:sz w:val="24"/>
                <w:szCs w:val="24"/>
              </w:rPr>
            </w:pPr>
            <w:r w:rsidRPr="00322850">
              <w:rPr>
                <w:b/>
                <w:sz w:val="24"/>
                <w:szCs w:val="24"/>
              </w:rPr>
              <w:t>Scrutiny principle</w:t>
            </w:r>
          </w:p>
        </w:tc>
        <w:tc>
          <w:tcPr>
            <w:tcW w:w="6378" w:type="dxa"/>
            <w:tcBorders>
              <w:left w:val="single" w:sz="12" w:space="0" w:color="auto"/>
              <w:bottom w:val="single" w:sz="12" w:space="0" w:color="auto"/>
            </w:tcBorders>
          </w:tcPr>
          <w:p w:rsidR="00CD18D3" w:rsidRPr="00322850" w:rsidRDefault="00CD18D3" w:rsidP="002B2721">
            <w:pPr>
              <w:rPr>
                <w:sz w:val="24"/>
                <w:szCs w:val="24"/>
              </w:rPr>
            </w:pPr>
            <w:r w:rsidRPr="00322850">
              <w:rPr>
                <w:sz w:val="24"/>
                <w:szCs w:val="24"/>
              </w:rPr>
              <w:t>Standing Order 23(3)</w:t>
            </w:r>
            <w:r w:rsidRPr="00786081">
              <w:rPr>
                <w:noProof/>
                <w:sz w:val="24"/>
                <w:szCs w:val="24"/>
              </w:rPr>
              <w:t>(a)</w:t>
            </w:r>
          </w:p>
        </w:tc>
      </w:tr>
    </w:tbl>
    <w:p w:rsidR="00CD18D3" w:rsidRDefault="00CD18D3" w:rsidP="00CD18D3">
      <w:pPr>
        <w:spacing w:before="0" w:after="0"/>
        <w:rPr>
          <w:b/>
          <w:noProof/>
        </w:rPr>
      </w:pPr>
    </w:p>
    <w:p w:rsidR="00CD18D3" w:rsidRPr="00786081" w:rsidRDefault="00CD18D3" w:rsidP="00CD18D3">
      <w:pPr>
        <w:rPr>
          <w:b/>
          <w:noProof/>
        </w:rPr>
      </w:pPr>
      <w:r>
        <w:rPr>
          <w:b/>
          <w:noProof/>
        </w:rPr>
        <w:t>Manner of incorporation</w:t>
      </w:r>
    </w:p>
    <w:p w:rsidR="00CD18D3" w:rsidRPr="008B0EEC" w:rsidRDefault="00CD18D3" w:rsidP="00CD18D3">
      <w:pPr>
        <w:rPr>
          <w:noProof/>
        </w:rPr>
      </w:pPr>
      <w:r w:rsidRPr="008B0EEC">
        <w:rPr>
          <w:noProof/>
        </w:rPr>
        <w:t xml:space="preserve">Section 14 of the </w:t>
      </w:r>
      <w:r w:rsidRPr="008B0EEC">
        <w:rPr>
          <w:i/>
          <w:noProof/>
        </w:rPr>
        <w:t>Legislation Act 2003</w:t>
      </w:r>
      <w:r w:rsidRPr="008B0EEC">
        <w:rPr>
          <w:noProof/>
        </w:rPr>
        <w:t xml:space="preserve"> allows legislative instruments to make provision in relation to matters by incorporating Acts and disallowable legislative instruments, either as in force at a particular time or as in force from time to time. </w:t>
      </w:r>
      <w:r w:rsidRPr="008B0EEC">
        <w:rPr>
          <w:noProof/>
        </w:rPr>
        <w:lastRenderedPageBreak/>
        <w:t xml:space="preserve">Other documents may only be incorporated as in force at the commencement of the legislative instrument, unless authorising or other legislation alters the operation of section 14.   </w:t>
      </w:r>
    </w:p>
    <w:p w:rsidR="00CD18D3" w:rsidRDefault="00CD18D3" w:rsidP="00CD18D3">
      <w:r w:rsidRPr="000A1B44">
        <w:t xml:space="preserve">Item 11 of the regulations inserts new section 16A into the Airports (Protection of Airspace) Regulations 1996 which declares controlled activities in three classes to be exempt from Division 4 of Part 12 of the </w:t>
      </w:r>
      <w:r w:rsidRPr="000A1B44">
        <w:rPr>
          <w:i/>
          <w:iCs/>
        </w:rPr>
        <w:t>Airports Act 1996</w:t>
      </w:r>
      <w:r w:rsidRPr="000A1B44">
        <w:rPr>
          <w:iCs/>
        </w:rPr>
        <w:t xml:space="preserve"> (the Act)</w:t>
      </w:r>
      <w:r w:rsidRPr="000A1B44">
        <w:t>. With reference to the above, the committee notes that new subsection 16A(4) appears to incorporate an airport plan for the Sydney West Airport</w:t>
      </w:r>
      <w:r>
        <w:t xml:space="preserve"> (SWA)</w:t>
      </w:r>
      <w:r w:rsidRPr="000A1B44">
        <w:t>. While the ES notes that the Minister for Urban Infrastructure determined an airport plan for SWA under section</w:t>
      </w:r>
      <w:r>
        <w:t> </w:t>
      </w:r>
      <w:r w:rsidRPr="000A1B44">
        <w:t>96B(1) of the Act on 5 December 2016, neither the instrument nor the ES state the manner in which this document is incorporated.</w:t>
      </w:r>
    </w:p>
    <w:p w:rsidR="00CD18D3" w:rsidRDefault="00CD18D3" w:rsidP="00CD18D3">
      <w:r>
        <w:t xml:space="preserve">The committee expects instruments (and ideally their accompanying ESs) to clearly state the manner in which documents are incorporated (that is, either as in force from time to time or as in force at a particular time). This enables persons interested in or affected by the instrument to understand its operation without the need to rely on specialist legal knowledge or advice, or consult extrinsic material.  </w:t>
      </w:r>
    </w:p>
    <w:p w:rsidR="00CD18D3" w:rsidRPr="003937FE" w:rsidRDefault="00CD18D3" w:rsidP="00CD18D3">
      <w:pPr>
        <w:rPr>
          <w:rFonts w:asciiTheme="minorHAnsi" w:hAnsiTheme="minorHAnsi"/>
          <w:lang w:eastAsia="en-AU"/>
        </w:rPr>
      </w:pPr>
      <w:r w:rsidRPr="008B0EEC">
        <w:rPr>
          <w:rFonts w:asciiTheme="minorHAnsi" w:hAnsiTheme="minorHAnsi"/>
          <w:lang w:eastAsia="en-AU"/>
        </w:rPr>
        <w:t>The committee's expectations in this regard are set out in the guideline on incorporation of documents published on the committee's website.</w:t>
      </w:r>
      <w:r w:rsidRPr="008B0EEC">
        <w:rPr>
          <w:rStyle w:val="FootnoteReference"/>
          <w:rFonts w:asciiTheme="minorHAnsi" w:hAnsiTheme="minorHAnsi"/>
          <w:lang w:eastAsia="en-AU"/>
        </w:rPr>
        <w:footnoteReference w:id="9"/>
      </w:r>
      <w:r w:rsidRPr="008B0EEC">
        <w:rPr>
          <w:rFonts w:asciiTheme="minorHAnsi" w:hAnsiTheme="minorHAnsi"/>
          <w:lang w:eastAsia="en-AU"/>
        </w:rPr>
        <w:t xml:space="preserve"> </w:t>
      </w:r>
    </w:p>
    <w:p w:rsidR="00CD18D3" w:rsidRPr="00ED6A56" w:rsidRDefault="00CD18D3" w:rsidP="00CD18D3">
      <w:pPr>
        <w:spacing w:after="0"/>
        <w:rPr>
          <w:noProof/>
        </w:rPr>
      </w:pPr>
      <w:r w:rsidRPr="005623F3">
        <w:rPr>
          <w:b/>
          <w:noProof/>
        </w:rPr>
        <w:t>The committee requests the advice of the minister in relation to the above.</w:t>
      </w:r>
    </w:p>
    <w:p w:rsidR="00CD18D3" w:rsidRPr="00C25B02" w:rsidRDefault="00CD18D3" w:rsidP="00CD18D3">
      <w:pPr>
        <w:tabs>
          <w:tab w:val="left" w:pos="2268"/>
        </w:tabs>
        <w:spacing w:before="0" w:after="0"/>
        <w:rPr>
          <w:b/>
          <w:noProof/>
        </w:rPr>
      </w:pPr>
      <w:r>
        <w:rPr>
          <w:rFonts w:asciiTheme="minorHAnsi" w:hAnsiTheme="minorHAnsi"/>
          <w:lang w:eastAsia="en-AU"/>
        </w:rPr>
        <w:pict>
          <v:rect id="_x0000_i1031" style="width:222.95pt;height:.05pt" o:hrpct="494" o:hralign="center" o:hrstd="t" o:hr="t" fillcolor="#a0a0a0" stroked="f"/>
        </w:pict>
      </w:r>
    </w:p>
    <w:p w:rsidR="00CD18D3" w:rsidRDefault="00CD18D3" w:rsidP="00CD18D3">
      <w:pPr>
        <w:rPr>
          <w:b/>
          <w:noProof/>
        </w:rPr>
      </w:pPr>
      <w:r w:rsidRPr="00786081">
        <w:rPr>
          <w:b/>
          <w:noProof/>
        </w:rPr>
        <w:t>Access to incorporated document</w:t>
      </w:r>
    </w:p>
    <w:p w:rsidR="00CD18D3" w:rsidRPr="008B0EEC" w:rsidRDefault="00CD18D3" w:rsidP="00CD18D3">
      <w:pPr>
        <w:rPr>
          <w:noProof/>
        </w:rPr>
      </w:pPr>
      <w:r w:rsidRPr="008B0EEC">
        <w:rPr>
          <w:noProof/>
        </w:rPr>
        <w:t xml:space="preserve">Paragraph 15J(2)(c) of the </w:t>
      </w:r>
      <w:r w:rsidRPr="008B0EEC">
        <w:rPr>
          <w:i/>
          <w:noProof/>
        </w:rPr>
        <w:t>Legislation Act 2003</w:t>
      </w:r>
      <w:r w:rsidRPr="008B0EEC">
        <w:rPr>
          <w:noProof/>
        </w:rPr>
        <w:t xml:space="preserve"> requires the ES for a legislative instrument that incorporates a document to contain a description of that document and indicate how it may be obtained. </w:t>
      </w:r>
    </w:p>
    <w:p w:rsidR="00CD18D3" w:rsidRPr="008B0EEC" w:rsidRDefault="00CD18D3" w:rsidP="00CD18D3">
      <w:pPr>
        <w:rPr>
          <w:noProof/>
        </w:rPr>
      </w:pPr>
      <w:r w:rsidRPr="008B0EEC">
        <w:rPr>
          <w:noProof/>
        </w:rPr>
        <w:t xml:space="preserve">The committee's expectations where a legislative instrument incorporates a document generally accord with the approach of the Senate Standing Committee for the Scrutiny of Bills, which has consistently drawn attention to legislation that incorporates documents not readily and freely available (i.e. without cost) to the public. Generally, the committee will be concerned where incorporated documents are not publicly and freely available, because persons interested in or affected by the law may have inadequate access to its terms.  </w:t>
      </w:r>
    </w:p>
    <w:p w:rsidR="00CD18D3" w:rsidRPr="000A1B44" w:rsidRDefault="00CD18D3" w:rsidP="00CD18D3">
      <w:r w:rsidRPr="000A1B44">
        <w:t>With reference to the above, the committee notes that the instrument</w:t>
      </w:r>
      <w:r>
        <w:t xml:space="preserve"> appears to incorporate</w:t>
      </w:r>
      <w:r w:rsidRPr="000A1B44">
        <w:t xml:space="preserve"> an airport plan for the Sydney West Airport</w:t>
      </w:r>
      <w:r>
        <w:t xml:space="preserve"> (SWA)</w:t>
      </w:r>
      <w:r w:rsidRPr="000A1B44">
        <w:t>, and that the Minister for Urban Infrastructure determined an airport plan for SWA under section 96B(1) of the Act on 5 December 2016. However, the ES does not contain a</w:t>
      </w:r>
      <w:r>
        <w:t>ny further</w:t>
      </w:r>
      <w:r w:rsidRPr="000A1B44">
        <w:t xml:space="preserve"> description of this document, or indicate how the document may be obtained.</w:t>
      </w:r>
    </w:p>
    <w:p w:rsidR="00CD18D3" w:rsidRPr="000A1B44" w:rsidRDefault="00CD18D3" w:rsidP="00CD18D3">
      <w:r w:rsidRPr="000A1B44">
        <w:lastRenderedPageBreak/>
        <w:t xml:space="preserve">In this instance, the committee notes that the current airport plan for the </w:t>
      </w:r>
      <w:r>
        <w:t>SWA</w:t>
      </w:r>
      <w:r w:rsidRPr="000A1B44">
        <w:t xml:space="preserve"> is available for free online.</w:t>
      </w:r>
      <w:r w:rsidRPr="000A1B44">
        <w:rPr>
          <w:vertAlign w:val="superscript"/>
        </w:rPr>
        <w:footnoteReference w:id="10"/>
      </w:r>
      <w:r w:rsidRPr="000A1B44">
        <w:t xml:space="preserve"> Where an incorporated document is available for free online, the committee considers that a best-practice approach is for the ES to an instrument to provide details of the website where the document can be accessed. </w:t>
      </w:r>
    </w:p>
    <w:p w:rsidR="00CD18D3" w:rsidRPr="008B0EEC" w:rsidRDefault="00CD18D3" w:rsidP="00CD18D3">
      <w:pPr>
        <w:rPr>
          <w:rFonts w:asciiTheme="minorHAnsi" w:hAnsiTheme="minorHAnsi"/>
          <w:lang w:eastAsia="en-AU"/>
        </w:rPr>
      </w:pPr>
      <w:r w:rsidRPr="008B0EEC">
        <w:rPr>
          <w:rFonts w:asciiTheme="minorHAnsi" w:hAnsiTheme="minorHAnsi"/>
          <w:lang w:eastAsia="en-AU"/>
        </w:rPr>
        <w:t>The committee's expectations in this regard are set out in the guideline on incorporation of documents published on the committee's website.</w:t>
      </w:r>
      <w:r w:rsidRPr="008B0EEC">
        <w:rPr>
          <w:rStyle w:val="FootnoteReference"/>
          <w:rFonts w:asciiTheme="minorHAnsi" w:hAnsiTheme="minorHAnsi"/>
          <w:lang w:eastAsia="en-AU"/>
        </w:rPr>
        <w:footnoteReference w:id="11"/>
      </w:r>
      <w:r w:rsidRPr="008B0EEC">
        <w:rPr>
          <w:rFonts w:asciiTheme="minorHAnsi" w:hAnsiTheme="minorHAnsi"/>
          <w:lang w:eastAsia="en-AU"/>
        </w:rPr>
        <w:t xml:space="preserve"> </w:t>
      </w:r>
    </w:p>
    <w:p w:rsidR="00CD18D3" w:rsidRDefault="00CD18D3" w:rsidP="00CD18D3">
      <w:pPr>
        <w:rPr>
          <w:b/>
          <w:szCs w:val="26"/>
        </w:rPr>
      </w:pPr>
      <w:r w:rsidRPr="005623F3">
        <w:rPr>
          <w:b/>
          <w:noProof/>
        </w:rPr>
        <w:t>The committee draws the above to the minister's attention.</w:t>
      </w:r>
      <w:r w:rsidRPr="005623F3">
        <w:rPr>
          <w:b/>
          <w:szCs w:val="26"/>
        </w:rPr>
        <w:t xml:space="preserve"> </w:t>
      </w:r>
    </w:p>
    <w:p w:rsidR="00CD18D3" w:rsidRDefault="00CD18D3" w:rsidP="00CD18D3">
      <w:pPr>
        <w:pStyle w:val="Level1"/>
        <w:numPr>
          <w:ilvl w:val="0"/>
          <w:numId w:val="0"/>
        </w:numPr>
        <w:spacing w:before="0"/>
      </w:pPr>
    </w:p>
    <w:p w:rsidR="002B2721" w:rsidRPr="00E54765" w:rsidRDefault="002B2721" w:rsidP="00CD18D3">
      <w:pPr>
        <w:pStyle w:val="Level1"/>
        <w:numPr>
          <w:ilvl w:val="0"/>
          <w:numId w:val="0"/>
        </w:numPr>
        <w:spacing w:before="0"/>
      </w:pPr>
    </w:p>
    <w:tbl>
      <w:tblPr>
        <w:tblW w:w="0" w:type="auto"/>
        <w:tblInd w:w="108" w:type="dxa"/>
        <w:tblLook w:val="04A0" w:firstRow="1" w:lastRow="0" w:firstColumn="1" w:lastColumn="0" w:noHBand="0" w:noVBand="1"/>
      </w:tblPr>
      <w:tblGrid>
        <w:gridCol w:w="2694"/>
        <w:gridCol w:w="6378"/>
      </w:tblGrid>
      <w:tr w:rsidR="00CD18D3" w:rsidRPr="00322850" w:rsidTr="002B2721">
        <w:tc>
          <w:tcPr>
            <w:tcW w:w="2694" w:type="dxa"/>
            <w:tcBorders>
              <w:top w:val="single" w:sz="12" w:space="0" w:color="auto"/>
              <w:right w:val="single" w:sz="12" w:space="0" w:color="auto"/>
            </w:tcBorders>
          </w:tcPr>
          <w:p w:rsidR="00CD18D3" w:rsidRPr="00322850" w:rsidRDefault="00CD18D3" w:rsidP="002B2721">
            <w:pPr>
              <w:rPr>
                <w:b/>
                <w:sz w:val="24"/>
                <w:szCs w:val="24"/>
              </w:rPr>
            </w:pPr>
            <w:r w:rsidRPr="00322850">
              <w:rPr>
                <w:b/>
                <w:sz w:val="24"/>
                <w:szCs w:val="24"/>
              </w:rPr>
              <w:t>Instrument</w:t>
            </w:r>
          </w:p>
        </w:tc>
        <w:tc>
          <w:tcPr>
            <w:tcW w:w="6378" w:type="dxa"/>
            <w:tcBorders>
              <w:top w:val="single" w:sz="12" w:space="0" w:color="auto"/>
              <w:left w:val="single" w:sz="12" w:space="0" w:color="auto"/>
            </w:tcBorders>
          </w:tcPr>
          <w:p w:rsidR="00CD18D3" w:rsidRDefault="00CD18D3" w:rsidP="002B2721">
            <w:pPr>
              <w:pStyle w:val="Heading3"/>
              <w:rPr>
                <w:noProof/>
                <w:sz w:val="24"/>
                <w:szCs w:val="24"/>
              </w:rPr>
            </w:pPr>
            <w:r w:rsidRPr="00883DC9">
              <w:rPr>
                <w:noProof/>
                <w:sz w:val="24"/>
                <w:szCs w:val="24"/>
              </w:rPr>
              <w:t>ASIC Corporations (Amendment) Instrument 2017/642 [F2017L00905]</w:t>
            </w:r>
          </w:p>
          <w:p w:rsidR="00CD18D3" w:rsidRPr="00322850" w:rsidRDefault="00CD18D3" w:rsidP="002B2721">
            <w:pPr>
              <w:pStyle w:val="Heading3"/>
              <w:rPr>
                <w:noProof/>
                <w:sz w:val="24"/>
                <w:szCs w:val="24"/>
              </w:rPr>
            </w:pPr>
            <w:r w:rsidRPr="00883DC9">
              <w:rPr>
                <w:noProof/>
                <w:sz w:val="24"/>
                <w:szCs w:val="24"/>
              </w:rPr>
              <w:t>ASIC Credit (Amendment) Instrument 2017/641 [F2017L00904]</w:t>
            </w:r>
          </w:p>
        </w:tc>
      </w:tr>
      <w:tr w:rsidR="00CD18D3" w:rsidRPr="00322850" w:rsidTr="002B2721">
        <w:tc>
          <w:tcPr>
            <w:tcW w:w="2694" w:type="dxa"/>
            <w:tcBorders>
              <w:right w:val="single" w:sz="12" w:space="0" w:color="auto"/>
            </w:tcBorders>
          </w:tcPr>
          <w:p w:rsidR="00CD18D3" w:rsidRPr="00322850" w:rsidRDefault="00CD18D3" w:rsidP="002B2721">
            <w:pPr>
              <w:rPr>
                <w:b/>
                <w:sz w:val="24"/>
                <w:szCs w:val="24"/>
              </w:rPr>
            </w:pPr>
            <w:r w:rsidRPr="00322850">
              <w:rPr>
                <w:b/>
                <w:sz w:val="24"/>
                <w:szCs w:val="24"/>
              </w:rPr>
              <w:t>Purpose</w:t>
            </w:r>
          </w:p>
        </w:tc>
        <w:tc>
          <w:tcPr>
            <w:tcW w:w="6378" w:type="dxa"/>
            <w:tcBorders>
              <w:left w:val="single" w:sz="12" w:space="0" w:color="auto"/>
            </w:tcBorders>
          </w:tcPr>
          <w:p w:rsidR="00CD18D3" w:rsidRPr="00322850" w:rsidRDefault="00CD18D3" w:rsidP="002B2721">
            <w:pPr>
              <w:rPr>
                <w:noProof/>
                <w:sz w:val="24"/>
                <w:szCs w:val="24"/>
              </w:rPr>
            </w:pPr>
            <w:r w:rsidRPr="00883DC9">
              <w:rPr>
                <w:noProof/>
                <w:sz w:val="24"/>
                <w:szCs w:val="24"/>
              </w:rPr>
              <w:t xml:space="preserve">Amend ASIC Class Orders </w:t>
            </w:r>
            <w:r>
              <w:rPr>
                <w:noProof/>
                <w:sz w:val="24"/>
                <w:szCs w:val="24"/>
              </w:rPr>
              <w:t>[</w:t>
            </w:r>
            <w:r w:rsidRPr="00883DC9">
              <w:rPr>
                <w:noProof/>
                <w:sz w:val="24"/>
                <w:szCs w:val="24"/>
              </w:rPr>
              <w:t xml:space="preserve">13/898] </w:t>
            </w:r>
            <w:r>
              <w:rPr>
                <w:noProof/>
                <w:sz w:val="24"/>
                <w:szCs w:val="24"/>
              </w:rPr>
              <w:t xml:space="preserve">and </w:t>
            </w:r>
            <w:r w:rsidRPr="00883DC9">
              <w:rPr>
                <w:noProof/>
                <w:sz w:val="24"/>
                <w:szCs w:val="24"/>
              </w:rPr>
              <w:t>[</w:t>
            </w:r>
            <w:r>
              <w:rPr>
                <w:noProof/>
                <w:sz w:val="24"/>
                <w:szCs w:val="24"/>
              </w:rPr>
              <w:t>13/18] respectively,</w:t>
            </w:r>
            <w:r>
              <w:rPr>
                <w:noProof/>
                <w:sz w:val="24"/>
                <w:szCs w:val="24"/>
              </w:rPr>
              <w:br/>
            </w:r>
            <w:r w:rsidRPr="00883DC9">
              <w:rPr>
                <w:noProof/>
                <w:sz w:val="24"/>
                <w:szCs w:val="24"/>
              </w:rPr>
              <w:t>to extend their operation until 12 July 2019</w:t>
            </w:r>
          </w:p>
        </w:tc>
      </w:tr>
      <w:tr w:rsidR="00CD18D3" w:rsidRPr="00322850" w:rsidTr="002B2721">
        <w:tc>
          <w:tcPr>
            <w:tcW w:w="2694" w:type="dxa"/>
            <w:tcBorders>
              <w:right w:val="single" w:sz="12" w:space="0" w:color="auto"/>
            </w:tcBorders>
          </w:tcPr>
          <w:p w:rsidR="00CD18D3" w:rsidRPr="00322850" w:rsidRDefault="00CD18D3" w:rsidP="002B2721">
            <w:pPr>
              <w:rPr>
                <w:b/>
                <w:sz w:val="24"/>
                <w:szCs w:val="24"/>
              </w:rPr>
            </w:pPr>
            <w:r w:rsidRPr="00322850">
              <w:rPr>
                <w:b/>
                <w:sz w:val="24"/>
                <w:szCs w:val="24"/>
              </w:rPr>
              <w:t>Authorising legislation</w:t>
            </w:r>
          </w:p>
        </w:tc>
        <w:tc>
          <w:tcPr>
            <w:tcW w:w="6378" w:type="dxa"/>
            <w:tcBorders>
              <w:left w:val="single" w:sz="12" w:space="0" w:color="auto"/>
            </w:tcBorders>
          </w:tcPr>
          <w:p w:rsidR="00CD18D3" w:rsidRPr="00322850" w:rsidRDefault="00CD18D3" w:rsidP="002B2721">
            <w:pPr>
              <w:rPr>
                <w:i/>
                <w:noProof/>
                <w:sz w:val="24"/>
                <w:szCs w:val="24"/>
              </w:rPr>
            </w:pPr>
            <w:r w:rsidRPr="00883DC9">
              <w:rPr>
                <w:i/>
                <w:noProof/>
                <w:sz w:val="24"/>
                <w:szCs w:val="24"/>
              </w:rPr>
              <w:t>National Consumer Credit Protection Act 2009</w:t>
            </w:r>
            <w:r w:rsidRPr="002B4947">
              <w:rPr>
                <w:noProof/>
                <w:sz w:val="24"/>
                <w:szCs w:val="24"/>
              </w:rPr>
              <w:t>;</w:t>
            </w:r>
            <w:r w:rsidRPr="00883DC9">
              <w:rPr>
                <w:i/>
                <w:noProof/>
                <w:sz w:val="24"/>
                <w:szCs w:val="24"/>
              </w:rPr>
              <w:t xml:space="preserve"> Corporations Act 2001</w:t>
            </w:r>
          </w:p>
        </w:tc>
      </w:tr>
      <w:tr w:rsidR="00CD18D3" w:rsidRPr="00322850" w:rsidTr="002B2721">
        <w:tc>
          <w:tcPr>
            <w:tcW w:w="2694" w:type="dxa"/>
            <w:tcBorders>
              <w:right w:val="single" w:sz="12" w:space="0" w:color="auto"/>
            </w:tcBorders>
          </w:tcPr>
          <w:p w:rsidR="00CD18D3" w:rsidRPr="00322850" w:rsidRDefault="00CD18D3" w:rsidP="002B2721">
            <w:pPr>
              <w:rPr>
                <w:b/>
                <w:sz w:val="24"/>
                <w:szCs w:val="24"/>
              </w:rPr>
            </w:pPr>
            <w:r w:rsidRPr="00322850">
              <w:rPr>
                <w:b/>
                <w:sz w:val="24"/>
                <w:szCs w:val="24"/>
              </w:rPr>
              <w:t>Department</w:t>
            </w:r>
          </w:p>
        </w:tc>
        <w:tc>
          <w:tcPr>
            <w:tcW w:w="6378" w:type="dxa"/>
            <w:tcBorders>
              <w:left w:val="single" w:sz="12" w:space="0" w:color="auto"/>
            </w:tcBorders>
          </w:tcPr>
          <w:p w:rsidR="00CD18D3" w:rsidRPr="00322850" w:rsidRDefault="00CD18D3" w:rsidP="002B2721">
            <w:pPr>
              <w:rPr>
                <w:sz w:val="24"/>
                <w:szCs w:val="24"/>
              </w:rPr>
            </w:pPr>
            <w:r w:rsidRPr="00883DC9">
              <w:rPr>
                <w:noProof/>
                <w:sz w:val="24"/>
                <w:szCs w:val="24"/>
              </w:rPr>
              <w:t>Treasury</w:t>
            </w:r>
          </w:p>
        </w:tc>
      </w:tr>
      <w:tr w:rsidR="00CD18D3" w:rsidRPr="00322850" w:rsidTr="002B2721">
        <w:tc>
          <w:tcPr>
            <w:tcW w:w="2694" w:type="dxa"/>
            <w:tcBorders>
              <w:right w:val="single" w:sz="12" w:space="0" w:color="auto"/>
            </w:tcBorders>
          </w:tcPr>
          <w:p w:rsidR="00CD18D3" w:rsidRPr="00322850" w:rsidRDefault="00CD18D3" w:rsidP="002B2721">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CD18D3" w:rsidRPr="00322850" w:rsidRDefault="00CD18D3" w:rsidP="002B2721">
            <w:pPr>
              <w:rPr>
                <w:sz w:val="24"/>
                <w:szCs w:val="24"/>
              </w:rPr>
            </w:pPr>
            <w:r>
              <w:rPr>
                <w:sz w:val="24"/>
                <w:szCs w:val="24"/>
              </w:rPr>
              <w:t xml:space="preserve">15 sitting days after tabling (tabled Senate </w:t>
            </w:r>
            <w:r w:rsidRPr="00883DC9">
              <w:rPr>
                <w:noProof/>
                <w:sz w:val="24"/>
                <w:szCs w:val="24"/>
              </w:rPr>
              <w:t>8 August</w:t>
            </w:r>
            <w:r>
              <w:rPr>
                <w:sz w:val="24"/>
                <w:szCs w:val="24"/>
              </w:rPr>
              <w:t xml:space="preserve"> 2017)</w:t>
            </w:r>
            <w:r>
              <w:rPr>
                <w:sz w:val="24"/>
                <w:szCs w:val="24"/>
              </w:rPr>
              <w:br/>
              <w:t xml:space="preserve">Notice of motion to disallow </w:t>
            </w:r>
            <w:r w:rsidRPr="00D816D1">
              <w:rPr>
                <w:sz w:val="24"/>
                <w:szCs w:val="24"/>
              </w:rPr>
              <w:t xml:space="preserve">currently </w:t>
            </w:r>
            <w:r>
              <w:rPr>
                <w:sz w:val="24"/>
                <w:szCs w:val="24"/>
              </w:rPr>
              <w:t>must be given by</w:t>
            </w:r>
            <w:r>
              <w:rPr>
                <w:sz w:val="24"/>
                <w:szCs w:val="24"/>
              </w:rPr>
              <w:br/>
            </w:r>
            <w:r w:rsidRPr="00883DC9">
              <w:rPr>
                <w:noProof/>
                <w:sz w:val="24"/>
                <w:szCs w:val="24"/>
              </w:rPr>
              <w:t>16 October</w:t>
            </w:r>
            <w:r>
              <w:rPr>
                <w:sz w:val="24"/>
                <w:szCs w:val="24"/>
              </w:rPr>
              <w:t xml:space="preserve"> 2017</w:t>
            </w:r>
          </w:p>
        </w:tc>
      </w:tr>
      <w:tr w:rsidR="00CD18D3" w:rsidRPr="00322850" w:rsidTr="002B2721">
        <w:tc>
          <w:tcPr>
            <w:tcW w:w="2694" w:type="dxa"/>
            <w:tcBorders>
              <w:bottom w:val="single" w:sz="12" w:space="0" w:color="auto"/>
              <w:right w:val="single" w:sz="12" w:space="0" w:color="auto"/>
            </w:tcBorders>
          </w:tcPr>
          <w:p w:rsidR="00CD18D3" w:rsidRPr="00322850" w:rsidRDefault="00CD18D3" w:rsidP="002B2721">
            <w:pPr>
              <w:rPr>
                <w:b/>
                <w:sz w:val="24"/>
                <w:szCs w:val="24"/>
              </w:rPr>
            </w:pPr>
            <w:r w:rsidRPr="00322850">
              <w:rPr>
                <w:b/>
                <w:sz w:val="24"/>
                <w:szCs w:val="24"/>
              </w:rPr>
              <w:t>Scrutiny principle</w:t>
            </w:r>
          </w:p>
        </w:tc>
        <w:tc>
          <w:tcPr>
            <w:tcW w:w="6378" w:type="dxa"/>
            <w:tcBorders>
              <w:left w:val="single" w:sz="12" w:space="0" w:color="auto"/>
              <w:bottom w:val="single" w:sz="12" w:space="0" w:color="auto"/>
            </w:tcBorders>
          </w:tcPr>
          <w:p w:rsidR="00CD18D3" w:rsidRPr="00322850" w:rsidRDefault="00CD18D3" w:rsidP="002B2721">
            <w:pPr>
              <w:rPr>
                <w:sz w:val="24"/>
                <w:szCs w:val="24"/>
              </w:rPr>
            </w:pPr>
            <w:r w:rsidRPr="00322850">
              <w:rPr>
                <w:sz w:val="24"/>
                <w:szCs w:val="24"/>
              </w:rPr>
              <w:t>Standing Order 23(3)</w:t>
            </w:r>
            <w:r w:rsidRPr="00883DC9">
              <w:rPr>
                <w:noProof/>
                <w:sz w:val="24"/>
                <w:szCs w:val="24"/>
              </w:rPr>
              <w:t>(d)</w:t>
            </w:r>
          </w:p>
        </w:tc>
      </w:tr>
    </w:tbl>
    <w:p w:rsidR="00CD18D3" w:rsidRDefault="00CD18D3" w:rsidP="00CD18D3">
      <w:pPr>
        <w:spacing w:before="0"/>
        <w:rPr>
          <w:b/>
          <w:noProof/>
        </w:rPr>
      </w:pPr>
    </w:p>
    <w:p w:rsidR="00CD18D3" w:rsidRPr="00883DC9" w:rsidRDefault="00CD18D3" w:rsidP="00CD18D3">
      <w:pPr>
        <w:spacing w:before="0"/>
        <w:rPr>
          <w:b/>
          <w:noProof/>
        </w:rPr>
      </w:pPr>
      <w:r w:rsidRPr="002B4947">
        <w:rPr>
          <w:b/>
          <w:noProof/>
        </w:rPr>
        <w:t xml:space="preserve">Timetable for making substantive amendments </w:t>
      </w:r>
      <w:r>
        <w:rPr>
          <w:b/>
          <w:noProof/>
        </w:rPr>
        <w:t>(</w:t>
      </w:r>
      <w:r w:rsidRPr="00883DC9">
        <w:rPr>
          <w:b/>
          <w:noProof/>
        </w:rPr>
        <w:t>Continuing exemption</w:t>
      </w:r>
      <w:r>
        <w:rPr>
          <w:b/>
          <w:noProof/>
        </w:rPr>
        <w:t>)</w:t>
      </w:r>
    </w:p>
    <w:p w:rsidR="00CD18D3" w:rsidRPr="000A1B44" w:rsidRDefault="00CD18D3" w:rsidP="00CD18D3">
      <w:r w:rsidRPr="000A1B44">
        <w:t xml:space="preserve">Scrutiny principle 23(3)(d) of the committee's terms of reference requires the committee to consider whether an instrument contains matters more appropriate for parliamentary enactment (that is, matters that should be enacted via primary rather than delegated legislation). </w:t>
      </w:r>
    </w:p>
    <w:p w:rsidR="00CD18D3" w:rsidRPr="007B697D" w:rsidRDefault="00CD18D3" w:rsidP="00CD18D3">
      <w:pPr>
        <w:rPr>
          <w:noProof/>
        </w:rPr>
      </w:pPr>
      <w:r w:rsidRPr="007B697D">
        <w:rPr>
          <w:noProof/>
        </w:rPr>
        <w:lastRenderedPageBreak/>
        <w:t xml:space="preserve">The instruments extend existing exemptions from requirements in the </w:t>
      </w:r>
      <w:r w:rsidRPr="007B697D">
        <w:rPr>
          <w:i/>
          <w:noProof/>
        </w:rPr>
        <w:t>Corporations Act 2001</w:t>
      </w:r>
      <w:r>
        <w:rPr>
          <w:noProof/>
        </w:rPr>
        <w:t>,</w:t>
      </w:r>
      <w:r w:rsidRPr="007B697D">
        <w:rPr>
          <w:noProof/>
        </w:rPr>
        <w:t xml:space="preserve"> Corporations Regulations 2001 and the National Credit Code relating to managed investment schemes and the provision of credit. </w:t>
      </w:r>
      <w:r>
        <w:rPr>
          <w:noProof/>
        </w:rPr>
        <w:t xml:space="preserve">The exemptions apply to </w:t>
      </w:r>
      <w:r w:rsidRPr="00870204">
        <w:rPr>
          <w:noProof/>
        </w:rPr>
        <w:t>lawyers, litigation funders</w:t>
      </w:r>
      <w:r>
        <w:rPr>
          <w:noProof/>
        </w:rPr>
        <w:t>,</w:t>
      </w:r>
      <w:r w:rsidRPr="00870204">
        <w:rPr>
          <w:noProof/>
        </w:rPr>
        <w:t xml:space="preserve"> and members of litigation fundin</w:t>
      </w:r>
      <w:r>
        <w:rPr>
          <w:noProof/>
        </w:rPr>
        <w:t xml:space="preserve">g arrangements or schemes and </w:t>
      </w:r>
      <w:r w:rsidRPr="00870204">
        <w:rPr>
          <w:noProof/>
        </w:rPr>
        <w:t>proof of debt funding arrangement</w:t>
      </w:r>
      <w:r>
        <w:rPr>
          <w:noProof/>
        </w:rPr>
        <w:t>s</w:t>
      </w:r>
      <w:r w:rsidRPr="00870204">
        <w:rPr>
          <w:noProof/>
        </w:rPr>
        <w:t xml:space="preserve"> or schemes</w:t>
      </w:r>
      <w:r>
        <w:rPr>
          <w:noProof/>
        </w:rPr>
        <w:t>.</w:t>
      </w:r>
    </w:p>
    <w:p w:rsidR="00CD18D3" w:rsidRPr="007B697D" w:rsidRDefault="00CD18D3" w:rsidP="00CD18D3">
      <w:pPr>
        <w:rPr>
          <w:noProof/>
        </w:rPr>
      </w:pPr>
      <w:r w:rsidRPr="007B697D">
        <w:rPr>
          <w:noProof/>
        </w:rPr>
        <w:t>The exemptions from these requirements were first granted in 2013, in response to decisions of the Federal Court and High Court relating to litigation funding that found:</w:t>
      </w:r>
    </w:p>
    <w:p w:rsidR="00CD18D3" w:rsidRPr="007B697D" w:rsidRDefault="00CD18D3" w:rsidP="00CD18D3">
      <w:pPr>
        <w:numPr>
          <w:ilvl w:val="0"/>
          <w:numId w:val="42"/>
        </w:numPr>
        <w:rPr>
          <w:noProof/>
        </w:rPr>
      </w:pPr>
      <w:r w:rsidRPr="007B697D">
        <w:rPr>
          <w:noProof/>
        </w:rPr>
        <w:t xml:space="preserve">a funded representative action and solicitors’ retainers for two representative proceedings in the Federal Court </w:t>
      </w:r>
      <w:r>
        <w:rPr>
          <w:noProof/>
        </w:rPr>
        <w:t>constituted</w:t>
      </w:r>
      <w:r w:rsidRPr="007B697D">
        <w:rPr>
          <w:noProof/>
        </w:rPr>
        <w:t xml:space="preserve"> a managed investment scheme that should have been registered for the purposes of the </w:t>
      </w:r>
      <w:r w:rsidRPr="007B697D">
        <w:rPr>
          <w:i/>
          <w:noProof/>
        </w:rPr>
        <w:t>Corporations Act 2001</w:t>
      </w:r>
      <w:r w:rsidRPr="007B697D">
        <w:rPr>
          <w:noProof/>
        </w:rPr>
        <w:t>;</w:t>
      </w:r>
      <w:r w:rsidRPr="007B697D">
        <w:rPr>
          <w:rStyle w:val="FootnoteReference"/>
          <w:noProof/>
        </w:rPr>
        <w:footnoteReference w:id="12"/>
      </w:r>
      <w:r w:rsidRPr="007B697D">
        <w:rPr>
          <w:noProof/>
        </w:rPr>
        <w:t xml:space="preserve"> </w:t>
      </w:r>
    </w:p>
    <w:p w:rsidR="00CD18D3" w:rsidRPr="007B697D" w:rsidRDefault="00CD18D3" w:rsidP="00CD18D3">
      <w:pPr>
        <w:numPr>
          <w:ilvl w:val="0"/>
          <w:numId w:val="42"/>
        </w:numPr>
        <w:rPr>
          <w:noProof/>
        </w:rPr>
      </w:pPr>
      <w:r w:rsidRPr="007B697D">
        <w:rPr>
          <w:noProof/>
        </w:rPr>
        <w:t xml:space="preserve">a litigation funding agreement in a matter was a </w:t>
      </w:r>
      <w:r>
        <w:rPr>
          <w:noProof/>
        </w:rPr>
        <w:t>'</w:t>
      </w:r>
      <w:r w:rsidRPr="007B697D">
        <w:rPr>
          <w:noProof/>
        </w:rPr>
        <w:t>credit facility</w:t>
      </w:r>
      <w:r>
        <w:rPr>
          <w:noProof/>
        </w:rPr>
        <w:t>'</w:t>
      </w:r>
      <w:r w:rsidRPr="007B697D">
        <w:rPr>
          <w:noProof/>
        </w:rPr>
        <w:t xml:space="preserve"> within the meaning of regulation 7.1.06 of the </w:t>
      </w:r>
      <w:r w:rsidRPr="009D6AB6">
        <w:rPr>
          <w:iCs/>
          <w:noProof/>
        </w:rPr>
        <w:t>Corporations Regulations 2001</w:t>
      </w:r>
      <w:r w:rsidRPr="007B697D">
        <w:rPr>
          <w:iCs/>
          <w:noProof/>
        </w:rPr>
        <w:t>; and</w:t>
      </w:r>
    </w:p>
    <w:p w:rsidR="00CD18D3" w:rsidRPr="007B697D" w:rsidRDefault="00CD18D3" w:rsidP="00CD18D3">
      <w:pPr>
        <w:numPr>
          <w:ilvl w:val="0"/>
          <w:numId w:val="42"/>
        </w:numPr>
        <w:rPr>
          <w:noProof/>
        </w:rPr>
      </w:pPr>
      <w:r w:rsidRPr="007B697D">
        <w:rPr>
          <w:noProof/>
        </w:rPr>
        <w:t xml:space="preserve">the litigation funding agreement was </w:t>
      </w:r>
      <w:r>
        <w:rPr>
          <w:noProof/>
        </w:rPr>
        <w:t>'</w:t>
      </w:r>
      <w:r w:rsidRPr="007B697D">
        <w:rPr>
          <w:noProof/>
        </w:rPr>
        <w:t>credit</w:t>
      </w:r>
      <w:r>
        <w:rPr>
          <w:noProof/>
        </w:rPr>
        <w:t>'</w:t>
      </w:r>
      <w:r w:rsidRPr="007B697D">
        <w:rPr>
          <w:noProof/>
        </w:rPr>
        <w:t xml:space="preserve"> because it was a form of financial accommodation provided by the litigation funder to the litigant and its provision </w:t>
      </w:r>
      <w:r>
        <w:rPr>
          <w:noProof/>
        </w:rPr>
        <w:t>'</w:t>
      </w:r>
      <w:r w:rsidRPr="007B697D">
        <w:rPr>
          <w:noProof/>
        </w:rPr>
        <w:t>for any period</w:t>
      </w:r>
      <w:r>
        <w:rPr>
          <w:noProof/>
        </w:rPr>
        <w:t>'</w:t>
      </w:r>
      <w:r w:rsidRPr="007B697D">
        <w:rPr>
          <w:noProof/>
        </w:rPr>
        <w:t xml:space="preserve"> was a </w:t>
      </w:r>
      <w:r>
        <w:rPr>
          <w:noProof/>
        </w:rPr>
        <w:t>'</w:t>
      </w:r>
      <w:r w:rsidRPr="007B697D">
        <w:rPr>
          <w:noProof/>
        </w:rPr>
        <w:t>credit facility</w:t>
      </w:r>
      <w:r>
        <w:rPr>
          <w:noProof/>
        </w:rPr>
        <w:t>'</w:t>
      </w:r>
      <w:r w:rsidRPr="007B697D">
        <w:rPr>
          <w:noProof/>
        </w:rPr>
        <w:t>.</w:t>
      </w:r>
      <w:r w:rsidRPr="007B697D">
        <w:rPr>
          <w:rStyle w:val="FootnoteReference"/>
          <w:noProof/>
        </w:rPr>
        <w:footnoteReference w:id="13"/>
      </w:r>
    </w:p>
    <w:p w:rsidR="00CD18D3" w:rsidRDefault="00CD18D3" w:rsidP="00CD18D3">
      <w:pPr>
        <w:rPr>
          <w:noProof/>
        </w:rPr>
      </w:pPr>
      <w:r>
        <w:rPr>
          <w:noProof/>
        </w:rPr>
        <w:t xml:space="preserve">The committee notes that the ES to each instrument states that the exemptions are being continued to provide certainty for lawyers, litigation funders and members of </w:t>
      </w:r>
      <w:r w:rsidRPr="007B697D">
        <w:rPr>
          <w:noProof/>
        </w:rPr>
        <w:t>litigation funding arrangement</w:t>
      </w:r>
      <w:r>
        <w:rPr>
          <w:noProof/>
        </w:rPr>
        <w:t xml:space="preserve">s or schemes and </w:t>
      </w:r>
      <w:r w:rsidRPr="007B697D">
        <w:rPr>
          <w:noProof/>
        </w:rPr>
        <w:t>proof of debt funding arrangement</w:t>
      </w:r>
      <w:r>
        <w:rPr>
          <w:noProof/>
        </w:rPr>
        <w:t xml:space="preserve">s or schemes. However, the committee also notes that at the time the exemptions were originally granted, and in previous instruments extending the exemptions, the ESs to those instruments stated that the exemptions were being made to provide time for government to consider making regulations or other amendments </w:t>
      </w:r>
      <w:r w:rsidRPr="00FE34B3">
        <w:rPr>
          <w:noProof/>
        </w:rPr>
        <w:t>to exempt litigation funding arrangements and proof of debt funding arrangements from the Credit Act</w:t>
      </w:r>
      <w:r>
        <w:rPr>
          <w:noProof/>
        </w:rPr>
        <w:t xml:space="preserve"> and the managed investment scheme requirements in the Corporations Act and Regulations.</w:t>
      </w:r>
      <w:r>
        <w:rPr>
          <w:rStyle w:val="FootnoteReference"/>
          <w:noProof/>
        </w:rPr>
        <w:footnoteReference w:id="14"/>
      </w:r>
      <w:r>
        <w:rPr>
          <w:noProof/>
        </w:rPr>
        <w:t xml:space="preserve"> </w:t>
      </w:r>
    </w:p>
    <w:p w:rsidR="00CD18D3" w:rsidRDefault="00CD18D3" w:rsidP="00CD18D3">
      <w:pPr>
        <w:rPr>
          <w:noProof/>
          <w:highlight w:val="yellow"/>
        </w:rPr>
      </w:pPr>
      <w:r w:rsidRPr="007B697D">
        <w:rPr>
          <w:noProof/>
        </w:rPr>
        <w:t>The committee generally prefers that exemptions are not used or do not continue for such time as to operate as de facto amendments to principal legislation. Given the committee</w:t>
      </w:r>
      <w:r>
        <w:rPr>
          <w:noProof/>
        </w:rPr>
        <w:t>'</w:t>
      </w:r>
      <w:r w:rsidRPr="007B697D">
        <w:rPr>
          <w:noProof/>
        </w:rPr>
        <w:t>s general expectation in this regard, the committee notes that the</w:t>
      </w:r>
      <w:r>
        <w:rPr>
          <w:noProof/>
        </w:rPr>
        <w:t xml:space="preserve"> </w:t>
      </w:r>
      <w:r w:rsidRPr="007B697D">
        <w:rPr>
          <w:noProof/>
        </w:rPr>
        <w:t>instrument</w:t>
      </w:r>
      <w:r>
        <w:rPr>
          <w:noProof/>
        </w:rPr>
        <w:t>s extend</w:t>
      </w:r>
      <w:r w:rsidRPr="007B697D">
        <w:rPr>
          <w:noProof/>
        </w:rPr>
        <w:t xml:space="preserve"> the exemption</w:t>
      </w:r>
      <w:r>
        <w:rPr>
          <w:noProof/>
        </w:rPr>
        <w:t xml:space="preserve">s for a further two years </w:t>
      </w:r>
      <w:r w:rsidRPr="007B697D">
        <w:rPr>
          <w:noProof/>
        </w:rPr>
        <w:t xml:space="preserve">until </w:t>
      </w:r>
      <w:r>
        <w:rPr>
          <w:noProof/>
        </w:rPr>
        <w:t>12 July 2019, but</w:t>
      </w:r>
      <w:r w:rsidRPr="007B697D">
        <w:rPr>
          <w:noProof/>
        </w:rPr>
        <w:t xml:space="preserve"> no i</w:t>
      </w:r>
      <w:r>
        <w:rPr>
          <w:noProof/>
        </w:rPr>
        <w:t xml:space="preserve">nformation is provided as to whether further amendments to primary legislation or </w:t>
      </w:r>
      <w:r>
        <w:rPr>
          <w:noProof/>
        </w:rPr>
        <w:lastRenderedPageBreak/>
        <w:t>principal regulations are still being considered to remove the need for the continued exemptions</w:t>
      </w:r>
      <w:r w:rsidRPr="007B697D">
        <w:rPr>
          <w:noProof/>
        </w:rPr>
        <w:t xml:space="preserve">.  </w:t>
      </w:r>
    </w:p>
    <w:p w:rsidR="00CD18D3" w:rsidRDefault="00CD18D3" w:rsidP="00CD18D3">
      <w:pPr>
        <w:rPr>
          <w:b/>
          <w:noProof/>
        </w:rPr>
      </w:pPr>
      <w:r w:rsidRPr="005623F3">
        <w:rPr>
          <w:b/>
          <w:noProof/>
        </w:rPr>
        <w:t>The committee requests the advice of the minister in relation to the above.</w:t>
      </w:r>
    </w:p>
    <w:p w:rsidR="002B2721" w:rsidRDefault="002B2721" w:rsidP="00CD18D3">
      <w:pPr>
        <w:rPr>
          <w:b/>
          <w:noProof/>
        </w:rPr>
      </w:pPr>
    </w:p>
    <w:p w:rsidR="002B2721" w:rsidRDefault="002B2721" w:rsidP="00CD18D3">
      <w:pPr>
        <w:rPr>
          <w:b/>
          <w:noProof/>
        </w:rPr>
      </w:pPr>
    </w:p>
    <w:tbl>
      <w:tblPr>
        <w:tblW w:w="0" w:type="auto"/>
        <w:tblInd w:w="108" w:type="dxa"/>
        <w:tblLook w:val="04A0" w:firstRow="1" w:lastRow="0" w:firstColumn="1" w:lastColumn="0" w:noHBand="0" w:noVBand="1"/>
      </w:tblPr>
      <w:tblGrid>
        <w:gridCol w:w="2694"/>
        <w:gridCol w:w="6378"/>
      </w:tblGrid>
      <w:tr w:rsidR="00CD18D3" w:rsidRPr="00322850" w:rsidTr="002B2721">
        <w:tc>
          <w:tcPr>
            <w:tcW w:w="2694" w:type="dxa"/>
            <w:tcBorders>
              <w:top w:val="single" w:sz="12" w:space="0" w:color="auto"/>
              <w:right w:val="single" w:sz="12" w:space="0" w:color="auto"/>
            </w:tcBorders>
          </w:tcPr>
          <w:p w:rsidR="00CD18D3" w:rsidRPr="00322850" w:rsidRDefault="00CD18D3" w:rsidP="002B2721">
            <w:pPr>
              <w:rPr>
                <w:b/>
                <w:sz w:val="24"/>
                <w:szCs w:val="24"/>
              </w:rPr>
            </w:pPr>
            <w:r w:rsidRPr="00322850">
              <w:rPr>
                <w:b/>
                <w:sz w:val="24"/>
                <w:szCs w:val="24"/>
              </w:rPr>
              <w:t>Instrument</w:t>
            </w:r>
          </w:p>
        </w:tc>
        <w:tc>
          <w:tcPr>
            <w:tcW w:w="6378" w:type="dxa"/>
            <w:tcBorders>
              <w:top w:val="single" w:sz="12" w:space="0" w:color="auto"/>
              <w:left w:val="single" w:sz="12" w:space="0" w:color="auto"/>
            </w:tcBorders>
          </w:tcPr>
          <w:p w:rsidR="00CD18D3" w:rsidRPr="00322850" w:rsidRDefault="00CD18D3" w:rsidP="002B2721">
            <w:pPr>
              <w:pStyle w:val="Heading3"/>
              <w:rPr>
                <w:sz w:val="24"/>
                <w:szCs w:val="24"/>
              </w:rPr>
            </w:pPr>
            <w:r w:rsidRPr="00786081">
              <w:rPr>
                <w:noProof/>
                <w:sz w:val="24"/>
                <w:szCs w:val="24"/>
              </w:rPr>
              <w:t>CASA EX106/17 - Exemptions and directions - use of portable electronic devices when loading fuel [F2017L00975]</w:t>
            </w:r>
          </w:p>
        </w:tc>
      </w:tr>
      <w:tr w:rsidR="00CD18D3" w:rsidRPr="00322850" w:rsidTr="002B2721">
        <w:tc>
          <w:tcPr>
            <w:tcW w:w="2694" w:type="dxa"/>
            <w:tcBorders>
              <w:right w:val="single" w:sz="12" w:space="0" w:color="auto"/>
            </w:tcBorders>
          </w:tcPr>
          <w:p w:rsidR="00CD18D3" w:rsidRPr="00322850" w:rsidRDefault="00CD18D3" w:rsidP="002B2721">
            <w:pPr>
              <w:rPr>
                <w:b/>
                <w:sz w:val="24"/>
                <w:szCs w:val="24"/>
              </w:rPr>
            </w:pPr>
            <w:r w:rsidRPr="00322850">
              <w:rPr>
                <w:b/>
                <w:sz w:val="24"/>
                <w:szCs w:val="24"/>
              </w:rPr>
              <w:t>Purpose</w:t>
            </w:r>
          </w:p>
        </w:tc>
        <w:tc>
          <w:tcPr>
            <w:tcW w:w="6378" w:type="dxa"/>
            <w:tcBorders>
              <w:left w:val="single" w:sz="12" w:space="0" w:color="auto"/>
            </w:tcBorders>
          </w:tcPr>
          <w:p w:rsidR="00CD18D3" w:rsidRPr="00322850" w:rsidRDefault="00CD18D3" w:rsidP="002B2721">
            <w:pPr>
              <w:rPr>
                <w:sz w:val="24"/>
                <w:szCs w:val="24"/>
              </w:rPr>
            </w:pPr>
            <w:r>
              <w:rPr>
                <w:noProof/>
                <w:sz w:val="24"/>
                <w:szCs w:val="24"/>
              </w:rPr>
              <w:t>E</w:t>
            </w:r>
            <w:r w:rsidRPr="00786081">
              <w:rPr>
                <w:noProof/>
                <w:sz w:val="24"/>
                <w:szCs w:val="24"/>
              </w:rPr>
              <w:t>xempt</w:t>
            </w:r>
            <w:r>
              <w:rPr>
                <w:noProof/>
                <w:sz w:val="24"/>
                <w:szCs w:val="24"/>
              </w:rPr>
              <w:t>s</w:t>
            </w:r>
            <w:r w:rsidRPr="00786081">
              <w:rPr>
                <w:noProof/>
                <w:sz w:val="24"/>
                <w:szCs w:val="24"/>
              </w:rPr>
              <w:t xml:space="preserve"> operator</w:t>
            </w:r>
            <w:r>
              <w:rPr>
                <w:noProof/>
                <w:sz w:val="24"/>
                <w:szCs w:val="24"/>
              </w:rPr>
              <w:t xml:space="preserve">s, operator personnel, and </w:t>
            </w:r>
            <w:r w:rsidRPr="00786081">
              <w:rPr>
                <w:noProof/>
                <w:sz w:val="24"/>
                <w:szCs w:val="24"/>
              </w:rPr>
              <w:t>pilot</w:t>
            </w:r>
            <w:r>
              <w:rPr>
                <w:noProof/>
                <w:sz w:val="24"/>
                <w:szCs w:val="24"/>
              </w:rPr>
              <w:t>s</w:t>
            </w:r>
            <w:r w:rsidRPr="00786081">
              <w:rPr>
                <w:noProof/>
                <w:sz w:val="24"/>
                <w:szCs w:val="24"/>
              </w:rPr>
              <w:t xml:space="preserve"> in command of turbine engine aircraft using underwing fuelling systems from compliance with specified provisions of Civil Aviation Order 20.9 and the Civil Aviation Regulations 1988</w:t>
            </w:r>
          </w:p>
        </w:tc>
      </w:tr>
      <w:tr w:rsidR="00CD18D3" w:rsidRPr="00322850" w:rsidTr="002B2721">
        <w:tc>
          <w:tcPr>
            <w:tcW w:w="2694" w:type="dxa"/>
            <w:tcBorders>
              <w:right w:val="single" w:sz="12" w:space="0" w:color="auto"/>
            </w:tcBorders>
          </w:tcPr>
          <w:p w:rsidR="00CD18D3" w:rsidRPr="00322850" w:rsidRDefault="00CD18D3" w:rsidP="002B2721">
            <w:pPr>
              <w:rPr>
                <w:b/>
                <w:sz w:val="24"/>
                <w:szCs w:val="24"/>
              </w:rPr>
            </w:pPr>
            <w:r w:rsidRPr="00322850">
              <w:rPr>
                <w:b/>
                <w:sz w:val="24"/>
                <w:szCs w:val="24"/>
              </w:rPr>
              <w:t>Authorising legislation</w:t>
            </w:r>
          </w:p>
        </w:tc>
        <w:tc>
          <w:tcPr>
            <w:tcW w:w="6378" w:type="dxa"/>
            <w:tcBorders>
              <w:left w:val="single" w:sz="12" w:space="0" w:color="auto"/>
            </w:tcBorders>
          </w:tcPr>
          <w:p w:rsidR="00CD18D3" w:rsidRPr="000A1B44" w:rsidRDefault="00CD18D3" w:rsidP="002B2721">
            <w:pPr>
              <w:rPr>
                <w:sz w:val="24"/>
                <w:szCs w:val="24"/>
              </w:rPr>
            </w:pPr>
            <w:r w:rsidRPr="000A1B44">
              <w:rPr>
                <w:noProof/>
                <w:sz w:val="24"/>
                <w:szCs w:val="24"/>
              </w:rPr>
              <w:t>Civil Aviation Safety Regulations 1998</w:t>
            </w:r>
          </w:p>
        </w:tc>
      </w:tr>
      <w:tr w:rsidR="00CD18D3" w:rsidRPr="00322850" w:rsidTr="002B2721">
        <w:tc>
          <w:tcPr>
            <w:tcW w:w="2694" w:type="dxa"/>
            <w:tcBorders>
              <w:right w:val="single" w:sz="12" w:space="0" w:color="auto"/>
            </w:tcBorders>
          </w:tcPr>
          <w:p w:rsidR="00CD18D3" w:rsidRPr="00322850" w:rsidRDefault="00CD18D3" w:rsidP="002B2721">
            <w:pPr>
              <w:rPr>
                <w:b/>
                <w:sz w:val="24"/>
                <w:szCs w:val="24"/>
              </w:rPr>
            </w:pPr>
            <w:r w:rsidRPr="00322850">
              <w:rPr>
                <w:b/>
                <w:sz w:val="24"/>
                <w:szCs w:val="24"/>
              </w:rPr>
              <w:t>Department</w:t>
            </w:r>
          </w:p>
        </w:tc>
        <w:tc>
          <w:tcPr>
            <w:tcW w:w="6378" w:type="dxa"/>
            <w:tcBorders>
              <w:left w:val="single" w:sz="12" w:space="0" w:color="auto"/>
            </w:tcBorders>
          </w:tcPr>
          <w:p w:rsidR="00CD18D3" w:rsidRPr="00322850" w:rsidRDefault="00CD18D3" w:rsidP="002B2721">
            <w:pPr>
              <w:rPr>
                <w:sz w:val="24"/>
                <w:szCs w:val="24"/>
              </w:rPr>
            </w:pPr>
            <w:r w:rsidRPr="00786081">
              <w:rPr>
                <w:noProof/>
                <w:sz w:val="24"/>
                <w:szCs w:val="24"/>
              </w:rPr>
              <w:t>Infrastructure and Regional Development</w:t>
            </w:r>
          </w:p>
        </w:tc>
      </w:tr>
      <w:tr w:rsidR="00CD18D3" w:rsidRPr="00322850" w:rsidTr="002B2721">
        <w:tc>
          <w:tcPr>
            <w:tcW w:w="2694" w:type="dxa"/>
            <w:tcBorders>
              <w:right w:val="single" w:sz="12" w:space="0" w:color="auto"/>
            </w:tcBorders>
          </w:tcPr>
          <w:p w:rsidR="00CD18D3" w:rsidRPr="00322850" w:rsidRDefault="00CD18D3" w:rsidP="002B2721">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CD18D3" w:rsidRPr="00322850" w:rsidRDefault="00CD18D3" w:rsidP="002B2721">
            <w:pPr>
              <w:rPr>
                <w:sz w:val="24"/>
                <w:szCs w:val="24"/>
              </w:rPr>
            </w:pPr>
            <w:r>
              <w:rPr>
                <w:sz w:val="24"/>
                <w:szCs w:val="24"/>
              </w:rPr>
              <w:t xml:space="preserve">15 sitting days after tabling (tabled Senate </w:t>
            </w:r>
            <w:r w:rsidRPr="00786081">
              <w:rPr>
                <w:noProof/>
                <w:sz w:val="24"/>
                <w:szCs w:val="24"/>
              </w:rPr>
              <w:t>8 August</w:t>
            </w:r>
            <w:r>
              <w:rPr>
                <w:sz w:val="24"/>
                <w:szCs w:val="24"/>
              </w:rPr>
              <w:t xml:space="preserve"> 2017)</w:t>
            </w:r>
            <w:r>
              <w:rPr>
                <w:sz w:val="24"/>
                <w:szCs w:val="24"/>
              </w:rPr>
              <w:br/>
              <w:t>Notice of motion to disallow currently must be given by</w:t>
            </w:r>
            <w:r>
              <w:rPr>
                <w:sz w:val="24"/>
                <w:szCs w:val="24"/>
              </w:rPr>
              <w:br/>
            </w:r>
            <w:r w:rsidRPr="00786081">
              <w:rPr>
                <w:noProof/>
                <w:sz w:val="24"/>
                <w:szCs w:val="24"/>
              </w:rPr>
              <w:t>16 October</w:t>
            </w:r>
            <w:r>
              <w:rPr>
                <w:sz w:val="24"/>
                <w:szCs w:val="24"/>
              </w:rPr>
              <w:t xml:space="preserve"> 2017</w:t>
            </w:r>
          </w:p>
        </w:tc>
      </w:tr>
      <w:tr w:rsidR="00CD18D3" w:rsidRPr="00322850" w:rsidTr="002B2721">
        <w:tc>
          <w:tcPr>
            <w:tcW w:w="2694" w:type="dxa"/>
            <w:tcBorders>
              <w:bottom w:val="single" w:sz="12" w:space="0" w:color="auto"/>
              <w:right w:val="single" w:sz="12" w:space="0" w:color="auto"/>
            </w:tcBorders>
          </w:tcPr>
          <w:p w:rsidR="00CD18D3" w:rsidRPr="00322850" w:rsidRDefault="00CD18D3" w:rsidP="002B2721">
            <w:pPr>
              <w:rPr>
                <w:b/>
                <w:sz w:val="24"/>
                <w:szCs w:val="24"/>
              </w:rPr>
            </w:pPr>
            <w:r w:rsidRPr="00322850">
              <w:rPr>
                <w:b/>
                <w:sz w:val="24"/>
                <w:szCs w:val="24"/>
              </w:rPr>
              <w:t>Scrutiny principle</w:t>
            </w:r>
          </w:p>
        </w:tc>
        <w:tc>
          <w:tcPr>
            <w:tcW w:w="6378" w:type="dxa"/>
            <w:tcBorders>
              <w:left w:val="single" w:sz="12" w:space="0" w:color="auto"/>
              <w:bottom w:val="single" w:sz="12" w:space="0" w:color="auto"/>
            </w:tcBorders>
          </w:tcPr>
          <w:p w:rsidR="00CD18D3" w:rsidRPr="00322850" w:rsidRDefault="00CD18D3" w:rsidP="002B2721">
            <w:pPr>
              <w:rPr>
                <w:sz w:val="24"/>
                <w:szCs w:val="24"/>
              </w:rPr>
            </w:pPr>
            <w:r w:rsidRPr="00322850">
              <w:rPr>
                <w:sz w:val="24"/>
                <w:szCs w:val="24"/>
              </w:rPr>
              <w:t>Standing Order 23(3)</w:t>
            </w:r>
            <w:r w:rsidRPr="00786081">
              <w:rPr>
                <w:noProof/>
                <w:sz w:val="24"/>
                <w:szCs w:val="24"/>
              </w:rPr>
              <w:t>(a)</w:t>
            </w:r>
          </w:p>
        </w:tc>
      </w:tr>
    </w:tbl>
    <w:p w:rsidR="00CD18D3" w:rsidRPr="00322850" w:rsidRDefault="00CD18D3" w:rsidP="00CD18D3">
      <w:pPr>
        <w:spacing w:before="0" w:after="0"/>
      </w:pPr>
    </w:p>
    <w:p w:rsidR="00CD18D3" w:rsidRPr="00786081" w:rsidRDefault="00CD18D3" w:rsidP="00CD18D3">
      <w:pPr>
        <w:rPr>
          <w:b/>
          <w:noProof/>
        </w:rPr>
      </w:pPr>
      <w:r w:rsidRPr="00786081">
        <w:rPr>
          <w:b/>
          <w:noProof/>
        </w:rPr>
        <w:t>Manner of incorporation</w:t>
      </w:r>
    </w:p>
    <w:p w:rsidR="00CD18D3" w:rsidRPr="008B0EEC" w:rsidRDefault="00CD18D3" w:rsidP="00CD18D3">
      <w:pPr>
        <w:rPr>
          <w:noProof/>
        </w:rPr>
      </w:pPr>
      <w:r w:rsidRPr="008B0EEC">
        <w:rPr>
          <w:noProof/>
        </w:rPr>
        <w:t xml:space="preserve">Section 14 of the </w:t>
      </w:r>
      <w:r w:rsidRPr="008B0EEC">
        <w:rPr>
          <w:i/>
          <w:noProof/>
        </w:rPr>
        <w:t>Legislation Act 2003</w:t>
      </w:r>
      <w:r w:rsidRPr="008B0EEC">
        <w:rPr>
          <w:noProof/>
        </w:rPr>
        <w:t xml:space="preserve"> allows legislative instruments to make provision in relation to matters by incorporating Acts and disallowable legislative instruments, either as in force at a particular time or as in force from time to time. Other documents may only be incorporated as in force at the commencement of the legislative instrument, unless authorising or other legislation alters the operation of section 14.   </w:t>
      </w:r>
    </w:p>
    <w:p w:rsidR="00CD18D3" w:rsidRPr="002431DB" w:rsidRDefault="00CD18D3" w:rsidP="00CD18D3">
      <w:pPr>
        <w:rPr>
          <w:noProof/>
        </w:rPr>
      </w:pPr>
      <w:r w:rsidRPr="003F7080">
        <w:rPr>
          <w:noProof/>
        </w:rPr>
        <w:t>With reference to the above, the committee notes that</w:t>
      </w:r>
      <w:r>
        <w:rPr>
          <w:noProof/>
        </w:rPr>
        <w:t xml:space="preserve"> </w:t>
      </w:r>
      <w:r w:rsidRPr="00B92D16">
        <w:rPr>
          <w:noProof/>
        </w:rPr>
        <w:t>the definition of ‘PED’ in section 2 of the instrument incorporates ‘IEEE 802.11 wireless standard’. However, neither the instrument nor its ES specifies the manner in which this document is incorporated.</w:t>
      </w:r>
    </w:p>
    <w:p w:rsidR="00CD18D3" w:rsidRPr="00ED6A56" w:rsidRDefault="00CD18D3" w:rsidP="00CD18D3">
      <w:pPr>
        <w:spacing w:after="0"/>
        <w:rPr>
          <w:noProof/>
        </w:rPr>
      </w:pPr>
      <w:r w:rsidRPr="005623F3">
        <w:rPr>
          <w:b/>
          <w:noProof/>
        </w:rPr>
        <w:t>The committee requests the advice of the minister in relation to the above.</w:t>
      </w:r>
    </w:p>
    <w:p w:rsidR="00CD18D3" w:rsidRPr="00C25B02" w:rsidRDefault="00CD18D3" w:rsidP="00CD18D3">
      <w:pPr>
        <w:tabs>
          <w:tab w:val="left" w:pos="2268"/>
        </w:tabs>
        <w:spacing w:before="0" w:after="0"/>
        <w:rPr>
          <w:b/>
          <w:noProof/>
        </w:rPr>
      </w:pPr>
      <w:r>
        <w:rPr>
          <w:rFonts w:asciiTheme="minorHAnsi" w:hAnsiTheme="minorHAnsi"/>
          <w:lang w:eastAsia="en-AU"/>
        </w:rPr>
        <w:pict>
          <v:rect id="_x0000_i1032" style="width:222.95pt;height:.05pt" o:hrpct="494" o:hralign="center" o:hrstd="t" o:hr="t" fillcolor="#a0a0a0" stroked="f"/>
        </w:pict>
      </w:r>
    </w:p>
    <w:p w:rsidR="002B2721" w:rsidRDefault="002B2721">
      <w:pPr>
        <w:spacing w:before="0" w:after="0"/>
        <w:jc w:val="left"/>
        <w:rPr>
          <w:b/>
          <w:noProof/>
        </w:rPr>
      </w:pPr>
      <w:r>
        <w:rPr>
          <w:b/>
          <w:noProof/>
        </w:rPr>
        <w:br w:type="page"/>
      </w:r>
    </w:p>
    <w:p w:rsidR="00CD18D3" w:rsidRDefault="00CD18D3" w:rsidP="00CD18D3">
      <w:pPr>
        <w:rPr>
          <w:b/>
          <w:noProof/>
        </w:rPr>
      </w:pPr>
      <w:r w:rsidRPr="00786081">
        <w:rPr>
          <w:b/>
          <w:noProof/>
        </w:rPr>
        <w:lastRenderedPageBreak/>
        <w:t>Access to incorporated document</w:t>
      </w:r>
    </w:p>
    <w:p w:rsidR="00CD18D3" w:rsidRPr="008B0EEC" w:rsidRDefault="00CD18D3" w:rsidP="00CD18D3">
      <w:pPr>
        <w:rPr>
          <w:noProof/>
        </w:rPr>
      </w:pPr>
      <w:r w:rsidRPr="008B0EEC">
        <w:rPr>
          <w:noProof/>
        </w:rPr>
        <w:t xml:space="preserve">Paragraph 15J(2)(c) of the </w:t>
      </w:r>
      <w:r w:rsidRPr="008B0EEC">
        <w:rPr>
          <w:i/>
          <w:noProof/>
        </w:rPr>
        <w:t>Legislation Act 2003</w:t>
      </w:r>
      <w:r w:rsidRPr="008B0EEC">
        <w:rPr>
          <w:noProof/>
        </w:rPr>
        <w:t xml:space="preserve"> requires the ES for a legislative instrument that incorporates a document to contain a description of that document and indicate how it may be obtained. </w:t>
      </w:r>
    </w:p>
    <w:p w:rsidR="00CD18D3" w:rsidRPr="008B0EEC" w:rsidRDefault="00CD18D3" w:rsidP="00CD18D3">
      <w:pPr>
        <w:rPr>
          <w:noProof/>
        </w:rPr>
      </w:pPr>
      <w:r w:rsidRPr="008B0EEC">
        <w:rPr>
          <w:noProof/>
        </w:rPr>
        <w:t xml:space="preserve">The committee's expectations where a legislative instrument incorporates a document generally accord with the approach of the Senate Standing Committee for the Scrutiny of Bills, which has consistently drawn attention to legislation that incorporates documents not readily and freely available (i.e. without cost) to the public. Generally, the committee will be concerned where incorporated documents are not publicly and freely available, because persons interested in or affected by the law may have inadequate access to its terms.  </w:t>
      </w:r>
    </w:p>
    <w:p w:rsidR="00CD18D3" w:rsidRDefault="00CD18D3" w:rsidP="00CD18D3">
      <w:pPr>
        <w:rPr>
          <w:noProof/>
        </w:rPr>
      </w:pPr>
      <w:r w:rsidRPr="00556E34">
        <w:rPr>
          <w:noProof/>
        </w:rPr>
        <w:t>With reference to the above, the committee notes that</w:t>
      </w:r>
      <w:r>
        <w:rPr>
          <w:noProof/>
        </w:rPr>
        <w:t xml:space="preserve"> the instrument incorporates th</w:t>
      </w:r>
      <w:r w:rsidRPr="00962AC8">
        <w:rPr>
          <w:noProof/>
        </w:rPr>
        <w:t>e 'IEEE 802.11 wireless standard'. How</w:t>
      </w:r>
      <w:r w:rsidRPr="00D46EFC">
        <w:rPr>
          <w:noProof/>
        </w:rPr>
        <w:t xml:space="preserve">ever, neither the </w:t>
      </w:r>
      <w:r>
        <w:rPr>
          <w:noProof/>
        </w:rPr>
        <w:t>instrument</w:t>
      </w:r>
      <w:r w:rsidRPr="00D46EFC">
        <w:rPr>
          <w:noProof/>
        </w:rPr>
        <w:t xml:space="preserve"> nor</w:t>
      </w:r>
      <w:r>
        <w:rPr>
          <w:noProof/>
        </w:rPr>
        <w:t xml:space="preserve"> the ES indicates</w:t>
      </w:r>
      <w:r w:rsidRPr="00D46EFC">
        <w:rPr>
          <w:noProof/>
        </w:rPr>
        <w:t xml:space="preserve"> where </w:t>
      </w:r>
      <w:r>
        <w:rPr>
          <w:noProof/>
        </w:rPr>
        <w:t>the standard</w:t>
      </w:r>
      <w:r w:rsidRPr="00D46EFC">
        <w:rPr>
          <w:noProof/>
        </w:rPr>
        <w:t xml:space="preserve"> can be freely</w:t>
      </w:r>
      <w:r>
        <w:rPr>
          <w:noProof/>
        </w:rPr>
        <w:t xml:space="preserve"> </w:t>
      </w:r>
      <w:r w:rsidRPr="00D46EFC">
        <w:rPr>
          <w:noProof/>
        </w:rPr>
        <w:t>accessed</w:t>
      </w:r>
      <w:r>
        <w:rPr>
          <w:noProof/>
        </w:rPr>
        <w:t>.</w:t>
      </w:r>
    </w:p>
    <w:p w:rsidR="00CD18D3" w:rsidRDefault="00CD18D3" w:rsidP="00CD18D3">
      <w:pPr>
        <w:rPr>
          <w:noProof/>
        </w:rPr>
      </w:pPr>
      <w:r w:rsidRPr="00D46EFC">
        <w:rPr>
          <w:noProof/>
        </w:rPr>
        <w:t>While the committee does not interpret paragraph 15J(2)(c) as requiring a detailed description of an incorporated document and how it may be obtained, it considers</w:t>
      </w:r>
      <w:r>
        <w:rPr>
          <w:noProof/>
        </w:rPr>
        <w:t xml:space="preserve"> </w:t>
      </w:r>
      <w:r w:rsidRPr="00D46EFC">
        <w:rPr>
          <w:noProof/>
        </w:rPr>
        <w:t xml:space="preserve">that an ES that does not contain any description of an incorporated document </w:t>
      </w:r>
      <w:r>
        <w:rPr>
          <w:noProof/>
        </w:rPr>
        <w:t>may fail</w:t>
      </w:r>
      <w:r w:rsidRPr="00D46EFC">
        <w:rPr>
          <w:noProof/>
        </w:rPr>
        <w:t xml:space="preserve"> to satisfy the requirements of the </w:t>
      </w:r>
      <w:r w:rsidRPr="00D46EFC">
        <w:rPr>
          <w:i/>
          <w:noProof/>
        </w:rPr>
        <w:t>Legislation Act 2003</w:t>
      </w:r>
      <w:r w:rsidRPr="00D46EFC">
        <w:rPr>
          <w:noProof/>
        </w:rPr>
        <w:t>.</w:t>
      </w:r>
      <w:r>
        <w:rPr>
          <w:noProof/>
        </w:rPr>
        <w:t xml:space="preserve"> In this case the committee has observed</w:t>
      </w:r>
      <w:r w:rsidRPr="00577111">
        <w:rPr>
          <w:noProof/>
        </w:rPr>
        <w:t xml:space="preserve"> that</w:t>
      </w:r>
      <w:r>
        <w:rPr>
          <w:noProof/>
        </w:rPr>
        <w:t xml:space="preserve"> the document appears to be available for free online.</w:t>
      </w:r>
      <w:r>
        <w:rPr>
          <w:rStyle w:val="FootnoteReference"/>
          <w:noProof/>
        </w:rPr>
        <w:footnoteReference w:id="15"/>
      </w:r>
      <w:r w:rsidRPr="00577111">
        <w:rPr>
          <w:noProof/>
        </w:rPr>
        <w:t xml:space="preserve"> </w:t>
      </w:r>
      <w:r w:rsidRPr="00556E34">
        <w:rPr>
          <w:noProof/>
        </w:rPr>
        <w:t>Where an incorporated document is available for free online, the committee considers that a best-practice approach is for the ES to provide details of the website where the document can be acces</w:t>
      </w:r>
      <w:r>
        <w:rPr>
          <w:noProof/>
        </w:rPr>
        <w:t>sed.</w:t>
      </w:r>
    </w:p>
    <w:p w:rsidR="00CD18D3" w:rsidRPr="003937FE" w:rsidRDefault="00CD18D3" w:rsidP="00CD18D3">
      <w:pPr>
        <w:rPr>
          <w:rFonts w:asciiTheme="minorHAnsi" w:hAnsiTheme="minorHAnsi"/>
          <w:lang w:eastAsia="en-AU"/>
        </w:rPr>
      </w:pPr>
      <w:r w:rsidRPr="008B0EEC">
        <w:rPr>
          <w:rFonts w:asciiTheme="minorHAnsi" w:hAnsiTheme="minorHAnsi"/>
          <w:lang w:eastAsia="en-AU"/>
        </w:rPr>
        <w:t>The committee's expectations in this regard are set out in the guideline on incorporation of documents published on the committee's website.</w:t>
      </w:r>
      <w:r w:rsidRPr="008B0EEC">
        <w:rPr>
          <w:rStyle w:val="FootnoteReference"/>
          <w:rFonts w:asciiTheme="minorHAnsi" w:hAnsiTheme="minorHAnsi"/>
          <w:lang w:eastAsia="en-AU"/>
        </w:rPr>
        <w:footnoteReference w:id="16"/>
      </w:r>
      <w:r w:rsidRPr="008B0EEC">
        <w:rPr>
          <w:rFonts w:asciiTheme="minorHAnsi" w:hAnsiTheme="minorHAnsi"/>
          <w:lang w:eastAsia="en-AU"/>
        </w:rPr>
        <w:t xml:space="preserve"> </w:t>
      </w:r>
    </w:p>
    <w:p w:rsidR="00CD18D3" w:rsidRDefault="00CD18D3" w:rsidP="00CD18D3">
      <w:pPr>
        <w:rPr>
          <w:b/>
          <w:szCs w:val="26"/>
        </w:rPr>
      </w:pPr>
      <w:r w:rsidRPr="005623F3">
        <w:rPr>
          <w:b/>
          <w:noProof/>
        </w:rPr>
        <w:t>The committee draws the above to the minister's attention.</w:t>
      </w:r>
      <w:r w:rsidRPr="005623F3">
        <w:rPr>
          <w:b/>
          <w:szCs w:val="26"/>
        </w:rPr>
        <w:t xml:space="preserve"> </w:t>
      </w:r>
    </w:p>
    <w:p w:rsidR="00CD18D3" w:rsidRPr="00DE507D" w:rsidRDefault="00CD18D3" w:rsidP="00CD18D3">
      <w:pPr>
        <w:pStyle w:val="Level1"/>
        <w:numPr>
          <w:ilvl w:val="0"/>
          <w:numId w:val="0"/>
        </w:numPr>
        <w:spacing w:before="0" w:after="0"/>
        <w:rPr>
          <w:sz w:val="2"/>
          <w:szCs w:val="2"/>
        </w:rPr>
      </w:pPr>
      <w:r>
        <w:br w:type="page"/>
      </w:r>
    </w:p>
    <w:tbl>
      <w:tblPr>
        <w:tblW w:w="0" w:type="auto"/>
        <w:tblInd w:w="108" w:type="dxa"/>
        <w:tblLook w:val="04A0" w:firstRow="1" w:lastRow="0" w:firstColumn="1" w:lastColumn="0" w:noHBand="0" w:noVBand="1"/>
      </w:tblPr>
      <w:tblGrid>
        <w:gridCol w:w="2694"/>
        <w:gridCol w:w="6378"/>
      </w:tblGrid>
      <w:tr w:rsidR="00CD18D3" w:rsidRPr="00322850" w:rsidTr="002B2721">
        <w:tc>
          <w:tcPr>
            <w:tcW w:w="2694" w:type="dxa"/>
            <w:tcBorders>
              <w:top w:val="single" w:sz="12" w:space="0" w:color="auto"/>
              <w:right w:val="single" w:sz="12" w:space="0" w:color="auto"/>
            </w:tcBorders>
          </w:tcPr>
          <w:p w:rsidR="00CD18D3" w:rsidRPr="00322850" w:rsidRDefault="00CD18D3" w:rsidP="002B2721">
            <w:pPr>
              <w:rPr>
                <w:b/>
                <w:sz w:val="24"/>
                <w:szCs w:val="24"/>
              </w:rPr>
            </w:pPr>
            <w:r w:rsidRPr="00322850">
              <w:rPr>
                <w:b/>
                <w:sz w:val="24"/>
                <w:szCs w:val="24"/>
              </w:rPr>
              <w:lastRenderedPageBreak/>
              <w:t>Instrument</w:t>
            </w:r>
          </w:p>
        </w:tc>
        <w:tc>
          <w:tcPr>
            <w:tcW w:w="6378" w:type="dxa"/>
            <w:tcBorders>
              <w:top w:val="single" w:sz="12" w:space="0" w:color="auto"/>
              <w:left w:val="single" w:sz="12" w:space="0" w:color="auto"/>
            </w:tcBorders>
          </w:tcPr>
          <w:p w:rsidR="00CD18D3" w:rsidRPr="00322850" w:rsidRDefault="00CD18D3" w:rsidP="002B2721">
            <w:pPr>
              <w:pStyle w:val="Heading3"/>
              <w:rPr>
                <w:sz w:val="24"/>
                <w:szCs w:val="24"/>
              </w:rPr>
            </w:pPr>
            <w:r w:rsidRPr="00786081">
              <w:rPr>
                <w:noProof/>
                <w:sz w:val="24"/>
                <w:szCs w:val="24"/>
              </w:rPr>
              <w:t>Charter of the United Nations (UN Sanction Enforcement Law) Amendment Declaration 2017 (No. 2) [F2017L00991]</w:t>
            </w:r>
          </w:p>
        </w:tc>
      </w:tr>
      <w:tr w:rsidR="00CD18D3" w:rsidRPr="00322850" w:rsidTr="002B2721">
        <w:tc>
          <w:tcPr>
            <w:tcW w:w="2694" w:type="dxa"/>
            <w:tcBorders>
              <w:right w:val="single" w:sz="12" w:space="0" w:color="auto"/>
            </w:tcBorders>
          </w:tcPr>
          <w:p w:rsidR="00CD18D3" w:rsidRPr="00322850" w:rsidRDefault="00CD18D3" w:rsidP="002B2721">
            <w:pPr>
              <w:rPr>
                <w:b/>
                <w:sz w:val="24"/>
                <w:szCs w:val="24"/>
              </w:rPr>
            </w:pPr>
            <w:r w:rsidRPr="00322850">
              <w:rPr>
                <w:b/>
                <w:sz w:val="24"/>
                <w:szCs w:val="24"/>
              </w:rPr>
              <w:t>Purpose</w:t>
            </w:r>
          </w:p>
        </w:tc>
        <w:tc>
          <w:tcPr>
            <w:tcW w:w="6378" w:type="dxa"/>
            <w:tcBorders>
              <w:left w:val="single" w:sz="12" w:space="0" w:color="auto"/>
            </w:tcBorders>
          </w:tcPr>
          <w:p w:rsidR="00CD18D3" w:rsidRPr="00322850" w:rsidRDefault="00CD18D3" w:rsidP="002B2721">
            <w:pPr>
              <w:rPr>
                <w:sz w:val="24"/>
                <w:szCs w:val="24"/>
              </w:rPr>
            </w:pPr>
            <w:r w:rsidRPr="00786081">
              <w:rPr>
                <w:noProof/>
                <w:sz w:val="24"/>
                <w:szCs w:val="24"/>
              </w:rPr>
              <w:t>Amends the Charter of the United Nations (UN Sanction Enforcement Law) Declaration 2008 to reflect the making of the Charter of the United Nations (Sanctions – Democratic People’s Republic of Korea) Amendment (2017 Measures No.</w:t>
            </w:r>
            <w:r>
              <w:rPr>
                <w:noProof/>
                <w:sz w:val="24"/>
                <w:szCs w:val="24"/>
              </w:rPr>
              <w:t> </w:t>
            </w:r>
            <w:r w:rsidRPr="00786081">
              <w:rPr>
                <w:noProof/>
                <w:sz w:val="24"/>
                <w:szCs w:val="24"/>
              </w:rPr>
              <w:t>1) Regulations 2017</w:t>
            </w:r>
          </w:p>
        </w:tc>
      </w:tr>
      <w:tr w:rsidR="00CD18D3" w:rsidRPr="00322850" w:rsidTr="002B2721">
        <w:tc>
          <w:tcPr>
            <w:tcW w:w="2694" w:type="dxa"/>
            <w:tcBorders>
              <w:right w:val="single" w:sz="12" w:space="0" w:color="auto"/>
            </w:tcBorders>
          </w:tcPr>
          <w:p w:rsidR="00CD18D3" w:rsidRPr="00322850" w:rsidRDefault="00CD18D3" w:rsidP="002B2721">
            <w:pPr>
              <w:rPr>
                <w:b/>
                <w:sz w:val="24"/>
                <w:szCs w:val="24"/>
              </w:rPr>
            </w:pPr>
            <w:r w:rsidRPr="00322850">
              <w:rPr>
                <w:b/>
                <w:sz w:val="24"/>
                <w:szCs w:val="24"/>
              </w:rPr>
              <w:t>Authorising legislation</w:t>
            </w:r>
          </w:p>
        </w:tc>
        <w:tc>
          <w:tcPr>
            <w:tcW w:w="6378" w:type="dxa"/>
            <w:tcBorders>
              <w:left w:val="single" w:sz="12" w:space="0" w:color="auto"/>
            </w:tcBorders>
          </w:tcPr>
          <w:p w:rsidR="00CD18D3" w:rsidRPr="00322850" w:rsidRDefault="00CD18D3" w:rsidP="002B2721">
            <w:pPr>
              <w:rPr>
                <w:i/>
                <w:sz w:val="24"/>
                <w:szCs w:val="24"/>
              </w:rPr>
            </w:pPr>
            <w:r w:rsidRPr="00786081">
              <w:rPr>
                <w:i/>
                <w:noProof/>
                <w:sz w:val="24"/>
                <w:szCs w:val="24"/>
              </w:rPr>
              <w:t>Charter of the United Nations Act 1945</w:t>
            </w:r>
          </w:p>
        </w:tc>
      </w:tr>
      <w:tr w:rsidR="00CD18D3" w:rsidRPr="00322850" w:rsidTr="002B2721">
        <w:tc>
          <w:tcPr>
            <w:tcW w:w="2694" w:type="dxa"/>
            <w:tcBorders>
              <w:right w:val="single" w:sz="12" w:space="0" w:color="auto"/>
            </w:tcBorders>
          </w:tcPr>
          <w:p w:rsidR="00CD18D3" w:rsidRPr="00322850" w:rsidRDefault="00CD18D3" w:rsidP="002B2721">
            <w:pPr>
              <w:rPr>
                <w:b/>
                <w:sz w:val="24"/>
                <w:szCs w:val="24"/>
              </w:rPr>
            </w:pPr>
            <w:r w:rsidRPr="00322850">
              <w:rPr>
                <w:b/>
                <w:sz w:val="24"/>
                <w:szCs w:val="24"/>
              </w:rPr>
              <w:t>Department</w:t>
            </w:r>
          </w:p>
        </w:tc>
        <w:tc>
          <w:tcPr>
            <w:tcW w:w="6378" w:type="dxa"/>
            <w:tcBorders>
              <w:left w:val="single" w:sz="12" w:space="0" w:color="auto"/>
            </w:tcBorders>
          </w:tcPr>
          <w:p w:rsidR="00CD18D3" w:rsidRPr="00322850" w:rsidRDefault="00CD18D3" w:rsidP="002B2721">
            <w:pPr>
              <w:rPr>
                <w:sz w:val="24"/>
                <w:szCs w:val="24"/>
              </w:rPr>
            </w:pPr>
            <w:r w:rsidRPr="00786081">
              <w:rPr>
                <w:noProof/>
                <w:sz w:val="24"/>
                <w:szCs w:val="24"/>
              </w:rPr>
              <w:t>Foreign Affairs and Trade</w:t>
            </w:r>
          </w:p>
        </w:tc>
      </w:tr>
      <w:tr w:rsidR="00CD18D3" w:rsidRPr="00322850" w:rsidTr="002B2721">
        <w:tc>
          <w:tcPr>
            <w:tcW w:w="2694" w:type="dxa"/>
            <w:tcBorders>
              <w:right w:val="single" w:sz="12" w:space="0" w:color="auto"/>
            </w:tcBorders>
          </w:tcPr>
          <w:p w:rsidR="00CD18D3" w:rsidRPr="00322850" w:rsidRDefault="00CD18D3" w:rsidP="002B2721">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CD18D3" w:rsidRPr="00322850" w:rsidRDefault="00CD18D3" w:rsidP="002B2721">
            <w:pPr>
              <w:rPr>
                <w:sz w:val="24"/>
                <w:szCs w:val="24"/>
              </w:rPr>
            </w:pPr>
            <w:r>
              <w:rPr>
                <w:sz w:val="24"/>
                <w:szCs w:val="24"/>
              </w:rPr>
              <w:t xml:space="preserve">15 sitting days after tabling (tabled Senate </w:t>
            </w:r>
            <w:r w:rsidRPr="00786081">
              <w:rPr>
                <w:noProof/>
                <w:sz w:val="24"/>
                <w:szCs w:val="24"/>
              </w:rPr>
              <w:t>8 August</w:t>
            </w:r>
            <w:r>
              <w:rPr>
                <w:sz w:val="24"/>
                <w:szCs w:val="24"/>
              </w:rPr>
              <w:t xml:space="preserve"> 2017)</w:t>
            </w:r>
            <w:r>
              <w:rPr>
                <w:sz w:val="24"/>
                <w:szCs w:val="24"/>
              </w:rPr>
              <w:br/>
              <w:t>Notice of motion to disallow currently must be given by</w:t>
            </w:r>
            <w:r>
              <w:rPr>
                <w:sz w:val="24"/>
                <w:szCs w:val="24"/>
              </w:rPr>
              <w:br/>
            </w:r>
            <w:r w:rsidRPr="00786081">
              <w:rPr>
                <w:noProof/>
                <w:sz w:val="24"/>
                <w:szCs w:val="24"/>
              </w:rPr>
              <w:t>16 October</w:t>
            </w:r>
            <w:r>
              <w:rPr>
                <w:sz w:val="24"/>
                <w:szCs w:val="24"/>
              </w:rPr>
              <w:t xml:space="preserve"> 2017</w:t>
            </w:r>
          </w:p>
        </w:tc>
      </w:tr>
      <w:tr w:rsidR="00CD18D3" w:rsidRPr="00322850" w:rsidTr="002B2721">
        <w:tc>
          <w:tcPr>
            <w:tcW w:w="2694" w:type="dxa"/>
            <w:tcBorders>
              <w:bottom w:val="single" w:sz="12" w:space="0" w:color="auto"/>
              <w:right w:val="single" w:sz="12" w:space="0" w:color="auto"/>
            </w:tcBorders>
          </w:tcPr>
          <w:p w:rsidR="00CD18D3" w:rsidRPr="00322850" w:rsidRDefault="00CD18D3" w:rsidP="002B2721">
            <w:pPr>
              <w:rPr>
                <w:b/>
                <w:sz w:val="24"/>
                <w:szCs w:val="24"/>
              </w:rPr>
            </w:pPr>
            <w:r w:rsidRPr="00322850">
              <w:rPr>
                <w:b/>
                <w:sz w:val="24"/>
                <w:szCs w:val="24"/>
              </w:rPr>
              <w:t>Scrutiny principle</w:t>
            </w:r>
          </w:p>
        </w:tc>
        <w:tc>
          <w:tcPr>
            <w:tcW w:w="6378" w:type="dxa"/>
            <w:tcBorders>
              <w:left w:val="single" w:sz="12" w:space="0" w:color="auto"/>
              <w:bottom w:val="single" w:sz="12" w:space="0" w:color="auto"/>
            </w:tcBorders>
          </w:tcPr>
          <w:p w:rsidR="00CD18D3" w:rsidRPr="00322850" w:rsidRDefault="00CD18D3" w:rsidP="002B2721">
            <w:pPr>
              <w:rPr>
                <w:sz w:val="24"/>
                <w:szCs w:val="24"/>
              </w:rPr>
            </w:pPr>
            <w:r w:rsidRPr="00322850">
              <w:rPr>
                <w:sz w:val="24"/>
                <w:szCs w:val="24"/>
              </w:rPr>
              <w:t>Standing Order 23(3)</w:t>
            </w:r>
            <w:r w:rsidRPr="00786081">
              <w:rPr>
                <w:noProof/>
                <w:sz w:val="24"/>
                <w:szCs w:val="24"/>
              </w:rPr>
              <w:t>(a)</w:t>
            </w:r>
          </w:p>
        </w:tc>
      </w:tr>
    </w:tbl>
    <w:p w:rsidR="00CD18D3" w:rsidRPr="00322850" w:rsidRDefault="00CD18D3" w:rsidP="00CD18D3">
      <w:pPr>
        <w:spacing w:before="0" w:after="0"/>
      </w:pPr>
    </w:p>
    <w:p w:rsidR="00CD18D3" w:rsidRPr="00786081" w:rsidRDefault="00CD18D3" w:rsidP="00CD18D3">
      <w:pPr>
        <w:rPr>
          <w:b/>
          <w:noProof/>
        </w:rPr>
      </w:pPr>
      <w:r w:rsidRPr="00786081">
        <w:rPr>
          <w:b/>
          <w:noProof/>
        </w:rPr>
        <w:t>Drafting</w:t>
      </w:r>
    </w:p>
    <w:p w:rsidR="00CD18D3" w:rsidRDefault="00CD18D3" w:rsidP="00CD18D3">
      <w:pPr>
        <w:rPr>
          <w:noProof/>
        </w:rPr>
      </w:pPr>
      <w:r>
        <w:rPr>
          <w:noProof/>
        </w:rPr>
        <w:t>T</w:t>
      </w:r>
      <w:r w:rsidRPr="0026035D">
        <w:rPr>
          <w:noProof/>
        </w:rPr>
        <w:t>he declaration replaces Schedule 1 of Charter of the United Nations (UN Sanction Enforcement Law)</w:t>
      </w:r>
      <w:r>
        <w:rPr>
          <w:noProof/>
        </w:rPr>
        <w:t xml:space="preserve"> Declaration 2008 [</w:t>
      </w:r>
      <w:r w:rsidRPr="0026035D">
        <w:rPr>
          <w:noProof/>
        </w:rPr>
        <w:t>F2017C00676</w:t>
      </w:r>
      <w:r>
        <w:rPr>
          <w:noProof/>
        </w:rPr>
        <w:t xml:space="preserve">] (the principal declaration) to specify provisions of Commonwealth laws that are UN sanction enforcement laws pursuant to the </w:t>
      </w:r>
      <w:r w:rsidRPr="0026035D">
        <w:rPr>
          <w:i/>
          <w:noProof/>
        </w:rPr>
        <w:t>Charter of the United Nations Act 1945</w:t>
      </w:r>
      <w:r>
        <w:rPr>
          <w:noProof/>
        </w:rPr>
        <w:t xml:space="preserve">. </w:t>
      </w:r>
    </w:p>
    <w:p w:rsidR="00CD18D3" w:rsidRDefault="00CD18D3" w:rsidP="00CD18D3">
      <w:pPr>
        <w:rPr>
          <w:noProof/>
        </w:rPr>
      </w:pPr>
      <w:r>
        <w:rPr>
          <w:noProof/>
        </w:rPr>
        <w:t>The committee has requested advice from the minister in relation to the apparent inclusion of repealed regulations in this Schedule on two previous occasions.</w:t>
      </w:r>
      <w:r>
        <w:rPr>
          <w:rStyle w:val="FootnoteReference"/>
          <w:noProof/>
        </w:rPr>
        <w:footnoteReference w:id="17"/>
      </w:r>
      <w:r>
        <w:rPr>
          <w:noProof/>
        </w:rPr>
        <w:br/>
        <w:t>The minister's response on each occasion advised that these regulations should not have appeared in the principal declaration, and the minister undertook to amend the declaration and its ES, as soon as practicable, to remove the references to the UN sanction enforcement laws which no longer existed.</w:t>
      </w:r>
    </w:p>
    <w:p w:rsidR="00CD18D3" w:rsidRDefault="00CD18D3" w:rsidP="00CD18D3">
      <w:pPr>
        <w:rPr>
          <w:noProof/>
        </w:rPr>
      </w:pPr>
      <w:r>
        <w:rPr>
          <w:noProof/>
        </w:rPr>
        <w:t>The committee notes that the earlier repealed regulations have not been included in the current replacement Schedule 1. However, item 10 of replacement Schedule 1 lists regulations 8, 10, 12 and 13 of the Charter of the United Nations (Sanctions — Liberia) Regulations 2008 [</w:t>
      </w:r>
      <w:r w:rsidRPr="00540F8A">
        <w:rPr>
          <w:noProof/>
        </w:rPr>
        <w:t>F2014C01028</w:t>
      </w:r>
      <w:r>
        <w:rPr>
          <w:noProof/>
        </w:rPr>
        <w:t xml:space="preserve">]. The committee understands that this regulation is no longer in force, in accordance with </w:t>
      </w:r>
      <w:r w:rsidRPr="00540F8A">
        <w:rPr>
          <w:noProof/>
        </w:rPr>
        <w:t xml:space="preserve">section 8 of the </w:t>
      </w:r>
      <w:r w:rsidRPr="00540F8A">
        <w:rPr>
          <w:i/>
          <w:noProof/>
        </w:rPr>
        <w:t>Charter of the United Nations Act 1945</w:t>
      </w:r>
      <w:r>
        <w:rPr>
          <w:noProof/>
        </w:rPr>
        <w:t xml:space="preserve">, due to the </w:t>
      </w:r>
      <w:r w:rsidRPr="00540F8A">
        <w:rPr>
          <w:noProof/>
        </w:rPr>
        <w:t>adoption of UN Security Council Resolution 2288 (2016) on 25 May 2016</w:t>
      </w:r>
      <w:r>
        <w:rPr>
          <w:noProof/>
        </w:rPr>
        <w:t>.</w:t>
      </w:r>
    </w:p>
    <w:p w:rsidR="006C6921" w:rsidRDefault="006C6921">
      <w:pPr>
        <w:spacing w:before="0" w:after="0"/>
        <w:jc w:val="left"/>
        <w:rPr>
          <w:noProof/>
        </w:rPr>
      </w:pPr>
      <w:r>
        <w:rPr>
          <w:noProof/>
        </w:rPr>
        <w:br w:type="page"/>
      </w:r>
    </w:p>
    <w:p w:rsidR="00CD18D3" w:rsidRPr="00540F8A" w:rsidRDefault="00CD18D3" w:rsidP="00CD18D3">
      <w:pPr>
        <w:rPr>
          <w:noProof/>
          <w:highlight w:val="yellow"/>
        </w:rPr>
      </w:pPr>
      <w:r>
        <w:rPr>
          <w:noProof/>
        </w:rPr>
        <w:lastRenderedPageBreak/>
        <w:t>It is therefore unclear to the committee why this regulation has been included in the declaration.</w:t>
      </w:r>
    </w:p>
    <w:p w:rsidR="00CD18D3" w:rsidRDefault="00CD18D3" w:rsidP="00CD18D3">
      <w:pPr>
        <w:pStyle w:val="Level1"/>
        <w:numPr>
          <w:ilvl w:val="0"/>
          <w:numId w:val="0"/>
        </w:numPr>
        <w:spacing w:before="0"/>
        <w:rPr>
          <w:b/>
          <w:noProof/>
        </w:rPr>
      </w:pPr>
      <w:r w:rsidRPr="005623F3">
        <w:rPr>
          <w:b/>
          <w:noProof/>
        </w:rPr>
        <w:t>The committee requests the advice of the minister in relation to the above.</w:t>
      </w:r>
    </w:p>
    <w:p w:rsidR="00CD18D3" w:rsidRDefault="00CD18D3" w:rsidP="00CD18D3">
      <w:pPr>
        <w:pStyle w:val="Level1"/>
        <w:numPr>
          <w:ilvl w:val="0"/>
          <w:numId w:val="0"/>
        </w:numPr>
        <w:spacing w:before="0"/>
      </w:pPr>
    </w:p>
    <w:p w:rsidR="006C6921" w:rsidRDefault="006C6921" w:rsidP="00CD18D3">
      <w:pPr>
        <w:pStyle w:val="Level1"/>
        <w:numPr>
          <w:ilvl w:val="0"/>
          <w:numId w:val="0"/>
        </w:numPr>
        <w:spacing w:before="0"/>
      </w:pPr>
    </w:p>
    <w:tbl>
      <w:tblPr>
        <w:tblW w:w="0" w:type="auto"/>
        <w:tblInd w:w="108" w:type="dxa"/>
        <w:tblLook w:val="04A0" w:firstRow="1" w:lastRow="0" w:firstColumn="1" w:lastColumn="0" w:noHBand="0" w:noVBand="1"/>
      </w:tblPr>
      <w:tblGrid>
        <w:gridCol w:w="2694"/>
        <w:gridCol w:w="6378"/>
      </w:tblGrid>
      <w:tr w:rsidR="00CD18D3" w:rsidRPr="00322850" w:rsidTr="002B2721">
        <w:tc>
          <w:tcPr>
            <w:tcW w:w="2694" w:type="dxa"/>
            <w:tcBorders>
              <w:top w:val="single" w:sz="12" w:space="0" w:color="auto"/>
              <w:right w:val="single" w:sz="12" w:space="0" w:color="auto"/>
            </w:tcBorders>
          </w:tcPr>
          <w:p w:rsidR="00CD18D3" w:rsidRPr="00322850" w:rsidRDefault="00CD18D3" w:rsidP="002B2721">
            <w:pPr>
              <w:rPr>
                <w:b/>
                <w:sz w:val="24"/>
                <w:szCs w:val="24"/>
              </w:rPr>
            </w:pPr>
            <w:r w:rsidRPr="00322850">
              <w:rPr>
                <w:b/>
                <w:sz w:val="24"/>
                <w:szCs w:val="24"/>
              </w:rPr>
              <w:t>Instrument</w:t>
            </w:r>
          </w:p>
        </w:tc>
        <w:tc>
          <w:tcPr>
            <w:tcW w:w="6378" w:type="dxa"/>
            <w:tcBorders>
              <w:top w:val="single" w:sz="12" w:space="0" w:color="auto"/>
              <w:left w:val="single" w:sz="12" w:space="0" w:color="auto"/>
            </w:tcBorders>
          </w:tcPr>
          <w:p w:rsidR="00CD18D3" w:rsidRPr="00322850" w:rsidRDefault="00CD18D3" w:rsidP="002B2721">
            <w:pPr>
              <w:pStyle w:val="Heading3"/>
              <w:rPr>
                <w:sz w:val="24"/>
                <w:szCs w:val="24"/>
              </w:rPr>
            </w:pPr>
            <w:r w:rsidRPr="006D7A8A">
              <w:rPr>
                <w:noProof/>
                <w:sz w:val="24"/>
                <w:szCs w:val="24"/>
              </w:rPr>
              <w:t>Fisheries Management (International Agreements) Amendment (2015 and 2016 Measures) Regulations 2017 [F2017L00920]</w:t>
            </w:r>
          </w:p>
        </w:tc>
      </w:tr>
      <w:tr w:rsidR="00CD18D3" w:rsidRPr="00322850" w:rsidTr="002B2721">
        <w:tc>
          <w:tcPr>
            <w:tcW w:w="2694" w:type="dxa"/>
            <w:tcBorders>
              <w:right w:val="single" w:sz="12" w:space="0" w:color="auto"/>
            </w:tcBorders>
          </w:tcPr>
          <w:p w:rsidR="00CD18D3" w:rsidRPr="00322850" w:rsidRDefault="00CD18D3" w:rsidP="002B2721">
            <w:pPr>
              <w:rPr>
                <w:b/>
                <w:sz w:val="24"/>
                <w:szCs w:val="24"/>
              </w:rPr>
            </w:pPr>
            <w:r w:rsidRPr="00322850">
              <w:rPr>
                <w:b/>
                <w:sz w:val="24"/>
                <w:szCs w:val="24"/>
              </w:rPr>
              <w:t>Purpose</w:t>
            </w:r>
          </w:p>
        </w:tc>
        <w:tc>
          <w:tcPr>
            <w:tcW w:w="6378" w:type="dxa"/>
            <w:tcBorders>
              <w:left w:val="single" w:sz="12" w:space="0" w:color="auto"/>
            </w:tcBorders>
          </w:tcPr>
          <w:p w:rsidR="00CD18D3" w:rsidRPr="00322850" w:rsidRDefault="00CD18D3" w:rsidP="002B2721">
            <w:pPr>
              <w:rPr>
                <w:sz w:val="24"/>
                <w:szCs w:val="24"/>
              </w:rPr>
            </w:pPr>
            <w:r w:rsidRPr="006D7A8A">
              <w:rPr>
                <w:noProof/>
                <w:sz w:val="24"/>
                <w:szCs w:val="24"/>
              </w:rPr>
              <w:t>Amend</w:t>
            </w:r>
            <w:r>
              <w:rPr>
                <w:noProof/>
                <w:sz w:val="24"/>
                <w:szCs w:val="24"/>
              </w:rPr>
              <w:t>s</w:t>
            </w:r>
            <w:r w:rsidRPr="006D7A8A">
              <w:rPr>
                <w:noProof/>
                <w:sz w:val="24"/>
                <w:szCs w:val="24"/>
              </w:rPr>
              <w:t xml:space="preserve"> the Fisheries Management (International Agreements) Regulations 2009 to include amendments to the international fisheries management measures that are currently prescribed and prescribe those that came into force as a result of meetings of five international fisheries management organisations held between 1 July 2015 and 30 June 2016</w:t>
            </w:r>
          </w:p>
        </w:tc>
      </w:tr>
      <w:tr w:rsidR="00CD18D3" w:rsidRPr="00322850" w:rsidTr="002B2721">
        <w:tc>
          <w:tcPr>
            <w:tcW w:w="2694" w:type="dxa"/>
            <w:tcBorders>
              <w:right w:val="single" w:sz="12" w:space="0" w:color="auto"/>
            </w:tcBorders>
          </w:tcPr>
          <w:p w:rsidR="00CD18D3" w:rsidRPr="00322850" w:rsidRDefault="00CD18D3" w:rsidP="002B2721">
            <w:pPr>
              <w:rPr>
                <w:b/>
                <w:sz w:val="24"/>
                <w:szCs w:val="24"/>
              </w:rPr>
            </w:pPr>
            <w:r w:rsidRPr="00322850">
              <w:rPr>
                <w:b/>
                <w:sz w:val="24"/>
                <w:szCs w:val="24"/>
              </w:rPr>
              <w:t>Authorising legislation</w:t>
            </w:r>
          </w:p>
        </w:tc>
        <w:tc>
          <w:tcPr>
            <w:tcW w:w="6378" w:type="dxa"/>
            <w:tcBorders>
              <w:left w:val="single" w:sz="12" w:space="0" w:color="auto"/>
            </w:tcBorders>
          </w:tcPr>
          <w:p w:rsidR="00CD18D3" w:rsidRPr="00322850" w:rsidRDefault="00CD18D3" w:rsidP="002B2721">
            <w:pPr>
              <w:rPr>
                <w:i/>
                <w:sz w:val="24"/>
                <w:szCs w:val="24"/>
              </w:rPr>
            </w:pPr>
            <w:r w:rsidRPr="006D7A8A">
              <w:rPr>
                <w:i/>
                <w:noProof/>
                <w:sz w:val="24"/>
                <w:szCs w:val="24"/>
              </w:rPr>
              <w:t>Fisheries Management Act 1991</w:t>
            </w:r>
          </w:p>
        </w:tc>
      </w:tr>
      <w:tr w:rsidR="00CD18D3" w:rsidRPr="00322850" w:rsidTr="002B2721">
        <w:tc>
          <w:tcPr>
            <w:tcW w:w="2694" w:type="dxa"/>
            <w:tcBorders>
              <w:right w:val="single" w:sz="12" w:space="0" w:color="auto"/>
            </w:tcBorders>
          </w:tcPr>
          <w:p w:rsidR="00CD18D3" w:rsidRPr="00322850" w:rsidRDefault="00CD18D3" w:rsidP="002B2721">
            <w:pPr>
              <w:rPr>
                <w:b/>
                <w:sz w:val="24"/>
                <w:szCs w:val="24"/>
              </w:rPr>
            </w:pPr>
            <w:r w:rsidRPr="00322850">
              <w:rPr>
                <w:b/>
                <w:sz w:val="24"/>
                <w:szCs w:val="24"/>
              </w:rPr>
              <w:t>Department</w:t>
            </w:r>
          </w:p>
        </w:tc>
        <w:tc>
          <w:tcPr>
            <w:tcW w:w="6378" w:type="dxa"/>
            <w:tcBorders>
              <w:left w:val="single" w:sz="12" w:space="0" w:color="auto"/>
            </w:tcBorders>
          </w:tcPr>
          <w:p w:rsidR="00CD18D3" w:rsidRPr="00322850" w:rsidRDefault="00CD18D3" w:rsidP="002B2721">
            <w:pPr>
              <w:rPr>
                <w:sz w:val="24"/>
                <w:szCs w:val="24"/>
              </w:rPr>
            </w:pPr>
            <w:r w:rsidRPr="006D7A8A">
              <w:rPr>
                <w:noProof/>
                <w:sz w:val="24"/>
                <w:szCs w:val="24"/>
              </w:rPr>
              <w:t>Agriculture and Water Resources</w:t>
            </w:r>
          </w:p>
        </w:tc>
      </w:tr>
      <w:tr w:rsidR="00CD18D3" w:rsidRPr="00322850" w:rsidTr="002B2721">
        <w:tc>
          <w:tcPr>
            <w:tcW w:w="2694" w:type="dxa"/>
            <w:tcBorders>
              <w:right w:val="single" w:sz="12" w:space="0" w:color="auto"/>
            </w:tcBorders>
          </w:tcPr>
          <w:p w:rsidR="00CD18D3" w:rsidRPr="00322850" w:rsidRDefault="00CD18D3" w:rsidP="002B2721">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CD18D3" w:rsidRPr="00322850" w:rsidRDefault="00CD18D3" w:rsidP="002B2721">
            <w:pPr>
              <w:rPr>
                <w:sz w:val="24"/>
                <w:szCs w:val="24"/>
              </w:rPr>
            </w:pPr>
            <w:r>
              <w:rPr>
                <w:sz w:val="24"/>
                <w:szCs w:val="24"/>
              </w:rPr>
              <w:t xml:space="preserve">15 sitting days after tabling (tabled Senate </w:t>
            </w:r>
            <w:r w:rsidRPr="006D7A8A">
              <w:rPr>
                <w:noProof/>
                <w:sz w:val="24"/>
                <w:szCs w:val="24"/>
              </w:rPr>
              <w:t>8 August</w:t>
            </w:r>
            <w:r>
              <w:rPr>
                <w:sz w:val="24"/>
                <w:szCs w:val="24"/>
              </w:rPr>
              <w:t xml:space="preserve"> 2017)</w:t>
            </w:r>
            <w:r>
              <w:rPr>
                <w:sz w:val="24"/>
                <w:szCs w:val="24"/>
              </w:rPr>
              <w:br/>
              <w:t>Notice of motion to disallow currently must be given by</w:t>
            </w:r>
            <w:r>
              <w:rPr>
                <w:sz w:val="24"/>
                <w:szCs w:val="24"/>
              </w:rPr>
              <w:br/>
            </w:r>
            <w:r w:rsidRPr="006D7A8A">
              <w:rPr>
                <w:noProof/>
                <w:sz w:val="24"/>
                <w:szCs w:val="24"/>
              </w:rPr>
              <w:t>16 October</w:t>
            </w:r>
            <w:r>
              <w:rPr>
                <w:sz w:val="24"/>
                <w:szCs w:val="24"/>
              </w:rPr>
              <w:t xml:space="preserve"> 2017</w:t>
            </w:r>
          </w:p>
        </w:tc>
      </w:tr>
      <w:tr w:rsidR="00CD18D3" w:rsidRPr="00322850" w:rsidTr="002B2721">
        <w:tc>
          <w:tcPr>
            <w:tcW w:w="2694" w:type="dxa"/>
            <w:tcBorders>
              <w:bottom w:val="single" w:sz="12" w:space="0" w:color="auto"/>
              <w:right w:val="single" w:sz="12" w:space="0" w:color="auto"/>
            </w:tcBorders>
          </w:tcPr>
          <w:p w:rsidR="00CD18D3" w:rsidRPr="00322850" w:rsidRDefault="00CD18D3" w:rsidP="002B2721">
            <w:pPr>
              <w:rPr>
                <w:b/>
                <w:sz w:val="24"/>
                <w:szCs w:val="24"/>
              </w:rPr>
            </w:pPr>
            <w:r w:rsidRPr="00322850">
              <w:rPr>
                <w:b/>
                <w:sz w:val="24"/>
                <w:szCs w:val="24"/>
              </w:rPr>
              <w:t>Scrutiny principle</w:t>
            </w:r>
          </w:p>
        </w:tc>
        <w:tc>
          <w:tcPr>
            <w:tcW w:w="6378" w:type="dxa"/>
            <w:tcBorders>
              <w:left w:val="single" w:sz="12" w:space="0" w:color="auto"/>
              <w:bottom w:val="single" w:sz="12" w:space="0" w:color="auto"/>
            </w:tcBorders>
          </w:tcPr>
          <w:p w:rsidR="00CD18D3" w:rsidRPr="00322850" w:rsidRDefault="00CD18D3" w:rsidP="002B2721">
            <w:pPr>
              <w:rPr>
                <w:sz w:val="24"/>
                <w:szCs w:val="24"/>
              </w:rPr>
            </w:pPr>
            <w:r w:rsidRPr="00322850">
              <w:rPr>
                <w:sz w:val="24"/>
                <w:szCs w:val="24"/>
              </w:rPr>
              <w:t>Standing Order 23(3)</w:t>
            </w:r>
            <w:r w:rsidRPr="006D7A8A">
              <w:rPr>
                <w:noProof/>
                <w:sz w:val="24"/>
                <w:szCs w:val="24"/>
              </w:rPr>
              <w:t>(a)</w:t>
            </w:r>
          </w:p>
        </w:tc>
      </w:tr>
    </w:tbl>
    <w:p w:rsidR="00CD18D3" w:rsidRDefault="00CD18D3" w:rsidP="00CD18D3">
      <w:pPr>
        <w:spacing w:before="0" w:after="0"/>
        <w:rPr>
          <w:b/>
          <w:noProof/>
        </w:rPr>
      </w:pPr>
    </w:p>
    <w:p w:rsidR="00CD18D3" w:rsidRDefault="00CD18D3" w:rsidP="00CD18D3">
      <w:pPr>
        <w:rPr>
          <w:b/>
          <w:noProof/>
        </w:rPr>
      </w:pPr>
      <w:r w:rsidRPr="006D7A8A">
        <w:rPr>
          <w:b/>
          <w:noProof/>
        </w:rPr>
        <w:t>Manner of incorporation</w:t>
      </w:r>
    </w:p>
    <w:p w:rsidR="00CD18D3" w:rsidRPr="008B0EEC" w:rsidRDefault="00CD18D3" w:rsidP="00CD18D3">
      <w:pPr>
        <w:rPr>
          <w:noProof/>
        </w:rPr>
      </w:pPr>
      <w:r w:rsidRPr="008B0EEC">
        <w:rPr>
          <w:noProof/>
        </w:rPr>
        <w:t xml:space="preserve">Section 14 of the </w:t>
      </w:r>
      <w:r w:rsidRPr="008B0EEC">
        <w:rPr>
          <w:i/>
          <w:noProof/>
        </w:rPr>
        <w:t>Legislation Act 2003</w:t>
      </w:r>
      <w:r w:rsidRPr="008B0EEC">
        <w:rPr>
          <w:noProof/>
        </w:rPr>
        <w:t xml:space="preserve"> allows legislative instruments to make provision in relation to matters by incorporating Acts and disallowable legislative instruments, either as in force at a particular time or as in force from time to time. Other documents may only be incorporated as in force at the commencement of the legislative instrument, unless authorising or other legislation alters the operation of section 14.   </w:t>
      </w:r>
    </w:p>
    <w:p w:rsidR="00CD18D3" w:rsidRDefault="00CD18D3" w:rsidP="00CD18D3">
      <w:pPr>
        <w:rPr>
          <w:noProof/>
        </w:rPr>
      </w:pPr>
      <w:r w:rsidRPr="003F7080">
        <w:rPr>
          <w:noProof/>
        </w:rPr>
        <w:t xml:space="preserve">With reference to the above, the committee notes that </w:t>
      </w:r>
      <w:r>
        <w:rPr>
          <w:noProof/>
        </w:rPr>
        <w:t xml:space="preserve">the </w:t>
      </w:r>
      <w:r w:rsidRPr="003F7080">
        <w:rPr>
          <w:noProof/>
        </w:rPr>
        <w:t xml:space="preserve">regulations incorporate </w:t>
      </w:r>
      <w:r>
        <w:rPr>
          <w:noProof/>
        </w:rPr>
        <w:t>the following documents:</w:t>
      </w:r>
    </w:p>
    <w:p w:rsidR="00CD18D3" w:rsidRDefault="00CD18D3" w:rsidP="00CD18D3">
      <w:pPr>
        <w:pStyle w:val="Bullet1"/>
        <w:rPr>
          <w:noProof/>
        </w:rPr>
      </w:pPr>
      <w:r w:rsidRPr="00187D3F">
        <w:rPr>
          <w:noProof/>
        </w:rPr>
        <w:t xml:space="preserve">Commission for the Conservation of Antarctic Marine Living Resources </w:t>
      </w:r>
      <w:r>
        <w:rPr>
          <w:noProof/>
        </w:rPr>
        <w:t>(</w:t>
      </w:r>
      <w:r w:rsidRPr="00187D3F">
        <w:rPr>
          <w:noProof/>
        </w:rPr>
        <w:t>CCAMLR</w:t>
      </w:r>
      <w:r>
        <w:rPr>
          <w:noProof/>
        </w:rPr>
        <w:t>) Conservation Measures 10-04, 25-02 (Annex 25-02/A) and 41-01 (Annex 41-01/C);</w:t>
      </w:r>
      <w:r>
        <w:rPr>
          <w:rStyle w:val="FootnoteReference"/>
          <w:noProof/>
        </w:rPr>
        <w:footnoteReference w:id="18"/>
      </w:r>
      <w:r>
        <w:rPr>
          <w:noProof/>
        </w:rPr>
        <w:t xml:space="preserve"> and</w:t>
      </w:r>
    </w:p>
    <w:p w:rsidR="00CD18D3" w:rsidRDefault="00CD18D3" w:rsidP="00CD18D3">
      <w:pPr>
        <w:pStyle w:val="Bullet1"/>
        <w:rPr>
          <w:noProof/>
        </w:rPr>
      </w:pPr>
      <w:r w:rsidRPr="00D46EFC">
        <w:rPr>
          <w:noProof/>
        </w:rPr>
        <w:lastRenderedPageBreak/>
        <w:t xml:space="preserve">South Pacific Regional Fisheries Management Organisation </w:t>
      </w:r>
      <w:r>
        <w:rPr>
          <w:noProof/>
        </w:rPr>
        <w:t>(</w:t>
      </w:r>
      <w:r w:rsidRPr="00D46EFC">
        <w:rPr>
          <w:noProof/>
        </w:rPr>
        <w:t>SPRFMO</w:t>
      </w:r>
      <w:r>
        <w:rPr>
          <w:noProof/>
        </w:rPr>
        <w:t>)</w:t>
      </w:r>
      <w:r w:rsidRPr="00D46EFC">
        <w:rPr>
          <w:noProof/>
        </w:rPr>
        <w:t xml:space="preserve"> Conservation and Management Measure 13</w:t>
      </w:r>
      <w:r w:rsidRPr="00D46EFC">
        <w:rPr>
          <w:noProof/>
        </w:rPr>
        <w:noBreakHyphen/>
        <w:t>2016</w:t>
      </w:r>
      <w:r>
        <w:rPr>
          <w:noProof/>
        </w:rPr>
        <w:t>.</w:t>
      </w:r>
      <w:r>
        <w:rPr>
          <w:rStyle w:val="FootnoteReference"/>
          <w:noProof/>
        </w:rPr>
        <w:footnoteReference w:id="19"/>
      </w:r>
    </w:p>
    <w:p w:rsidR="00CD18D3" w:rsidRDefault="00CD18D3" w:rsidP="00CD18D3">
      <w:pPr>
        <w:rPr>
          <w:noProof/>
        </w:rPr>
      </w:pPr>
      <w:r w:rsidRPr="008B0EEC">
        <w:rPr>
          <w:noProof/>
        </w:rPr>
        <w:t>However</w:t>
      </w:r>
      <w:r>
        <w:rPr>
          <w:noProof/>
        </w:rPr>
        <w:t>,</w:t>
      </w:r>
      <w:r w:rsidRPr="008B0EEC">
        <w:rPr>
          <w:noProof/>
        </w:rPr>
        <w:t xml:space="preserve"> neither the regulation</w:t>
      </w:r>
      <w:r>
        <w:rPr>
          <w:noProof/>
        </w:rPr>
        <w:t>s</w:t>
      </w:r>
      <w:r w:rsidRPr="008B0EEC">
        <w:rPr>
          <w:noProof/>
        </w:rPr>
        <w:t xml:space="preserve"> nor the ES state the manner in which</w:t>
      </w:r>
      <w:r w:rsidRPr="003F7080">
        <w:rPr>
          <w:noProof/>
        </w:rPr>
        <w:t xml:space="preserve"> these documents are incorporated.</w:t>
      </w:r>
    </w:p>
    <w:p w:rsidR="00CD18D3" w:rsidRPr="008B0EEC" w:rsidRDefault="00CD18D3" w:rsidP="00CD18D3">
      <w:pPr>
        <w:rPr>
          <w:noProof/>
        </w:rPr>
      </w:pPr>
      <w:r w:rsidRPr="008B0EEC">
        <w:rPr>
          <w:noProof/>
        </w:rPr>
        <w:t xml:space="preserve">The committee expects instruments (and ideally their accompanying ESs) to clearly state the manner in which documents are incorporated (that is, either as in force from time to time or as in force at at a particular time). This enables persons interested in or affected by the instrument to understand its operation without the need to rely on specialist legal knowledge or advice, or consult extrinsic material. </w:t>
      </w:r>
    </w:p>
    <w:p w:rsidR="00CD18D3" w:rsidRPr="008B0EEC" w:rsidRDefault="00CD18D3" w:rsidP="00CD18D3">
      <w:pPr>
        <w:rPr>
          <w:rFonts w:asciiTheme="minorHAnsi" w:hAnsiTheme="minorHAnsi"/>
          <w:lang w:eastAsia="en-AU"/>
        </w:rPr>
      </w:pPr>
      <w:r w:rsidRPr="008B0EEC">
        <w:rPr>
          <w:rFonts w:asciiTheme="minorHAnsi" w:hAnsiTheme="minorHAnsi"/>
          <w:lang w:eastAsia="en-AU"/>
        </w:rPr>
        <w:t>The committee's expectations in this regard are set out in the guideline on incorporation of documents published on the committee's website.</w:t>
      </w:r>
      <w:r w:rsidRPr="008B0EEC">
        <w:rPr>
          <w:rStyle w:val="FootnoteReference"/>
          <w:rFonts w:asciiTheme="minorHAnsi" w:hAnsiTheme="minorHAnsi"/>
          <w:lang w:eastAsia="en-AU"/>
        </w:rPr>
        <w:footnoteReference w:id="20"/>
      </w:r>
      <w:r w:rsidRPr="008B0EEC">
        <w:rPr>
          <w:rFonts w:asciiTheme="minorHAnsi" w:hAnsiTheme="minorHAnsi"/>
          <w:lang w:eastAsia="en-AU"/>
        </w:rPr>
        <w:t xml:space="preserve"> </w:t>
      </w:r>
    </w:p>
    <w:p w:rsidR="00CD18D3" w:rsidRPr="00ED6A56" w:rsidRDefault="00CD18D3" w:rsidP="00CD18D3">
      <w:pPr>
        <w:spacing w:after="0"/>
        <w:rPr>
          <w:noProof/>
        </w:rPr>
      </w:pPr>
      <w:r w:rsidRPr="005623F3">
        <w:rPr>
          <w:b/>
          <w:noProof/>
        </w:rPr>
        <w:t>The committee requests the advice of the minister in relation to the above.</w:t>
      </w:r>
    </w:p>
    <w:p w:rsidR="00CD18D3" w:rsidRPr="00C25B02" w:rsidRDefault="00CD18D3" w:rsidP="00CD18D3">
      <w:pPr>
        <w:tabs>
          <w:tab w:val="left" w:pos="2268"/>
        </w:tabs>
        <w:spacing w:before="0" w:after="0"/>
        <w:rPr>
          <w:b/>
          <w:noProof/>
        </w:rPr>
      </w:pPr>
      <w:r>
        <w:rPr>
          <w:rFonts w:asciiTheme="minorHAnsi" w:hAnsiTheme="minorHAnsi"/>
          <w:lang w:eastAsia="en-AU"/>
        </w:rPr>
        <w:pict>
          <v:rect id="_x0000_i1033" style="width:222.95pt;height:.05pt" o:hrpct="494" o:hralign="center" o:hrstd="t" o:hr="t" fillcolor="#a0a0a0" stroked="f"/>
        </w:pict>
      </w:r>
    </w:p>
    <w:p w:rsidR="00CD18D3" w:rsidRDefault="00CD18D3" w:rsidP="00CD18D3">
      <w:pPr>
        <w:rPr>
          <w:b/>
          <w:noProof/>
        </w:rPr>
      </w:pPr>
      <w:r w:rsidRPr="006D7A8A">
        <w:rPr>
          <w:b/>
          <w:noProof/>
        </w:rPr>
        <w:t>A</w:t>
      </w:r>
      <w:r>
        <w:rPr>
          <w:b/>
          <w:noProof/>
        </w:rPr>
        <w:t>ccess to incorporated documents</w:t>
      </w:r>
    </w:p>
    <w:p w:rsidR="00CD18D3" w:rsidRPr="008B0EEC" w:rsidRDefault="00CD18D3" w:rsidP="00CD18D3">
      <w:pPr>
        <w:rPr>
          <w:noProof/>
        </w:rPr>
      </w:pPr>
      <w:r w:rsidRPr="008B0EEC">
        <w:rPr>
          <w:noProof/>
        </w:rPr>
        <w:t xml:space="preserve">Paragraph 15J(2)(c) of the </w:t>
      </w:r>
      <w:r w:rsidRPr="008B0EEC">
        <w:rPr>
          <w:i/>
          <w:noProof/>
        </w:rPr>
        <w:t>Legislation Act 2003</w:t>
      </w:r>
      <w:r w:rsidRPr="008B0EEC">
        <w:rPr>
          <w:noProof/>
        </w:rPr>
        <w:t xml:space="preserve"> requires the ES for a legislative instrument that incorporates a document to contain a description of that document and indicate how it may be obtained. </w:t>
      </w:r>
    </w:p>
    <w:p w:rsidR="00CD18D3" w:rsidRPr="008B0EEC" w:rsidRDefault="00CD18D3" w:rsidP="00CD18D3">
      <w:pPr>
        <w:rPr>
          <w:noProof/>
        </w:rPr>
      </w:pPr>
      <w:r w:rsidRPr="008B0EEC">
        <w:rPr>
          <w:noProof/>
        </w:rPr>
        <w:t xml:space="preserve">The committee's expectations where a legislative instrument incorporates a document generally accord with the approach of the Senate Standing Committee for the Scrutiny of Bills, which has consistently drawn attention to legislation that incorporates documents not readily and freely available (i.e. without cost) to the public. Generally, the committee will be concerned where incorporated documents are not publicly and freely available, because persons interested in or affected by the law may have inadequate access to its terms.  </w:t>
      </w:r>
    </w:p>
    <w:p w:rsidR="00CD18D3" w:rsidRDefault="00CD18D3" w:rsidP="00CD18D3">
      <w:pPr>
        <w:rPr>
          <w:noProof/>
        </w:rPr>
      </w:pPr>
      <w:r w:rsidRPr="00556E34">
        <w:rPr>
          <w:noProof/>
        </w:rPr>
        <w:t>With reference to the above, the committee notes that</w:t>
      </w:r>
      <w:r>
        <w:rPr>
          <w:noProof/>
        </w:rPr>
        <w:t xml:space="preserve"> the regulations incorporate </w:t>
      </w:r>
      <w:r w:rsidRPr="003F7080">
        <w:rPr>
          <w:noProof/>
        </w:rPr>
        <w:t xml:space="preserve">the </w:t>
      </w:r>
      <w:r>
        <w:rPr>
          <w:noProof/>
        </w:rPr>
        <w:t xml:space="preserve">abovementioned documents. </w:t>
      </w:r>
      <w:r w:rsidRPr="00D46EFC">
        <w:rPr>
          <w:noProof/>
        </w:rPr>
        <w:t xml:space="preserve">However, neither the </w:t>
      </w:r>
      <w:r>
        <w:rPr>
          <w:noProof/>
        </w:rPr>
        <w:t>regulations</w:t>
      </w:r>
      <w:r w:rsidRPr="00D46EFC">
        <w:rPr>
          <w:noProof/>
        </w:rPr>
        <w:t xml:space="preserve"> nor</w:t>
      </w:r>
      <w:r>
        <w:rPr>
          <w:noProof/>
        </w:rPr>
        <w:t xml:space="preserve"> the ES provide</w:t>
      </w:r>
      <w:r w:rsidRPr="00D46EFC">
        <w:rPr>
          <w:noProof/>
        </w:rPr>
        <w:t xml:space="preserve"> description</w:t>
      </w:r>
      <w:r>
        <w:rPr>
          <w:noProof/>
        </w:rPr>
        <w:t>s</w:t>
      </w:r>
      <w:r w:rsidRPr="00D46EFC">
        <w:rPr>
          <w:noProof/>
        </w:rPr>
        <w:t xml:space="preserve"> of </w:t>
      </w:r>
      <w:r>
        <w:rPr>
          <w:noProof/>
        </w:rPr>
        <w:t>the</w:t>
      </w:r>
      <w:r w:rsidRPr="00D46EFC">
        <w:rPr>
          <w:noProof/>
        </w:rPr>
        <w:t xml:space="preserve"> document</w:t>
      </w:r>
      <w:r>
        <w:rPr>
          <w:noProof/>
        </w:rPr>
        <w:t>s or indicate</w:t>
      </w:r>
      <w:r w:rsidRPr="00D46EFC">
        <w:rPr>
          <w:noProof/>
        </w:rPr>
        <w:t xml:space="preserve"> where </w:t>
      </w:r>
      <w:r>
        <w:rPr>
          <w:noProof/>
        </w:rPr>
        <w:t>they</w:t>
      </w:r>
      <w:r w:rsidRPr="00D46EFC">
        <w:rPr>
          <w:noProof/>
        </w:rPr>
        <w:t xml:space="preserve"> can be freely</w:t>
      </w:r>
      <w:r>
        <w:rPr>
          <w:noProof/>
        </w:rPr>
        <w:t xml:space="preserve"> </w:t>
      </w:r>
      <w:r w:rsidRPr="00D46EFC">
        <w:rPr>
          <w:noProof/>
        </w:rPr>
        <w:t>accessed</w:t>
      </w:r>
      <w:r>
        <w:rPr>
          <w:noProof/>
        </w:rPr>
        <w:t>.</w:t>
      </w:r>
    </w:p>
    <w:p w:rsidR="00CD18D3" w:rsidRDefault="00CD18D3" w:rsidP="00CD18D3">
      <w:pPr>
        <w:rPr>
          <w:noProof/>
        </w:rPr>
      </w:pPr>
      <w:r w:rsidRPr="00D46EFC">
        <w:rPr>
          <w:noProof/>
        </w:rPr>
        <w:t>While the committee does not interpret paragraph 15J(2)(c) as requiring a detailed description of an incorporated document and how it may be obtained, it considers</w:t>
      </w:r>
      <w:r>
        <w:rPr>
          <w:noProof/>
        </w:rPr>
        <w:t xml:space="preserve"> </w:t>
      </w:r>
      <w:r w:rsidRPr="00D46EFC">
        <w:rPr>
          <w:noProof/>
        </w:rPr>
        <w:t xml:space="preserve">that an ES that does not contain any description of an incorporated document </w:t>
      </w:r>
      <w:r>
        <w:rPr>
          <w:noProof/>
        </w:rPr>
        <w:t>may fail</w:t>
      </w:r>
      <w:r w:rsidRPr="00D46EFC">
        <w:rPr>
          <w:noProof/>
        </w:rPr>
        <w:t xml:space="preserve"> to satisfy the requirements of the </w:t>
      </w:r>
      <w:r w:rsidRPr="00D46EFC">
        <w:rPr>
          <w:i/>
          <w:noProof/>
        </w:rPr>
        <w:t>Legislation Act 2003</w:t>
      </w:r>
      <w:r w:rsidRPr="00D46EFC">
        <w:rPr>
          <w:noProof/>
        </w:rPr>
        <w:t>.</w:t>
      </w:r>
      <w:r>
        <w:rPr>
          <w:noProof/>
        </w:rPr>
        <w:t xml:space="preserve"> In this case the </w:t>
      </w:r>
      <w:r>
        <w:rPr>
          <w:noProof/>
        </w:rPr>
        <w:lastRenderedPageBreak/>
        <w:t xml:space="preserve">committee </w:t>
      </w:r>
      <w:r w:rsidRPr="00577111">
        <w:rPr>
          <w:noProof/>
        </w:rPr>
        <w:t>notes that</w:t>
      </w:r>
      <w:r>
        <w:rPr>
          <w:noProof/>
        </w:rPr>
        <w:t xml:space="preserve"> the documents are available for free online.</w:t>
      </w:r>
      <w:r>
        <w:rPr>
          <w:rStyle w:val="FootnoteReference"/>
          <w:noProof/>
        </w:rPr>
        <w:footnoteReference w:id="21"/>
      </w:r>
      <w:r w:rsidRPr="00577111">
        <w:rPr>
          <w:noProof/>
        </w:rPr>
        <w:t xml:space="preserve"> </w:t>
      </w:r>
      <w:r w:rsidRPr="00556E34">
        <w:rPr>
          <w:noProof/>
        </w:rPr>
        <w:t>Where an incorporated document is available for free onlin</w:t>
      </w:r>
      <w:r>
        <w:rPr>
          <w:noProof/>
        </w:rPr>
        <w:t>e, the committee considers that</w:t>
      </w:r>
      <w:r>
        <w:rPr>
          <w:noProof/>
        </w:rPr>
        <w:br/>
      </w:r>
      <w:r w:rsidRPr="00556E34">
        <w:rPr>
          <w:noProof/>
        </w:rPr>
        <w:t>a best-practice approach is for the ES to provide details of the website where the document can be acces</w:t>
      </w:r>
      <w:r>
        <w:rPr>
          <w:noProof/>
        </w:rPr>
        <w:t>sed.</w:t>
      </w:r>
    </w:p>
    <w:p w:rsidR="00CD18D3" w:rsidRPr="008B0EEC" w:rsidRDefault="00CD18D3" w:rsidP="00CD18D3">
      <w:pPr>
        <w:rPr>
          <w:rFonts w:asciiTheme="minorHAnsi" w:hAnsiTheme="minorHAnsi"/>
          <w:lang w:eastAsia="en-AU"/>
        </w:rPr>
      </w:pPr>
      <w:r w:rsidRPr="008B0EEC">
        <w:rPr>
          <w:rFonts w:asciiTheme="minorHAnsi" w:hAnsiTheme="minorHAnsi"/>
          <w:lang w:eastAsia="en-AU"/>
        </w:rPr>
        <w:t>The committee's expectations in this regard are set out in the guideline on incorporation of documents published on the committee's website.</w:t>
      </w:r>
      <w:r w:rsidRPr="008B0EEC">
        <w:rPr>
          <w:rStyle w:val="FootnoteReference"/>
          <w:rFonts w:asciiTheme="minorHAnsi" w:hAnsiTheme="minorHAnsi"/>
          <w:lang w:eastAsia="en-AU"/>
        </w:rPr>
        <w:footnoteReference w:id="22"/>
      </w:r>
      <w:r w:rsidRPr="008B0EEC">
        <w:rPr>
          <w:rFonts w:asciiTheme="minorHAnsi" w:hAnsiTheme="minorHAnsi"/>
          <w:lang w:eastAsia="en-AU"/>
        </w:rPr>
        <w:t xml:space="preserve"> </w:t>
      </w:r>
    </w:p>
    <w:p w:rsidR="00CD18D3" w:rsidRDefault="00CD18D3" w:rsidP="00CD18D3">
      <w:pPr>
        <w:rPr>
          <w:b/>
          <w:szCs w:val="26"/>
        </w:rPr>
      </w:pPr>
      <w:r w:rsidRPr="005623F3">
        <w:rPr>
          <w:b/>
          <w:noProof/>
        </w:rPr>
        <w:t>The committee draws the above to the minister's attention.</w:t>
      </w:r>
      <w:r w:rsidRPr="005623F3">
        <w:rPr>
          <w:b/>
          <w:szCs w:val="26"/>
        </w:rPr>
        <w:t xml:space="preserve"> </w:t>
      </w:r>
    </w:p>
    <w:p w:rsidR="00CD18D3" w:rsidRDefault="00CD18D3" w:rsidP="00CD18D3">
      <w:pPr>
        <w:pStyle w:val="Level1"/>
        <w:numPr>
          <w:ilvl w:val="0"/>
          <w:numId w:val="0"/>
        </w:numPr>
        <w:spacing w:before="0"/>
        <w:rPr>
          <w:b/>
          <w:szCs w:val="26"/>
        </w:rPr>
      </w:pPr>
    </w:p>
    <w:p w:rsidR="006C6921" w:rsidRPr="005623F3" w:rsidRDefault="006C6921" w:rsidP="00CD18D3">
      <w:pPr>
        <w:pStyle w:val="Level1"/>
        <w:numPr>
          <w:ilvl w:val="0"/>
          <w:numId w:val="0"/>
        </w:numPr>
        <w:spacing w:before="0"/>
        <w:rPr>
          <w:b/>
          <w:szCs w:val="26"/>
        </w:rPr>
      </w:pPr>
    </w:p>
    <w:tbl>
      <w:tblPr>
        <w:tblW w:w="0" w:type="auto"/>
        <w:tblInd w:w="108" w:type="dxa"/>
        <w:tblLook w:val="04A0" w:firstRow="1" w:lastRow="0" w:firstColumn="1" w:lastColumn="0" w:noHBand="0" w:noVBand="1"/>
      </w:tblPr>
      <w:tblGrid>
        <w:gridCol w:w="2694"/>
        <w:gridCol w:w="6378"/>
      </w:tblGrid>
      <w:tr w:rsidR="00CD18D3" w:rsidRPr="00322850" w:rsidTr="002B2721">
        <w:tc>
          <w:tcPr>
            <w:tcW w:w="2694" w:type="dxa"/>
            <w:tcBorders>
              <w:top w:val="single" w:sz="12" w:space="0" w:color="auto"/>
              <w:right w:val="single" w:sz="12" w:space="0" w:color="auto"/>
            </w:tcBorders>
          </w:tcPr>
          <w:p w:rsidR="00CD18D3" w:rsidRPr="00322850" w:rsidRDefault="00CD18D3" w:rsidP="002B2721">
            <w:pPr>
              <w:rPr>
                <w:b/>
                <w:sz w:val="24"/>
                <w:szCs w:val="24"/>
              </w:rPr>
            </w:pPr>
            <w:r w:rsidRPr="00322850">
              <w:rPr>
                <w:b/>
                <w:sz w:val="24"/>
                <w:szCs w:val="24"/>
              </w:rPr>
              <w:t>Instrument</w:t>
            </w:r>
          </w:p>
        </w:tc>
        <w:tc>
          <w:tcPr>
            <w:tcW w:w="6378" w:type="dxa"/>
            <w:tcBorders>
              <w:top w:val="single" w:sz="12" w:space="0" w:color="auto"/>
              <w:left w:val="single" w:sz="12" w:space="0" w:color="auto"/>
            </w:tcBorders>
          </w:tcPr>
          <w:p w:rsidR="00CD18D3" w:rsidRPr="00322850" w:rsidRDefault="00CD18D3" w:rsidP="002B2721">
            <w:pPr>
              <w:pStyle w:val="Heading3"/>
              <w:rPr>
                <w:sz w:val="24"/>
                <w:szCs w:val="24"/>
              </w:rPr>
            </w:pPr>
            <w:r w:rsidRPr="006D7A8A">
              <w:rPr>
                <w:noProof/>
                <w:sz w:val="24"/>
                <w:szCs w:val="24"/>
              </w:rPr>
              <w:t>Great Barrier Reef Marine Park Amendment (Whitsundays Plan of Management) Instrument 2017 [F2017L00932]</w:t>
            </w:r>
          </w:p>
        </w:tc>
      </w:tr>
      <w:tr w:rsidR="00CD18D3" w:rsidRPr="00322850" w:rsidTr="002B2721">
        <w:tc>
          <w:tcPr>
            <w:tcW w:w="2694" w:type="dxa"/>
            <w:tcBorders>
              <w:right w:val="single" w:sz="12" w:space="0" w:color="auto"/>
            </w:tcBorders>
          </w:tcPr>
          <w:p w:rsidR="00CD18D3" w:rsidRPr="00322850" w:rsidRDefault="00CD18D3" w:rsidP="002B2721">
            <w:pPr>
              <w:rPr>
                <w:b/>
                <w:sz w:val="24"/>
                <w:szCs w:val="24"/>
              </w:rPr>
            </w:pPr>
            <w:r w:rsidRPr="00322850">
              <w:rPr>
                <w:b/>
                <w:sz w:val="24"/>
                <w:szCs w:val="24"/>
              </w:rPr>
              <w:t>Purpose</w:t>
            </w:r>
          </w:p>
        </w:tc>
        <w:tc>
          <w:tcPr>
            <w:tcW w:w="6378" w:type="dxa"/>
            <w:tcBorders>
              <w:left w:val="single" w:sz="12" w:space="0" w:color="auto"/>
            </w:tcBorders>
          </w:tcPr>
          <w:p w:rsidR="00CD18D3" w:rsidRPr="00322850" w:rsidRDefault="00CD18D3" w:rsidP="002B2721">
            <w:pPr>
              <w:rPr>
                <w:sz w:val="24"/>
                <w:szCs w:val="24"/>
              </w:rPr>
            </w:pPr>
            <w:r>
              <w:rPr>
                <w:noProof/>
                <w:sz w:val="24"/>
                <w:szCs w:val="24"/>
              </w:rPr>
              <w:t>A</w:t>
            </w:r>
            <w:r w:rsidRPr="006D7A8A">
              <w:rPr>
                <w:noProof/>
                <w:sz w:val="24"/>
                <w:szCs w:val="24"/>
              </w:rPr>
              <w:t xml:space="preserve">mends the Whitsundays Plan of Management 1998 </w:t>
            </w:r>
            <w:r>
              <w:rPr>
                <w:noProof/>
                <w:sz w:val="24"/>
                <w:szCs w:val="24"/>
              </w:rPr>
              <w:t>to implement the outcomes of a review of the Plan conducted between December 2014 and June 2017</w:t>
            </w:r>
          </w:p>
        </w:tc>
      </w:tr>
      <w:tr w:rsidR="00CD18D3" w:rsidRPr="00322850" w:rsidTr="002B2721">
        <w:tc>
          <w:tcPr>
            <w:tcW w:w="2694" w:type="dxa"/>
            <w:tcBorders>
              <w:right w:val="single" w:sz="12" w:space="0" w:color="auto"/>
            </w:tcBorders>
          </w:tcPr>
          <w:p w:rsidR="00CD18D3" w:rsidRPr="00322850" w:rsidRDefault="00CD18D3" w:rsidP="002B2721">
            <w:pPr>
              <w:rPr>
                <w:b/>
                <w:sz w:val="24"/>
                <w:szCs w:val="24"/>
              </w:rPr>
            </w:pPr>
            <w:r w:rsidRPr="00322850">
              <w:rPr>
                <w:b/>
                <w:sz w:val="24"/>
                <w:szCs w:val="24"/>
              </w:rPr>
              <w:t>Authorising legislation</w:t>
            </w:r>
          </w:p>
        </w:tc>
        <w:tc>
          <w:tcPr>
            <w:tcW w:w="6378" w:type="dxa"/>
            <w:tcBorders>
              <w:left w:val="single" w:sz="12" w:space="0" w:color="auto"/>
            </w:tcBorders>
          </w:tcPr>
          <w:p w:rsidR="00CD18D3" w:rsidRPr="00700ACB" w:rsidRDefault="00CD18D3" w:rsidP="002B2721">
            <w:pPr>
              <w:rPr>
                <w:sz w:val="24"/>
                <w:szCs w:val="24"/>
              </w:rPr>
            </w:pPr>
            <w:r w:rsidRPr="00766B21">
              <w:rPr>
                <w:i/>
                <w:iCs/>
                <w:noProof/>
                <w:sz w:val="24"/>
                <w:szCs w:val="24"/>
              </w:rPr>
              <w:t>Great Barrier Reef Marine Park Act 1975</w:t>
            </w:r>
          </w:p>
        </w:tc>
      </w:tr>
      <w:tr w:rsidR="00CD18D3" w:rsidRPr="00322850" w:rsidTr="002B2721">
        <w:tc>
          <w:tcPr>
            <w:tcW w:w="2694" w:type="dxa"/>
            <w:tcBorders>
              <w:right w:val="single" w:sz="12" w:space="0" w:color="auto"/>
            </w:tcBorders>
          </w:tcPr>
          <w:p w:rsidR="00CD18D3" w:rsidRPr="00322850" w:rsidRDefault="00CD18D3" w:rsidP="002B2721">
            <w:pPr>
              <w:rPr>
                <w:b/>
                <w:sz w:val="24"/>
                <w:szCs w:val="24"/>
              </w:rPr>
            </w:pPr>
            <w:r w:rsidRPr="00322850">
              <w:rPr>
                <w:b/>
                <w:sz w:val="24"/>
                <w:szCs w:val="24"/>
              </w:rPr>
              <w:t>Department</w:t>
            </w:r>
          </w:p>
        </w:tc>
        <w:tc>
          <w:tcPr>
            <w:tcW w:w="6378" w:type="dxa"/>
            <w:tcBorders>
              <w:left w:val="single" w:sz="12" w:space="0" w:color="auto"/>
            </w:tcBorders>
          </w:tcPr>
          <w:p w:rsidR="00CD18D3" w:rsidRPr="00322850" w:rsidRDefault="00CD18D3" w:rsidP="002B2721">
            <w:pPr>
              <w:rPr>
                <w:sz w:val="24"/>
                <w:szCs w:val="24"/>
              </w:rPr>
            </w:pPr>
            <w:r w:rsidRPr="006D7A8A">
              <w:rPr>
                <w:noProof/>
                <w:sz w:val="24"/>
                <w:szCs w:val="24"/>
              </w:rPr>
              <w:t>Environment and Energy</w:t>
            </w:r>
          </w:p>
        </w:tc>
      </w:tr>
      <w:tr w:rsidR="00CD18D3" w:rsidRPr="00322850" w:rsidTr="002B2721">
        <w:tc>
          <w:tcPr>
            <w:tcW w:w="2694" w:type="dxa"/>
            <w:tcBorders>
              <w:right w:val="single" w:sz="12" w:space="0" w:color="auto"/>
            </w:tcBorders>
          </w:tcPr>
          <w:p w:rsidR="00CD18D3" w:rsidRPr="00322850" w:rsidRDefault="00CD18D3" w:rsidP="002B2721">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CD18D3" w:rsidRPr="00322850" w:rsidRDefault="00CD18D3" w:rsidP="002B2721">
            <w:pPr>
              <w:rPr>
                <w:sz w:val="24"/>
                <w:szCs w:val="24"/>
              </w:rPr>
            </w:pPr>
            <w:r>
              <w:rPr>
                <w:sz w:val="24"/>
                <w:szCs w:val="24"/>
              </w:rPr>
              <w:t xml:space="preserve">15 sitting days after tabling (tabled Senate </w:t>
            </w:r>
            <w:r w:rsidRPr="006D7A8A">
              <w:rPr>
                <w:noProof/>
                <w:sz w:val="24"/>
                <w:szCs w:val="24"/>
              </w:rPr>
              <w:t>8 August</w:t>
            </w:r>
            <w:r>
              <w:rPr>
                <w:sz w:val="24"/>
                <w:szCs w:val="24"/>
              </w:rPr>
              <w:t xml:space="preserve"> 2017)</w:t>
            </w:r>
            <w:r>
              <w:rPr>
                <w:sz w:val="24"/>
                <w:szCs w:val="24"/>
              </w:rPr>
              <w:br/>
              <w:t>Notice of motion to disallow currently must be given by</w:t>
            </w:r>
            <w:r>
              <w:rPr>
                <w:sz w:val="24"/>
                <w:szCs w:val="24"/>
              </w:rPr>
              <w:br/>
            </w:r>
            <w:r w:rsidRPr="006D7A8A">
              <w:rPr>
                <w:noProof/>
                <w:sz w:val="24"/>
                <w:szCs w:val="24"/>
              </w:rPr>
              <w:t>16 October</w:t>
            </w:r>
            <w:r>
              <w:rPr>
                <w:sz w:val="24"/>
                <w:szCs w:val="24"/>
              </w:rPr>
              <w:t xml:space="preserve"> 2017</w:t>
            </w:r>
          </w:p>
        </w:tc>
      </w:tr>
      <w:tr w:rsidR="00CD18D3" w:rsidRPr="00322850" w:rsidTr="002B2721">
        <w:tc>
          <w:tcPr>
            <w:tcW w:w="2694" w:type="dxa"/>
            <w:tcBorders>
              <w:bottom w:val="single" w:sz="12" w:space="0" w:color="auto"/>
              <w:right w:val="single" w:sz="12" w:space="0" w:color="auto"/>
            </w:tcBorders>
          </w:tcPr>
          <w:p w:rsidR="00CD18D3" w:rsidRPr="00322850" w:rsidRDefault="00CD18D3" w:rsidP="002B2721">
            <w:pPr>
              <w:rPr>
                <w:b/>
                <w:sz w:val="24"/>
                <w:szCs w:val="24"/>
              </w:rPr>
            </w:pPr>
            <w:r w:rsidRPr="00322850">
              <w:rPr>
                <w:b/>
                <w:sz w:val="24"/>
                <w:szCs w:val="24"/>
              </w:rPr>
              <w:t>Scrutiny principle</w:t>
            </w:r>
          </w:p>
        </w:tc>
        <w:tc>
          <w:tcPr>
            <w:tcW w:w="6378" w:type="dxa"/>
            <w:tcBorders>
              <w:left w:val="single" w:sz="12" w:space="0" w:color="auto"/>
              <w:bottom w:val="single" w:sz="12" w:space="0" w:color="auto"/>
            </w:tcBorders>
          </w:tcPr>
          <w:p w:rsidR="00CD18D3" w:rsidRPr="00322850" w:rsidRDefault="00CD18D3" w:rsidP="002B2721">
            <w:pPr>
              <w:rPr>
                <w:sz w:val="24"/>
                <w:szCs w:val="24"/>
              </w:rPr>
            </w:pPr>
            <w:r w:rsidRPr="00322850">
              <w:rPr>
                <w:sz w:val="24"/>
                <w:szCs w:val="24"/>
              </w:rPr>
              <w:t>Standing Order 23(3)</w:t>
            </w:r>
            <w:r w:rsidRPr="006D7A8A">
              <w:rPr>
                <w:noProof/>
                <w:sz w:val="24"/>
                <w:szCs w:val="24"/>
              </w:rPr>
              <w:t>(a)</w:t>
            </w:r>
          </w:p>
        </w:tc>
      </w:tr>
    </w:tbl>
    <w:p w:rsidR="00CD18D3" w:rsidRPr="00322850" w:rsidRDefault="00CD18D3" w:rsidP="00CD18D3">
      <w:pPr>
        <w:spacing w:before="0" w:after="0"/>
      </w:pPr>
    </w:p>
    <w:p w:rsidR="00CD18D3" w:rsidRPr="006D7A8A" w:rsidRDefault="00CD18D3" w:rsidP="00CD18D3">
      <w:pPr>
        <w:rPr>
          <w:b/>
          <w:noProof/>
        </w:rPr>
      </w:pPr>
      <w:r w:rsidRPr="006D7A8A">
        <w:rPr>
          <w:b/>
          <w:noProof/>
        </w:rPr>
        <w:t xml:space="preserve">Drafting </w:t>
      </w:r>
    </w:p>
    <w:p w:rsidR="00CD18D3" w:rsidRPr="00766B21" w:rsidRDefault="00CD18D3" w:rsidP="00CD18D3">
      <w:pPr>
        <w:rPr>
          <w:noProof/>
        </w:rPr>
      </w:pPr>
      <w:r w:rsidRPr="00766B21">
        <w:rPr>
          <w:noProof/>
        </w:rPr>
        <w:t xml:space="preserve">The instrument </w:t>
      </w:r>
      <w:r>
        <w:rPr>
          <w:noProof/>
        </w:rPr>
        <w:t xml:space="preserve">makes amendments to the </w:t>
      </w:r>
      <w:r w:rsidRPr="00766B21">
        <w:rPr>
          <w:noProof/>
        </w:rPr>
        <w:t>Whitsundays Plan of Management 1998</w:t>
      </w:r>
      <w:r>
        <w:rPr>
          <w:noProof/>
        </w:rPr>
        <w:t xml:space="preserve"> (the Plan), in response to a recent review. </w:t>
      </w:r>
    </w:p>
    <w:p w:rsidR="00CD18D3" w:rsidRDefault="00CD18D3" w:rsidP="00CD18D3">
      <w:pPr>
        <w:rPr>
          <w:noProof/>
          <w:highlight w:val="yellow"/>
        </w:rPr>
      </w:pPr>
      <w:r w:rsidRPr="00766B21">
        <w:rPr>
          <w:noProof/>
        </w:rPr>
        <w:t xml:space="preserve">Item 106 of Schedule 1 </w:t>
      </w:r>
      <w:r>
        <w:rPr>
          <w:noProof/>
        </w:rPr>
        <w:t>to the instrument repeals and substitutes</w:t>
      </w:r>
      <w:r w:rsidRPr="00766B21">
        <w:rPr>
          <w:noProof/>
        </w:rPr>
        <w:t xml:space="preserve"> the definition of ‘Regulations’ in the Plan</w:t>
      </w:r>
      <w:r>
        <w:rPr>
          <w:noProof/>
        </w:rPr>
        <w:t>. Previously 'regulations' were defined by</w:t>
      </w:r>
      <w:r w:rsidRPr="00766B21">
        <w:rPr>
          <w:noProof/>
        </w:rPr>
        <w:t xml:space="preserve"> specific reference </w:t>
      </w:r>
      <w:r w:rsidRPr="00766B21">
        <w:rPr>
          <w:noProof/>
        </w:rPr>
        <w:lastRenderedPageBreak/>
        <w:t>to the Great Barrier Reef Marine Park Regulations 1983</w:t>
      </w:r>
      <w:r>
        <w:rPr>
          <w:noProof/>
        </w:rPr>
        <w:t xml:space="preserve">. The new definition now refers to </w:t>
      </w:r>
      <w:r w:rsidRPr="00766B21">
        <w:rPr>
          <w:noProof/>
        </w:rPr>
        <w:t>‘Regulations made under the Act’.</w:t>
      </w:r>
      <w:r w:rsidRPr="000B6B20">
        <w:rPr>
          <w:noProof/>
          <w:highlight w:val="yellow"/>
        </w:rPr>
        <w:t xml:space="preserve"> </w:t>
      </w:r>
    </w:p>
    <w:p w:rsidR="00CD18D3" w:rsidRPr="00766B21" w:rsidRDefault="00CD18D3" w:rsidP="00CD18D3">
      <w:pPr>
        <w:rPr>
          <w:noProof/>
        </w:rPr>
      </w:pPr>
      <w:r w:rsidRPr="00766B21">
        <w:rPr>
          <w:noProof/>
        </w:rPr>
        <w:t>The ES states:</w:t>
      </w:r>
    </w:p>
    <w:p w:rsidR="00CD18D3" w:rsidRPr="00766B21" w:rsidRDefault="00CD18D3" w:rsidP="00CD18D3">
      <w:pPr>
        <w:pStyle w:val="Quote"/>
        <w:rPr>
          <w:noProof/>
        </w:rPr>
      </w:pPr>
      <w:r w:rsidRPr="00766B21">
        <w:rPr>
          <w:noProof/>
        </w:rPr>
        <w:t>In order to ensure the definition does not become outdated, it has been replaced with a reference to ‘regulations made under the Act’. This will ensure that if the Regulations are repealed and remade in the future, the definition in the Plan will not need to be updated.</w:t>
      </w:r>
    </w:p>
    <w:p w:rsidR="00CD18D3" w:rsidRPr="00766B21" w:rsidRDefault="00CD18D3" w:rsidP="00CD18D3">
      <w:pPr>
        <w:rPr>
          <w:noProof/>
        </w:rPr>
      </w:pPr>
      <w:r w:rsidRPr="00766B21">
        <w:rPr>
          <w:noProof/>
        </w:rPr>
        <w:t>A number of provisions of the plan are also amended to remove reference to</w:t>
      </w:r>
      <w:r>
        <w:rPr>
          <w:noProof/>
        </w:rPr>
        <w:t xml:space="preserve"> specific regulations in the</w:t>
      </w:r>
      <w:r w:rsidRPr="00766B21">
        <w:rPr>
          <w:noProof/>
        </w:rPr>
        <w:t xml:space="preserve"> Great Barrier Reef Marine Park Regulations 1983</w:t>
      </w:r>
      <w:r>
        <w:rPr>
          <w:noProof/>
        </w:rPr>
        <w:t>,</w:t>
      </w:r>
      <w:r w:rsidRPr="00766B21">
        <w:rPr>
          <w:noProof/>
        </w:rPr>
        <w:t xml:space="preserve"> and to instead refer </w:t>
      </w:r>
      <w:r>
        <w:rPr>
          <w:noProof/>
        </w:rPr>
        <w:t xml:space="preserve">just </w:t>
      </w:r>
      <w:r w:rsidRPr="00766B21">
        <w:rPr>
          <w:noProof/>
        </w:rPr>
        <w:t xml:space="preserve">to ‘the Regulations’. </w:t>
      </w:r>
    </w:p>
    <w:p w:rsidR="00CD18D3" w:rsidRDefault="00CD18D3" w:rsidP="00CD18D3">
      <w:pPr>
        <w:rPr>
          <w:noProof/>
        </w:rPr>
      </w:pPr>
      <w:r>
        <w:rPr>
          <w:noProof/>
        </w:rPr>
        <w:t>T</w:t>
      </w:r>
      <w:r w:rsidRPr="00766B21">
        <w:rPr>
          <w:noProof/>
        </w:rPr>
        <w:t>he committee notes that</w:t>
      </w:r>
      <w:r>
        <w:rPr>
          <w:noProof/>
        </w:rPr>
        <w:t>, by referring only in general terms to 'regulations made under the Act',</w:t>
      </w:r>
      <w:r w:rsidRPr="00766B21">
        <w:rPr>
          <w:noProof/>
        </w:rPr>
        <w:t xml:space="preserve"> </w:t>
      </w:r>
      <w:r>
        <w:rPr>
          <w:noProof/>
        </w:rPr>
        <w:t xml:space="preserve">the new definition and provisions </w:t>
      </w:r>
      <w:r w:rsidRPr="00766B21">
        <w:rPr>
          <w:noProof/>
        </w:rPr>
        <w:t>may</w:t>
      </w:r>
      <w:r>
        <w:rPr>
          <w:noProof/>
        </w:rPr>
        <w:t xml:space="preserve"> make it more difficult </w:t>
      </w:r>
      <w:r w:rsidRPr="00766B21">
        <w:rPr>
          <w:noProof/>
        </w:rPr>
        <w:t xml:space="preserve">for </w:t>
      </w:r>
      <w:r>
        <w:rPr>
          <w:noProof/>
        </w:rPr>
        <w:t>persons affected by, or interested in, the instrument and the Plan to identify the relevant regulations involved. The definition may also cause confusion if, in future, separate regulations are made under the Act</w:t>
      </w:r>
      <w:r w:rsidRPr="00766B21">
        <w:rPr>
          <w:noProof/>
        </w:rPr>
        <w:t>.</w:t>
      </w:r>
    </w:p>
    <w:p w:rsidR="00CD18D3" w:rsidRDefault="00CD18D3" w:rsidP="00CD18D3">
      <w:pPr>
        <w:rPr>
          <w:noProof/>
        </w:rPr>
      </w:pPr>
      <w:r>
        <w:rPr>
          <w:noProof/>
        </w:rPr>
        <w:t xml:space="preserve">In the interests of promoting the clarity and intelligibility of instruments, the committee notes its </w:t>
      </w:r>
      <w:r w:rsidRPr="00BB7517">
        <w:rPr>
          <w:noProof/>
        </w:rPr>
        <w:t>expectation that instruments</w:t>
      </w:r>
      <w:r>
        <w:rPr>
          <w:noProof/>
        </w:rPr>
        <w:t xml:space="preserve"> and their </w:t>
      </w:r>
      <w:r w:rsidRPr="00BB7517">
        <w:rPr>
          <w:noProof/>
        </w:rPr>
        <w:t xml:space="preserve">ESs be drafted with sufficient care </w:t>
      </w:r>
      <w:r>
        <w:rPr>
          <w:noProof/>
        </w:rPr>
        <w:t xml:space="preserve">and precision </w:t>
      </w:r>
      <w:r w:rsidRPr="00BB7517">
        <w:rPr>
          <w:noProof/>
        </w:rPr>
        <w:t>to avoid potential confusion for anticipated users.</w:t>
      </w:r>
    </w:p>
    <w:p w:rsidR="00CD18D3" w:rsidRDefault="00CD18D3" w:rsidP="00CD18D3">
      <w:pPr>
        <w:rPr>
          <w:b/>
          <w:noProof/>
        </w:rPr>
      </w:pPr>
      <w:r w:rsidRPr="005623F3">
        <w:rPr>
          <w:b/>
          <w:noProof/>
        </w:rPr>
        <w:t>The committee requests the advice of the minister in relation to the above.</w:t>
      </w:r>
    </w:p>
    <w:p w:rsidR="00CD18D3" w:rsidRPr="00DE507D" w:rsidRDefault="00CD18D3" w:rsidP="00CD18D3">
      <w:pPr>
        <w:spacing w:before="0" w:after="0"/>
        <w:rPr>
          <w:noProof/>
          <w:sz w:val="2"/>
          <w:szCs w:val="2"/>
        </w:rPr>
      </w:pPr>
      <w:r>
        <w:rPr>
          <w:noProof/>
        </w:rPr>
        <w:br w:type="page"/>
      </w:r>
    </w:p>
    <w:tbl>
      <w:tblPr>
        <w:tblW w:w="0" w:type="auto"/>
        <w:tblInd w:w="108" w:type="dxa"/>
        <w:tblLook w:val="04A0" w:firstRow="1" w:lastRow="0" w:firstColumn="1" w:lastColumn="0" w:noHBand="0" w:noVBand="1"/>
      </w:tblPr>
      <w:tblGrid>
        <w:gridCol w:w="2694"/>
        <w:gridCol w:w="6378"/>
      </w:tblGrid>
      <w:tr w:rsidR="00CD18D3" w:rsidRPr="00322850" w:rsidTr="002B2721">
        <w:tc>
          <w:tcPr>
            <w:tcW w:w="2694" w:type="dxa"/>
            <w:tcBorders>
              <w:top w:val="single" w:sz="12" w:space="0" w:color="auto"/>
              <w:right w:val="single" w:sz="12" w:space="0" w:color="auto"/>
            </w:tcBorders>
          </w:tcPr>
          <w:p w:rsidR="00CD18D3" w:rsidRPr="00322850" w:rsidRDefault="00CD18D3" w:rsidP="002B2721">
            <w:pPr>
              <w:rPr>
                <w:b/>
                <w:sz w:val="24"/>
                <w:szCs w:val="24"/>
              </w:rPr>
            </w:pPr>
            <w:r w:rsidRPr="00322850">
              <w:rPr>
                <w:b/>
                <w:sz w:val="24"/>
                <w:szCs w:val="24"/>
              </w:rPr>
              <w:lastRenderedPageBreak/>
              <w:t>Instrument</w:t>
            </w:r>
          </w:p>
        </w:tc>
        <w:tc>
          <w:tcPr>
            <w:tcW w:w="6378" w:type="dxa"/>
            <w:tcBorders>
              <w:top w:val="single" w:sz="12" w:space="0" w:color="auto"/>
              <w:left w:val="single" w:sz="12" w:space="0" w:color="auto"/>
            </w:tcBorders>
          </w:tcPr>
          <w:p w:rsidR="00CD18D3" w:rsidRPr="00322850" w:rsidRDefault="00CD18D3" w:rsidP="002B2721">
            <w:pPr>
              <w:pStyle w:val="Heading3"/>
              <w:rPr>
                <w:sz w:val="24"/>
                <w:szCs w:val="24"/>
              </w:rPr>
            </w:pPr>
            <w:r w:rsidRPr="00786081">
              <w:rPr>
                <w:noProof/>
                <w:sz w:val="24"/>
                <w:szCs w:val="24"/>
              </w:rPr>
              <w:t>Norfolk Island Continued Laws Amendment (Director of Public Prosecutions) Ordinance 2017 [F2017L00986]</w:t>
            </w:r>
          </w:p>
        </w:tc>
      </w:tr>
      <w:tr w:rsidR="00CD18D3" w:rsidRPr="00322850" w:rsidTr="002B2721">
        <w:tc>
          <w:tcPr>
            <w:tcW w:w="2694" w:type="dxa"/>
            <w:tcBorders>
              <w:right w:val="single" w:sz="12" w:space="0" w:color="auto"/>
            </w:tcBorders>
          </w:tcPr>
          <w:p w:rsidR="00CD18D3" w:rsidRPr="00322850" w:rsidRDefault="00CD18D3" w:rsidP="002B2721">
            <w:pPr>
              <w:rPr>
                <w:b/>
                <w:sz w:val="24"/>
                <w:szCs w:val="24"/>
              </w:rPr>
            </w:pPr>
            <w:r w:rsidRPr="00322850">
              <w:rPr>
                <w:b/>
                <w:sz w:val="24"/>
                <w:szCs w:val="24"/>
              </w:rPr>
              <w:t>Purpose</w:t>
            </w:r>
          </w:p>
        </w:tc>
        <w:tc>
          <w:tcPr>
            <w:tcW w:w="6378" w:type="dxa"/>
            <w:tcBorders>
              <w:left w:val="single" w:sz="12" w:space="0" w:color="auto"/>
            </w:tcBorders>
          </w:tcPr>
          <w:p w:rsidR="00CD18D3" w:rsidRPr="00322850" w:rsidRDefault="00CD18D3" w:rsidP="002B2721">
            <w:pPr>
              <w:rPr>
                <w:sz w:val="24"/>
                <w:szCs w:val="24"/>
              </w:rPr>
            </w:pPr>
            <w:r w:rsidRPr="00786081">
              <w:rPr>
                <w:noProof/>
                <w:sz w:val="24"/>
                <w:szCs w:val="24"/>
              </w:rPr>
              <w:t>Amends the Norfolk Island Continued Laws Ordinance 2015 to allow the Commonwealth Director of Public Prosecutions to perform certain functions in relation to particular Norfolk Island laws</w:t>
            </w:r>
          </w:p>
        </w:tc>
      </w:tr>
      <w:tr w:rsidR="00CD18D3" w:rsidRPr="00322850" w:rsidTr="002B2721">
        <w:tc>
          <w:tcPr>
            <w:tcW w:w="2694" w:type="dxa"/>
            <w:tcBorders>
              <w:right w:val="single" w:sz="12" w:space="0" w:color="auto"/>
            </w:tcBorders>
          </w:tcPr>
          <w:p w:rsidR="00CD18D3" w:rsidRPr="00322850" w:rsidRDefault="00CD18D3" w:rsidP="002B2721">
            <w:pPr>
              <w:rPr>
                <w:b/>
                <w:sz w:val="24"/>
                <w:szCs w:val="24"/>
              </w:rPr>
            </w:pPr>
            <w:r w:rsidRPr="00322850">
              <w:rPr>
                <w:b/>
                <w:sz w:val="24"/>
                <w:szCs w:val="24"/>
              </w:rPr>
              <w:t>Authorising legislation</w:t>
            </w:r>
          </w:p>
        </w:tc>
        <w:tc>
          <w:tcPr>
            <w:tcW w:w="6378" w:type="dxa"/>
            <w:tcBorders>
              <w:left w:val="single" w:sz="12" w:space="0" w:color="auto"/>
            </w:tcBorders>
          </w:tcPr>
          <w:p w:rsidR="00CD18D3" w:rsidRPr="00322850" w:rsidRDefault="00CD18D3" w:rsidP="002B2721">
            <w:pPr>
              <w:rPr>
                <w:i/>
                <w:sz w:val="24"/>
                <w:szCs w:val="24"/>
              </w:rPr>
            </w:pPr>
            <w:r w:rsidRPr="00786081">
              <w:rPr>
                <w:i/>
                <w:noProof/>
                <w:sz w:val="24"/>
                <w:szCs w:val="24"/>
              </w:rPr>
              <w:t>Norfolk Island Act 1979</w:t>
            </w:r>
          </w:p>
        </w:tc>
      </w:tr>
      <w:tr w:rsidR="00CD18D3" w:rsidRPr="00322850" w:rsidTr="002B2721">
        <w:tc>
          <w:tcPr>
            <w:tcW w:w="2694" w:type="dxa"/>
            <w:tcBorders>
              <w:right w:val="single" w:sz="12" w:space="0" w:color="auto"/>
            </w:tcBorders>
          </w:tcPr>
          <w:p w:rsidR="00CD18D3" w:rsidRPr="00322850" w:rsidRDefault="00CD18D3" w:rsidP="002B2721">
            <w:pPr>
              <w:rPr>
                <w:b/>
                <w:sz w:val="24"/>
                <w:szCs w:val="24"/>
              </w:rPr>
            </w:pPr>
            <w:r w:rsidRPr="00322850">
              <w:rPr>
                <w:b/>
                <w:sz w:val="24"/>
                <w:szCs w:val="24"/>
              </w:rPr>
              <w:t>Department</w:t>
            </w:r>
          </w:p>
        </w:tc>
        <w:tc>
          <w:tcPr>
            <w:tcW w:w="6378" w:type="dxa"/>
            <w:tcBorders>
              <w:left w:val="single" w:sz="12" w:space="0" w:color="auto"/>
            </w:tcBorders>
          </w:tcPr>
          <w:p w:rsidR="00CD18D3" w:rsidRPr="00322850" w:rsidRDefault="00CD18D3" w:rsidP="002B2721">
            <w:pPr>
              <w:rPr>
                <w:sz w:val="24"/>
                <w:szCs w:val="24"/>
              </w:rPr>
            </w:pPr>
            <w:r w:rsidRPr="00786081">
              <w:rPr>
                <w:noProof/>
                <w:sz w:val="24"/>
                <w:szCs w:val="24"/>
              </w:rPr>
              <w:t>Infrastructure and Regional Development</w:t>
            </w:r>
          </w:p>
        </w:tc>
      </w:tr>
      <w:tr w:rsidR="00CD18D3" w:rsidRPr="00322850" w:rsidTr="002B2721">
        <w:tc>
          <w:tcPr>
            <w:tcW w:w="2694" w:type="dxa"/>
            <w:tcBorders>
              <w:right w:val="single" w:sz="12" w:space="0" w:color="auto"/>
            </w:tcBorders>
          </w:tcPr>
          <w:p w:rsidR="00CD18D3" w:rsidRPr="00322850" w:rsidRDefault="00CD18D3" w:rsidP="002B2721">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CD18D3" w:rsidRPr="00322850" w:rsidRDefault="00CD18D3" w:rsidP="002B2721">
            <w:pPr>
              <w:rPr>
                <w:sz w:val="24"/>
                <w:szCs w:val="24"/>
              </w:rPr>
            </w:pPr>
            <w:r>
              <w:rPr>
                <w:sz w:val="24"/>
                <w:szCs w:val="24"/>
              </w:rPr>
              <w:t xml:space="preserve">15 sitting days after tabling (tabled Senate </w:t>
            </w:r>
            <w:r w:rsidRPr="00786081">
              <w:rPr>
                <w:noProof/>
                <w:sz w:val="24"/>
                <w:szCs w:val="24"/>
              </w:rPr>
              <w:t>8 August</w:t>
            </w:r>
            <w:r>
              <w:rPr>
                <w:sz w:val="24"/>
                <w:szCs w:val="24"/>
              </w:rPr>
              <w:t xml:space="preserve"> 2017)</w:t>
            </w:r>
            <w:r>
              <w:rPr>
                <w:sz w:val="24"/>
                <w:szCs w:val="24"/>
              </w:rPr>
              <w:br/>
              <w:t>Notice of motion to disallow currently must be given by</w:t>
            </w:r>
            <w:r>
              <w:rPr>
                <w:sz w:val="24"/>
                <w:szCs w:val="24"/>
              </w:rPr>
              <w:br/>
            </w:r>
            <w:r w:rsidRPr="00786081">
              <w:rPr>
                <w:noProof/>
                <w:sz w:val="24"/>
                <w:szCs w:val="24"/>
              </w:rPr>
              <w:t>16 October</w:t>
            </w:r>
            <w:r>
              <w:rPr>
                <w:sz w:val="24"/>
                <w:szCs w:val="24"/>
              </w:rPr>
              <w:t xml:space="preserve"> 2017</w:t>
            </w:r>
          </w:p>
        </w:tc>
      </w:tr>
      <w:tr w:rsidR="00CD18D3" w:rsidRPr="00322850" w:rsidTr="002B2721">
        <w:tc>
          <w:tcPr>
            <w:tcW w:w="2694" w:type="dxa"/>
            <w:tcBorders>
              <w:bottom w:val="single" w:sz="12" w:space="0" w:color="auto"/>
              <w:right w:val="single" w:sz="12" w:space="0" w:color="auto"/>
            </w:tcBorders>
          </w:tcPr>
          <w:p w:rsidR="00CD18D3" w:rsidRPr="00322850" w:rsidRDefault="00CD18D3" w:rsidP="002B2721">
            <w:pPr>
              <w:rPr>
                <w:b/>
                <w:sz w:val="24"/>
                <w:szCs w:val="24"/>
              </w:rPr>
            </w:pPr>
            <w:r w:rsidRPr="00322850">
              <w:rPr>
                <w:b/>
                <w:sz w:val="24"/>
                <w:szCs w:val="24"/>
              </w:rPr>
              <w:t>Scrutiny principle</w:t>
            </w:r>
          </w:p>
        </w:tc>
        <w:tc>
          <w:tcPr>
            <w:tcW w:w="6378" w:type="dxa"/>
            <w:tcBorders>
              <w:left w:val="single" w:sz="12" w:space="0" w:color="auto"/>
              <w:bottom w:val="single" w:sz="12" w:space="0" w:color="auto"/>
            </w:tcBorders>
          </w:tcPr>
          <w:p w:rsidR="00CD18D3" w:rsidRPr="00322850" w:rsidRDefault="00CD18D3" w:rsidP="002B2721">
            <w:pPr>
              <w:rPr>
                <w:sz w:val="24"/>
                <w:szCs w:val="24"/>
              </w:rPr>
            </w:pPr>
            <w:r w:rsidRPr="00322850">
              <w:rPr>
                <w:sz w:val="24"/>
                <w:szCs w:val="24"/>
              </w:rPr>
              <w:t>Standing Order 23(3)</w:t>
            </w:r>
            <w:r w:rsidRPr="00786081">
              <w:rPr>
                <w:noProof/>
                <w:sz w:val="24"/>
                <w:szCs w:val="24"/>
              </w:rPr>
              <w:t>(a)</w:t>
            </w:r>
          </w:p>
        </w:tc>
      </w:tr>
    </w:tbl>
    <w:p w:rsidR="00CD18D3" w:rsidRPr="00322850" w:rsidRDefault="00CD18D3" w:rsidP="00CD18D3">
      <w:pPr>
        <w:spacing w:before="0" w:after="0"/>
      </w:pPr>
    </w:p>
    <w:p w:rsidR="00CD18D3" w:rsidRPr="00786081" w:rsidRDefault="00CD18D3" w:rsidP="00CD18D3">
      <w:pPr>
        <w:rPr>
          <w:b/>
          <w:noProof/>
        </w:rPr>
      </w:pPr>
      <w:r w:rsidRPr="00786081">
        <w:rPr>
          <w:b/>
          <w:noProof/>
        </w:rPr>
        <w:t>Sub</w:t>
      </w:r>
      <w:r>
        <w:rPr>
          <w:b/>
          <w:noProof/>
        </w:rPr>
        <w:t>-</w:t>
      </w:r>
      <w:r w:rsidRPr="00786081">
        <w:rPr>
          <w:b/>
          <w:noProof/>
        </w:rPr>
        <w:t>delegation</w:t>
      </w:r>
    </w:p>
    <w:p w:rsidR="00CD18D3" w:rsidRDefault="00CD18D3" w:rsidP="00CD18D3">
      <w:r w:rsidRPr="00552A27">
        <w:t>The committee's expectations in relation to sub-delegation accord with the approach of the Senate Standing Committee for the Scrutiny of Bills (Scrutiny of Bills committee), which has consistently drawn attention to legislation that allows delegations to a relatively large class of persons, with little or no specificity as to their qualifications or attributes. Generally, a limit should be set in legislation on either the sorts of powers that might be delegated or on the categories of people to whom powers might be delegated; and delegates should be confined to the holders of nominated offices or to members of the senior executive service.</w:t>
      </w:r>
    </w:p>
    <w:p w:rsidR="00CD18D3" w:rsidRDefault="00CD18D3" w:rsidP="00CD18D3">
      <w:r>
        <w:t xml:space="preserve">With reference to the above, the committee notes that item 12 of Schedule 1 to the ordinance inserts item 12E into the </w:t>
      </w:r>
      <w:r w:rsidRPr="000B45E2">
        <w:t xml:space="preserve">Norfolk Island Continued Laws Ordinance 2015, and thereby </w:t>
      </w:r>
      <w:r>
        <w:t xml:space="preserve">amends </w:t>
      </w:r>
      <w:r w:rsidRPr="000B45E2">
        <w:t>the</w:t>
      </w:r>
      <w:r>
        <w:t xml:space="preserve"> </w:t>
      </w:r>
      <w:r w:rsidRPr="000B45E2">
        <w:rPr>
          <w:i/>
        </w:rPr>
        <w:t>Interpretation Act 1979</w:t>
      </w:r>
      <w:r>
        <w:t xml:space="preserve"> (Norfolk Island) to allow the Commonwealth Director of Public Prosecutions (CDPP) to delegate all or any of his or her functions or powers under an enactment to a member of staff of the Office of the CDPP </w:t>
      </w:r>
      <w:r w:rsidRPr="000B45E2">
        <w:t>other than the Associate Director</w:t>
      </w:r>
      <w:r>
        <w:t>. The ES to the ordinance states:</w:t>
      </w:r>
    </w:p>
    <w:p w:rsidR="00CD18D3" w:rsidRDefault="00CD18D3" w:rsidP="00CD18D3">
      <w:pPr>
        <w:pStyle w:val="Quote"/>
      </w:pPr>
      <w:r w:rsidRPr="000B45E2">
        <w:t>The delegation power is necessary as it will often not be practicable for the Director to personally discharge functions under Norfolk Island laws. The provision will allow the Director to delegate functions under Norfolk Island continued laws consistently with how functions conferred on the Director under Commonwealth laws may be delegated. </w:t>
      </w:r>
    </w:p>
    <w:p w:rsidR="00CD18D3" w:rsidRDefault="00CD18D3" w:rsidP="00CD18D3">
      <w:r>
        <w:t xml:space="preserve">However, the committee notes that neither the ordinance nor the ES provides information about whether a delegate who exercises the powers of the CDPP is required to be at a certain level in the Australian Public Service, such as a member of the senior executive service. </w:t>
      </w:r>
    </w:p>
    <w:p w:rsidR="00CD18D3" w:rsidRPr="000B45E2" w:rsidRDefault="00CD18D3" w:rsidP="00CD18D3">
      <w:r>
        <w:lastRenderedPageBreak/>
        <w:t xml:space="preserve">In addition, the committee is concerned that the delegation provision contains no requirement that a </w:t>
      </w:r>
      <w:r w:rsidRPr="00CD23EB">
        <w:t xml:space="preserve">member of staff </w:t>
      </w:r>
      <w:r>
        <w:t xml:space="preserve">to whom functions or powers under a Norfolk Island enactment are delegated is appropriately trained or qualified </w:t>
      </w:r>
      <w:r w:rsidRPr="009D4E49">
        <w:t xml:space="preserve">to ensure the proper exercise of the powers. </w:t>
      </w:r>
      <w:r>
        <w:t xml:space="preserve">The committee's expectation is not that details of the qualifications and attributes for delegates be specified in the ordinance; rather, that the provision include a requirement that the CDPP be satisfied that the delegate has the relevant qualifications and attributes to properly exercise the powers delegated.  </w:t>
      </w:r>
    </w:p>
    <w:p w:rsidR="00CD18D3" w:rsidRPr="00ED6A56" w:rsidRDefault="00CD18D3" w:rsidP="00CD18D3">
      <w:pPr>
        <w:spacing w:after="0"/>
        <w:rPr>
          <w:noProof/>
        </w:rPr>
      </w:pPr>
      <w:r w:rsidRPr="005623F3">
        <w:rPr>
          <w:b/>
          <w:noProof/>
        </w:rPr>
        <w:t>The committee requests the advice of the minister in relation to the above.</w:t>
      </w:r>
    </w:p>
    <w:p w:rsidR="00CD18D3" w:rsidRDefault="00CD18D3" w:rsidP="00CD18D3">
      <w:pPr>
        <w:pStyle w:val="Level1"/>
        <w:numPr>
          <w:ilvl w:val="0"/>
          <w:numId w:val="0"/>
        </w:numPr>
      </w:pPr>
    </w:p>
    <w:p w:rsidR="006C6921" w:rsidRDefault="006C6921" w:rsidP="00CD18D3">
      <w:pPr>
        <w:pStyle w:val="Level1"/>
        <w:numPr>
          <w:ilvl w:val="0"/>
          <w:numId w:val="0"/>
        </w:numPr>
      </w:pPr>
    </w:p>
    <w:tbl>
      <w:tblPr>
        <w:tblW w:w="0" w:type="auto"/>
        <w:tblInd w:w="108" w:type="dxa"/>
        <w:tblLook w:val="04A0" w:firstRow="1" w:lastRow="0" w:firstColumn="1" w:lastColumn="0" w:noHBand="0" w:noVBand="1"/>
      </w:tblPr>
      <w:tblGrid>
        <w:gridCol w:w="2694"/>
        <w:gridCol w:w="6378"/>
      </w:tblGrid>
      <w:tr w:rsidR="00CD18D3" w:rsidRPr="00322850" w:rsidTr="002B2721">
        <w:tc>
          <w:tcPr>
            <w:tcW w:w="2694" w:type="dxa"/>
            <w:tcBorders>
              <w:top w:val="single" w:sz="12" w:space="0" w:color="auto"/>
              <w:right w:val="single" w:sz="12" w:space="0" w:color="auto"/>
            </w:tcBorders>
          </w:tcPr>
          <w:p w:rsidR="00CD18D3" w:rsidRPr="00322850" w:rsidRDefault="00CD18D3" w:rsidP="002B2721">
            <w:pPr>
              <w:rPr>
                <w:b/>
                <w:sz w:val="24"/>
                <w:szCs w:val="24"/>
              </w:rPr>
            </w:pPr>
            <w:r>
              <w:br w:type="page"/>
            </w:r>
            <w:r w:rsidRPr="00322850">
              <w:rPr>
                <w:b/>
                <w:sz w:val="24"/>
                <w:szCs w:val="24"/>
              </w:rPr>
              <w:t>Instrument</w:t>
            </w:r>
          </w:p>
        </w:tc>
        <w:tc>
          <w:tcPr>
            <w:tcW w:w="6378" w:type="dxa"/>
            <w:tcBorders>
              <w:top w:val="single" w:sz="12" w:space="0" w:color="auto"/>
              <w:left w:val="single" w:sz="12" w:space="0" w:color="auto"/>
            </w:tcBorders>
          </w:tcPr>
          <w:p w:rsidR="00CD18D3" w:rsidRPr="00322850" w:rsidRDefault="00CD18D3" w:rsidP="002B2721">
            <w:pPr>
              <w:pStyle w:val="Heading3"/>
              <w:rPr>
                <w:sz w:val="24"/>
                <w:szCs w:val="24"/>
              </w:rPr>
            </w:pPr>
            <w:r w:rsidRPr="00883DC9">
              <w:rPr>
                <w:noProof/>
                <w:sz w:val="24"/>
                <w:szCs w:val="24"/>
              </w:rPr>
              <w:t>Private Health Insurance (Benefit Requirements) Amendment Rules 2017 (No. 6) [F2017L00894]</w:t>
            </w:r>
          </w:p>
        </w:tc>
      </w:tr>
      <w:tr w:rsidR="00CD18D3" w:rsidRPr="00322850" w:rsidTr="002B2721">
        <w:tc>
          <w:tcPr>
            <w:tcW w:w="2694" w:type="dxa"/>
            <w:tcBorders>
              <w:right w:val="single" w:sz="12" w:space="0" w:color="auto"/>
            </w:tcBorders>
          </w:tcPr>
          <w:p w:rsidR="00CD18D3" w:rsidRPr="00322850" w:rsidRDefault="00CD18D3" w:rsidP="002B2721">
            <w:pPr>
              <w:rPr>
                <w:b/>
                <w:sz w:val="24"/>
                <w:szCs w:val="24"/>
              </w:rPr>
            </w:pPr>
            <w:r w:rsidRPr="00322850">
              <w:rPr>
                <w:b/>
                <w:sz w:val="24"/>
                <w:szCs w:val="24"/>
              </w:rPr>
              <w:t>Purpose</w:t>
            </w:r>
          </w:p>
        </w:tc>
        <w:tc>
          <w:tcPr>
            <w:tcW w:w="6378" w:type="dxa"/>
            <w:tcBorders>
              <w:left w:val="single" w:sz="12" w:space="0" w:color="auto"/>
            </w:tcBorders>
          </w:tcPr>
          <w:p w:rsidR="00CD18D3" w:rsidRPr="00322850" w:rsidRDefault="00CD18D3" w:rsidP="002B2721">
            <w:pPr>
              <w:rPr>
                <w:sz w:val="24"/>
                <w:szCs w:val="24"/>
              </w:rPr>
            </w:pPr>
            <w:r w:rsidRPr="00883DC9">
              <w:rPr>
                <w:noProof/>
                <w:sz w:val="24"/>
                <w:szCs w:val="24"/>
              </w:rPr>
              <w:t xml:space="preserve">Amends the Private Health Insurance (Benefit Requirements) Rules 2011 by </w:t>
            </w:r>
            <w:r>
              <w:rPr>
                <w:noProof/>
                <w:sz w:val="24"/>
                <w:szCs w:val="24"/>
              </w:rPr>
              <w:t>increasing</w:t>
            </w:r>
            <w:r w:rsidRPr="00883DC9">
              <w:rPr>
                <w:noProof/>
                <w:sz w:val="24"/>
                <w:szCs w:val="24"/>
              </w:rPr>
              <w:t xml:space="preserve"> the minimum benefit payable per night by private health insurers for nursing-home type patients in South Australian public hospitals</w:t>
            </w:r>
          </w:p>
        </w:tc>
      </w:tr>
      <w:tr w:rsidR="00CD18D3" w:rsidRPr="00322850" w:rsidTr="002B2721">
        <w:tc>
          <w:tcPr>
            <w:tcW w:w="2694" w:type="dxa"/>
            <w:tcBorders>
              <w:right w:val="single" w:sz="12" w:space="0" w:color="auto"/>
            </w:tcBorders>
          </w:tcPr>
          <w:p w:rsidR="00CD18D3" w:rsidRPr="00322850" w:rsidRDefault="00CD18D3" w:rsidP="002B2721">
            <w:pPr>
              <w:rPr>
                <w:b/>
                <w:sz w:val="24"/>
                <w:szCs w:val="24"/>
              </w:rPr>
            </w:pPr>
            <w:r w:rsidRPr="00322850">
              <w:rPr>
                <w:b/>
                <w:sz w:val="24"/>
                <w:szCs w:val="24"/>
              </w:rPr>
              <w:t>Authorising legislation</w:t>
            </w:r>
          </w:p>
        </w:tc>
        <w:tc>
          <w:tcPr>
            <w:tcW w:w="6378" w:type="dxa"/>
            <w:tcBorders>
              <w:left w:val="single" w:sz="12" w:space="0" w:color="auto"/>
            </w:tcBorders>
          </w:tcPr>
          <w:p w:rsidR="00CD18D3" w:rsidRPr="00322850" w:rsidRDefault="00CD18D3" w:rsidP="002B2721">
            <w:pPr>
              <w:rPr>
                <w:i/>
                <w:sz w:val="24"/>
                <w:szCs w:val="24"/>
              </w:rPr>
            </w:pPr>
            <w:r w:rsidRPr="00883DC9">
              <w:rPr>
                <w:i/>
                <w:noProof/>
                <w:sz w:val="24"/>
                <w:szCs w:val="24"/>
              </w:rPr>
              <w:t>Private Health Insurance Act 2007</w:t>
            </w:r>
          </w:p>
        </w:tc>
      </w:tr>
      <w:tr w:rsidR="00CD18D3" w:rsidRPr="00322850" w:rsidTr="002B2721">
        <w:tc>
          <w:tcPr>
            <w:tcW w:w="2694" w:type="dxa"/>
            <w:tcBorders>
              <w:right w:val="single" w:sz="12" w:space="0" w:color="auto"/>
            </w:tcBorders>
          </w:tcPr>
          <w:p w:rsidR="00CD18D3" w:rsidRPr="00322850" w:rsidRDefault="00CD18D3" w:rsidP="002B2721">
            <w:pPr>
              <w:rPr>
                <w:b/>
                <w:sz w:val="24"/>
                <w:szCs w:val="24"/>
              </w:rPr>
            </w:pPr>
            <w:r w:rsidRPr="00322850">
              <w:rPr>
                <w:b/>
                <w:sz w:val="24"/>
                <w:szCs w:val="24"/>
              </w:rPr>
              <w:t>Department</w:t>
            </w:r>
          </w:p>
        </w:tc>
        <w:tc>
          <w:tcPr>
            <w:tcW w:w="6378" w:type="dxa"/>
            <w:tcBorders>
              <w:left w:val="single" w:sz="12" w:space="0" w:color="auto"/>
            </w:tcBorders>
          </w:tcPr>
          <w:p w:rsidR="00CD18D3" w:rsidRPr="00322850" w:rsidRDefault="00CD18D3" w:rsidP="002B2721">
            <w:pPr>
              <w:rPr>
                <w:sz w:val="24"/>
                <w:szCs w:val="24"/>
              </w:rPr>
            </w:pPr>
            <w:r w:rsidRPr="00883DC9">
              <w:rPr>
                <w:noProof/>
                <w:sz w:val="24"/>
                <w:szCs w:val="24"/>
              </w:rPr>
              <w:t>Health</w:t>
            </w:r>
          </w:p>
        </w:tc>
      </w:tr>
      <w:tr w:rsidR="00CD18D3" w:rsidRPr="00322850" w:rsidTr="002B2721">
        <w:tc>
          <w:tcPr>
            <w:tcW w:w="2694" w:type="dxa"/>
            <w:tcBorders>
              <w:right w:val="single" w:sz="12" w:space="0" w:color="auto"/>
            </w:tcBorders>
          </w:tcPr>
          <w:p w:rsidR="00CD18D3" w:rsidRPr="00322850" w:rsidRDefault="00CD18D3" w:rsidP="002B2721">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CD18D3" w:rsidRPr="00322850" w:rsidRDefault="00CD18D3" w:rsidP="002B2721">
            <w:pPr>
              <w:rPr>
                <w:sz w:val="24"/>
                <w:szCs w:val="24"/>
              </w:rPr>
            </w:pPr>
            <w:r>
              <w:rPr>
                <w:sz w:val="24"/>
                <w:szCs w:val="24"/>
              </w:rPr>
              <w:t xml:space="preserve">15 sitting days after tabling (tabled Senate </w:t>
            </w:r>
            <w:r w:rsidRPr="00883DC9">
              <w:rPr>
                <w:noProof/>
                <w:sz w:val="24"/>
                <w:szCs w:val="24"/>
              </w:rPr>
              <w:t>8 August</w:t>
            </w:r>
            <w:r>
              <w:rPr>
                <w:sz w:val="24"/>
                <w:szCs w:val="24"/>
              </w:rPr>
              <w:t xml:space="preserve"> 2017)</w:t>
            </w:r>
            <w:r>
              <w:rPr>
                <w:sz w:val="24"/>
                <w:szCs w:val="24"/>
              </w:rPr>
              <w:br/>
              <w:t xml:space="preserve">Notice of motion to disallow </w:t>
            </w:r>
            <w:r w:rsidRPr="00D816D1">
              <w:rPr>
                <w:sz w:val="24"/>
                <w:szCs w:val="24"/>
              </w:rPr>
              <w:t xml:space="preserve">currently </w:t>
            </w:r>
            <w:r>
              <w:rPr>
                <w:sz w:val="24"/>
                <w:szCs w:val="24"/>
              </w:rPr>
              <w:t>must be given by</w:t>
            </w:r>
            <w:r>
              <w:rPr>
                <w:sz w:val="24"/>
                <w:szCs w:val="24"/>
              </w:rPr>
              <w:br/>
            </w:r>
            <w:r w:rsidRPr="00883DC9">
              <w:rPr>
                <w:noProof/>
                <w:sz w:val="24"/>
                <w:szCs w:val="24"/>
              </w:rPr>
              <w:t>16 October</w:t>
            </w:r>
            <w:r>
              <w:rPr>
                <w:sz w:val="24"/>
                <w:szCs w:val="24"/>
              </w:rPr>
              <w:t xml:space="preserve"> 2017</w:t>
            </w:r>
          </w:p>
        </w:tc>
      </w:tr>
      <w:tr w:rsidR="00CD18D3" w:rsidRPr="00322850" w:rsidTr="002B2721">
        <w:tc>
          <w:tcPr>
            <w:tcW w:w="2694" w:type="dxa"/>
            <w:tcBorders>
              <w:bottom w:val="single" w:sz="12" w:space="0" w:color="auto"/>
              <w:right w:val="single" w:sz="12" w:space="0" w:color="auto"/>
            </w:tcBorders>
          </w:tcPr>
          <w:p w:rsidR="00CD18D3" w:rsidRPr="00322850" w:rsidRDefault="00CD18D3" w:rsidP="002B2721">
            <w:pPr>
              <w:rPr>
                <w:b/>
                <w:sz w:val="24"/>
                <w:szCs w:val="24"/>
              </w:rPr>
            </w:pPr>
            <w:r w:rsidRPr="00322850">
              <w:rPr>
                <w:b/>
                <w:sz w:val="24"/>
                <w:szCs w:val="24"/>
              </w:rPr>
              <w:t>Scrutiny principle</w:t>
            </w:r>
          </w:p>
        </w:tc>
        <w:tc>
          <w:tcPr>
            <w:tcW w:w="6378" w:type="dxa"/>
            <w:tcBorders>
              <w:left w:val="single" w:sz="12" w:space="0" w:color="auto"/>
              <w:bottom w:val="single" w:sz="12" w:space="0" w:color="auto"/>
            </w:tcBorders>
          </w:tcPr>
          <w:p w:rsidR="00CD18D3" w:rsidRPr="00322850" w:rsidRDefault="00CD18D3" w:rsidP="002B2721">
            <w:pPr>
              <w:rPr>
                <w:sz w:val="24"/>
                <w:szCs w:val="24"/>
              </w:rPr>
            </w:pPr>
            <w:r w:rsidRPr="00322850">
              <w:rPr>
                <w:sz w:val="24"/>
                <w:szCs w:val="24"/>
              </w:rPr>
              <w:t>Standing Order 23(3)</w:t>
            </w:r>
            <w:r w:rsidRPr="00883DC9">
              <w:rPr>
                <w:noProof/>
                <w:sz w:val="24"/>
                <w:szCs w:val="24"/>
              </w:rPr>
              <w:t>(a)</w:t>
            </w:r>
            <w:r>
              <w:rPr>
                <w:noProof/>
                <w:sz w:val="24"/>
                <w:szCs w:val="24"/>
              </w:rPr>
              <w:t xml:space="preserve"> and (b)</w:t>
            </w:r>
          </w:p>
        </w:tc>
      </w:tr>
    </w:tbl>
    <w:p w:rsidR="00CD18D3" w:rsidRPr="00322850" w:rsidRDefault="00CD18D3" w:rsidP="00CD18D3">
      <w:pPr>
        <w:spacing w:before="0" w:after="0"/>
      </w:pPr>
    </w:p>
    <w:p w:rsidR="00CD18D3" w:rsidRDefault="00CD18D3" w:rsidP="00CD18D3">
      <w:pPr>
        <w:rPr>
          <w:b/>
          <w:noProof/>
        </w:rPr>
      </w:pPr>
      <w:r>
        <w:rPr>
          <w:b/>
          <w:noProof/>
        </w:rPr>
        <w:t>Description of consultation</w:t>
      </w:r>
    </w:p>
    <w:p w:rsidR="00CD18D3" w:rsidRPr="008B0EEC" w:rsidRDefault="00CD18D3" w:rsidP="00CD18D3">
      <w:pPr>
        <w:rPr>
          <w:noProof/>
        </w:rPr>
      </w:pPr>
      <w:r w:rsidRPr="008B0EEC">
        <w:rPr>
          <w:noProof/>
        </w:rPr>
        <w:t xml:space="preserve">Section 17 of the </w:t>
      </w:r>
      <w:r w:rsidRPr="008B0EEC">
        <w:rPr>
          <w:i/>
          <w:noProof/>
        </w:rPr>
        <w:t>Legislation Act 2003</w:t>
      </w:r>
      <w:r w:rsidRPr="008B0EEC">
        <w:rPr>
          <w:noProof/>
        </w:rPr>
        <w:t xml:space="preserve"> directs a rule-maker to be satisfied that appropriate consultation, as is reasonably practicable, has been undertaken in relation to a proposed instrument. The ES which must accompany an instrument is required to describe the nature of any consultatio</w:t>
      </w:r>
      <w:r>
        <w:rPr>
          <w:noProof/>
        </w:rPr>
        <w:t>n that has been carried out or,</w:t>
      </w:r>
      <w:r>
        <w:rPr>
          <w:noProof/>
        </w:rPr>
        <w:br/>
      </w:r>
      <w:r w:rsidRPr="008B0EEC">
        <w:rPr>
          <w:noProof/>
        </w:rPr>
        <w:t xml:space="preserve">if there has been no consultation, to explain why none was undertaken (paragraphs 15J(2)(d) and (e)). </w:t>
      </w:r>
    </w:p>
    <w:p w:rsidR="00CD18D3" w:rsidRDefault="00CD18D3" w:rsidP="00CD18D3">
      <w:pPr>
        <w:rPr>
          <w:noProof/>
        </w:rPr>
      </w:pPr>
      <w:r>
        <w:rPr>
          <w:noProof/>
        </w:rPr>
        <w:t>The committee notes that under the heading of consultation, the ES states:</w:t>
      </w:r>
    </w:p>
    <w:p w:rsidR="00CD18D3" w:rsidRPr="00884B31" w:rsidRDefault="00CD18D3" w:rsidP="00CD18D3">
      <w:pPr>
        <w:pStyle w:val="Quote"/>
        <w:rPr>
          <w:i/>
          <w:noProof/>
        </w:rPr>
      </w:pPr>
      <w:r w:rsidRPr="00884B31">
        <w:rPr>
          <w:i/>
          <w:noProof/>
        </w:rPr>
        <w:t xml:space="preserve">Schedule A of the Amendment Rules - Item 1 </w:t>
      </w:r>
    </w:p>
    <w:p w:rsidR="00CD18D3" w:rsidRDefault="00CD18D3" w:rsidP="00CD18D3">
      <w:pPr>
        <w:pStyle w:val="Quote"/>
        <w:rPr>
          <w:noProof/>
        </w:rPr>
      </w:pPr>
      <w:r>
        <w:rPr>
          <w:noProof/>
        </w:rPr>
        <w:t>One minor error was identified in the Private Health Insurance (Benefit Requirements) Amendment Rules 2017 (No. 5) that came into effect on</w:t>
      </w:r>
      <w:r>
        <w:rPr>
          <w:noProof/>
        </w:rPr>
        <w:br/>
        <w:t>1 July 2017. The issue was due to a clerical error resulting in an incorrect NHTP contribution rate calculation for South Australia.</w:t>
      </w:r>
    </w:p>
    <w:p w:rsidR="00CD18D3" w:rsidRDefault="00CD18D3" w:rsidP="00CD18D3">
      <w:pPr>
        <w:rPr>
          <w:rFonts w:asciiTheme="minorHAnsi" w:hAnsiTheme="minorHAnsi"/>
          <w:lang w:eastAsia="en-AU"/>
        </w:rPr>
      </w:pPr>
      <w:r>
        <w:rPr>
          <w:rFonts w:asciiTheme="minorHAnsi" w:hAnsiTheme="minorHAnsi"/>
          <w:lang w:eastAsia="en-AU"/>
        </w:rPr>
        <w:lastRenderedPageBreak/>
        <w:t xml:space="preserve">However, the committee notes that </w:t>
      </w:r>
      <w:r w:rsidRPr="00884B31">
        <w:rPr>
          <w:rFonts w:asciiTheme="minorHAnsi" w:hAnsiTheme="minorHAnsi"/>
          <w:lang w:eastAsia="en-AU"/>
        </w:rPr>
        <w:t>the ES does not provide information regarding consultation undertaken in relation to the instrument</w:t>
      </w:r>
      <w:r>
        <w:rPr>
          <w:rFonts w:asciiTheme="minorHAnsi" w:hAnsiTheme="minorHAnsi"/>
          <w:lang w:eastAsia="en-AU"/>
        </w:rPr>
        <w:t>.</w:t>
      </w:r>
    </w:p>
    <w:p w:rsidR="00CD18D3" w:rsidRPr="006340A3" w:rsidRDefault="00CD18D3" w:rsidP="00CD18D3">
      <w:pPr>
        <w:rPr>
          <w:rFonts w:asciiTheme="minorHAnsi" w:hAnsiTheme="minorHAnsi"/>
          <w:lang w:eastAsia="en-AU"/>
        </w:rPr>
      </w:pPr>
      <w:r w:rsidRPr="008B0EEC">
        <w:rPr>
          <w:rFonts w:asciiTheme="minorHAnsi" w:hAnsiTheme="minorHAnsi"/>
          <w:lang w:eastAsia="en-AU"/>
        </w:rPr>
        <w:t>The committee's expectations in this regard are set out in the guideline on consultation published on the committee's website</w:t>
      </w:r>
      <w:r>
        <w:rPr>
          <w:rFonts w:asciiTheme="minorHAnsi" w:hAnsiTheme="minorHAnsi"/>
          <w:lang w:eastAsia="en-AU"/>
        </w:rPr>
        <w:t>.</w:t>
      </w:r>
      <w:r>
        <w:rPr>
          <w:rStyle w:val="FootnoteReference"/>
          <w:rFonts w:asciiTheme="minorHAnsi" w:hAnsiTheme="minorHAnsi"/>
          <w:lang w:eastAsia="en-AU"/>
        </w:rPr>
        <w:footnoteReference w:id="23"/>
      </w:r>
    </w:p>
    <w:p w:rsidR="00CD18D3" w:rsidRPr="008B0EEC" w:rsidRDefault="00CD18D3" w:rsidP="00CD18D3">
      <w:pPr>
        <w:spacing w:after="0"/>
      </w:pPr>
      <w:r w:rsidRPr="008B0EEC">
        <w:rPr>
          <w:b/>
          <w:noProof/>
        </w:rPr>
        <w:t xml:space="preserve">The committee requests the advice of the minister in relation to the above; and requests that the ES be updated in accordance with the requirements of the </w:t>
      </w:r>
      <w:r w:rsidRPr="008B0EEC">
        <w:rPr>
          <w:b/>
          <w:i/>
          <w:noProof/>
        </w:rPr>
        <w:t>Legislation Act 2003</w:t>
      </w:r>
      <w:r w:rsidRPr="008B0EEC">
        <w:rPr>
          <w:b/>
          <w:noProof/>
        </w:rPr>
        <w:t>.</w:t>
      </w:r>
    </w:p>
    <w:p w:rsidR="00CD18D3" w:rsidRPr="00C25B02" w:rsidRDefault="00CD18D3" w:rsidP="00CD18D3">
      <w:pPr>
        <w:tabs>
          <w:tab w:val="left" w:pos="2268"/>
        </w:tabs>
        <w:spacing w:before="0"/>
        <w:rPr>
          <w:b/>
          <w:noProof/>
        </w:rPr>
      </w:pPr>
      <w:r>
        <w:rPr>
          <w:rFonts w:asciiTheme="minorHAnsi" w:hAnsiTheme="minorHAnsi"/>
          <w:lang w:eastAsia="en-AU"/>
        </w:rPr>
        <w:pict>
          <v:rect id="_x0000_i1034" style="width:222.95pt;height:.05pt" o:hrpct="494" o:hralign="center" o:hrstd="t" o:hr="t" fillcolor="#a0a0a0" stroked="f"/>
        </w:pict>
      </w:r>
    </w:p>
    <w:p w:rsidR="00CD18D3" w:rsidRPr="00883DC9" w:rsidRDefault="00CD18D3" w:rsidP="00CD18D3">
      <w:pPr>
        <w:spacing w:before="0"/>
        <w:rPr>
          <w:b/>
          <w:noProof/>
        </w:rPr>
      </w:pPr>
      <w:r>
        <w:rPr>
          <w:b/>
          <w:noProof/>
        </w:rPr>
        <w:t>Effect of d</w:t>
      </w:r>
      <w:r w:rsidRPr="00883DC9">
        <w:rPr>
          <w:b/>
          <w:noProof/>
        </w:rPr>
        <w:t>rafting</w:t>
      </w:r>
      <w:r>
        <w:rPr>
          <w:b/>
          <w:noProof/>
        </w:rPr>
        <w:t xml:space="preserve"> error</w:t>
      </w:r>
    </w:p>
    <w:p w:rsidR="00CD18D3" w:rsidRDefault="00CD18D3" w:rsidP="00CD18D3">
      <w:pPr>
        <w:rPr>
          <w:noProof/>
        </w:rPr>
      </w:pPr>
      <w:r>
        <w:rPr>
          <w:noProof/>
        </w:rPr>
        <w:t>Schedule A of t</w:t>
      </w:r>
      <w:r w:rsidRPr="00EF37EE">
        <w:rPr>
          <w:noProof/>
        </w:rPr>
        <w:t xml:space="preserve">he instrument </w:t>
      </w:r>
      <w:r w:rsidRPr="00DF0ED8">
        <w:rPr>
          <w:noProof/>
        </w:rPr>
        <w:t>sets out the minimum benefit payable per night by private health insurers for patients that are classified as nursing-home type patients in public hospitals. Item 1 of Schedule A increases the minimum benefit for South Australian public hospitals</w:t>
      </w:r>
      <w:r>
        <w:rPr>
          <w:noProof/>
        </w:rPr>
        <w:t xml:space="preserve"> by $2, from $116 to $118 per night</w:t>
      </w:r>
      <w:r w:rsidRPr="00DF0ED8">
        <w:rPr>
          <w:noProof/>
        </w:rPr>
        <w:t>.</w:t>
      </w:r>
      <w:r>
        <w:rPr>
          <w:noProof/>
        </w:rPr>
        <w:t xml:space="preserve"> As noted above, the ES states that this mimimum benefit has been increased to correct an error in the previous version of the </w:t>
      </w:r>
      <w:r w:rsidRPr="00DF0ED8">
        <w:rPr>
          <w:noProof/>
        </w:rPr>
        <w:t>Private Health Insurance (Benefit Requirements) Rules 2011</w:t>
      </w:r>
      <w:r>
        <w:rPr>
          <w:noProof/>
        </w:rPr>
        <w:t xml:space="preserve">, as amended by the </w:t>
      </w:r>
      <w:r w:rsidRPr="00DF0ED8">
        <w:rPr>
          <w:noProof/>
        </w:rPr>
        <w:t>Private Health Insurance (Benefit Requirements) Amendment Rules 2017 (No. 5)</w:t>
      </w:r>
      <w:r>
        <w:rPr>
          <w:noProof/>
        </w:rPr>
        <w:t>, which came into effect on 1 July 2017.</w:t>
      </w:r>
    </w:p>
    <w:p w:rsidR="00CD18D3" w:rsidRDefault="00CD18D3" w:rsidP="00CD18D3">
      <w:pPr>
        <w:rPr>
          <w:noProof/>
        </w:rPr>
      </w:pPr>
      <w:r>
        <w:rPr>
          <w:noProof/>
        </w:rPr>
        <w:t xml:space="preserve">The committee notes that, as this instrument commenced on 8 July 2017, it appears possible that, between 1 and 8 July 2017, </w:t>
      </w:r>
      <w:r w:rsidRPr="00DF0ED8">
        <w:rPr>
          <w:noProof/>
        </w:rPr>
        <w:t xml:space="preserve">nursing-home type patients in </w:t>
      </w:r>
      <w:r>
        <w:rPr>
          <w:noProof/>
        </w:rPr>
        <w:t xml:space="preserve">South Australian </w:t>
      </w:r>
      <w:r w:rsidRPr="00DF0ED8">
        <w:rPr>
          <w:noProof/>
        </w:rPr>
        <w:t>public hospitals</w:t>
      </w:r>
      <w:r>
        <w:rPr>
          <w:noProof/>
        </w:rPr>
        <w:t xml:space="preserve"> may have received a lower benefit for their hospital accomodation than that to which they were entitled.</w:t>
      </w:r>
    </w:p>
    <w:p w:rsidR="00CD18D3" w:rsidRDefault="00CD18D3" w:rsidP="00CD18D3">
      <w:pPr>
        <w:rPr>
          <w:noProof/>
        </w:rPr>
      </w:pPr>
      <w:r>
        <w:rPr>
          <w:noProof/>
        </w:rPr>
        <w:t xml:space="preserve">The committee will generally be concerned about the effect, if any, on individuals during periods in which instruments containing errors are in effect. In this case the committee notes that any potential </w:t>
      </w:r>
      <w:r w:rsidRPr="008F54AA">
        <w:rPr>
          <w:noProof/>
        </w:rPr>
        <w:t xml:space="preserve">disadvantage to </w:t>
      </w:r>
      <w:r>
        <w:rPr>
          <w:noProof/>
        </w:rPr>
        <w:t>individuals would only have arisen</w:t>
      </w:r>
      <w:r w:rsidRPr="008F54AA">
        <w:rPr>
          <w:noProof/>
        </w:rPr>
        <w:t xml:space="preserve"> in the 7 days before the correction of the error</w:t>
      </w:r>
      <w:r>
        <w:rPr>
          <w:noProof/>
        </w:rPr>
        <w:t xml:space="preserve">, and </w:t>
      </w:r>
      <w:r w:rsidRPr="008F54AA">
        <w:rPr>
          <w:noProof/>
        </w:rPr>
        <w:t>that the maximum possible detriment to an individual</w:t>
      </w:r>
      <w:r>
        <w:rPr>
          <w:noProof/>
        </w:rPr>
        <w:t xml:space="preserve"> may</w:t>
      </w:r>
      <w:r w:rsidRPr="008F54AA">
        <w:rPr>
          <w:noProof/>
        </w:rPr>
        <w:t xml:space="preserve"> </w:t>
      </w:r>
      <w:r>
        <w:rPr>
          <w:noProof/>
        </w:rPr>
        <w:t xml:space="preserve">only amount to </w:t>
      </w:r>
      <w:r w:rsidRPr="008F54AA">
        <w:rPr>
          <w:noProof/>
        </w:rPr>
        <w:t>$14</w:t>
      </w:r>
      <w:r>
        <w:rPr>
          <w:noProof/>
        </w:rPr>
        <w:t xml:space="preserve">. </w:t>
      </w:r>
    </w:p>
    <w:p w:rsidR="00CD18D3" w:rsidRPr="001D0461" w:rsidRDefault="00CD18D3" w:rsidP="00CD18D3">
      <w:pPr>
        <w:rPr>
          <w:noProof/>
        </w:rPr>
      </w:pPr>
      <w:r>
        <w:rPr>
          <w:noProof/>
        </w:rPr>
        <w:t xml:space="preserve">Nevertheless, the committee emphasises the importance of ensuring that individuals are not disadvantaged by drafting errors. </w:t>
      </w:r>
      <w:r>
        <w:rPr>
          <w:szCs w:val="26"/>
        </w:rPr>
        <w:t>The committee also considers that the onus should not be placed on policyholders to identify any shortfall. The committee requests that this continuing concern be taken into account when similar circumstances arise in future.</w:t>
      </w:r>
    </w:p>
    <w:p w:rsidR="00CD18D3" w:rsidRPr="005623F3" w:rsidRDefault="00CD18D3" w:rsidP="00CD18D3">
      <w:pPr>
        <w:rPr>
          <w:b/>
          <w:szCs w:val="26"/>
        </w:rPr>
      </w:pPr>
      <w:r w:rsidRPr="005623F3">
        <w:rPr>
          <w:b/>
          <w:noProof/>
        </w:rPr>
        <w:t>The committee draws the above to the minister's attention.</w:t>
      </w:r>
      <w:r w:rsidRPr="005623F3">
        <w:rPr>
          <w:b/>
          <w:szCs w:val="26"/>
        </w:rPr>
        <w:t xml:space="preserve"> </w:t>
      </w:r>
    </w:p>
    <w:p w:rsidR="00CD18D3" w:rsidRDefault="00CD18D3" w:rsidP="00CD18D3">
      <w:pPr>
        <w:spacing w:after="0"/>
      </w:pPr>
      <w:r w:rsidRPr="00E54765">
        <w:br w:type="page"/>
      </w:r>
    </w:p>
    <w:p w:rsidR="00CD18D3" w:rsidRPr="00440BEA" w:rsidRDefault="00CD18D3" w:rsidP="00CD18D3">
      <w:pPr>
        <w:pStyle w:val="Heading2"/>
      </w:pPr>
      <w:r w:rsidRPr="00440BEA">
        <w:lastRenderedPageBreak/>
        <w:t>Further response required</w:t>
      </w:r>
    </w:p>
    <w:p w:rsidR="00CD18D3" w:rsidRPr="00DA5192" w:rsidRDefault="00CD18D3" w:rsidP="00CD18D3">
      <w:pPr>
        <w:rPr>
          <w:rFonts w:asciiTheme="minorHAnsi" w:hAnsiTheme="minorHAnsi"/>
          <w:lang w:eastAsia="en-AU"/>
        </w:rPr>
      </w:pPr>
      <w:r w:rsidRPr="00DA5192">
        <w:rPr>
          <w:rFonts w:asciiTheme="minorHAnsi" w:hAnsiTheme="minorHAnsi"/>
          <w:lang w:eastAsia="en-AU"/>
        </w:rPr>
        <w:t>The committee requests further explanation or information from relevant ministers or instrument-makers with respect to the following concerns.</w:t>
      </w:r>
    </w:p>
    <w:p w:rsidR="00CD18D3" w:rsidRDefault="00CD18D3" w:rsidP="00CD18D3">
      <w:pPr>
        <w:spacing w:after="0"/>
        <w:rPr>
          <w:rStyle w:val="Hyperlink"/>
        </w:rPr>
      </w:pPr>
      <w:r w:rsidRPr="00E83F2A">
        <w:rPr>
          <w:szCs w:val="26"/>
        </w:rPr>
        <w:t>Correspondence relating to these matters is published on the committee's website.</w:t>
      </w:r>
      <w:r w:rsidRPr="00E83F2A">
        <w:rPr>
          <w:rStyle w:val="FootnoteReference"/>
          <w:szCs w:val="26"/>
        </w:rPr>
        <w:footnoteReference w:id="24"/>
      </w:r>
    </w:p>
    <w:p w:rsidR="00CD18D3" w:rsidRDefault="00CD18D3" w:rsidP="00CD18D3">
      <w:pPr>
        <w:rPr>
          <w:rFonts w:asciiTheme="minorHAnsi" w:hAnsiTheme="minorHAnsi"/>
          <w:lang w:eastAsia="en-AU"/>
        </w:rPr>
      </w:pPr>
    </w:p>
    <w:p w:rsidR="006C6921" w:rsidRDefault="006C6921" w:rsidP="00CD18D3">
      <w:pPr>
        <w:rPr>
          <w:rFonts w:asciiTheme="minorHAnsi" w:hAnsiTheme="minorHAnsi"/>
          <w:lang w:eastAsia="en-AU"/>
        </w:rPr>
      </w:pPr>
    </w:p>
    <w:tbl>
      <w:tblPr>
        <w:tblW w:w="0" w:type="auto"/>
        <w:tblInd w:w="108" w:type="dxa"/>
        <w:tblLook w:val="04A0" w:firstRow="1" w:lastRow="0" w:firstColumn="1" w:lastColumn="0" w:noHBand="0" w:noVBand="1"/>
      </w:tblPr>
      <w:tblGrid>
        <w:gridCol w:w="2694"/>
        <w:gridCol w:w="6378"/>
      </w:tblGrid>
      <w:tr w:rsidR="00CD18D3" w:rsidRPr="008B0EEC" w:rsidTr="002B2721">
        <w:tc>
          <w:tcPr>
            <w:tcW w:w="2694" w:type="dxa"/>
            <w:tcBorders>
              <w:top w:val="single" w:sz="12" w:space="0" w:color="auto"/>
              <w:right w:val="single" w:sz="12" w:space="0" w:color="auto"/>
            </w:tcBorders>
          </w:tcPr>
          <w:p w:rsidR="00CD18D3" w:rsidRPr="008B0EEC" w:rsidRDefault="00CD18D3" w:rsidP="002B2721">
            <w:pPr>
              <w:rPr>
                <w:b/>
                <w:sz w:val="24"/>
                <w:szCs w:val="24"/>
              </w:rPr>
            </w:pPr>
            <w:r w:rsidRPr="008B0EEC">
              <w:rPr>
                <w:b/>
                <w:sz w:val="24"/>
                <w:szCs w:val="24"/>
              </w:rPr>
              <w:t>Instrument</w:t>
            </w:r>
          </w:p>
        </w:tc>
        <w:tc>
          <w:tcPr>
            <w:tcW w:w="6378" w:type="dxa"/>
            <w:tcBorders>
              <w:top w:val="single" w:sz="12" w:space="0" w:color="auto"/>
              <w:left w:val="single" w:sz="12" w:space="0" w:color="auto"/>
            </w:tcBorders>
          </w:tcPr>
          <w:p w:rsidR="00CD18D3" w:rsidRPr="008B0EEC" w:rsidRDefault="00CD18D3" w:rsidP="002B2721">
            <w:pPr>
              <w:pStyle w:val="Heading3"/>
              <w:rPr>
                <w:sz w:val="24"/>
                <w:szCs w:val="24"/>
              </w:rPr>
            </w:pPr>
            <w:r w:rsidRPr="008B0EEC">
              <w:rPr>
                <w:noProof/>
                <w:sz w:val="24"/>
                <w:szCs w:val="24"/>
              </w:rPr>
              <w:t>Inspector of Transport Security Regulations 2017 [F2017L00510]</w:t>
            </w:r>
          </w:p>
        </w:tc>
      </w:tr>
      <w:tr w:rsidR="00CD18D3" w:rsidRPr="008B0EEC" w:rsidTr="002B2721">
        <w:tc>
          <w:tcPr>
            <w:tcW w:w="2694" w:type="dxa"/>
            <w:tcBorders>
              <w:right w:val="single" w:sz="12" w:space="0" w:color="auto"/>
            </w:tcBorders>
          </w:tcPr>
          <w:p w:rsidR="00CD18D3" w:rsidRPr="008B0EEC" w:rsidRDefault="00CD18D3" w:rsidP="002B2721">
            <w:pPr>
              <w:rPr>
                <w:b/>
                <w:sz w:val="24"/>
                <w:szCs w:val="24"/>
              </w:rPr>
            </w:pPr>
            <w:r w:rsidRPr="008B0EEC">
              <w:rPr>
                <w:b/>
                <w:sz w:val="24"/>
                <w:szCs w:val="24"/>
              </w:rPr>
              <w:t>Purpose</w:t>
            </w:r>
          </w:p>
        </w:tc>
        <w:tc>
          <w:tcPr>
            <w:tcW w:w="6378" w:type="dxa"/>
            <w:tcBorders>
              <w:left w:val="single" w:sz="12" w:space="0" w:color="auto"/>
            </w:tcBorders>
          </w:tcPr>
          <w:p w:rsidR="00CD18D3" w:rsidRPr="008B0EEC" w:rsidRDefault="00CD18D3" w:rsidP="002B2721">
            <w:pPr>
              <w:rPr>
                <w:sz w:val="24"/>
                <w:szCs w:val="24"/>
              </w:rPr>
            </w:pPr>
            <w:r w:rsidRPr="008B0EEC">
              <w:rPr>
                <w:noProof/>
                <w:sz w:val="24"/>
                <w:szCs w:val="24"/>
              </w:rPr>
              <w:t xml:space="preserve">Identifies the international obligations that the Inspector of Transport Security must comply with; sets the form of the identity card that must be issued to persons exercising the Inspector's delegated search powers; prescribes the criteria that a person must satisfy to be delegated powers under the </w:t>
            </w:r>
            <w:r w:rsidRPr="008B0EEC">
              <w:rPr>
                <w:i/>
                <w:noProof/>
                <w:sz w:val="24"/>
                <w:szCs w:val="24"/>
              </w:rPr>
              <w:t>Inspector Transport Security Act 2006</w:t>
            </w:r>
            <w:r w:rsidRPr="008B0EEC">
              <w:rPr>
                <w:noProof/>
                <w:sz w:val="24"/>
                <w:szCs w:val="24"/>
              </w:rPr>
              <w:t>; and details the fee for attendance at a coronial inquiry and the due date for payment</w:t>
            </w:r>
          </w:p>
        </w:tc>
      </w:tr>
      <w:tr w:rsidR="00CD18D3" w:rsidRPr="008B0EEC" w:rsidTr="002B2721">
        <w:tc>
          <w:tcPr>
            <w:tcW w:w="2694" w:type="dxa"/>
            <w:tcBorders>
              <w:right w:val="single" w:sz="12" w:space="0" w:color="auto"/>
            </w:tcBorders>
          </w:tcPr>
          <w:p w:rsidR="00CD18D3" w:rsidRPr="008B0EEC" w:rsidRDefault="00CD18D3" w:rsidP="002B2721">
            <w:pPr>
              <w:rPr>
                <w:b/>
                <w:sz w:val="24"/>
                <w:szCs w:val="24"/>
              </w:rPr>
            </w:pPr>
            <w:r w:rsidRPr="008B0EEC">
              <w:rPr>
                <w:b/>
                <w:sz w:val="24"/>
                <w:szCs w:val="24"/>
              </w:rPr>
              <w:t>Authorising legislation</w:t>
            </w:r>
          </w:p>
        </w:tc>
        <w:tc>
          <w:tcPr>
            <w:tcW w:w="6378" w:type="dxa"/>
            <w:tcBorders>
              <w:left w:val="single" w:sz="12" w:space="0" w:color="auto"/>
            </w:tcBorders>
          </w:tcPr>
          <w:p w:rsidR="00CD18D3" w:rsidRPr="008B0EEC" w:rsidRDefault="00CD18D3" w:rsidP="002B2721">
            <w:pPr>
              <w:rPr>
                <w:i/>
                <w:sz w:val="24"/>
                <w:szCs w:val="24"/>
              </w:rPr>
            </w:pPr>
            <w:r w:rsidRPr="008B0EEC">
              <w:rPr>
                <w:i/>
                <w:noProof/>
                <w:sz w:val="24"/>
                <w:szCs w:val="24"/>
              </w:rPr>
              <w:t>Inspector of Transport Security Act 2006</w:t>
            </w:r>
          </w:p>
        </w:tc>
      </w:tr>
      <w:tr w:rsidR="00CD18D3" w:rsidRPr="008B0EEC" w:rsidTr="002B2721">
        <w:tc>
          <w:tcPr>
            <w:tcW w:w="2694" w:type="dxa"/>
            <w:tcBorders>
              <w:right w:val="single" w:sz="12" w:space="0" w:color="auto"/>
            </w:tcBorders>
          </w:tcPr>
          <w:p w:rsidR="00CD18D3" w:rsidRPr="008B0EEC" w:rsidRDefault="00CD18D3" w:rsidP="002B2721">
            <w:pPr>
              <w:rPr>
                <w:b/>
                <w:sz w:val="24"/>
                <w:szCs w:val="24"/>
              </w:rPr>
            </w:pPr>
            <w:r w:rsidRPr="008B0EEC">
              <w:rPr>
                <w:b/>
                <w:sz w:val="24"/>
                <w:szCs w:val="24"/>
              </w:rPr>
              <w:t>Department</w:t>
            </w:r>
          </w:p>
        </w:tc>
        <w:tc>
          <w:tcPr>
            <w:tcW w:w="6378" w:type="dxa"/>
            <w:tcBorders>
              <w:left w:val="single" w:sz="12" w:space="0" w:color="auto"/>
            </w:tcBorders>
          </w:tcPr>
          <w:p w:rsidR="00CD18D3" w:rsidRPr="008B0EEC" w:rsidRDefault="00CD18D3" w:rsidP="002B2721">
            <w:pPr>
              <w:rPr>
                <w:sz w:val="24"/>
                <w:szCs w:val="24"/>
              </w:rPr>
            </w:pPr>
            <w:r w:rsidRPr="008B0EEC">
              <w:rPr>
                <w:noProof/>
                <w:sz w:val="24"/>
                <w:szCs w:val="24"/>
              </w:rPr>
              <w:t>Infrastructure and Regional Development</w:t>
            </w:r>
          </w:p>
        </w:tc>
      </w:tr>
      <w:tr w:rsidR="00CD18D3" w:rsidRPr="008B0EEC" w:rsidTr="002B2721">
        <w:tc>
          <w:tcPr>
            <w:tcW w:w="2694" w:type="dxa"/>
            <w:tcBorders>
              <w:right w:val="single" w:sz="12" w:space="0" w:color="auto"/>
            </w:tcBorders>
          </w:tcPr>
          <w:p w:rsidR="00CD18D3" w:rsidRPr="008B0EEC" w:rsidRDefault="00CD18D3" w:rsidP="002B2721">
            <w:pPr>
              <w:rPr>
                <w:b/>
                <w:sz w:val="24"/>
                <w:szCs w:val="24"/>
              </w:rPr>
            </w:pPr>
            <w:r w:rsidRPr="008B0EEC">
              <w:rPr>
                <w:b/>
                <w:sz w:val="24"/>
                <w:szCs w:val="24"/>
              </w:rPr>
              <w:t>Disallowance</w:t>
            </w:r>
          </w:p>
        </w:tc>
        <w:tc>
          <w:tcPr>
            <w:tcW w:w="6378" w:type="dxa"/>
            <w:tcBorders>
              <w:left w:val="single" w:sz="12" w:space="0" w:color="auto"/>
            </w:tcBorders>
          </w:tcPr>
          <w:p w:rsidR="00CD18D3" w:rsidRDefault="00CD18D3" w:rsidP="002B2721">
            <w:pPr>
              <w:rPr>
                <w:sz w:val="24"/>
                <w:szCs w:val="24"/>
              </w:rPr>
            </w:pPr>
            <w:r w:rsidRPr="008B0EEC">
              <w:rPr>
                <w:sz w:val="24"/>
                <w:szCs w:val="24"/>
              </w:rPr>
              <w:t xml:space="preserve">15 sitting days after tabling (tabled Senate </w:t>
            </w:r>
            <w:r w:rsidRPr="008B0EEC">
              <w:rPr>
                <w:noProof/>
                <w:sz w:val="24"/>
                <w:szCs w:val="24"/>
              </w:rPr>
              <w:t>11 May</w:t>
            </w:r>
            <w:r>
              <w:rPr>
                <w:sz w:val="24"/>
                <w:szCs w:val="24"/>
              </w:rPr>
              <w:t xml:space="preserve"> 2017)</w:t>
            </w:r>
            <w:r>
              <w:rPr>
                <w:sz w:val="24"/>
                <w:szCs w:val="24"/>
              </w:rPr>
              <w:br/>
              <w:t>The time to give a n</w:t>
            </w:r>
            <w:r w:rsidRPr="008B0EEC">
              <w:rPr>
                <w:sz w:val="24"/>
                <w:szCs w:val="24"/>
              </w:rPr>
              <w:t xml:space="preserve">otice of motion to disallow </w:t>
            </w:r>
            <w:r>
              <w:rPr>
                <w:sz w:val="24"/>
                <w:szCs w:val="24"/>
              </w:rPr>
              <w:t xml:space="preserve">expired on </w:t>
            </w:r>
            <w:r w:rsidRPr="008B0EEC">
              <w:rPr>
                <w:noProof/>
                <w:sz w:val="24"/>
                <w:szCs w:val="24"/>
              </w:rPr>
              <w:t>4 September</w:t>
            </w:r>
            <w:r w:rsidRPr="008B0EEC">
              <w:rPr>
                <w:sz w:val="24"/>
                <w:szCs w:val="24"/>
              </w:rPr>
              <w:t xml:space="preserve"> 2017</w:t>
            </w:r>
          </w:p>
          <w:p w:rsidR="00CD18D3" w:rsidRDefault="00CD18D3" w:rsidP="002B2721">
            <w:pPr>
              <w:spacing w:after="0"/>
              <w:rPr>
                <w:sz w:val="24"/>
                <w:szCs w:val="24"/>
              </w:rPr>
            </w:pPr>
            <w:r>
              <w:rPr>
                <w:sz w:val="24"/>
                <w:szCs w:val="24"/>
              </w:rPr>
              <w:t>Notice given on 4 September 2017</w:t>
            </w:r>
            <w:r>
              <w:rPr>
                <w:rStyle w:val="FootnoteReference"/>
                <w:sz w:val="24"/>
                <w:szCs w:val="24"/>
              </w:rPr>
              <w:footnoteReference w:id="25"/>
            </w:r>
          </w:p>
          <w:p w:rsidR="00CD18D3" w:rsidRPr="008B0EEC" w:rsidRDefault="00CD18D3" w:rsidP="002B2721">
            <w:pPr>
              <w:spacing w:before="0"/>
              <w:rPr>
                <w:sz w:val="24"/>
                <w:szCs w:val="24"/>
              </w:rPr>
            </w:pPr>
            <w:r>
              <w:rPr>
                <w:sz w:val="24"/>
                <w:szCs w:val="24"/>
              </w:rPr>
              <w:t>Motion currently must be resolved by 16 November 2017</w:t>
            </w:r>
          </w:p>
        </w:tc>
      </w:tr>
      <w:tr w:rsidR="00CD18D3" w:rsidRPr="008B0EEC" w:rsidTr="002B2721">
        <w:tc>
          <w:tcPr>
            <w:tcW w:w="2694" w:type="dxa"/>
            <w:tcBorders>
              <w:right w:val="single" w:sz="12" w:space="0" w:color="auto"/>
            </w:tcBorders>
          </w:tcPr>
          <w:p w:rsidR="00CD18D3" w:rsidRPr="008B0EEC" w:rsidRDefault="00CD18D3" w:rsidP="002B2721">
            <w:pPr>
              <w:rPr>
                <w:b/>
                <w:sz w:val="24"/>
                <w:szCs w:val="24"/>
              </w:rPr>
            </w:pPr>
            <w:r w:rsidRPr="008B0EEC">
              <w:rPr>
                <w:b/>
                <w:sz w:val="24"/>
                <w:szCs w:val="24"/>
              </w:rPr>
              <w:t>Scrutiny principle</w:t>
            </w:r>
          </w:p>
        </w:tc>
        <w:tc>
          <w:tcPr>
            <w:tcW w:w="6378" w:type="dxa"/>
            <w:tcBorders>
              <w:left w:val="single" w:sz="12" w:space="0" w:color="auto"/>
            </w:tcBorders>
          </w:tcPr>
          <w:p w:rsidR="00CD18D3" w:rsidRPr="008B0EEC" w:rsidRDefault="00CD18D3" w:rsidP="002B2721">
            <w:pPr>
              <w:rPr>
                <w:sz w:val="24"/>
                <w:szCs w:val="24"/>
              </w:rPr>
            </w:pPr>
            <w:r w:rsidRPr="008B0EEC">
              <w:rPr>
                <w:sz w:val="24"/>
                <w:szCs w:val="24"/>
              </w:rPr>
              <w:t>Standing Order 23(3)</w:t>
            </w:r>
            <w:r w:rsidRPr="008B0EEC">
              <w:rPr>
                <w:noProof/>
                <w:sz w:val="24"/>
                <w:szCs w:val="24"/>
              </w:rPr>
              <w:t>(a)</w:t>
            </w:r>
          </w:p>
        </w:tc>
      </w:tr>
      <w:tr w:rsidR="00CD18D3" w:rsidRPr="008B0EEC" w:rsidTr="002B2721">
        <w:tc>
          <w:tcPr>
            <w:tcW w:w="2694" w:type="dxa"/>
            <w:tcBorders>
              <w:bottom w:val="single" w:sz="12" w:space="0" w:color="auto"/>
              <w:right w:val="single" w:sz="12" w:space="0" w:color="auto"/>
            </w:tcBorders>
          </w:tcPr>
          <w:p w:rsidR="00CD18D3" w:rsidRPr="008B0EEC" w:rsidRDefault="00CD18D3" w:rsidP="002B2721">
            <w:pPr>
              <w:rPr>
                <w:b/>
                <w:sz w:val="24"/>
                <w:szCs w:val="24"/>
              </w:rPr>
            </w:pPr>
            <w:r w:rsidRPr="008B0EEC">
              <w:rPr>
                <w:b/>
                <w:sz w:val="24"/>
                <w:szCs w:val="24"/>
              </w:rPr>
              <w:t>Previously reported in</w:t>
            </w:r>
          </w:p>
        </w:tc>
        <w:tc>
          <w:tcPr>
            <w:tcW w:w="6378" w:type="dxa"/>
            <w:tcBorders>
              <w:left w:val="single" w:sz="12" w:space="0" w:color="auto"/>
              <w:bottom w:val="single" w:sz="12" w:space="0" w:color="auto"/>
            </w:tcBorders>
          </w:tcPr>
          <w:p w:rsidR="00CD18D3" w:rsidRPr="008B0EEC" w:rsidRDefault="00CD18D3" w:rsidP="002B2721">
            <w:pPr>
              <w:rPr>
                <w:sz w:val="24"/>
                <w:szCs w:val="24"/>
              </w:rPr>
            </w:pPr>
            <w:r w:rsidRPr="008B0EEC">
              <w:rPr>
                <w:i/>
                <w:noProof/>
                <w:sz w:val="24"/>
                <w:szCs w:val="24"/>
              </w:rPr>
              <w:t>Delegated legislation monitor</w:t>
            </w:r>
            <w:r>
              <w:rPr>
                <w:i/>
                <w:noProof/>
                <w:sz w:val="24"/>
                <w:szCs w:val="24"/>
              </w:rPr>
              <w:t>s</w:t>
            </w:r>
            <w:r w:rsidRPr="008B0EEC">
              <w:rPr>
                <w:noProof/>
                <w:sz w:val="24"/>
                <w:szCs w:val="24"/>
              </w:rPr>
              <w:t xml:space="preserve"> 6</w:t>
            </w:r>
            <w:r>
              <w:rPr>
                <w:noProof/>
                <w:sz w:val="24"/>
                <w:szCs w:val="24"/>
              </w:rPr>
              <w:t xml:space="preserve"> and 10</w:t>
            </w:r>
            <w:r w:rsidRPr="008B0EEC">
              <w:rPr>
                <w:noProof/>
                <w:sz w:val="24"/>
                <w:szCs w:val="24"/>
              </w:rPr>
              <w:t xml:space="preserve"> of 2017</w:t>
            </w:r>
          </w:p>
        </w:tc>
      </w:tr>
    </w:tbl>
    <w:p w:rsidR="00CD18D3" w:rsidRPr="008B0EEC" w:rsidRDefault="00CD18D3" w:rsidP="00CD18D3">
      <w:pPr>
        <w:spacing w:before="0" w:after="0"/>
      </w:pPr>
    </w:p>
    <w:p w:rsidR="00CD18D3" w:rsidRPr="008B0EEC" w:rsidRDefault="00CD18D3" w:rsidP="00CD18D3">
      <w:pPr>
        <w:rPr>
          <w:noProof/>
        </w:rPr>
      </w:pPr>
      <w:r w:rsidRPr="008B0EEC">
        <w:rPr>
          <w:noProof/>
        </w:rPr>
        <w:t>The committee previously commented on two matters as follows:</w:t>
      </w:r>
    </w:p>
    <w:p w:rsidR="00CD18D3" w:rsidRPr="008B0EEC" w:rsidRDefault="00CD18D3" w:rsidP="00CD18D3">
      <w:pPr>
        <w:rPr>
          <w:b/>
          <w:noProof/>
        </w:rPr>
      </w:pPr>
      <w:r w:rsidRPr="008B0EEC">
        <w:rPr>
          <w:b/>
          <w:noProof/>
        </w:rPr>
        <w:t>Manner of incorporation</w:t>
      </w:r>
    </w:p>
    <w:p w:rsidR="00CD18D3" w:rsidRPr="008B0EEC" w:rsidRDefault="00CD18D3" w:rsidP="00CD18D3">
      <w:pPr>
        <w:rPr>
          <w:noProof/>
        </w:rPr>
      </w:pPr>
      <w:r w:rsidRPr="008B0EEC">
        <w:rPr>
          <w:noProof/>
        </w:rPr>
        <w:t xml:space="preserve">Section 14 of the </w:t>
      </w:r>
      <w:r w:rsidRPr="008B0EEC">
        <w:rPr>
          <w:i/>
          <w:noProof/>
        </w:rPr>
        <w:t>Legislation Act 2003</w:t>
      </w:r>
      <w:r w:rsidRPr="008B0EEC">
        <w:rPr>
          <w:noProof/>
        </w:rPr>
        <w:t xml:space="preserve"> allows legislative instruments to make provision in relation to matters by incorporating Acts and disallowable legislative instruments, either as in force at a particular time or as in force from time to time. </w:t>
      </w:r>
      <w:r w:rsidRPr="008B0EEC">
        <w:rPr>
          <w:noProof/>
        </w:rPr>
        <w:lastRenderedPageBreak/>
        <w:t xml:space="preserve">Other documents may only be incorporated as in force at the commencement of the legislative instrument, unless authorising or other legislation alters the operation of section 14.   </w:t>
      </w:r>
    </w:p>
    <w:p w:rsidR="00CD18D3" w:rsidRPr="008B0EEC" w:rsidRDefault="00CD18D3" w:rsidP="00CD18D3">
      <w:pPr>
        <w:rPr>
          <w:noProof/>
        </w:rPr>
      </w:pPr>
      <w:r w:rsidRPr="008B0EEC">
        <w:rPr>
          <w:noProof/>
        </w:rPr>
        <w:t>With reference to the above, the committee notes that section 7 of the Inspector of Transport Security Regulations 2017 [F2017L00510] (the regulation) appears to incorporate paragraphs 5.12 and 6.2 of Annex 13 to the Convention on International Civil Aviation</w:t>
      </w:r>
      <w:r w:rsidRPr="008B0EEC">
        <w:rPr>
          <w:i/>
          <w:noProof/>
        </w:rPr>
        <w:t xml:space="preserve"> </w:t>
      </w:r>
      <w:r w:rsidRPr="008B0EEC">
        <w:rPr>
          <w:noProof/>
        </w:rPr>
        <w:t>(Annex 13). However</w:t>
      </w:r>
      <w:r>
        <w:rPr>
          <w:noProof/>
        </w:rPr>
        <w:t>,</w:t>
      </w:r>
      <w:r w:rsidRPr="008B0EEC">
        <w:rPr>
          <w:noProof/>
        </w:rPr>
        <w:t xml:space="preserve"> neither the regulation nor the ES state the manner in which Annex 13 is incorporated. </w:t>
      </w:r>
    </w:p>
    <w:p w:rsidR="00CD18D3" w:rsidRPr="008B0EEC" w:rsidRDefault="00CD18D3" w:rsidP="00CD18D3">
      <w:pPr>
        <w:rPr>
          <w:noProof/>
        </w:rPr>
      </w:pPr>
      <w:r w:rsidRPr="008B0EEC">
        <w:rPr>
          <w:noProof/>
        </w:rPr>
        <w:t xml:space="preserve">The committee expects instruments (and ideally their accompanying ESs) to clearly state the manner in which documents are incorporated (that is, either as in force from time to time or as in force at at a particular time). This enables persons interested in or affected by the instrument to understand its operation without the need to rely on specialist legal knowledge or advice, or consult extrinsic material. </w:t>
      </w:r>
    </w:p>
    <w:p w:rsidR="00CD18D3" w:rsidRPr="008B0EEC" w:rsidRDefault="00CD18D3" w:rsidP="00CD18D3">
      <w:pPr>
        <w:rPr>
          <w:noProof/>
        </w:rPr>
      </w:pPr>
      <w:r w:rsidRPr="008B0EEC">
        <w:rPr>
          <w:noProof/>
        </w:rPr>
        <w:t xml:space="preserve">The committee's expectations in this regard are set out in the guideline on incorporation contained in Appendix 1.  </w:t>
      </w:r>
    </w:p>
    <w:p w:rsidR="00CD18D3" w:rsidRPr="008B0EEC" w:rsidRDefault="00CD18D3" w:rsidP="00CD18D3">
      <w:pPr>
        <w:spacing w:after="0"/>
        <w:rPr>
          <w:noProof/>
        </w:rPr>
      </w:pPr>
      <w:r w:rsidRPr="008B0EEC">
        <w:rPr>
          <w:noProof/>
        </w:rPr>
        <w:t xml:space="preserve">The committee </w:t>
      </w:r>
      <w:r>
        <w:rPr>
          <w:noProof/>
        </w:rPr>
        <w:t>requested</w:t>
      </w:r>
      <w:r w:rsidRPr="008B0EEC">
        <w:rPr>
          <w:noProof/>
        </w:rPr>
        <w:t xml:space="preserve"> the advice of the minister in relation to the above.</w:t>
      </w:r>
    </w:p>
    <w:p w:rsidR="00CD18D3" w:rsidRPr="008B0EEC" w:rsidRDefault="00CD18D3" w:rsidP="00CD18D3">
      <w:pPr>
        <w:tabs>
          <w:tab w:val="left" w:pos="2268"/>
        </w:tabs>
        <w:spacing w:before="0"/>
        <w:rPr>
          <w:b/>
          <w:noProof/>
        </w:rPr>
      </w:pPr>
      <w:r>
        <w:rPr>
          <w:rFonts w:asciiTheme="minorHAnsi" w:hAnsiTheme="minorHAnsi"/>
          <w:lang w:eastAsia="en-AU"/>
        </w:rPr>
        <w:pict>
          <v:rect id="_x0000_i1035" style="width:222.95pt;height:.05pt" o:hrpct="494" o:hralign="center" o:hrstd="t" o:hr="t" fillcolor="#a0a0a0" stroked="f"/>
        </w:pict>
      </w:r>
    </w:p>
    <w:p w:rsidR="00CD18D3" w:rsidRPr="008B0EEC" w:rsidRDefault="00CD18D3" w:rsidP="00CD18D3">
      <w:pPr>
        <w:spacing w:before="0"/>
        <w:rPr>
          <w:b/>
          <w:noProof/>
        </w:rPr>
      </w:pPr>
      <w:r>
        <w:rPr>
          <w:b/>
          <w:noProof/>
        </w:rPr>
        <w:t>Access to incorporated documents</w:t>
      </w:r>
    </w:p>
    <w:p w:rsidR="00CD18D3" w:rsidRPr="008B0EEC" w:rsidRDefault="00CD18D3" w:rsidP="00CD18D3">
      <w:pPr>
        <w:rPr>
          <w:noProof/>
        </w:rPr>
      </w:pPr>
      <w:r w:rsidRPr="008B0EEC">
        <w:rPr>
          <w:noProof/>
        </w:rPr>
        <w:t xml:space="preserve">Paragraph 15J(2)(c) of the </w:t>
      </w:r>
      <w:r w:rsidRPr="008B0EEC">
        <w:rPr>
          <w:i/>
          <w:noProof/>
        </w:rPr>
        <w:t>Legislation Act 2003</w:t>
      </w:r>
      <w:r w:rsidRPr="008B0EEC">
        <w:rPr>
          <w:noProof/>
        </w:rPr>
        <w:t xml:space="preserve"> requires the ES for a legislative instrument that incorporates a document to contain a description of that document and indicate how it may be obtained. </w:t>
      </w:r>
    </w:p>
    <w:p w:rsidR="00CD18D3" w:rsidRPr="008B0EEC" w:rsidRDefault="00CD18D3" w:rsidP="00CD18D3">
      <w:pPr>
        <w:rPr>
          <w:noProof/>
        </w:rPr>
      </w:pPr>
      <w:r w:rsidRPr="008B0EEC">
        <w:rPr>
          <w:noProof/>
        </w:rPr>
        <w:t xml:space="preserve">The committee's expectations where a legislative instrument incorporates a document generally accord with the approach of the Senate Standing Committee for the Scrutiny of Bills, which has consistently drawn attention to legislation that incorporates documents not readily and freely available (i.e. without cost) to the public. Generally, the committee will be concerned where incorporated documents are not publicly and freely available, because persons interested in or affected by the law may have inadequate access to its terms.  </w:t>
      </w:r>
    </w:p>
    <w:p w:rsidR="00CD18D3" w:rsidRPr="008B0EEC" w:rsidRDefault="00CD18D3" w:rsidP="00CD18D3">
      <w:pPr>
        <w:rPr>
          <w:noProof/>
        </w:rPr>
      </w:pPr>
      <w:r w:rsidRPr="008B0EEC">
        <w:rPr>
          <w:noProof/>
        </w:rPr>
        <w:t>With reference to the above, the committee notes that the note to section 7 of the regulation states:</w:t>
      </w:r>
    </w:p>
    <w:p w:rsidR="00CD18D3" w:rsidRPr="008B0EEC" w:rsidRDefault="00CD18D3" w:rsidP="00CD18D3">
      <w:pPr>
        <w:pStyle w:val="Quote"/>
        <w:rPr>
          <w:noProof/>
        </w:rPr>
      </w:pPr>
      <w:r w:rsidRPr="008B0EEC">
        <w:rPr>
          <w:noProof/>
        </w:rPr>
        <w:t>The Convention is in Australian Treaty Series 1957 No. 5 ([1957] ATS 5) and could in 2017 be viewed in the Australian Treaties Library on the AustLII website (http://www.austlii.edu.au).</w:t>
      </w:r>
    </w:p>
    <w:p w:rsidR="00CD18D3" w:rsidRPr="008B0EEC" w:rsidRDefault="00CD18D3" w:rsidP="00CD18D3">
      <w:pPr>
        <w:rPr>
          <w:noProof/>
        </w:rPr>
      </w:pPr>
      <w:r w:rsidRPr="008B0EEC">
        <w:rPr>
          <w:noProof/>
        </w:rPr>
        <w:t>However, the committee notes that the text of Annex 13 does not appear to be available at this location and the ES does not contain any further information about where Annex 13 can be freely accessed.</w:t>
      </w:r>
    </w:p>
    <w:p w:rsidR="00CD18D3" w:rsidRPr="008B0EEC" w:rsidRDefault="00CD18D3" w:rsidP="00CD18D3">
      <w:pPr>
        <w:rPr>
          <w:noProof/>
        </w:rPr>
      </w:pPr>
      <w:r w:rsidRPr="008B0EEC">
        <w:rPr>
          <w:noProof/>
        </w:rPr>
        <w:t xml:space="preserve">The committee's expectations in this regard are set out in the guideline on incorporation contained in Appendix 1.  </w:t>
      </w:r>
    </w:p>
    <w:p w:rsidR="00CD18D3" w:rsidRPr="008B0EEC" w:rsidRDefault="00CD18D3" w:rsidP="00CD18D3">
      <w:pPr>
        <w:spacing w:after="0"/>
        <w:rPr>
          <w:noProof/>
        </w:rPr>
      </w:pPr>
      <w:r>
        <w:rPr>
          <w:noProof/>
        </w:rPr>
        <w:t>The committee requested</w:t>
      </w:r>
      <w:r w:rsidRPr="008B0EEC">
        <w:rPr>
          <w:noProof/>
        </w:rPr>
        <w:t xml:space="preserve"> the advice of the minister in relation to the above.</w:t>
      </w:r>
    </w:p>
    <w:p w:rsidR="00CD18D3" w:rsidRPr="008B0EEC" w:rsidRDefault="00CD18D3" w:rsidP="00CD18D3">
      <w:pPr>
        <w:tabs>
          <w:tab w:val="left" w:pos="2268"/>
        </w:tabs>
        <w:rPr>
          <w:b/>
          <w:noProof/>
        </w:rPr>
      </w:pPr>
      <w:r w:rsidRPr="008B0EEC">
        <w:rPr>
          <w:b/>
          <w:noProof/>
        </w:rPr>
        <w:lastRenderedPageBreak/>
        <w:t xml:space="preserve">Minister's </w:t>
      </w:r>
      <w:r>
        <w:rPr>
          <w:b/>
          <w:noProof/>
        </w:rPr>
        <w:t xml:space="preserve">first </w:t>
      </w:r>
      <w:r w:rsidRPr="008B0EEC">
        <w:rPr>
          <w:b/>
          <w:noProof/>
        </w:rPr>
        <w:t>response</w:t>
      </w:r>
    </w:p>
    <w:p w:rsidR="00CD18D3" w:rsidRPr="008B0EEC" w:rsidRDefault="00CD18D3" w:rsidP="00CD18D3">
      <w:pPr>
        <w:rPr>
          <w:noProof/>
        </w:rPr>
      </w:pPr>
      <w:r w:rsidRPr="008B0EEC">
        <w:rPr>
          <w:noProof/>
        </w:rPr>
        <w:t>The Minister for</w:t>
      </w:r>
      <w:r w:rsidRPr="008B0EEC">
        <w:t xml:space="preserve"> Infrastructure and Transport</w:t>
      </w:r>
      <w:r w:rsidRPr="008B0EEC">
        <w:rPr>
          <w:noProof/>
        </w:rPr>
        <w:t xml:space="preserve"> advised:</w:t>
      </w:r>
    </w:p>
    <w:p w:rsidR="00CD18D3" w:rsidRPr="008B0EEC" w:rsidRDefault="00CD18D3" w:rsidP="00CD18D3">
      <w:pPr>
        <w:pStyle w:val="Quote"/>
        <w:rPr>
          <w:noProof/>
        </w:rPr>
      </w:pPr>
      <w:r w:rsidRPr="008B0EEC">
        <w:rPr>
          <w:noProof/>
        </w:rPr>
        <w:t>I have sought advice from the Department of Infrastructure and Regional Development in relation to the Committee's concerns regarding incorporation of and access to Annex 13 of The Convention of International Civil Aviation and an amendment to the statement regarding consultation.</w:t>
      </w:r>
    </w:p>
    <w:p w:rsidR="00CD18D3" w:rsidRPr="008B0EEC" w:rsidRDefault="00CD18D3" w:rsidP="00CD18D3">
      <w:pPr>
        <w:pStyle w:val="Quote"/>
        <w:rPr>
          <w:noProof/>
        </w:rPr>
      </w:pPr>
      <w:r w:rsidRPr="008B0EEC">
        <w:rPr>
          <w:noProof/>
        </w:rPr>
        <w:t>The Department has advised that the Explanatory Statement will be replaced to address these issues.</w:t>
      </w:r>
    </w:p>
    <w:p w:rsidR="00CD18D3" w:rsidRPr="008B0EEC" w:rsidRDefault="00CD18D3" w:rsidP="00CD18D3">
      <w:pPr>
        <w:pStyle w:val="Quote"/>
        <w:spacing w:before="240"/>
        <w:ind w:left="0"/>
        <w:rPr>
          <w:b/>
          <w:noProof/>
          <w:sz w:val="26"/>
        </w:rPr>
      </w:pPr>
      <w:r w:rsidRPr="008B0EEC">
        <w:rPr>
          <w:b/>
          <w:noProof/>
          <w:sz w:val="26"/>
        </w:rPr>
        <w:t xml:space="preserve">Committee's </w:t>
      </w:r>
      <w:r>
        <w:rPr>
          <w:b/>
          <w:noProof/>
          <w:sz w:val="26"/>
        </w:rPr>
        <w:t xml:space="preserve">first </w:t>
      </w:r>
      <w:r w:rsidRPr="008B0EEC">
        <w:rPr>
          <w:b/>
          <w:noProof/>
          <w:sz w:val="26"/>
        </w:rPr>
        <w:t>response</w:t>
      </w:r>
    </w:p>
    <w:p w:rsidR="00CD18D3" w:rsidRPr="00D43371" w:rsidRDefault="00CD18D3" w:rsidP="00CD18D3">
      <w:pPr>
        <w:tabs>
          <w:tab w:val="left" w:pos="2268"/>
        </w:tabs>
        <w:rPr>
          <w:szCs w:val="26"/>
        </w:rPr>
      </w:pPr>
      <w:r>
        <w:rPr>
          <w:szCs w:val="26"/>
        </w:rPr>
        <w:t>The committee thanked</w:t>
      </w:r>
      <w:r w:rsidRPr="00D43371">
        <w:rPr>
          <w:szCs w:val="26"/>
        </w:rPr>
        <w:t xml:space="preserve"> the minister for his response. </w:t>
      </w:r>
    </w:p>
    <w:p w:rsidR="00CD18D3" w:rsidRPr="008B0EEC" w:rsidRDefault="00CD18D3" w:rsidP="00CD18D3">
      <w:pPr>
        <w:tabs>
          <w:tab w:val="left" w:pos="2268"/>
        </w:tabs>
        <w:rPr>
          <w:szCs w:val="26"/>
        </w:rPr>
      </w:pPr>
      <w:r w:rsidRPr="008B0EEC">
        <w:rPr>
          <w:szCs w:val="26"/>
        </w:rPr>
        <w:t>The committee also notes the minister's undertaking to replace the ES to address the committee's concerns. However, the committee remains concerned that in the interim period before the ES is replaced, interested persons will not know the manner in which Annex 13 is incorporated; nor where it can be freely accessed.</w:t>
      </w:r>
    </w:p>
    <w:p w:rsidR="00CD18D3" w:rsidRPr="008B0EEC" w:rsidRDefault="00CD18D3" w:rsidP="00CD18D3">
      <w:pPr>
        <w:tabs>
          <w:tab w:val="left" w:pos="2268"/>
        </w:tabs>
        <w:rPr>
          <w:szCs w:val="26"/>
        </w:rPr>
      </w:pPr>
      <w:r w:rsidRPr="008B0EEC">
        <w:rPr>
          <w:szCs w:val="26"/>
        </w:rPr>
        <w:t xml:space="preserve">The committee therefore requests that the minister </w:t>
      </w:r>
      <w:r>
        <w:rPr>
          <w:szCs w:val="26"/>
        </w:rPr>
        <w:t xml:space="preserve">provide advice to the committee as to </w:t>
      </w:r>
      <w:r w:rsidRPr="008B0EEC">
        <w:rPr>
          <w:szCs w:val="26"/>
        </w:rPr>
        <w:t xml:space="preserve">the manner in which Annex 13 is incorporated; and </w:t>
      </w:r>
      <w:r>
        <w:rPr>
          <w:szCs w:val="26"/>
        </w:rPr>
        <w:t>where it can be obtained</w:t>
      </w:r>
      <w:r>
        <w:rPr>
          <w:szCs w:val="26"/>
        </w:rPr>
        <w:br/>
      </w:r>
      <w:r w:rsidRPr="008B0EEC">
        <w:rPr>
          <w:szCs w:val="26"/>
        </w:rPr>
        <w:t xml:space="preserve">(in accordance with paragraph 15J(2)(c) of the </w:t>
      </w:r>
      <w:r w:rsidRPr="008B0EEC">
        <w:rPr>
          <w:i/>
          <w:szCs w:val="26"/>
        </w:rPr>
        <w:t>Legislation Act 2003</w:t>
      </w:r>
      <w:r w:rsidRPr="008B0EEC">
        <w:rPr>
          <w:szCs w:val="26"/>
        </w:rPr>
        <w:t>).</w:t>
      </w:r>
    </w:p>
    <w:p w:rsidR="00CD18D3" w:rsidRPr="00E5016F" w:rsidRDefault="00CD18D3" w:rsidP="00CD18D3">
      <w:pPr>
        <w:rPr>
          <w:rFonts w:asciiTheme="minorHAnsi" w:hAnsiTheme="minorHAnsi"/>
          <w:lang w:eastAsia="en-AU"/>
        </w:rPr>
      </w:pPr>
      <w:r>
        <w:rPr>
          <w:szCs w:val="26"/>
        </w:rPr>
        <w:t>The committee requested</w:t>
      </w:r>
      <w:r w:rsidRPr="00E5016F">
        <w:rPr>
          <w:szCs w:val="26"/>
        </w:rPr>
        <w:t xml:space="preserve"> the further advice of the minister in relation to the above.</w:t>
      </w:r>
    </w:p>
    <w:p w:rsidR="00CD18D3" w:rsidRPr="008B0EEC" w:rsidRDefault="00CD18D3" w:rsidP="00CD18D3">
      <w:pPr>
        <w:tabs>
          <w:tab w:val="left" w:pos="2268"/>
        </w:tabs>
        <w:rPr>
          <w:b/>
          <w:noProof/>
        </w:rPr>
      </w:pPr>
      <w:r w:rsidRPr="008B0EEC">
        <w:rPr>
          <w:b/>
          <w:noProof/>
        </w:rPr>
        <w:t xml:space="preserve">Minister's </w:t>
      </w:r>
      <w:r>
        <w:rPr>
          <w:b/>
          <w:noProof/>
        </w:rPr>
        <w:t xml:space="preserve">second </w:t>
      </w:r>
      <w:r w:rsidRPr="008B0EEC">
        <w:rPr>
          <w:b/>
          <w:noProof/>
        </w:rPr>
        <w:t>response</w:t>
      </w:r>
    </w:p>
    <w:p w:rsidR="00CD18D3" w:rsidRPr="008B0EEC" w:rsidRDefault="00CD18D3" w:rsidP="00CD18D3">
      <w:pPr>
        <w:rPr>
          <w:noProof/>
        </w:rPr>
      </w:pPr>
      <w:r w:rsidRPr="008B0EEC">
        <w:rPr>
          <w:noProof/>
        </w:rPr>
        <w:t>The Minister for</w:t>
      </w:r>
      <w:r w:rsidRPr="008B0EEC">
        <w:t xml:space="preserve"> Infrastructure and Transport</w:t>
      </w:r>
      <w:r w:rsidRPr="008B0EEC">
        <w:rPr>
          <w:noProof/>
        </w:rPr>
        <w:t xml:space="preserve"> advised:</w:t>
      </w:r>
    </w:p>
    <w:p w:rsidR="00CD18D3" w:rsidRDefault="00CD18D3" w:rsidP="00CD18D3">
      <w:pPr>
        <w:pStyle w:val="Quote"/>
      </w:pPr>
      <w:r>
        <w:t xml:space="preserve">I have sought advice from the Department of Infrastructure and Regional Development in relation to the Committee's concerns regarding incorporation of and access to Annex 13 of </w:t>
      </w:r>
      <w:r w:rsidRPr="00E5016F">
        <w:rPr>
          <w:i/>
        </w:rPr>
        <w:t>The Convention of International Civil Aviation</w:t>
      </w:r>
      <w:r>
        <w:t>.</w:t>
      </w:r>
    </w:p>
    <w:p w:rsidR="00CD18D3" w:rsidRDefault="00CD18D3" w:rsidP="00CD18D3">
      <w:pPr>
        <w:pStyle w:val="Quote"/>
      </w:pPr>
      <w:r>
        <w:t>The Department has advised that the Replacement Explanatory Statement to address these issues was registered on the Federal Register of Legislation on 23 August 2017.</w:t>
      </w:r>
    </w:p>
    <w:p w:rsidR="00CD18D3" w:rsidRPr="00E5016F" w:rsidRDefault="00CD18D3" w:rsidP="00CD18D3">
      <w:pPr>
        <w:pStyle w:val="Quote"/>
        <w:rPr>
          <w:u w:val="single"/>
        </w:rPr>
      </w:pPr>
      <w:r w:rsidRPr="00E5016F">
        <w:rPr>
          <w:u w:val="single"/>
        </w:rPr>
        <w:t>Relevant excerpt from the replacement ES:</w:t>
      </w:r>
    </w:p>
    <w:p w:rsidR="00CD18D3" w:rsidRDefault="00CD18D3" w:rsidP="00CD18D3">
      <w:pPr>
        <w:pStyle w:val="Quote"/>
      </w:pPr>
      <w:r>
        <w:t xml:space="preserve">Section 81 of the </w:t>
      </w:r>
      <w:r w:rsidRPr="000003C1">
        <w:rPr>
          <w:i/>
        </w:rPr>
        <w:t>Inspector of Transport Security Act 2006</w:t>
      </w:r>
      <w:r>
        <w:t xml:space="preserve"> incorporates provisions of the Annex as in force from time to time.  This section envisages that the regulations will simply identify Australia’s obligations under international agreements, and not indicate whether the agreements (or obligations under them) are as in force from time to time.  </w:t>
      </w:r>
    </w:p>
    <w:p w:rsidR="00CD18D3" w:rsidRDefault="00CD18D3" w:rsidP="00CD18D3">
      <w:pPr>
        <w:pStyle w:val="Quote"/>
      </w:pPr>
      <w:r>
        <w:t>This section notes that The Convention can be located in the Australian Treaty series 1957 No. 5 ([1957] ATS 5) and could in 2017 be viewed in</w:t>
      </w:r>
      <w:r>
        <w:br/>
        <w:t xml:space="preserve">the Australian Treaties Library on the AustLII website (www.austlii.edu.au).  This only provides context to The Convention, which contains provisions for adoption of annexes.  The individual annexes can be accessed at a cost </w:t>
      </w:r>
      <w:r>
        <w:lastRenderedPageBreak/>
        <w:t>from the International Civil Aviation Organisation Online Store or by a government agency that has access as an ICAO signatory.</w:t>
      </w:r>
    </w:p>
    <w:p w:rsidR="00CD18D3" w:rsidRPr="00301FAD" w:rsidRDefault="00CD18D3" w:rsidP="00CD18D3">
      <w:pPr>
        <w:pStyle w:val="Quote"/>
        <w:ind w:left="0"/>
        <w:rPr>
          <w:b/>
          <w:noProof/>
          <w:sz w:val="26"/>
        </w:rPr>
      </w:pPr>
      <w:r w:rsidRPr="00301FAD">
        <w:rPr>
          <w:b/>
          <w:noProof/>
          <w:sz w:val="26"/>
        </w:rPr>
        <w:t>Committee's response</w:t>
      </w:r>
    </w:p>
    <w:p w:rsidR="00CD18D3" w:rsidRDefault="00CD18D3" w:rsidP="00CD18D3">
      <w:pPr>
        <w:rPr>
          <w:b/>
          <w:szCs w:val="26"/>
        </w:rPr>
      </w:pPr>
      <w:r w:rsidRPr="00556E96">
        <w:rPr>
          <w:b/>
          <w:szCs w:val="26"/>
        </w:rPr>
        <w:t>T</w:t>
      </w:r>
      <w:r>
        <w:rPr>
          <w:b/>
          <w:szCs w:val="26"/>
        </w:rPr>
        <w:t xml:space="preserve">he committee thanks </w:t>
      </w:r>
      <w:r w:rsidRPr="004A7CC9">
        <w:rPr>
          <w:b/>
          <w:szCs w:val="26"/>
        </w:rPr>
        <w:t xml:space="preserve">the </w:t>
      </w:r>
      <w:r>
        <w:rPr>
          <w:b/>
          <w:noProof/>
        </w:rPr>
        <w:t>m</w:t>
      </w:r>
      <w:r w:rsidRPr="004A7CC9">
        <w:rPr>
          <w:b/>
          <w:noProof/>
        </w:rPr>
        <w:t>inister</w:t>
      </w:r>
      <w:r w:rsidRPr="004A7CC9">
        <w:rPr>
          <w:b/>
          <w:szCs w:val="26"/>
        </w:rPr>
        <w:t xml:space="preserve"> f</w:t>
      </w:r>
      <w:r w:rsidRPr="00556E96">
        <w:rPr>
          <w:b/>
          <w:szCs w:val="26"/>
        </w:rPr>
        <w:t xml:space="preserve">or his response. </w:t>
      </w:r>
    </w:p>
    <w:p w:rsidR="00CD18D3" w:rsidRDefault="00CD18D3" w:rsidP="00CD18D3">
      <w:pPr>
        <w:rPr>
          <w:szCs w:val="26"/>
        </w:rPr>
      </w:pPr>
      <w:r>
        <w:rPr>
          <w:szCs w:val="26"/>
        </w:rPr>
        <w:t xml:space="preserve">The committee is satisfied with the explanation of the manner of incorporation of Annex 13 to </w:t>
      </w:r>
      <w:r w:rsidRPr="00E5016F">
        <w:rPr>
          <w:i/>
        </w:rPr>
        <w:t>The Convention of International Civil Aviation</w:t>
      </w:r>
      <w:r>
        <w:rPr>
          <w:i/>
        </w:rPr>
        <w:t xml:space="preserve"> </w:t>
      </w:r>
      <w:r>
        <w:t>in the replacement ES</w:t>
      </w:r>
      <w:r>
        <w:rPr>
          <w:i/>
        </w:rPr>
        <w:t>.</w:t>
      </w:r>
    </w:p>
    <w:p w:rsidR="00CD18D3" w:rsidRPr="003B4A3A" w:rsidRDefault="00CD18D3" w:rsidP="00CD18D3">
      <w:pPr>
        <w:rPr>
          <w:noProof/>
        </w:rPr>
      </w:pPr>
      <w:r>
        <w:rPr>
          <w:szCs w:val="26"/>
        </w:rPr>
        <w:t xml:space="preserve">However, the committee notes that the replacement ES does not provide </w:t>
      </w:r>
      <w:r w:rsidRPr="003B4A3A">
        <w:rPr>
          <w:szCs w:val="26"/>
        </w:rPr>
        <w:t xml:space="preserve">information on where the document may be accessed for free. As noted above, generally </w:t>
      </w:r>
      <w:r w:rsidRPr="003B4A3A">
        <w:rPr>
          <w:noProof/>
        </w:rPr>
        <w:t>the committee will be concerned where incorporated documents are not publicly and freely available, because a fundamental principle of the rule of law is that every person subject to the law should be able to readily and freely access its terms. The issue of access to material incorporated into the law by reference to external documents has been one of ongoing concern to this committee and other Australian parliamentary scrutiny committees.</w:t>
      </w:r>
    </w:p>
    <w:p w:rsidR="00CD18D3" w:rsidRDefault="00CD18D3" w:rsidP="00CD18D3">
      <w:pPr>
        <w:rPr>
          <w:szCs w:val="26"/>
        </w:rPr>
      </w:pPr>
      <w:r w:rsidRPr="003B4A3A">
        <w:rPr>
          <w:noProof/>
        </w:rPr>
        <w:t>The committee's expectation, at a minimum, is that consideration be given by the department to any means by which the document is or may be made available to interested or affected persons. This may be, for example, by noting availability through specific public libraries, or by making the document available for viewing upon request to the department. Consideration o</w:t>
      </w:r>
      <w:r>
        <w:rPr>
          <w:noProof/>
        </w:rPr>
        <w:t>f this principle and details of</w:t>
      </w:r>
      <w:r>
        <w:rPr>
          <w:noProof/>
        </w:rPr>
        <w:br/>
      </w:r>
      <w:r w:rsidRPr="003B4A3A">
        <w:rPr>
          <w:noProof/>
        </w:rPr>
        <w:t>any means of access identified or established should be reflected in the ES to the instrument.</w:t>
      </w:r>
    </w:p>
    <w:p w:rsidR="00CD18D3" w:rsidRDefault="00CD18D3" w:rsidP="00CD18D3">
      <w:pPr>
        <w:rPr>
          <w:rFonts w:asciiTheme="minorHAnsi" w:hAnsiTheme="minorHAnsi"/>
          <w:lang w:eastAsia="en-AU"/>
        </w:rPr>
      </w:pPr>
      <w:r w:rsidRPr="008B0EEC">
        <w:rPr>
          <w:b/>
          <w:szCs w:val="26"/>
        </w:rPr>
        <w:t>The committee requests the further advice of the minister in relation to the above.</w:t>
      </w:r>
    </w:p>
    <w:p w:rsidR="00CD18D3" w:rsidRDefault="00CD18D3" w:rsidP="00CD18D3">
      <w:pPr>
        <w:rPr>
          <w:rFonts w:asciiTheme="minorHAnsi" w:hAnsiTheme="minorHAnsi"/>
          <w:lang w:eastAsia="en-AU"/>
        </w:rPr>
      </w:pPr>
    </w:p>
    <w:p w:rsidR="00CD18D3" w:rsidRDefault="00CD18D3" w:rsidP="00CD18D3">
      <w:pPr>
        <w:rPr>
          <w:rFonts w:asciiTheme="minorHAnsi" w:hAnsiTheme="minorHAnsi"/>
          <w:lang w:eastAsia="en-AU"/>
        </w:rPr>
      </w:pPr>
    </w:p>
    <w:p w:rsidR="00CD18D3" w:rsidRPr="00E54765" w:rsidRDefault="00CD18D3" w:rsidP="00CD18D3">
      <w:pPr>
        <w:spacing w:after="0"/>
      </w:pPr>
      <w:r>
        <w:br w:type="page"/>
      </w:r>
    </w:p>
    <w:p w:rsidR="00CD18D3" w:rsidRPr="00E54765" w:rsidRDefault="00CD18D3" w:rsidP="00CD18D3">
      <w:pPr>
        <w:pStyle w:val="Heading2"/>
        <w:rPr>
          <w:sz w:val="32"/>
          <w:szCs w:val="32"/>
        </w:rPr>
      </w:pPr>
      <w:r w:rsidRPr="00E54765">
        <w:lastRenderedPageBreak/>
        <w:t>Advice only</w:t>
      </w:r>
    </w:p>
    <w:p w:rsidR="00CD18D3" w:rsidRDefault="00CD18D3" w:rsidP="00CD18D3">
      <w:pPr>
        <w:pStyle w:val="Level1"/>
        <w:numPr>
          <w:ilvl w:val="0"/>
          <w:numId w:val="0"/>
        </w:numPr>
      </w:pPr>
      <w:r w:rsidRPr="00E54765">
        <w:t>The committee draws the following matters to the attention of relevant ministers or instrument-makers on an advice only</w:t>
      </w:r>
      <w:r>
        <w:t xml:space="preserve"> basis.</w:t>
      </w:r>
    </w:p>
    <w:p w:rsidR="00CD18D3" w:rsidRDefault="00CD18D3" w:rsidP="00CD18D3">
      <w:pPr>
        <w:spacing w:before="0"/>
      </w:pPr>
    </w:p>
    <w:p w:rsidR="006C6921" w:rsidRPr="00E54765" w:rsidRDefault="006C6921" w:rsidP="00CD18D3">
      <w:pPr>
        <w:spacing w:before="0"/>
      </w:pPr>
    </w:p>
    <w:tbl>
      <w:tblPr>
        <w:tblW w:w="0" w:type="auto"/>
        <w:tblInd w:w="108" w:type="dxa"/>
        <w:tblLook w:val="04A0" w:firstRow="1" w:lastRow="0" w:firstColumn="1" w:lastColumn="0" w:noHBand="0" w:noVBand="1"/>
      </w:tblPr>
      <w:tblGrid>
        <w:gridCol w:w="2694"/>
        <w:gridCol w:w="6378"/>
      </w:tblGrid>
      <w:tr w:rsidR="00CD18D3" w:rsidRPr="00322850" w:rsidTr="002B2721">
        <w:tc>
          <w:tcPr>
            <w:tcW w:w="2694" w:type="dxa"/>
            <w:tcBorders>
              <w:top w:val="single" w:sz="12" w:space="0" w:color="auto"/>
              <w:right w:val="single" w:sz="12" w:space="0" w:color="auto"/>
            </w:tcBorders>
          </w:tcPr>
          <w:p w:rsidR="00CD18D3" w:rsidRPr="00322850" w:rsidRDefault="00CD18D3" w:rsidP="002B2721">
            <w:pPr>
              <w:rPr>
                <w:b/>
                <w:sz w:val="24"/>
                <w:szCs w:val="24"/>
              </w:rPr>
            </w:pPr>
            <w:r w:rsidRPr="00322850">
              <w:rPr>
                <w:b/>
                <w:sz w:val="24"/>
                <w:szCs w:val="24"/>
              </w:rPr>
              <w:t>Instrument</w:t>
            </w:r>
          </w:p>
        </w:tc>
        <w:tc>
          <w:tcPr>
            <w:tcW w:w="6378" w:type="dxa"/>
            <w:tcBorders>
              <w:top w:val="single" w:sz="12" w:space="0" w:color="auto"/>
              <w:left w:val="single" w:sz="12" w:space="0" w:color="auto"/>
            </w:tcBorders>
          </w:tcPr>
          <w:p w:rsidR="00CD18D3" w:rsidRPr="00322850" w:rsidRDefault="00CD18D3" w:rsidP="002B2721">
            <w:pPr>
              <w:pStyle w:val="Heading3"/>
              <w:rPr>
                <w:sz w:val="24"/>
                <w:szCs w:val="24"/>
              </w:rPr>
            </w:pPr>
            <w:r w:rsidRPr="00883DC9">
              <w:rPr>
                <w:noProof/>
                <w:sz w:val="24"/>
                <w:szCs w:val="24"/>
              </w:rPr>
              <w:t>AD/CFM56/15 Amdt 2 Fuel Filter Cover Attachment Inspection [F2017L00910]</w:t>
            </w:r>
          </w:p>
        </w:tc>
      </w:tr>
      <w:tr w:rsidR="00CD18D3" w:rsidRPr="00322850" w:rsidTr="002B2721">
        <w:tc>
          <w:tcPr>
            <w:tcW w:w="2694" w:type="dxa"/>
            <w:tcBorders>
              <w:right w:val="single" w:sz="12" w:space="0" w:color="auto"/>
            </w:tcBorders>
          </w:tcPr>
          <w:p w:rsidR="00CD18D3" w:rsidRPr="00322850" w:rsidRDefault="00CD18D3" w:rsidP="002B2721">
            <w:pPr>
              <w:rPr>
                <w:b/>
                <w:sz w:val="24"/>
                <w:szCs w:val="24"/>
              </w:rPr>
            </w:pPr>
            <w:r w:rsidRPr="00322850">
              <w:rPr>
                <w:b/>
                <w:sz w:val="24"/>
                <w:szCs w:val="24"/>
              </w:rPr>
              <w:t>Purpose</w:t>
            </w:r>
          </w:p>
        </w:tc>
        <w:tc>
          <w:tcPr>
            <w:tcW w:w="6378" w:type="dxa"/>
            <w:tcBorders>
              <w:left w:val="single" w:sz="12" w:space="0" w:color="auto"/>
            </w:tcBorders>
          </w:tcPr>
          <w:p w:rsidR="00CD18D3" w:rsidRPr="00322850" w:rsidRDefault="00CD18D3" w:rsidP="002B2721">
            <w:pPr>
              <w:rPr>
                <w:sz w:val="24"/>
                <w:szCs w:val="24"/>
              </w:rPr>
            </w:pPr>
            <w:r w:rsidRPr="00883DC9">
              <w:rPr>
                <w:noProof/>
                <w:sz w:val="24"/>
                <w:szCs w:val="24"/>
              </w:rPr>
              <w:t>Repeals and replaces AD/CFM56/15 Amdt 1 - Fuel Filter Cover Attachment Inspection to correct a typographical error in the number of the DGAC AD referenced</w:t>
            </w:r>
          </w:p>
        </w:tc>
      </w:tr>
      <w:tr w:rsidR="00CD18D3" w:rsidRPr="00322850" w:rsidTr="002B2721">
        <w:tc>
          <w:tcPr>
            <w:tcW w:w="2694" w:type="dxa"/>
            <w:tcBorders>
              <w:right w:val="single" w:sz="12" w:space="0" w:color="auto"/>
            </w:tcBorders>
          </w:tcPr>
          <w:p w:rsidR="00CD18D3" w:rsidRPr="00322850" w:rsidRDefault="00CD18D3" w:rsidP="002B2721">
            <w:pPr>
              <w:rPr>
                <w:b/>
                <w:sz w:val="24"/>
                <w:szCs w:val="24"/>
              </w:rPr>
            </w:pPr>
            <w:r w:rsidRPr="00322850">
              <w:rPr>
                <w:b/>
                <w:sz w:val="24"/>
                <w:szCs w:val="24"/>
              </w:rPr>
              <w:t>Authorising legislation</w:t>
            </w:r>
          </w:p>
        </w:tc>
        <w:tc>
          <w:tcPr>
            <w:tcW w:w="6378" w:type="dxa"/>
            <w:tcBorders>
              <w:left w:val="single" w:sz="12" w:space="0" w:color="auto"/>
            </w:tcBorders>
          </w:tcPr>
          <w:p w:rsidR="00CD18D3" w:rsidRPr="009967F7" w:rsidRDefault="00CD18D3" w:rsidP="002B2721">
            <w:pPr>
              <w:rPr>
                <w:sz w:val="24"/>
                <w:szCs w:val="24"/>
              </w:rPr>
            </w:pPr>
            <w:r w:rsidRPr="009967F7">
              <w:rPr>
                <w:noProof/>
                <w:sz w:val="24"/>
                <w:szCs w:val="24"/>
              </w:rPr>
              <w:t>Civil Aviation Safety Regulations 1998</w:t>
            </w:r>
          </w:p>
        </w:tc>
      </w:tr>
      <w:tr w:rsidR="00CD18D3" w:rsidRPr="00322850" w:rsidTr="002B2721">
        <w:tc>
          <w:tcPr>
            <w:tcW w:w="2694" w:type="dxa"/>
            <w:tcBorders>
              <w:right w:val="single" w:sz="12" w:space="0" w:color="auto"/>
            </w:tcBorders>
          </w:tcPr>
          <w:p w:rsidR="00CD18D3" w:rsidRPr="00322850" w:rsidRDefault="00CD18D3" w:rsidP="002B2721">
            <w:pPr>
              <w:rPr>
                <w:b/>
                <w:sz w:val="24"/>
                <w:szCs w:val="24"/>
              </w:rPr>
            </w:pPr>
            <w:r w:rsidRPr="00322850">
              <w:rPr>
                <w:b/>
                <w:sz w:val="24"/>
                <w:szCs w:val="24"/>
              </w:rPr>
              <w:t>Department</w:t>
            </w:r>
          </w:p>
        </w:tc>
        <w:tc>
          <w:tcPr>
            <w:tcW w:w="6378" w:type="dxa"/>
            <w:tcBorders>
              <w:left w:val="single" w:sz="12" w:space="0" w:color="auto"/>
            </w:tcBorders>
          </w:tcPr>
          <w:p w:rsidR="00CD18D3" w:rsidRPr="00322850" w:rsidRDefault="00CD18D3" w:rsidP="002B2721">
            <w:pPr>
              <w:rPr>
                <w:sz w:val="24"/>
                <w:szCs w:val="24"/>
              </w:rPr>
            </w:pPr>
            <w:r w:rsidRPr="00883DC9">
              <w:rPr>
                <w:noProof/>
                <w:sz w:val="24"/>
                <w:szCs w:val="24"/>
              </w:rPr>
              <w:t>Infrastructure and Regional Development</w:t>
            </w:r>
          </w:p>
        </w:tc>
      </w:tr>
      <w:tr w:rsidR="00CD18D3" w:rsidRPr="00322850" w:rsidTr="002B2721">
        <w:tc>
          <w:tcPr>
            <w:tcW w:w="2694" w:type="dxa"/>
            <w:tcBorders>
              <w:right w:val="single" w:sz="12" w:space="0" w:color="auto"/>
            </w:tcBorders>
          </w:tcPr>
          <w:p w:rsidR="00CD18D3" w:rsidRPr="00322850" w:rsidRDefault="00CD18D3" w:rsidP="002B2721">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CD18D3" w:rsidRPr="00322850" w:rsidRDefault="00CD18D3" w:rsidP="002B2721">
            <w:pPr>
              <w:rPr>
                <w:sz w:val="24"/>
                <w:szCs w:val="24"/>
              </w:rPr>
            </w:pPr>
            <w:r>
              <w:rPr>
                <w:sz w:val="24"/>
                <w:szCs w:val="24"/>
              </w:rPr>
              <w:t xml:space="preserve">15 sitting days after tabling (tabled Senate </w:t>
            </w:r>
            <w:r w:rsidRPr="00883DC9">
              <w:rPr>
                <w:noProof/>
                <w:sz w:val="24"/>
                <w:szCs w:val="24"/>
              </w:rPr>
              <w:t>8 August</w:t>
            </w:r>
            <w:r>
              <w:rPr>
                <w:sz w:val="24"/>
                <w:szCs w:val="24"/>
              </w:rPr>
              <w:t xml:space="preserve"> 2017)</w:t>
            </w:r>
            <w:r>
              <w:rPr>
                <w:sz w:val="24"/>
                <w:szCs w:val="24"/>
              </w:rPr>
              <w:br/>
              <w:t>Notice of motion to disallow currently must be given by</w:t>
            </w:r>
            <w:r>
              <w:rPr>
                <w:sz w:val="24"/>
                <w:szCs w:val="24"/>
              </w:rPr>
              <w:br/>
            </w:r>
            <w:r w:rsidRPr="00883DC9">
              <w:rPr>
                <w:noProof/>
                <w:sz w:val="24"/>
                <w:szCs w:val="24"/>
              </w:rPr>
              <w:t>16 October</w:t>
            </w:r>
            <w:r>
              <w:rPr>
                <w:sz w:val="24"/>
                <w:szCs w:val="24"/>
              </w:rPr>
              <w:t xml:space="preserve"> 2017</w:t>
            </w:r>
          </w:p>
        </w:tc>
      </w:tr>
      <w:tr w:rsidR="00CD18D3" w:rsidRPr="00322850" w:rsidTr="002B2721">
        <w:tc>
          <w:tcPr>
            <w:tcW w:w="2694" w:type="dxa"/>
            <w:tcBorders>
              <w:bottom w:val="single" w:sz="12" w:space="0" w:color="auto"/>
              <w:right w:val="single" w:sz="12" w:space="0" w:color="auto"/>
            </w:tcBorders>
          </w:tcPr>
          <w:p w:rsidR="00CD18D3" w:rsidRPr="00322850" w:rsidRDefault="00CD18D3" w:rsidP="002B2721">
            <w:pPr>
              <w:rPr>
                <w:b/>
                <w:sz w:val="24"/>
                <w:szCs w:val="24"/>
              </w:rPr>
            </w:pPr>
            <w:r w:rsidRPr="00322850">
              <w:rPr>
                <w:b/>
                <w:sz w:val="24"/>
                <w:szCs w:val="24"/>
              </w:rPr>
              <w:t>Scrutiny principle</w:t>
            </w:r>
          </w:p>
        </w:tc>
        <w:tc>
          <w:tcPr>
            <w:tcW w:w="6378" w:type="dxa"/>
            <w:tcBorders>
              <w:left w:val="single" w:sz="12" w:space="0" w:color="auto"/>
              <w:bottom w:val="single" w:sz="12" w:space="0" w:color="auto"/>
            </w:tcBorders>
          </w:tcPr>
          <w:p w:rsidR="00CD18D3" w:rsidRPr="00322850" w:rsidRDefault="00CD18D3" w:rsidP="002B2721">
            <w:pPr>
              <w:rPr>
                <w:sz w:val="24"/>
                <w:szCs w:val="24"/>
              </w:rPr>
            </w:pPr>
            <w:r w:rsidRPr="00322850">
              <w:rPr>
                <w:sz w:val="24"/>
                <w:szCs w:val="24"/>
              </w:rPr>
              <w:t>Standing Order 23(3)</w:t>
            </w:r>
            <w:r w:rsidRPr="00883DC9">
              <w:rPr>
                <w:noProof/>
                <w:sz w:val="24"/>
                <w:szCs w:val="24"/>
              </w:rPr>
              <w:t>(a)</w:t>
            </w:r>
          </w:p>
        </w:tc>
      </w:tr>
    </w:tbl>
    <w:p w:rsidR="00CD18D3" w:rsidRPr="00322850" w:rsidRDefault="00CD18D3" w:rsidP="00CD18D3">
      <w:pPr>
        <w:spacing w:before="0" w:after="0"/>
      </w:pPr>
    </w:p>
    <w:p w:rsidR="00CD18D3" w:rsidRPr="00883DC9" w:rsidRDefault="00CD18D3" w:rsidP="00CD18D3">
      <w:pPr>
        <w:rPr>
          <w:b/>
          <w:noProof/>
        </w:rPr>
      </w:pPr>
      <w:r w:rsidRPr="00883DC9">
        <w:rPr>
          <w:b/>
          <w:noProof/>
        </w:rPr>
        <w:t>Access to incorporated document</w:t>
      </w:r>
      <w:r>
        <w:rPr>
          <w:b/>
          <w:noProof/>
        </w:rPr>
        <w:t>s</w:t>
      </w:r>
    </w:p>
    <w:p w:rsidR="00CD18D3" w:rsidRPr="00C25B02" w:rsidRDefault="00CD18D3" w:rsidP="00CD18D3">
      <w:pPr>
        <w:rPr>
          <w:noProof/>
        </w:rPr>
      </w:pPr>
      <w:r w:rsidRPr="00C25B02">
        <w:rPr>
          <w:noProof/>
        </w:rPr>
        <w:t xml:space="preserve">Paragraph 15J(2)(c) of the </w:t>
      </w:r>
      <w:r w:rsidRPr="00C25B02">
        <w:rPr>
          <w:i/>
          <w:noProof/>
        </w:rPr>
        <w:t>Legislation Act 2003</w:t>
      </w:r>
      <w:r w:rsidRPr="00C25B02">
        <w:rPr>
          <w:noProof/>
        </w:rPr>
        <w:t xml:space="preserve"> requires the ES for a legislative instrument that incorporates a document to contain a description of that document and i</w:t>
      </w:r>
      <w:r>
        <w:rPr>
          <w:noProof/>
        </w:rPr>
        <w:t>ndicate how it may be obtained.</w:t>
      </w:r>
    </w:p>
    <w:p w:rsidR="00CD18D3" w:rsidRPr="00C25B02" w:rsidRDefault="00CD18D3" w:rsidP="00CD18D3">
      <w:pPr>
        <w:rPr>
          <w:noProof/>
        </w:rPr>
      </w:pPr>
      <w:r w:rsidRPr="00C25B02">
        <w:rPr>
          <w:noProof/>
        </w:rPr>
        <w:t xml:space="preserve">The committee's expectations where a legislative instrument incorporates a document generally accord with the approach of the Senate Standing Committee for the Scrutiny of Bills, which has consistently drawn attention to legislation that incorporates documents not readily and freely available (i.e. without cost) to the public. Generally, the committee will be concerned where incorporated documents are not publicly and freely available, because persons interested in or affected by the law may have inadequate access to its terms.  </w:t>
      </w:r>
    </w:p>
    <w:p w:rsidR="00CD18D3" w:rsidRDefault="00CD18D3" w:rsidP="00CD18D3">
      <w:pPr>
        <w:rPr>
          <w:noProof/>
        </w:rPr>
      </w:pPr>
      <w:r w:rsidRPr="000752DF">
        <w:rPr>
          <w:noProof/>
        </w:rPr>
        <w:t>With reference to the above, the committee notes that</w:t>
      </w:r>
      <w:r>
        <w:rPr>
          <w:noProof/>
        </w:rPr>
        <w:t xml:space="preserve"> the instrument incorporates CFM International (CFMI) Service Bulletin CFM 56-3 73-A129 as in force at the time of issue for the instrument. The ES states:</w:t>
      </w:r>
    </w:p>
    <w:p w:rsidR="00CD18D3" w:rsidRPr="000752DF" w:rsidRDefault="00CD18D3" w:rsidP="00CD18D3">
      <w:pPr>
        <w:pStyle w:val="Quote"/>
        <w:rPr>
          <w:noProof/>
        </w:rPr>
      </w:pPr>
      <w:r w:rsidRPr="000752DF">
        <w:rPr>
          <w:noProof/>
        </w:rPr>
        <w:t>The CFMI Service Bulletins referred to in the AD can be obtained from CFMI, however, any Australian aircraft operator which operates aircraft fitted with CFMI engines are provided with these documents by CFMI by subscription.</w:t>
      </w:r>
    </w:p>
    <w:p w:rsidR="00CD18D3" w:rsidRDefault="00CD18D3" w:rsidP="00CD18D3">
      <w:pPr>
        <w:rPr>
          <w:noProof/>
        </w:rPr>
      </w:pPr>
      <w:r w:rsidRPr="000752DF">
        <w:rPr>
          <w:noProof/>
        </w:rPr>
        <w:lastRenderedPageBreak/>
        <w:t>The committee acknowledges that anticipated users of the instrument</w:t>
      </w:r>
      <w:r>
        <w:rPr>
          <w:noProof/>
        </w:rPr>
        <w:t xml:space="preserve"> would be in possession of the </w:t>
      </w:r>
      <w:r w:rsidRPr="000752DF">
        <w:rPr>
          <w:noProof/>
        </w:rPr>
        <w:t xml:space="preserve">CFMI Service Bulletin. However, in addition to access for operators of the relevant aircraft in Australia, the committee is interested in the broader issue of access for other parties who might be affected by, or are otherwise interested in, the law. </w:t>
      </w:r>
    </w:p>
    <w:p w:rsidR="00CD18D3" w:rsidRDefault="00CD18D3" w:rsidP="00CD18D3">
      <w:pPr>
        <w:rPr>
          <w:noProof/>
        </w:rPr>
      </w:pPr>
      <w:r w:rsidRPr="000752DF">
        <w:rPr>
          <w:noProof/>
        </w:rPr>
        <w:t xml:space="preserve">A fundamental principle of the rule of law is that every person subject to the law should be able to readily and freely access its terms. The issue of access to material incorporated into the law by reference to external documents </w:t>
      </w:r>
      <w:r>
        <w:rPr>
          <w:noProof/>
        </w:rPr>
        <w:t xml:space="preserve">has been one </w:t>
      </w:r>
      <w:r w:rsidRPr="000752DF">
        <w:rPr>
          <w:noProof/>
        </w:rPr>
        <w:t xml:space="preserve">of ongoing concern to </w:t>
      </w:r>
      <w:r>
        <w:rPr>
          <w:noProof/>
        </w:rPr>
        <w:t xml:space="preserve">this committee and other </w:t>
      </w:r>
      <w:r w:rsidRPr="000752DF">
        <w:rPr>
          <w:noProof/>
        </w:rPr>
        <w:t xml:space="preserve">Australian parliamentary scrutiny committees. </w:t>
      </w:r>
    </w:p>
    <w:p w:rsidR="00CD18D3" w:rsidRDefault="00CD18D3" w:rsidP="00CD18D3">
      <w:pPr>
        <w:rPr>
          <w:rFonts w:asciiTheme="minorHAnsi" w:hAnsiTheme="minorHAnsi"/>
          <w:lang w:eastAsia="en-AU"/>
        </w:rPr>
      </w:pPr>
      <w:r w:rsidRPr="000752DF">
        <w:rPr>
          <w:rFonts w:asciiTheme="minorHAnsi" w:hAnsiTheme="minorHAnsi"/>
          <w:lang w:eastAsia="en-AU"/>
        </w:rPr>
        <w:t>The committee remains concerned about the lack of free access to material incorporated into legislation generally, and will c</w:t>
      </w:r>
      <w:r>
        <w:rPr>
          <w:rFonts w:asciiTheme="minorHAnsi" w:hAnsiTheme="minorHAnsi"/>
          <w:lang w:eastAsia="en-AU"/>
        </w:rPr>
        <w:t>ontinue to monitor this issue.</w:t>
      </w:r>
    </w:p>
    <w:p w:rsidR="00CD18D3" w:rsidRPr="008B0EEC" w:rsidRDefault="00CD18D3" w:rsidP="00CD18D3">
      <w:pPr>
        <w:rPr>
          <w:rFonts w:asciiTheme="minorHAnsi" w:hAnsiTheme="minorHAnsi"/>
          <w:lang w:eastAsia="en-AU"/>
        </w:rPr>
      </w:pPr>
      <w:r w:rsidRPr="008B0EEC">
        <w:rPr>
          <w:rFonts w:asciiTheme="minorHAnsi" w:hAnsiTheme="minorHAnsi"/>
          <w:lang w:eastAsia="en-AU"/>
        </w:rPr>
        <w:t>The committee's expectations in this regard are set out in the guideline on incorporation of documents published on the committee's website.</w:t>
      </w:r>
      <w:r w:rsidRPr="008B0EEC">
        <w:rPr>
          <w:rStyle w:val="FootnoteReference"/>
          <w:rFonts w:asciiTheme="minorHAnsi" w:hAnsiTheme="minorHAnsi"/>
          <w:lang w:eastAsia="en-AU"/>
        </w:rPr>
        <w:footnoteReference w:id="26"/>
      </w:r>
      <w:r w:rsidRPr="008B0EEC">
        <w:rPr>
          <w:rFonts w:asciiTheme="minorHAnsi" w:hAnsiTheme="minorHAnsi"/>
          <w:lang w:eastAsia="en-AU"/>
        </w:rPr>
        <w:t xml:space="preserve"> </w:t>
      </w:r>
    </w:p>
    <w:p w:rsidR="00CD18D3" w:rsidRDefault="00CD18D3" w:rsidP="00CD18D3">
      <w:pPr>
        <w:rPr>
          <w:b/>
          <w:szCs w:val="26"/>
        </w:rPr>
      </w:pPr>
      <w:r w:rsidRPr="005623F3">
        <w:rPr>
          <w:b/>
          <w:noProof/>
        </w:rPr>
        <w:t>The committee draws the above to the minister's attention.</w:t>
      </w:r>
      <w:r w:rsidRPr="005623F3">
        <w:rPr>
          <w:b/>
          <w:szCs w:val="26"/>
        </w:rPr>
        <w:t xml:space="preserve"> </w:t>
      </w:r>
    </w:p>
    <w:p w:rsidR="00CD18D3" w:rsidRPr="00DE507D" w:rsidRDefault="00CD18D3" w:rsidP="00CD18D3">
      <w:pPr>
        <w:spacing w:before="0" w:after="0"/>
        <w:rPr>
          <w:sz w:val="2"/>
          <w:szCs w:val="2"/>
        </w:rPr>
      </w:pPr>
      <w:r>
        <w:br w:type="page"/>
      </w:r>
    </w:p>
    <w:tbl>
      <w:tblPr>
        <w:tblW w:w="0" w:type="auto"/>
        <w:tblInd w:w="108" w:type="dxa"/>
        <w:tblLook w:val="04A0" w:firstRow="1" w:lastRow="0" w:firstColumn="1" w:lastColumn="0" w:noHBand="0" w:noVBand="1"/>
      </w:tblPr>
      <w:tblGrid>
        <w:gridCol w:w="2694"/>
        <w:gridCol w:w="6378"/>
      </w:tblGrid>
      <w:tr w:rsidR="00CD18D3" w:rsidRPr="00322850" w:rsidTr="002B2721">
        <w:tc>
          <w:tcPr>
            <w:tcW w:w="2694" w:type="dxa"/>
            <w:tcBorders>
              <w:top w:val="single" w:sz="12" w:space="0" w:color="auto"/>
              <w:right w:val="single" w:sz="12" w:space="0" w:color="auto"/>
            </w:tcBorders>
          </w:tcPr>
          <w:p w:rsidR="00CD18D3" w:rsidRPr="00322850" w:rsidRDefault="00CD18D3" w:rsidP="002B2721">
            <w:pPr>
              <w:rPr>
                <w:b/>
                <w:sz w:val="24"/>
                <w:szCs w:val="24"/>
              </w:rPr>
            </w:pPr>
            <w:r w:rsidRPr="00322850">
              <w:rPr>
                <w:b/>
                <w:sz w:val="24"/>
                <w:szCs w:val="24"/>
              </w:rPr>
              <w:lastRenderedPageBreak/>
              <w:t>Instrument</w:t>
            </w:r>
          </w:p>
        </w:tc>
        <w:tc>
          <w:tcPr>
            <w:tcW w:w="6378" w:type="dxa"/>
            <w:tcBorders>
              <w:top w:val="single" w:sz="12" w:space="0" w:color="auto"/>
              <w:left w:val="single" w:sz="12" w:space="0" w:color="auto"/>
            </w:tcBorders>
          </w:tcPr>
          <w:p w:rsidR="00CD18D3" w:rsidRPr="00883DC9" w:rsidRDefault="00CD18D3" w:rsidP="002B2721">
            <w:pPr>
              <w:pStyle w:val="Heading3"/>
              <w:rPr>
                <w:noProof/>
                <w:sz w:val="24"/>
                <w:szCs w:val="24"/>
              </w:rPr>
            </w:pPr>
            <w:r w:rsidRPr="00883DC9">
              <w:rPr>
                <w:noProof/>
                <w:sz w:val="24"/>
                <w:szCs w:val="24"/>
              </w:rPr>
              <w:t>Authorised Deposit-taking Institutions Supervisory Levy Imposition Determination 2017 [F2017L00906]</w:t>
            </w:r>
          </w:p>
          <w:p w:rsidR="00CD18D3" w:rsidRPr="00883DC9" w:rsidRDefault="00CD18D3" w:rsidP="002B2721">
            <w:pPr>
              <w:pStyle w:val="Heading3"/>
              <w:rPr>
                <w:noProof/>
                <w:sz w:val="24"/>
                <w:szCs w:val="24"/>
              </w:rPr>
            </w:pPr>
            <w:r w:rsidRPr="00883DC9">
              <w:rPr>
                <w:noProof/>
                <w:sz w:val="24"/>
                <w:szCs w:val="24"/>
              </w:rPr>
              <w:t>Authorised Non-operating Holding Companies Supervisory Levy Imposition Determination 2017 [F2017L00908]</w:t>
            </w:r>
          </w:p>
          <w:p w:rsidR="00CD18D3" w:rsidRPr="00883DC9" w:rsidRDefault="00CD18D3" w:rsidP="002B2721">
            <w:pPr>
              <w:pStyle w:val="Heading3"/>
              <w:rPr>
                <w:noProof/>
                <w:sz w:val="24"/>
                <w:szCs w:val="24"/>
              </w:rPr>
            </w:pPr>
            <w:r w:rsidRPr="00883DC9">
              <w:rPr>
                <w:noProof/>
                <w:sz w:val="24"/>
                <w:szCs w:val="24"/>
              </w:rPr>
              <w:t>General Insurance Supervisory Levy Imposition Determination 2017 [F2017L00911]</w:t>
            </w:r>
          </w:p>
          <w:p w:rsidR="00CD18D3" w:rsidRPr="00883DC9" w:rsidRDefault="00CD18D3" w:rsidP="002B2721">
            <w:pPr>
              <w:pStyle w:val="Heading3"/>
              <w:rPr>
                <w:noProof/>
                <w:sz w:val="24"/>
                <w:szCs w:val="24"/>
              </w:rPr>
            </w:pPr>
            <w:r w:rsidRPr="00883DC9">
              <w:rPr>
                <w:noProof/>
                <w:sz w:val="24"/>
                <w:szCs w:val="24"/>
              </w:rPr>
              <w:t>Life Insurance Supervisory Levy Imposition Determination 2017 [F2017L00912]</w:t>
            </w:r>
          </w:p>
          <w:p w:rsidR="00CD18D3" w:rsidRPr="00322850" w:rsidRDefault="00CD18D3" w:rsidP="002B2721">
            <w:pPr>
              <w:pStyle w:val="Heading3"/>
              <w:rPr>
                <w:sz w:val="24"/>
                <w:szCs w:val="24"/>
              </w:rPr>
            </w:pPr>
            <w:r w:rsidRPr="00883DC9">
              <w:rPr>
                <w:noProof/>
                <w:sz w:val="24"/>
                <w:szCs w:val="24"/>
              </w:rPr>
              <w:t>Superannuation Supervisory Levy Imposition Determination 2017 [F2017L00914]</w:t>
            </w:r>
          </w:p>
        </w:tc>
      </w:tr>
      <w:tr w:rsidR="00CD18D3" w:rsidRPr="00322850" w:rsidTr="002B2721">
        <w:tc>
          <w:tcPr>
            <w:tcW w:w="2694" w:type="dxa"/>
            <w:tcBorders>
              <w:right w:val="single" w:sz="12" w:space="0" w:color="auto"/>
            </w:tcBorders>
          </w:tcPr>
          <w:p w:rsidR="00CD18D3" w:rsidRPr="00322850" w:rsidRDefault="00CD18D3" w:rsidP="002B2721">
            <w:pPr>
              <w:rPr>
                <w:b/>
                <w:sz w:val="24"/>
                <w:szCs w:val="24"/>
              </w:rPr>
            </w:pPr>
            <w:r w:rsidRPr="00322850">
              <w:rPr>
                <w:b/>
                <w:sz w:val="24"/>
                <w:szCs w:val="24"/>
              </w:rPr>
              <w:t>Purpose</w:t>
            </w:r>
          </w:p>
        </w:tc>
        <w:tc>
          <w:tcPr>
            <w:tcW w:w="6378" w:type="dxa"/>
            <w:tcBorders>
              <w:left w:val="single" w:sz="12" w:space="0" w:color="auto"/>
            </w:tcBorders>
          </w:tcPr>
          <w:p w:rsidR="00CD18D3" w:rsidRPr="00322850" w:rsidRDefault="00CD18D3" w:rsidP="002B2721">
            <w:pPr>
              <w:rPr>
                <w:noProof/>
                <w:sz w:val="24"/>
                <w:szCs w:val="24"/>
              </w:rPr>
            </w:pPr>
            <w:r>
              <w:rPr>
                <w:noProof/>
                <w:sz w:val="24"/>
                <w:szCs w:val="24"/>
              </w:rPr>
              <w:t>Set financial institutions supervisory levies for the 2017-18 financial year</w:t>
            </w:r>
          </w:p>
        </w:tc>
      </w:tr>
      <w:tr w:rsidR="00CD18D3" w:rsidRPr="00322850" w:rsidTr="002B2721">
        <w:tc>
          <w:tcPr>
            <w:tcW w:w="2694" w:type="dxa"/>
            <w:tcBorders>
              <w:right w:val="single" w:sz="12" w:space="0" w:color="auto"/>
            </w:tcBorders>
          </w:tcPr>
          <w:p w:rsidR="00CD18D3" w:rsidRPr="00322850" w:rsidRDefault="00CD18D3" w:rsidP="002B2721">
            <w:pPr>
              <w:rPr>
                <w:b/>
                <w:sz w:val="24"/>
                <w:szCs w:val="24"/>
              </w:rPr>
            </w:pPr>
            <w:r w:rsidRPr="00322850">
              <w:rPr>
                <w:b/>
                <w:sz w:val="24"/>
                <w:szCs w:val="24"/>
              </w:rPr>
              <w:t>Authorising legislation</w:t>
            </w:r>
          </w:p>
        </w:tc>
        <w:tc>
          <w:tcPr>
            <w:tcW w:w="6378" w:type="dxa"/>
            <w:tcBorders>
              <w:left w:val="single" w:sz="12" w:space="0" w:color="auto"/>
            </w:tcBorders>
          </w:tcPr>
          <w:p w:rsidR="00CD18D3" w:rsidRPr="00322850" w:rsidRDefault="00CD18D3" w:rsidP="002B2721">
            <w:pPr>
              <w:rPr>
                <w:i/>
                <w:sz w:val="24"/>
                <w:szCs w:val="24"/>
              </w:rPr>
            </w:pPr>
            <w:r w:rsidRPr="00883DC9">
              <w:rPr>
                <w:i/>
                <w:noProof/>
                <w:sz w:val="24"/>
                <w:szCs w:val="24"/>
              </w:rPr>
              <w:t>Authorised Deposit-taking Institutions Supervisory Levy Imposition Act 1998</w:t>
            </w:r>
            <w:r w:rsidRPr="009C685E">
              <w:rPr>
                <w:noProof/>
                <w:sz w:val="24"/>
                <w:szCs w:val="24"/>
              </w:rPr>
              <w:t>;</w:t>
            </w:r>
            <w:r w:rsidRPr="00883DC9">
              <w:rPr>
                <w:i/>
                <w:noProof/>
                <w:sz w:val="24"/>
                <w:szCs w:val="24"/>
              </w:rPr>
              <w:t xml:space="preserve"> General Insurance Supervisory Levy Imposition Act 1998</w:t>
            </w:r>
            <w:r w:rsidRPr="009C685E">
              <w:rPr>
                <w:noProof/>
                <w:sz w:val="24"/>
                <w:szCs w:val="24"/>
              </w:rPr>
              <w:t xml:space="preserve">; </w:t>
            </w:r>
            <w:r w:rsidRPr="00883DC9">
              <w:rPr>
                <w:i/>
                <w:noProof/>
                <w:sz w:val="24"/>
                <w:szCs w:val="24"/>
              </w:rPr>
              <w:t>Life Insurance Supervisory Levy Imposition Act 1998</w:t>
            </w:r>
            <w:r w:rsidRPr="009C685E">
              <w:rPr>
                <w:noProof/>
                <w:sz w:val="24"/>
                <w:szCs w:val="24"/>
              </w:rPr>
              <w:t>;</w:t>
            </w:r>
            <w:r w:rsidRPr="00883DC9">
              <w:rPr>
                <w:i/>
                <w:noProof/>
                <w:sz w:val="24"/>
                <w:szCs w:val="24"/>
              </w:rPr>
              <w:t xml:space="preserve"> Superannuation Supervisory Levy Imposition Act 1998</w:t>
            </w:r>
          </w:p>
        </w:tc>
      </w:tr>
      <w:tr w:rsidR="00CD18D3" w:rsidRPr="00322850" w:rsidTr="002B2721">
        <w:tc>
          <w:tcPr>
            <w:tcW w:w="2694" w:type="dxa"/>
            <w:tcBorders>
              <w:right w:val="single" w:sz="12" w:space="0" w:color="auto"/>
            </w:tcBorders>
          </w:tcPr>
          <w:p w:rsidR="00CD18D3" w:rsidRPr="00322850" w:rsidRDefault="00CD18D3" w:rsidP="002B2721">
            <w:pPr>
              <w:rPr>
                <w:b/>
                <w:sz w:val="24"/>
                <w:szCs w:val="24"/>
              </w:rPr>
            </w:pPr>
            <w:r w:rsidRPr="00322850">
              <w:rPr>
                <w:b/>
                <w:sz w:val="24"/>
                <w:szCs w:val="24"/>
              </w:rPr>
              <w:t>Department</w:t>
            </w:r>
          </w:p>
        </w:tc>
        <w:tc>
          <w:tcPr>
            <w:tcW w:w="6378" w:type="dxa"/>
            <w:tcBorders>
              <w:left w:val="single" w:sz="12" w:space="0" w:color="auto"/>
            </w:tcBorders>
          </w:tcPr>
          <w:p w:rsidR="00CD18D3" w:rsidRPr="00322850" w:rsidRDefault="00CD18D3" w:rsidP="002B2721">
            <w:pPr>
              <w:rPr>
                <w:sz w:val="24"/>
                <w:szCs w:val="24"/>
              </w:rPr>
            </w:pPr>
            <w:r w:rsidRPr="00883DC9">
              <w:rPr>
                <w:noProof/>
                <w:sz w:val="24"/>
                <w:szCs w:val="24"/>
              </w:rPr>
              <w:t>Treasury</w:t>
            </w:r>
          </w:p>
        </w:tc>
      </w:tr>
      <w:tr w:rsidR="00CD18D3" w:rsidRPr="00322850" w:rsidTr="002B2721">
        <w:tc>
          <w:tcPr>
            <w:tcW w:w="2694" w:type="dxa"/>
            <w:tcBorders>
              <w:right w:val="single" w:sz="12" w:space="0" w:color="auto"/>
            </w:tcBorders>
          </w:tcPr>
          <w:p w:rsidR="00CD18D3" w:rsidRPr="00322850" w:rsidRDefault="00CD18D3" w:rsidP="002B2721">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CD18D3" w:rsidRPr="00322850" w:rsidRDefault="00CD18D3" w:rsidP="002B2721">
            <w:pPr>
              <w:rPr>
                <w:sz w:val="24"/>
                <w:szCs w:val="24"/>
              </w:rPr>
            </w:pPr>
            <w:r>
              <w:rPr>
                <w:sz w:val="24"/>
                <w:szCs w:val="24"/>
              </w:rPr>
              <w:t xml:space="preserve">15 sitting days after tabling (tabled Senate </w:t>
            </w:r>
            <w:r w:rsidRPr="00883DC9">
              <w:rPr>
                <w:noProof/>
                <w:sz w:val="24"/>
                <w:szCs w:val="24"/>
              </w:rPr>
              <w:t>8 August</w:t>
            </w:r>
            <w:r>
              <w:rPr>
                <w:sz w:val="24"/>
                <w:szCs w:val="24"/>
              </w:rPr>
              <w:t xml:space="preserve"> 2017)</w:t>
            </w:r>
            <w:r>
              <w:rPr>
                <w:sz w:val="24"/>
                <w:szCs w:val="24"/>
              </w:rPr>
              <w:br/>
              <w:t>Notice of motion to disallow currently must be given by</w:t>
            </w:r>
            <w:r>
              <w:rPr>
                <w:sz w:val="24"/>
                <w:szCs w:val="24"/>
              </w:rPr>
              <w:br/>
            </w:r>
            <w:r w:rsidRPr="00883DC9">
              <w:rPr>
                <w:noProof/>
                <w:sz w:val="24"/>
                <w:szCs w:val="24"/>
              </w:rPr>
              <w:t>16 October</w:t>
            </w:r>
            <w:r>
              <w:rPr>
                <w:sz w:val="24"/>
                <w:szCs w:val="24"/>
              </w:rPr>
              <w:t xml:space="preserve"> 2017</w:t>
            </w:r>
          </w:p>
        </w:tc>
      </w:tr>
      <w:tr w:rsidR="00CD18D3" w:rsidRPr="00322850" w:rsidTr="002B2721">
        <w:tc>
          <w:tcPr>
            <w:tcW w:w="2694" w:type="dxa"/>
            <w:tcBorders>
              <w:bottom w:val="single" w:sz="12" w:space="0" w:color="auto"/>
              <w:right w:val="single" w:sz="12" w:space="0" w:color="auto"/>
            </w:tcBorders>
          </w:tcPr>
          <w:p w:rsidR="00CD18D3" w:rsidRPr="00322850" w:rsidRDefault="00CD18D3" w:rsidP="002B2721">
            <w:pPr>
              <w:rPr>
                <w:b/>
                <w:sz w:val="24"/>
                <w:szCs w:val="24"/>
              </w:rPr>
            </w:pPr>
            <w:r w:rsidRPr="00322850">
              <w:rPr>
                <w:b/>
                <w:sz w:val="24"/>
                <w:szCs w:val="24"/>
              </w:rPr>
              <w:t>Scrutiny principle</w:t>
            </w:r>
          </w:p>
        </w:tc>
        <w:tc>
          <w:tcPr>
            <w:tcW w:w="6378" w:type="dxa"/>
            <w:tcBorders>
              <w:left w:val="single" w:sz="12" w:space="0" w:color="auto"/>
              <w:bottom w:val="single" w:sz="12" w:space="0" w:color="auto"/>
            </w:tcBorders>
          </w:tcPr>
          <w:p w:rsidR="00CD18D3" w:rsidRPr="00322850" w:rsidRDefault="00CD18D3" w:rsidP="002B2721">
            <w:pPr>
              <w:rPr>
                <w:sz w:val="24"/>
                <w:szCs w:val="24"/>
              </w:rPr>
            </w:pPr>
            <w:r w:rsidRPr="00322850">
              <w:rPr>
                <w:sz w:val="24"/>
                <w:szCs w:val="24"/>
              </w:rPr>
              <w:t>Standing Order 23(3)</w:t>
            </w:r>
            <w:r>
              <w:rPr>
                <w:noProof/>
                <w:sz w:val="24"/>
                <w:szCs w:val="24"/>
              </w:rPr>
              <w:t>(a</w:t>
            </w:r>
            <w:r w:rsidRPr="00883DC9">
              <w:rPr>
                <w:noProof/>
                <w:sz w:val="24"/>
                <w:szCs w:val="24"/>
              </w:rPr>
              <w:t>)</w:t>
            </w:r>
          </w:p>
        </w:tc>
      </w:tr>
    </w:tbl>
    <w:p w:rsidR="00CD18D3" w:rsidRPr="00322850" w:rsidRDefault="00CD18D3" w:rsidP="00CD18D3">
      <w:pPr>
        <w:spacing w:before="0" w:after="0"/>
      </w:pPr>
    </w:p>
    <w:p w:rsidR="00CD18D3" w:rsidRPr="00883DC9" w:rsidRDefault="00CD18D3" w:rsidP="00CD18D3">
      <w:pPr>
        <w:rPr>
          <w:b/>
          <w:noProof/>
        </w:rPr>
      </w:pPr>
      <w:r w:rsidRPr="00883DC9">
        <w:rPr>
          <w:b/>
          <w:noProof/>
        </w:rPr>
        <w:t>Unclear basis for determining fees</w:t>
      </w:r>
    </w:p>
    <w:p w:rsidR="00CD18D3" w:rsidRPr="00FE754C" w:rsidRDefault="00CD18D3" w:rsidP="00CD18D3">
      <w:pPr>
        <w:rPr>
          <w:noProof/>
        </w:rPr>
      </w:pPr>
      <w:r w:rsidRPr="00FE754C">
        <w:rPr>
          <w:noProof/>
        </w:rPr>
        <w:t xml:space="preserve">The instruments set levies </w:t>
      </w:r>
      <w:r>
        <w:rPr>
          <w:noProof/>
        </w:rPr>
        <w:t xml:space="preserve">for the 2017-18 financial year </w:t>
      </w:r>
      <w:r w:rsidRPr="00FE754C">
        <w:rPr>
          <w:noProof/>
        </w:rPr>
        <w:t xml:space="preserve">on </w:t>
      </w:r>
      <w:r>
        <w:rPr>
          <w:noProof/>
        </w:rPr>
        <w:t>certain</w:t>
      </w:r>
      <w:r w:rsidRPr="00FE754C">
        <w:rPr>
          <w:noProof/>
        </w:rPr>
        <w:t xml:space="preserve"> financial institutions that are supervised by the Australian Prudential Regulation Authority</w:t>
      </w:r>
      <w:r>
        <w:rPr>
          <w:noProof/>
        </w:rPr>
        <w:t xml:space="preserve"> (APRA)</w:t>
      </w:r>
      <w:r w:rsidRPr="00FE754C">
        <w:rPr>
          <w:noProof/>
        </w:rPr>
        <w:t xml:space="preserve">. </w:t>
      </w:r>
    </w:p>
    <w:p w:rsidR="00CD18D3" w:rsidRDefault="00CD18D3" w:rsidP="00CD18D3">
      <w:pPr>
        <w:rPr>
          <w:noProof/>
        </w:rPr>
      </w:pPr>
      <w:r w:rsidRPr="004C2770">
        <w:rPr>
          <w:noProof/>
        </w:rPr>
        <w:t>The committee’s usual expectation in cases where an instrument of delegated legislation carries financial implications via the imposition of a charge, fee, levy, scale or rate of costs or payment is that the relevant ES makes clear the specific basis on which an individual imposition or change has been calculated.</w:t>
      </w:r>
      <w:r>
        <w:rPr>
          <w:noProof/>
        </w:rPr>
        <w:t xml:space="preserve"> </w:t>
      </w:r>
    </w:p>
    <w:p w:rsidR="00CD18D3" w:rsidRDefault="00CD18D3" w:rsidP="00CD18D3">
      <w:pPr>
        <w:rPr>
          <w:noProof/>
        </w:rPr>
      </w:pPr>
      <w:r>
        <w:rPr>
          <w:noProof/>
        </w:rPr>
        <w:t xml:space="preserve">With respect to these expectations, the committee notes that the ES to each of the instruments, in addressing the </w:t>
      </w:r>
      <w:r>
        <w:rPr>
          <w:i/>
          <w:noProof/>
        </w:rPr>
        <w:t>Legislation Act 2003</w:t>
      </w:r>
      <w:r>
        <w:rPr>
          <w:noProof/>
        </w:rPr>
        <w:t xml:space="preserve"> consultation requirements, refers to a discussion paper, </w:t>
      </w:r>
      <w:r w:rsidRPr="004C2770">
        <w:rPr>
          <w:i/>
          <w:noProof/>
        </w:rPr>
        <w:t>Proposed Financial Institutions Supervisory Levies For 2017-18</w:t>
      </w:r>
      <w:r>
        <w:rPr>
          <w:noProof/>
        </w:rPr>
        <w:t xml:space="preserve"> </w:t>
      </w:r>
      <w:r>
        <w:rPr>
          <w:noProof/>
        </w:rPr>
        <w:lastRenderedPageBreak/>
        <w:t>published in May 2017.</w:t>
      </w:r>
      <w:r>
        <w:rPr>
          <w:rStyle w:val="FootnoteReference"/>
          <w:noProof/>
        </w:rPr>
        <w:footnoteReference w:id="27"/>
      </w:r>
      <w:r>
        <w:rPr>
          <w:noProof/>
        </w:rPr>
        <w:t xml:space="preserve"> The committee has observed that this discussion paper </w:t>
      </w:r>
      <w:r w:rsidRPr="003C345E">
        <w:rPr>
          <w:noProof/>
        </w:rPr>
        <w:t>sets out in detail the basis and methodology for determining each of the levies</w:t>
      </w:r>
      <w:r>
        <w:rPr>
          <w:noProof/>
        </w:rPr>
        <w:t>, and makes clear that the amounts of the levies have been calculated to recover APRA's operational costs, and other specific costs incurred by certain other Commonwealth agencies and departments</w:t>
      </w:r>
      <w:r w:rsidRPr="003C345E">
        <w:rPr>
          <w:noProof/>
        </w:rPr>
        <w:t>.</w:t>
      </w:r>
      <w:r>
        <w:rPr>
          <w:noProof/>
        </w:rPr>
        <w:t xml:space="preserve"> </w:t>
      </w:r>
    </w:p>
    <w:p w:rsidR="00CD18D3" w:rsidRPr="00584071" w:rsidRDefault="00CD18D3" w:rsidP="00CD18D3">
      <w:pPr>
        <w:rPr>
          <w:noProof/>
          <w:highlight w:val="yellow"/>
        </w:rPr>
      </w:pPr>
      <w:r>
        <w:rPr>
          <w:noProof/>
        </w:rPr>
        <w:t xml:space="preserve">However, with respect to future instruments imposing similar levies, the committee expresses its preference for the ES to include </w:t>
      </w:r>
      <w:r w:rsidRPr="003C345E">
        <w:rPr>
          <w:noProof/>
        </w:rPr>
        <w:t xml:space="preserve">a </w:t>
      </w:r>
      <w:r>
        <w:rPr>
          <w:noProof/>
        </w:rPr>
        <w:t xml:space="preserve">clear </w:t>
      </w:r>
      <w:r w:rsidRPr="003C345E">
        <w:rPr>
          <w:noProof/>
        </w:rPr>
        <w:t>statement that the levy is calculate</w:t>
      </w:r>
      <w:r>
        <w:rPr>
          <w:noProof/>
        </w:rPr>
        <w:t>d to recover the relevant costs. This can then be supported by noting</w:t>
      </w:r>
      <w:r w:rsidRPr="003C345E">
        <w:rPr>
          <w:noProof/>
        </w:rPr>
        <w:t xml:space="preserve"> that more detail </w:t>
      </w:r>
      <w:r>
        <w:rPr>
          <w:noProof/>
        </w:rPr>
        <w:t>may</w:t>
      </w:r>
      <w:r w:rsidRPr="003C345E">
        <w:rPr>
          <w:noProof/>
        </w:rPr>
        <w:t xml:space="preserve"> be found in the </w:t>
      </w:r>
      <w:r>
        <w:rPr>
          <w:noProof/>
        </w:rPr>
        <w:t>referenced discussion paper</w:t>
      </w:r>
      <w:r w:rsidRPr="003C345E">
        <w:rPr>
          <w:noProof/>
        </w:rPr>
        <w:t>.</w:t>
      </w:r>
    </w:p>
    <w:p w:rsidR="00CD18D3" w:rsidRDefault="00CD18D3" w:rsidP="00CD18D3">
      <w:pPr>
        <w:rPr>
          <w:b/>
          <w:szCs w:val="26"/>
        </w:rPr>
      </w:pPr>
      <w:r w:rsidRPr="005623F3">
        <w:rPr>
          <w:b/>
          <w:noProof/>
        </w:rPr>
        <w:t>The committee draws the above to the minister's attention.</w:t>
      </w:r>
      <w:r w:rsidRPr="005623F3">
        <w:rPr>
          <w:b/>
          <w:szCs w:val="26"/>
        </w:rPr>
        <w:t xml:space="preserve"> </w:t>
      </w:r>
    </w:p>
    <w:p w:rsidR="00CD18D3" w:rsidRDefault="00CD18D3" w:rsidP="00CD18D3">
      <w:pPr>
        <w:spacing w:before="0"/>
      </w:pPr>
    </w:p>
    <w:p w:rsidR="006C6921" w:rsidRDefault="006C6921" w:rsidP="00CD18D3">
      <w:pPr>
        <w:spacing w:before="0"/>
      </w:pPr>
    </w:p>
    <w:tbl>
      <w:tblPr>
        <w:tblW w:w="0" w:type="auto"/>
        <w:tblInd w:w="108" w:type="dxa"/>
        <w:tblLook w:val="04A0" w:firstRow="1" w:lastRow="0" w:firstColumn="1" w:lastColumn="0" w:noHBand="0" w:noVBand="1"/>
      </w:tblPr>
      <w:tblGrid>
        <w:gridCol w:w="2694"/>
        <w:gridCol w:w="6378"/>
      </w:tblGrid>
      <w:tr w:rsidR="00CD18D3" w:rsidRPr="00322850" w:rsidTr="002B2721">
        <w:tc>
          <w:tcPr>
            <w:tcW w:w="2694" w:type="dxa"/>
            <w:tcBorders>
              <w:top w:val="single" w:sz="12" w:space="0" w:color="auto"/>
              <w:right w:val="single" w:sz="12" w:space="0" w:color="auto"/>
            </w:tcBorders>
          </w:tcPr>
          <w:p w:rsidR="00CD18D3" w:rsidRPr="00322850" w:rsidRDefault="00CD18D3" w:rsidP="002B2721">
            <w:pPr>
              <w:rPr>
                <w:b/>
                <w:sz w:val="24"/>
                <w:szCs w:val="24"/>
              </w:rPr>
            </w:pPr>
            <w:r>
              <w:br w:type="page"/>
            </w:r>
            <w:r w:rsidRPr="00322850">
              <w:rPr>
                <w:b/>
                <w:sz w:val="24"/>
                <w:szCs w:val="24"/>
              </w:rPr>
              <w:t>Instrument</w:t>
            </w:r>
          </w:p>
        </w:tc>
        <w:tc>
          <w:tcPr>
            <w:tcW w:w="6378" w:type="dxa"/>
            <w:tcBorders>
              <w:top w:val="single" w:sz="12" w:space="0" w:color="auto"/>
              <w:left w:val="single" w:sz="12" w:space="0" w:color="auto"/>
            </w:tcBorders>
          </w:tcPr>
          <w:p w:rsidR="00CD18D3" w:rsidRPr="00322850" w:rsidRDefault="00CD18D3" w:rsidP="002B2721">
            <w:pPr>
              <w:pStyle w:val="Heading3"/>
              <w:rPr>
                <w:sz w:val="24"/>
                <w:szCs w:val="24"/>
              </w:rPr>
            </w:pPr>
            <w:r w:rsidRPr="006D7A8A">
              <w:rPr>
                <w:noProof/>
                <w:sz w:val="24"/>
                <w:szCs w:val="24"/>
              </w:rPr>
              <w:t>Legislation (ACT Self-Government Instruments) Sunset-altering Declaration 2017 [F2017L00942]</w:t>
            </w:r>
          </w:p>
        </w:tc>
      </w:tr>
      <w:tr w:rsidR="00CD18D3" w:rsidRPr="00322850" w:rsidTr="002B2721">
        <w:tc>
          <w:tcPr>
            <w:tcW w:w="2694" w:type="dxa"/>
            <w:tcBorders>
              <w:right w:val="single" w:sz="12" w:space="0" w:color="auto"/>
            </w:tcBorders>
          </w:tcPr>
          <w:p w:rsidR="00CD18D3" w:rsidRPr="00322850" w:rsidRDefault="00CD18D3" w:rsidP="002B2721">
            <w:pPr>
              <w:rPr>
                <w:b/>
                <w:sz w:val="24"/>
                <w:szCs w:val="24"/>
              </w:rPr>
            </w:pPr>
            <w:r w:rsidRPr="00322850">
              <w:rPr>
                <w:b/>
                <w:sz w:val="24"/>
                <w:szCs w:val="24"/>
              </w:rPr>
              <w:t>Purpose</w:t>
            </w:r>
          </w:p>
        </w:tc>
        <w:tc>
          <w:tcPr>
            <w:tcW w:w="6378" w:type="dxa"/>
            <w:tcBorders>
              <w:left w:val="single" w:sz="12" w:space="0" w:color="auto"/>
            </w:tcBorders>
          </w:tcPr>
          <w:p w:rsidR="00CD18D3" w:rsidRPr="00322850" w:rsidRDefault="00CD18D3" w:rsidP="002B2721">
            <w:pPr>
              <w:rPr>
                <w:sz w:val="24"/>
                <w:szCs w:val="24"/>
              </w:rPr>
            </w:pPr>
            <w:r w:rsidRPr="00D12475">
              <w:rPr>
                <w:noProof/>
                <w:sz w:val="24"/>
                <w:szCs w:val="24"/>
              </w:rPr>
              <w:t xml:space="preserve">Aligns the sunsetting dates of </w:t>
            </w:r>
            <w:r>
              <w:rPr>
                <w:noProof/>
                <w:sz w:val="24"/>
                <w:szCs w:val="24"/>
              </w:rPr>
              <w:t>eight</w:t>
            </w:r>
            <w:r w:rsidRPr="00D12475">
              <w:rPr>
                <w:noProof/>
                <w:sz w:val="24"/>
                <w:szCs w:val="24"/>
              </w:rPr>
              <w:t xml:space="preserve"> instruments </w:t>
            </w:r>
            <w:r w:rsidRPr="00411061">
              <w:rPr>
                <w:noProof/>
                <w:sz w:val="24"/>
                <w:szCs w:val="24"/>
              </w:rPr>
              <w:t>relating to the establishment and functioning of the Australian Capital Territory as a self-governing territory</w:t>
            </w:r>
            <w:r w:rsidRPr="00D12475">
              <w:rPr>
                <w:noProof/>
                <w:sz w:val="24"/>
                <w:szCs w:val="24"/>
              </w:rPr>
              <w:t xml:space="preserve"> to enable their inclusion in a thematic review</w:t>
            </w:r>
          </w:p>
        </w:tc>
      </w:tr>
      <w:tr w:rsidR="00CD18D3" w:rsidRPr="00322850" w:rsidTr="002B2721">
        <w:tc>
          <w:tcPr>
            <w:tcW w:w="2694" w:type="dxa"/>
            <w:tcBorders>
              <w:right w:val="single" w:sz="12" w:space="0" w:color="auto"/>
            </w:tcBorders>
          </w:tcPr>
          <w:p w:rsidR="00CD18D3" w:rsidRPr="00322850" w:rsidRDefault="00CD18D3" w:rsidP="002B2721">
            <w:pPr>
              <w:rPr>
                <w:b/>
                <w:sz w:val="24"/>
                <w:szCs w:val="24"/>
              </w:rPr>
            </w:pPr>
            <w:r w:rsidRPr="00322850">
              <w:rPr>
                <w:b/>
                <w:sz w:val="24"/>
                <w:szCs w:val="24"/>
              </w:rPr>
              <w:t>Authorising legislation</w:t>
            </w:r>
          </w:p>
        </w:tc>
        <w:tc>
          <w:tcPr>
            <w:tcW w:w="6378" w:type="dxa"/>
            <w:tcBorders>
              <w:left w:val="single" w:sz="12" w:space="0" w:color="auto"/>
            </w:tcBorders>
          </w:tcPr>
          <w:p w:rsidR="00CD18D3" w:rsidRPr="00322850" w:rsidRDefault="00CD18D3" w:rsidP="002B2721">
            <w:pPr>
              <w:rPr>
                <w:i/>
                <w:sz w:val="24"/>
                <w:szCs w:val="24"/>
              </w:rPr>
            </w:pPr>
            <w:r w:rsidRPr="00411061">
              <w:rPr>
                <w:i/>
                <w:noProof/>
                <w:sz w:val="24"/>
                <w:szCs w:val="24"/>
              </w:rPr>
              <w:t>Legislation Act 2003</w:t>
            </w:r>
          </w:p>
        </w:tc>
      </w:tr>
      <w:tr w:rsidR="00CD18D3" w:rsidRPr="00322850" w:rsidTr="002B2721">
        <w:tc>
          <w:tcPr>
            <w:tcW w:w="2694" w:type="dxa"/>
            <w:tcBorders>
              <w:right w:val="single" w:sz="12" w:space="0" w:color="auto"/>
            </w:tcBorders>
          </w:tcPr>
          <w:p w:rsidR="00CD18D3" w:rsidRPr="00322850" w:rsidRDefault="00CD18D3" w:rsidP="002B2721">
            <w:pPr>
              <w:rPr>
                <w:b/>
                <w:sz w:val="24"/>
                <w:szCs w:val="24"/>
              </w:rPr>
            </w:pPr>
            <w:r w:rsidRPr="00322850">
              <w:rPr>
                <w:b/>
                <w:sz w:val="24"/>
                <w:szCs w:val="24"/>
              </w:rPr>
              <w:t>Department</w:t>
            </w:r>
          </w:p>
        </w:tc>
        <w:tc>
          <w:tcPr>
            <w:tcW w:w="6378" w:type="dxa"/>
            <w:tcBorders>
              <w:left w:val="single" w:sz="12" w:space="0" w:color="auto"/>
            </w:tcBorders>
          </w:tcPr>
          <w:p w:rsidR="00CD18D3" w:rsidRPr="00322850" w:rsidRDefault="00CD18D3" w:rsidP="002B2721">
            <w:pPr>
              <w:rPr>
                <w:sz w:val="24"/>
                <w:szCs w:val="24"/>
              </w:rPr>
            </w:pPr>
            <w:r w:rsidRPr="00411061">
              <w:rPr>
                <w:noProof/>
                <w:sz w:val="24"/>
                <w:szCs w:val="24"/>
              </w:rPr>
              <w:t>Attorney-General's</w:t>
            </w:r>
          </w:p>
        </w:tc>
      </w:tr>
      <w:tr w:rsidR="00CD18D3" w:rsidRPr="00322850" w:rsidTr="002B2721">
        <w:tc>
          <w:tcPr>
            <w:tcW w:w="2694" w:type="dxa"/>
            <w:tcBorders>
              <w:right w:val="single" w:sz="12" w:space="0" w:color="auto"/>
            </w:tcBorders>
          </w:tcPr>
          <w:p w:rsidR="00CD18D3" w:rsidRPr="00322850" w:rsidRDefault="00CD18D3" w:rsidP="002B2721">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CD18D3" w:rsidRPr="00322850" w:rsidRDefault="00CD18D3" w:rsidP="002B2721">
            <w:pPr>
              <w:rPr>
                <w:sz w:val="24"/>
                <w:szCs w:val="24"/>
              </w:rPr>
            </w:pPr>
            <w:r>
              <w:rPr>
                <w:sz w:val="24"/>
                <w:szCs w:val="24"/>
              </w:rPr>
              <w:t xml:space="preserve">15 sitting days after tabling (tabled Senate </w:t>
            </w:r>
            <w:r w:rsidRPr="006D7A8A">
              <w:rPr>
                <w:noProof/>
                <w:sz w:val="24"/>
                <w:szCs w:val="24"/>
              </w:rPr>
              <w:t>8 August</w:t>
            </w:r>
            <w:r>
              <w:rPr>
                <w:sz w:val="24"/>
                <w:szCs w:val="24"/>
              </w:rPr>
              <w:t xml:space="preserve"> 2017)</w:t>
            </w:r>
            <w:r>
              <w:rPr>
                <w:sz w:val="24"/>
                <w:szCs w:val="24"/>
              </w:rPr>
              <w:br/>
              <w:t>Notice of motion to disallow currently must be given by</w:t>
            </w:r>
            <w:r>
              <w:rPr>
                <w:sz w:val="24"/>
                <w:szCs w:val="24"/>
              </w:rPr>
              <w:br/>
            </w:r>
            <w:r w:rsidRPr="006D7A8A">
              <w:rPr>
                <w:noProof/>
                <w:sz w:val="24"/>
                <w:szCs w:val="24"/>
              </w:rPr>
              <w:t>16 October</w:t>
            </w:r>
            <w:r>
              <w:rPr>
                <w:sz w:val="24"/>
                <w:szCs w:val="24"/>
              </w:rPr>
              <w:t xml:space="preserve"> 2017</w:t>
            </w:r>
          </w:p>
        </w:tc>
      </w:tr>
      <w:tr w:rsidR="00CD18D3" w:rsidRPr="00322850" w:rsidTr="002B2721">
        <w:tc>
          <w:tcPr>
            <w:tcW w:w="2694" w:type="dxa"/>
            <w:tcBorders>
              <w:bottom w:val="single" w:sz="12" w:space="0" w:color="auto"/>
              <w:right w:val="single" w:sz="12" w:space="0" w:color="auto"/>
            </w:tcBorders>
          </w:tcPr>
          <w:p w:rsidR="00CD18D3" w:rsidRPr="00322850" w:rsidRDefault="00CD18D3" w:rsidP="002B2721">
            <w:pPr>
              <w:rPr>
                <w:b/>
                <w:sz w:val="24"/>
                <w:szCs w:val="24"/>
              </w:rPr>
            </w:pPr>
            <w:r w:rsidRPr="00322850">
              <w:rPr>
                <w:b/>
                <w:sz w:val="24"/>
                <w:szCs w:val="24"/>
              </w:rPr>
              <w:t>Scrutiny principle</w:t>
            </w:r>
          </w:p>
        </w:tc>
        <w:tc>
          <w:tcPr>
            <w:tcW w:w="6378" w:type="dxa"/>
            <w:tcBorders>
              <w:left w:val="single" w:sz="12" w:space="0" w:color="auto"/>
              <w:bottom w:val="single" w:sz="12" w:space="0" w:color="auto"/>
            </w:tcBorders>
          </w:tcPr>
          <w:p w:rsidR="00CD18D3" w:rsidRPr="00322850" w:rsidRDefault="00CD18D3" w:rsidP="002B2721">
            <w:pPr>
              <w:rPr>
                <w:sz w:val="24"/>
                <w:szCs w:val="24"/>
              </w:rPr>
            </w:pPr>
            <w:r w:rsidRPr="00322850">
              <w:rPr>
                <w:sz w:val="24"/>
                <w:szCs w:val="24"/>
              </w:rPr>
              <w:t>Standing Order 23(3)</w:t>
            </w:r>
            <w:r w:rsidRPr="006D7A8A">
              <w:rPr>
                <w:noProof/>
                <w:sz w:val="24"/>
                <w:szCs w:val="24"/>
              </w:rPr>
              <w:t>(a)</w:t>
            </w:r>
          </w:p>
        </w:tc>
      </w:tr>
    </w:tbl>
    <w:p w:rsidR="00CD18D3" w:rsidRPr="00322850" w:rsidRDefault="00CD18D3" w:rsidP="00CD18D3">
      <w:pPr>
        <w:spacing w:before="0" w:after="0"/>
      </w:pPr>
    </w:p>
    <w:p w:rsidR="00CD18D3" w:rsidRPr="006D7A8A" w:rsidRDefault="00CD18D3" w:rsidP="00CD18D3">
      <w:pPr>
        <w:rPr>
          <w:b/>
          <w:noProof/>
        </w:rPr>
      </w:pPr>
      <w:r w:rsidRPr="006D7A8A">
        <w:rPr>
          <w:b/>
          <w:noProof/>
        </w:rPr>
        <w:t>Deferral of sunsetting</w:t>
      </w:r>
    </w:p>
    <w:p w:rsidR="00CD18D3" w:rsidRDefault="00CD18D3" w:rsidP="00CD18D3">
      <w:pPr>
        <w:rPr>
          <w:noProof/>
        </w:rPr>
      </w:pPr>
      <w:r w:rsidRPr="001B5C80">
        <w:rPr>
          <w:noProof/>
        </w:rPr>
        <w:t xml:space="preserve">Unless otherwise provided by an enabling Act, all legislative instruments made on or after 1 January 2005 are repealed on the first 1 April or 1 October that falls on or after their tenth anniversary of registration (section 50 of the </w:t>
      </w:r>
      <w:r w:rsidRPr="001B5C80">
        <w:rPr>
          <w:i/>
          <w:noProof/>
        </w:rPr>
        <w:t>Legislation Act 2003</w:t>
      </w:r>
      <w:r>
        <w:rPr>
          <w:i/>
          <w:noProof/>
        </w:rPr>
        <w:t xml:space="preserve"> </w:t>
      </w:r>
      <w:r>
        <w:rPr>
          <w:noProof/>
        </w:rPr>
        <w:t>(Legislation Act</w:t>
      </w:r>
      <w:r w:rsidRPr="001B5C80">
        <w:rPr>
          <w:noProof/>
        </w:rPr>
        <w:t>)</w:t>
      </w:r>
      <w:r>
        <w:rPr>
          <w:noProof/>
        </w:rPr>
        <w:t>)</w:t>
      </w:r>
      <w:r w:rsidRPr="001B5C80">
        <w:rPr>
          <w:noProof/>
        </w:rPr>
        <w:t>. This process is called 'sunsetting', and the relevant date of repeal is known as the 'sunsetting date'.</w:t>
      </w:r>
    </w:p>
    <w:p w:rsidR="00CD18D3" w:rsidRDefault="00CD18D3" w:rsidP="00CD18D3">
      <w:pPr>
        <w:rPr>
          <w:noProof/>
        </w:rPr>
      </w:pPr>
      <w:r>
        <w:rPr>
          <w:noProof/>
        </w:rPr>
        <w:lastRenderedPageBreak/>
        <w:t xml:space="preserve">Section 51A of the </w:t>
      </w:r>
      <w:r w:rsidRPr="00D12475">
        <w:rPr>
          <w:noProof/>
        </w:rPr>
        <w:t xml:space="preserve">Legislation Act </w:t>
      </w:r>
      <w:r>
        <w:rPr>
          <w:noProof/>
        </w:rPr>
        <w:t>allows the Attorney-General to align the sunsetting of instruments where two or more instruments are to be reviewed together.</w:t>
      </w:r>
      <w:r>
        <w:rPr>
          <w:noProof/>
        </w:rPr>
        <w:br/>
        <w:t xml:space="preserve">The Attorney-General must be satisfied that all the instruments to be reviewed would, apart from section 51A, be repealed by section 50 or 51 of the Legislation Act; that they are the subject of a single review; and that making the declaration to align their sunsetting dates will facilitate the undertaking of the review and the implementation of its findings. </w:t>
      </w:r>
    </w:p>
    <w:p w:rsidR="00CD18D3" w:rsidRDefault="00CD18D3" w:rsidP="00CD18D3">
      <w:pPr>
        <w:rPr>
          <w:noProof/>
        </w:rPr>
      </w:pPr>
      <w:r>
        <w:rPr>
          <w:noProof/>
        </w:rPr>
        <w:t xml:space="preserve">The </w:t>
      </w:r>
      <w:r w:rsidRPr="00D12475">
        <w:rPr>
          <w:noProof/>
        </w:rPr>
        <w:t>Legislation (ACT Self-Government Instruments) Sunset-altering Declaration 2017 [F2017L00942]</w:t>
      </w:r>
      <w:r>
        <w:rPr>
          <w:noProof/>
        </w:rPr>
        <w:t xml:space="preserve"> (the declaration) aligns the sunsetting dates of eight instruments </w:t>
      </w:r>
      <w:r w:rsidRPr="001C2698">
        <w:rPr>
          <w:noProof/>
        </w:rPr>
        <w:t xml:space="preserve">relating to the establishment and functioning of the </w:t>
      </w:r>
      <w:r>
        <w:rPr>
          <w:noProof/>
        </w:rPr>
        <w:t>Australian Capital Territory as</w:t>
      </w:r>
      <w:r>
        <w:rPr>
          <w:noProof/>
        </w:rPr>
        <w:br/>
      </w:r>
      <w:r w:rsidRPr="001C2698">
        <w:rPr>
          <w:noProof/>
        </w:rPr>
        <w:t>a self-governing territory</w:t>
      </w:r>
      <w:r>
        <w:rPr>
          <w:noProof/>
        </w:rPr>
        <w:t>, which would otherwise sunset between 1 April 2018 and</w:t>
      </w:r>
      <w:r>
        <w:rPr>
          <w:noProof/>
        </w:rPr>
        <w:br/>
        <w:t xml:space="preserve">1 April 2019. The committee notes that the declaration has the effect of deferring the sunsetting of all of the instruments, which will now have a new sunsetting date of 1 April 2020. </w:t>
      </w:r>
    </w:p>
    <w:p w:rsidR="00CD18D3" w:rsidRDefault="00CD18D3" w:rsidP="00CD18D3">
      <w:pPr>
        <w:rPr>
          <w:noProof/>
        </w:rPr>
      </w:pPr>
      <w:r>
        <w:rPr>
          <w:noProof/>
        </w:rPr>
        <w:t>The ES to the declaration explains that the eight instruments 'are or will be the subject of a single review' and that the declaration facilitates that review and the implementation of its findings.</w:t>
      </w:r>
    </w:p>
    <w:p w:rsidR="00CD18D3" w:rsidRDefault="00CD18D3" w:rsidP="00CD18D3">
      <w:pPr>
        <w:rPr>
          <w:b/>
          <w:noProof/>
        </w:rPr>
      </w:pPr>
      <w:r w:rsidRPr="00411061">
        <w:rPr>
          <w:b/>
          <w:noProof/>
        </w:rPr>
        <w:t xml:space="preserve">The committee draws the extension of the sunsetting dates for </w:t>
      </w:r>
      <w:r>
        <w:rPr>
          <w:b/>
          <w:noProof/>
        </w:rPr>
        <w:t>eight</w:t>
      </w:r>
      <w:r w:rsidRPr="00411061">
        <w:rPr>
          <w:b/>
          <w:noProof/>
        </w:rPr>
        <w:t xml:space="preserve"> instruments</w:t>
      </w:r>
      <w:r>
        <w:rPr>
          <w:b/>
          <w:noProof/>
        </w:rPr>
        <w:t>,</w:t>
      </w:r>
      <w:r w:rsidRPr="00411061">
        <w:rPr>
          <w:b/>
          <w:noProof/>
        </w:rPr>
        <w:t xml:space="preserve"> to 1</w:t>
      </w:r>
      <w:r>
        <w:rPr>
          <w:b/>
          <w:noProof/>
        </w:rPr>
        <w:t> </w:t>
      </w:r>
      <w:r w:rsidRPr="00411061">
        <w:rPr>
          <w:b/>
          <w:noProof/>
        </w:rPr>
        <w:t>April 2020</w:t>
      </w:r>
      <w:r>
        <w:rPr>
          <w:b/>
          <w:noProof/>
        </w:rPr>
        <w:t>,</w:t>
      </w:r>
      <w:r w:rsidRPr="00411061">
        <w:rPr>
          <w:b/>
          <w:noProof/>
        </w:rPr>
        <w:t xml:space="preserve"> to the attention of the Senate.</w:t>
      </w:r>
    </w:p>
    <w:p w:rsidR="00CD18D3" w:rsidRDefault="00CD18D3" w:rsidP="00CD18D3">
      <w:pPr>
        <w:spacing w:before="0"/>
        <w:rPr>
          <w:b/>
          <w:noProof/>
        </w:rPr>
      </w:pPr>
    </w:p>
    <w:p w:rsidR="006C6921" w:rsidRPr="00411061" w:rsidRDefault="006C6921" w:rsidP="00CD18D3">
      <w:pPr>
        <w:spacing w:before="0"/>
        <w:rPr>
          <w:b/>
          <w:noProof/>
        </w:rPr>
      </w:pPr>
    </w:p>
    <w:tbl>
      <w:tblPr>
        <w:tblW w:w="0" w:type="auto"/>
        <w:tblInd w:w="108" w:type="dxa"/>
        <w:tblLook w:val="04A0" w:firstRow="1" w:lastRow="0" w:firstColumn="1" w:lastColumn="0" w:noHBand="0" w:noVBand="1"/>
      </w:tblPr>
      <w:tblGrid>
        <w:gridCol w:w="2694"/>
        <w:gridCol w:w="6378"/>
      </w:tblGrid>
      <w:tr w:rsidR="00CD18D3" w:rsidRPr="00322850" w:rsidTr="002B2721">
        <w:tc>
          <w:tcPr>
            <w:tcW w:w="2694" w:type="dxa"/>
            <w:tcBorders>
              <w:top w:val="single" w:sz="12" w:space="0" w:color="auto"/>
              <w:right w:val="single" w:sz="12" w:space="0" w:color="auto"/>
            </w:tcBorders>
          </w:tcPr>
          <w:p w:rsidR="00CD18D3" w:rsidRPr="00322850" w:rsidRDefault="00CD18D3" w:rsidP="002B2721">
            <w:pPr>
              <w:rPr>
                <w:b/>
                <w:sz w:val="24"/>
                <w:szCs w:val="24"/>
              </w:rPr>
            </w:pPr>
            <w:r w:rsidRPr="00322850">
              <w:rPr>
                <w:b/>
                <w:sz w:val="24"/>
                <w:szCs w:val="24"/>
              </w:rPr>
              <w:t>Instrument</w:t>
            </w:r>
          </w:p>
        </w:tc>
        <w:tc>
          <w:tcPr>
            <w:tcW w:w="6378" w:type="dxa"/>
            <w:tcBorders>
              <w:top w:val="single" w:sz="12" w:space="0" w:color="auto"/>
              <w:left w:val="single" w:sz="12" w:space="0" w:color="auto"/>
            </w:tcBorders>
          </w:tcPr>
          <w:p w:rsidR="00CD18D3" w:rsidRPr="00322850" w:rsidRDefault="00CD18D3" w:rsidP="002B2721">
            <w:pPr>
              <w:pStyle w:val="Heading3"/>
              <w:rPr>
                <w:sz w:val="24"/>
                <w:szCs w:val="24"/>
              </w:rPr>
            </w:pPr>
            <w:r w:rsidRPr="00786081">
              <w:rPr>
                <w:noProof/>
                <w:sz w:val="24"/>
                <w:szCs w:val="24"/>
              </w:rPr>
              <w:t>National Health (IVF Program) Special Arrangement Amendment Instrument 2017 (No. 1) [F2017L00957]</w:t>
            </w:r>
          </w:p>
        </w:tc>
      </w:tr>
      <w:tr w:rsidR="00CD18D3" w:rsidRPr="00322850" w:rsidTr="002B2721">
        <w:tc>
          <w:tcPr>
            <w:tcW w:w="2694" w:type="dxa"/>
            <w:tcBorders>
              <w:right w:val="single" w:sz="12" w:space="0" w:color="auto"/>
            </w:tcBorders>
          </w:tcPr>
          <w:p w:rsidR="00CD18D3" w:rsidRPr="00322850" w:rsidRDefault="00CD18D3" w:rsidP="002B2721">
            <w:pPr>
              <w:rPr>
                <w:b/>
                <w:sz w:val="24"/>
                <w:szCs w:val="24"/>
              </w:rPr>
            </w:pPr>
            <w:r w:rsidRPr="00322850">
              <w:rPr>
                <w:b/>
                <w:sz w:val="24"/>
                <w:szCs w:val="24"/>
              </w:rPr>
              <w:t>Purpose</w:t>
            </w:r>
          </w:p>
        </w:tc>
        <w:tc>
          <w:tcPr>
            <w:tcW w:w="6378" w:type="dxa"/>
            <w:tcBorders>
              <w:left w:val="single" w:sz="12" w:space="0" w:color="auto"/>
            </w:tcBorders>
          </w:tcPr>
          <w:p w:rsidR="00CD18D3" w:rsidRPr="00322850" w:rsidRDefault="00CD18D3" w:rsidP="002B2721">
            <w:pPr>
              <w:rPr>
                <w:sz w:val="24"/>
                <w:szCs w:val="24"/>
              </w:rPr>
            </w:pPr>
            <w:r w:rsidRPr="00786081">
              <w:rPr>
                <w:noProof/>
                <w:sz w:val="24"/>
                <w:szCs w:val="24"/>
              </w:rPr>
              <w:t>Amends the National Health (IVF Program) Special Arrangement 2015 (PB 60 of 2015) by adding a new pharmaceutical benefit</w:t>
            </w:r>
          </w:p>
        </w:tc>
      </w:tr>
      <w:tr w:rsidR="00CD18D3" w:rsidRPr="00322850" w:rsidTr="002B2721">
        <w:tc>
          <w:tcPr>
            <w:tcW w:w="2694" w:type="dxa"/>
            <w:tcBorders>
              <w:right w:val="single" w:sz="12" w:space="0" w:color="auto"/>
            </w:tcBorders>
          </w:tcPr>
          <w:p w:rsidR="00CD18D3" w:rsidRPr="00322850" w:rsidRDefault="00CD18D3" w:rsidP="002B2721">
            <w:pPr>
              <w:rPr>
                <w:b/>
                <w:sz w:val="24"/>
                <w:szCs w:val="24"/>
              </w:rPr>
            </w:pPr>
            <w:r w:rsidRPr="00322850">
              <w:rPr>
                <w:b/>
                <w:sz w:val="24"/>
                <w:szCs w:val="24"/>
              </w:rPr>
              <w:t>Authorising legislation</w:t>
            </w:r>
          </w:p>
        </w:tc>
        <w:tc>
          <w:tcPr>
            <w:tcW w:w="6378" w:type="dxa"/>
            <w:tcBorders>
              <w:left w:val="single" w:sz="12" w:space="0" w:color="auto"/>
            </w:tcBorders>
          </w:tcPr>
          <w:p w:rsidR="00CD18D3" w:rsidRPr="00322850" w:rsidRDefault="00CD18D3" w:rsidP="002B2721">
            <w:pPr>
              <w:rPr>
                <w:i/>
                <w:sz w:val="24"/>
                <w:szCs w:val="24"/>
              </w:rPr>
            </w:pPr>
            <w:r w:rsidRPr="00786081">
              <w:rPr>
                <w:i/>
                <w:noProof/>
                <w:sz w:val="24"/>
                <w:szCs w:val="24"/>
              </w:rPr>
              <w:t>National Health Act 1953</w:t>
            </w:r>
          </w:p>
        </w:tc>
      </w:tr>
      <w:tr w:rsidR="00CD18D3" w:rsidRPr="00322850" w:rsidTr="002B2721">
        <w:tc>
          <w:tcPr>
            <w:tcW w:w="2694" w:type="dxa"/>
            <w:tcBorders>
              <w:right w:val="single" w:sz="12" w:space="0" w:color="auto"/>
            </w:tcBorders>
          </w:tcPr>
          <w:p w:rsidR="00CD18D3" w:rsidRPr="00322850" w:rsidRDefault="00CD18D3" w:rsidP="002B2721">
            <w:pPr>
              <w:rPr>
                <w:b/>
                <w:sz w:val="24"/>
                <w:szCs w:val="24"/>
              </w:rPr>
            </w:pPr>
            <w:r w:rsidRPr="00322850">
              <w:rPr>
                <w:b/>
                <w:sz w:val="24"/>
                <w:szCs w:val="24"/>
              </w:rPr>
              <w:t>Department</w:t>
            </w:r>
          </w:p>
        </w:tc>
        <w:tc>
          <w:tcPr>
            <w:tcW w:w="6378" w:type="dxa"/>
            <w:tcBorders>
              <w:left w:val="single" w:sz="12" w:space="0" w:color="auto"/>
            </w:tcBorders>
          </w:tcPr>
          <w:p w:rsidR="00CD18D3" w:rsidRPr="00322850" w:rsidRDefault="00CD18D3" w:rsidP="002B2721">
            <w:pPr>
              <w:rPr>
                <w:sz w:val="24"/>
                <w:szCs w:val="24"/>
              </w:rPr>
            </w:pPr>
            <w:r w:rsidRPr="00786081">
              <w:rPr>
                <w:noProof/>
                <w:sz w:val="24"/>
                <w:szCs w:val="24"/>
              </w:rPr>
              <w:t>Health</w:t>
            </w:r>
          </w:p>
        </w:tc>
      </w:tr>
      <w:tr w:rsidR="00CD18D3" w:rsidRPr="00322850" w:rsidTr="002B2721">
        <w:tc>
          <w:tcPr>
            <w:tcW w:w="2694" w:type="dxa"/>
            <w:tcBorders>
              <w:right w:val="single" w:sz="12" w:space="0" w:color="auto"/>
            </w:tcBorders>
          </w:tcPr>
          <w:p w:rsidR="00CD18D3" w:rsidRPr="00322850" w:rsidRDefault="00CD18D3" w:rsidP="002B2721">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CD18D3" w:rsidRPr="00322850" w:rsidRDefault="00CD18D3" w:rsidP="002B2721">
            <w:pPr>
              <w:rPr>
                <w:sz w:val="24"/>
                <w:szCs w:val="24"/>
              </w:rPr>
            </w:pPr>
            <w:r>
              <w:rPr>
                <w:sz w:val="24"/>
                <w:szCs w:val="24"/>
              </w:rPr>
              <w:t xml:space="preserve">15 sitting days after tabling (tabled Senate </w:t>
            </w:r>
            <w:r w:rsidRPr="00786081">
              <w:rPr>
                <w:noProof/>
                <w:sz w:val="24"/>
                <w:szCs w:val="24"/>
              </w:rPr>
              <w:t>8 August</w:t>
            </w:r>
            <w:r>
              <w:rPr>
                <w:sz w:val="24"/>
                <w:szCs w:val="24"/>
              </w:rPr>
              <w:t xml:space="preserve"> 2017)</w:t>
            </w:r>
            <w:r>
              <w:rPr>
                <w:sz w:val="24"/>
                <w:szCs w:val="24"/>
              </w:rPr>
              <w:br/>
              <w:t>Notice of motion to disallow currently must be given by</w:t>
            </w:r>
            <w:r>
              <w:rPr>
                <w:sz w:val="24"/>
                <w:szCs w:val="24"/>
              </w:rPr>
              <w:br/>
            </w:r>
            <w:r w:rsidRPr="00786081">
              <w:rPr>
                <w:noProof/>
                <w:sz w:val="24"/>
                <w:szCs w:val="24"/>
              </w:rPr>
              <w:t>16 October</w:t>
            </w:r>
            <w:r>
              <w:rPr>
                <w:sz w:val="24"/>
                <w:szCs w:val="24"/>
              </w:rPr>
              <w:t xml:space="preserve"> 2017</w:t>
            </w:r>
          </w:p>
        </w:tc>
      </w:tr>
      <w:tr w:rsidR="00CD18D3" w:rsidRPr="00322850" w:rsidTr="002B2721">
        <w:tc>
          <w:tcPr>
            <w:tcW w:w="2694" w:type="dxa"/>
            <w:tcBorders>
              <w:bottom w:val="single" w:sz="12" w:space="0" w:color="auto"/>
              <w:right w:val="single" w:sz="12" w:space="0" w:color="auto"/>
            </w:tcBorders>
          </w:tcPr>
          <w:p w:rsidR="00CD18D3" w:rsidRPr="00322850" w:rsidRDefault="00CD18D3" w:rsidP="002B2721">
            <w:pPr>
              <w:rPr>
                <w:b/>
                <w:sz w:val="24"/>
                <w:szCs w:val="24"/>
              </w:rPr>
            </w:pPr>
            <w:r w:rsidRPr="00322850">
              <w:rPr>
                <w:b/>
                <w:sz w:val="24"/>
                <w:szCs w:val="24"/>
              </w:rPr>
              <w:t>Scrutiny principle</w:t>
            </w:r>
          </w:p>
        </w:tc>
        <w:tc>
          <w:tcPr>
            <w:tcW w:w="6378" w:type="dxa"/>
            <w:tcBorders>
              <w:left w:val="single" w:sz="12" w:space="0" w:color="auto"/>
              <w:bottom w:val="single" w:sz="12" w:space="0" w:color="auto"/>
            </w:tcBorders>
          </w:tcPr>
          <w:p w:rsidR="00CD18D3" w:rsidRPr="00322850" w:rsidRDefault="00CD18D3" w:rsidP="002B2721">
            <w:pPr>
              <w:rPr>
                <w:sz w:val="24"/>
                <w:szCs w:val="24"/>
              </w:rPr>
            </w:pPr>
            <w:r w:rsidRPr="00322850">
              <w:rPr>
                <w:sz w:val="24"/>
                <w:szCs w:val="24"/>
              </w:rPr>
              <w:t>Standing Order 23(3)</w:t>
            </w:r>
            <w:r w:rsidRPr="00786081">
              <w:rPr>
                <w:noProof/>
                <w:sz w:val="24"/>
                <w:szCs w:val="24"/>
              </w:rPr>
              <w:t>(a)</w:t>
            </w:r>
          </w:p>
        </w:tc>
      </w:tr>
    </w:tbl>
    <w:p w:rsidR="00CD18D3" w:rsidRPr="00322850" w:rsidRDefault="00CD18D3" w:rsidP="00CD18D3">
      <w:pPr>
        <w:spacing w:before="0" w:after="0"/>
      </w:pPr>
    </w:p>
    <w:p w:rsidR="00CD18D3" w:rsidRPr="00786081" w:rsidRDefault="00CD18D3" w:rsidP="00CD18D3">
      <w:pPr>
        <w:rPr>
          <w:b/>
          <w:noProof/>
        </w:rPr>
      </w:pPr>
      <w:r>
        <w:rPr>
          <w:b/>
          <w:noProof/>
        </w:rPr>
        <w:t>Description of c</w:t>
      </w:r>
      <w:r w:rsidRPr="00786081">
        <w:rPr>
          <w:b/>
          <w:noProof/>
        </w:rPr>
        <w:t>onsultation</w:t>
      </w:r>
    </w:p>
    <w:p w:rsidR="00CD18D3" w:rsidRPr="00E54765" w:rsidRDefault="00CD18D3" w:rsidP="00CD18D3">
      <w:pPr>
        <w:rPr>
          <w:rFonts w:asciiTheme="minorHAnsi" w:hAnsiTheme="minorHAnsi"/>
          <w:noProof/>
          <w:lang w:eastAsia="en-AU"/>
        </w:rPr>
      </w:pPr>
      <w:r w:rsidRPr="00E54765">
        <w:rPr>
          <w:rFonts w:asciiTheme="minorHAnsi" w:hAnsiTheme="minorHAnsi"/>
          <w:noProof/>
          <w:lang w:eastAsia="en-AU"/>
        </w:rPr>
        <w:t xml:space="preserve">Section 17 of the </w:t>
      </w:r>
      <w:r w:rsidRPr="00E54765">
        <w:rPr>
          <w:rFonts w:asciiTheme="minorHAnsi" w:hAnsiTheme="minorHAnsi"/>
          <w:i/>
          <w:noProof/>
          <w:lang w:eastAsia="en-AU"/>
        </w:rPr>
        <w:t>Legislation Act 2003</w:t>
      </w:r>
      <w:r w:rsidRPr="00E54765">
        <w:rPr>
          <w:rFonts w:asciiTheme="minorHAnsi" w:hAnsiTheme="minorHAnsi"/>
          <w:noProof/>
          <w:lang w:eastAsia="en-AU"/>
        </w:rPr>
        <w:t xml:space="preserve"> directs a rule-maker to be satisfied that appropriate consultation, as is reasonably practicable, has been undertaken in relation to a proposed instrument. The ES which must accompany an instrument is </w:t>
      </w:r>
      <w:r w:rsidRPr="00E54765">
        <w:rPr>
          <w:rFonts w:asciiTheme="minorHAnsi" w:hAnsiTheme="minorHAnsi"/>
          <w:noProof/>
          <w:lang w:eastAsia="en-AU"/>
        </w:rPr>
        <w:lastRenderedPageBreak/>
        <w:t>required to describe the nature of any consultation th</w:t>
      </w:r>
      <w:r>
        <w:rPr>
          <w:rFonts w:asciiTheme="minorHAnsi" w:hAnsiTheme="minorHAnsi"/>
          <w:noProof/>
          <w:lang w:eastAsia="en-AU"/>
        </w:rPr>
        <w:t>at has been carried out or,</w:t>
      </w:r>
      <w:r>
        <w:rPr>
          <w:rFonts w:asciiTheme="minorHAnsi" w:hAnsiTheme="minorHAnsi"/>
          <w:noProof/>
          <w:lang w:eastAsia="en-AU"/>
        </w:rPr>
        <w:br/>
      </w:r>
      <w:r w:rsidRPr="00E54765">
        <w:rPr>
          <w:rFonts w:asciiTheme="minorHAnsi" w:hAnsiTheme="minorHAnsi"/>
          <w:noProof/>
          <w:lang w:eastAsia="en-AU"/>
        </w:rPr>
        <w:t>if there has been no consultation, to explain why none was undertaken (paragraphs 15J(2)(d) and (e)).</w:t>
      </w:r>
    </w:p>
    <w:p w:rsidR="00CD18D3" w:rsidRPr="00E54765" w:rsidRDefault="00CD18D3" w:rsidP="00CD18D3">
      <w:pPr>
        <w:rPr>
          <w:rFonts w:asciiTheme="minorHAnsi" w:hAnsiTheme="minorHAnsi"/>
          <w:noProof/>
          <w:lang w:eastAsia="en-AU"/>
        </w:rPr>
      </w:pPr>
      <w:r w:rsidRPr="00E54765">
        <w:rPr>
          <w:rFonts w:asciiTheme="minorHAnsi" w:hAnsiTheme="minorHAnsi"/>
          <w:noProof/>
          <w:lang w:eastAsia="en-AU"/>
        </w:rPr>
        <w:t>With reference to these requirements, the committee notes that the ES</w:t>
      </w:r>
      <w:r>
        <w:rPr>
          <w:rFonts w:asciiTheme="minorHAnsi" w:hAnsiTheme="minorHAnsi"/>
          <w:noProof/>
          <w:lang w:eastAsia="en-AU"/>
        </w:rPr>
        <w:t xml:space="preserve"> for this instrument</w:t>
      </w:r>
      <w:r w:rsidRPr="00E54765">
        <w:rPr>
          <w:rFonts w:asciiTheme="minorHAnsi" w:hAnsiTheme="minorHAnsi"/>
          <w:noProof/>
          <w:lang w:eastAsia="en-AU"/>
        </w:rPr>
        <w:t xml:space="preserve"> describe</w:t>
      </w:r>
      <w:r>
        <w:rPr>
          <w:rFonts w:asciiTheme="minorHAnsi" w:hAnsiTheme="minorHAnsi"/>
          <w:noProof/>
          <w:lang w:eastAsia="en-AU"/>
        </w:rPr>
        <w:t>s</w:t>
      </w:r>
      <w:r w:rsidRPr="00E54765">
        <w:rPr>
          <w:rFonts w:asciiTheme="minorHAnsi" w:hAnsiTheme="minorHAnsi"/>
          <w:noProof/>
          <w:lang w:eastAsia="en-AU"/>
        </w:rPr>
        <w:t xml:space="preserve"> the general process of consultation with the Pharmaceutical Benefits Advisory Comm</w:t>
      </w:r>
      <w:r>
        <w:rPr>
          <w:rFonts w:asciiTheme="minorHAnsi" w:hAnsiTheme="minorHAnsi"/>
          <w:noProof/>
          <w:szCs w:val="26"/>
          <w:lang w:eastAsia="en-AU"/>
        </w:rPr>
        <w:t>ittee</w:t>
      </w:r>
      <w:r w:rsidRPr="008A070A">
        <w:rPr>
          <w:rFonts w:asciiTheme="minorHAnsi" w:hAnsiTheme="minorHAnsi"/>
          <w:noProof/>
          <w:szCs w:val="26"/>
          <w:lang w:eastAsia="en-AU"/>
        </w:rPr>
        <w:t xml:space="preserve"> in relation to matters relevant to </w:t>
      </w:r>
      <w:r>
        <w:rPr>
          <w:rFonts w:asciiTheme="minorHAnsi" w:hAnsiTheme="minorHAnsi"/>
          <w:noProof/>
          <w:szCs w:val="26"/>
          <w:lang w:eastAsia="en-AU"/>
        </w:rPr>
        <w:t>the administration</w:t>
      </w:r>
      <w:r>
        <w:rPr>
          <w:rFonts w:asciiTheme="minorHAnsi" w:hAnsiTheme="minorHAnsi"/>
          <w:noProof/>
          <w:szCs w:val="26"/>
          <w:lang w:eastAsia="en-AU"/>
        </w:rPr>
        <w:br/>
        <w:t>of the</w:t>
      </w:r>
      <w:r w:rsidRPr="009565D2">
        <w:t xml:space="preserve"> </w:t>
      </w:r>
      <w:r w:rsidRPr="009565D2">
        <w:rPr>
          <w:rFonts w:asciiTheme="minorHAnsi" w:hAnsiTheme="minorHAnsi"/>
          <w:noProof/>
          <w:szCs w:val="26"/>
          <w:lang w:eastAsia="en-AU"/>
        </w:rPr>
        <w:t>Pharmaceutical Benefits Scheme (PBS)</w:t>
      </w:r>
      <w:r>
        <w:rPr>
          <w:rFonts w:asciiTheme="minorHAnsi" w:hAnsiTheme="minorHAnsi"/>
          <w:noProof/>
          <w:szCs w:val="26"/>
          <w:lang w:eastAsia="en-AU"/>
        </w:rPr>
        <w:t xml:space="preserve">, including </w:t>
      </w:r>
      <w:r w:rsidRPr="008A070A">
        <w:rPr>
          <w:rFonts w:asciiTheme="minorHAnsi" w:hAnsiTheme="minorHAnsi"/>
          <w:noProof/>
          <w:szCs w:val="26"/>
          <w:lang w:eastAsia="en-AU"/>
        </w:rPr>
        <w:t>special arrangements</w:t>
      </w:r>
      <w:r w:rsidRPr="00E54765">
        <w:rPr>
          <w:rFonts w:asciiTheme="minorHAnsi" w:hAnsiTheme="minorHAnsi"/>
          <w:noProof/>
          <w:lang w:eastAsia="en-AU"/>
        </w:rPr>
        <w:t>. This general process includes consultation with pharmaceutical companies whose products are listed on the PBS.</w:t>
      </w:r>
    </w:p>
    <w:p w:rsidR="00CD18D3" w:rsidRPr="00E54765" w:rsidRDefault="00CD18D3" w:rsidP="00CD18D3">
      <w:pPr>
        <w:rPr>
          <w:noProof/>
          <w:lang w:eastAsia="en-AU"/>
        </w:rPr>
      </w:pPr>
      <w:r w:rsidRPr="00E54765">
        <w:rPr>
          <w:rFonts w:asciiTheme="minorHAnsi" w:hAnsiTheme="minorHAnsi"/>
          <w:noProof/>
          <w:lang w:eastAsia="en-AU"/>
        </w:rPr>
        <w:t xml:space="preserve">While the committee does not usually interpret paragraphs 15J(2)(d) and (e) as requiring a highly detailed description of consultation undertaken, it considers that an overly bare or general description is insufficient to satisfy the requirements of the </w:t>
      </w:r>
      <w:r w:rsidRPr="00E54765">
        <w:rPr>
          <w:rFonts w:asciiTheme="minorHAnsi" w:hAnsiTheme="minorHAnsi"/>
          <w:i/>
          <w:noProof/>
          <w:lang w:eastAsia="en-AU"/>
        </w:rPr>
        <w:t>Legislation Act 2003</w:t>
      </w:r>
      <w:r>
        <w:rPr>
          <w:rFonts w:asciiTheme="minorHAnsi" w:hAnsiTheme="minorHAnsi"/>
          <w:noProof/>
          <w:lang w:eastAsia="en-AU"/>
        </w:rPr>
        <w:t>. In this</w:t>
      </w:r>
      <w:r w:rsidRPr="00E54765">
        <w:rPr>
          <w:rFonts w:asciiTheme="minorHAnsi" w:hAnsiTheme="minorHAnsi"/>
          <w:noProof/>
          <w:lang w:eastAsia="en-AU"/>
        </w:rPr>
        <w:t xml:space="preserve"> case, the ES refer</w:t>
      </w:r>
      <w:r>
        <w:rPr>
          <w:rFonts w:asciiTheme="minorHAnsi" w:hAnsiTheme="minorHAnsi"/>
          <w:noProof/>
          <w:lang w:eastAsia="en-AU"/>
        </w:rPr>
        <w:t>s</w:t>
      </w:r>
      <w:r w:rsidRPr="00E54765">
        <w:rPr>
          <w:rFonts w:asciiTheme="minorHAnsi" w:hAnsiTheme="minorHAnsi"/>
          <w:noProof/>
          <w:lang w:eastAsia="en-AU"/>
        </w:rPr>
        <w:t xml:space="preserve"> to a general process of consultation and do</w:t>
      </w:r>
      <w:r>
        <w:rPr>
          <w:rFonts w:asciiTheme="minorHAnsi" w:hAnsiTheme="minorHAnsi"/>
          <w:noProof/>
          <w:lang w:eastAsia="en-AU"/>
        </w:rPr>
        <w:t>es</w:t>
      </w:r>
      <w:r w:rsidRPr="00E54765">
        <w:rPr>
          <w:rFonts w:asciiTheme="minorHAnsi" w:hAnsiTheme="minorHAnsi"/>
          <w:noProof/>
          <w:lang w:eastAsia="en-AU"/>
        </w:rPr>
        <w:t xml:space="preserve"> not provide information about whether consultation was or was not undertaken </w:t>
      </w:r>
      <w:r>
        <w:rPr>
          <w:rFonts w:asciiTheme="minorHAnsi" w:hAnsiTheme="minorHAnsi"/>
          <w:noProof/>
          <w:lang w:eastAsia="en-AU"/>
        </w:rPr>
        <w:t>specifically in relation to this</w:t>
      </w:r>
      <w:r w:rsidRPr="00E54765">
        <w:rPr>
          <w:rFonts w:asciiTheme="minorHAnsi" w:hAnsiTheme="minorHAnsi"/>
          <w:noProof/>
          <w:lang w:eastAsia="en-AU"/>
        </w:rPr>
        <w:t xml:space="preserve"> instrument. </w:t>
      </w:r>
      <w:r w:rsidRPr="00E54765">
        <w:rPr>
          <w:noProof/>
          <w:lang w:eastAsia="en-AU"/>
        </w:rPr>
        <w:t xml:space="preserve">In terms of complying with paragraphs 15J(2)(d) and (e) of the </w:t>
      </w:r>
      <w:r w:rsidRPr="00E54765">
        <w:rPr>
          <w:i/>
          <w:noProof/>
          <w:lang w:eastAsia="en-AU"/>
        </w:rPr>
        <w:t>Legislation Act 2003</w:t>
      </w:r>
      <w:r w:rsidRPr="00E54765">
        <w:rPr>
          <w:noProof/>
          <w:lang w:eastAsia="en-AU"/>
        </w:rPr>
        <w:t>, the committee's preferr</w:t>
      </w:r>
      <w:r>
        <w:rPr>
          <w:noProof/>
          <w:lang w:eastAsia="en-AU"/>
        </w:rPr>
        <w:t>ed approach would be for the ES</w:t>
      </w:r>
      <w:r w:rsidRPr="00E54765">
        <w:rPr>
          <w:noProof/>
          <w:lang w:eastAsia="en-AU"/>
        </w:rPr>
        <w:t xml:space="preserve"> to have explicitly stated that further consulta</w:t>
      </w:r>
      <w:r>
        <w:rPr>
          <w:noProof/>
          <w:lang w:eastAsia="en-AU"/>
        </w:rPr>
        <w:t>tion</w:t>
      </w:r>
      <w:r>
        <w:rPr>
          <w:noProof/>
          <w:lang w:eastAsia="en-AU"/>
        </w:rPr>
        <w:br/>
        <w:t>for the instrument</w:t>
      </w:r>
      <w:r w:rsidRPr="00E54765">
        <w:rPr>
          <w:noProof/>
          <w:lang w:eastAsia="en-AU"/>
        </w:rPr>
        <w:t xml:space="preserve"> was considered unnecessary (or inappropriate) due to the nature of the consultatio</w:t>
      </w:r>
      <w:r>
        <w:rPr>
          <w:noProof/>
          <w:lang w:eastAsia="en-AU"/>
        </w:rPr>
        <w:t>n that had already taken place.</w:t>
      </w:r>
      <w:r>
        <w:rPr>
          <w:rStyle w:val="FootnoteReference"/>
          <w:noProof/>
          <w:lang w:eastAsia="en-AU"/>
        </w:rPr>
        <w:footnoteReference w:id="28"/>
      </w:r>
    </w:p>
    <w:p w:rsidR="00CD18D3" w:rsidRPr="006340A3" w:rsidRDefault="00CD18D3" w:rsidP="00CD18D3">
      <w:pPr>
        <w:rPr>
          <w:rFonts w:asciiTheme="minorHAnsi" w:hAnsiTheme="minorHAnsi"/>
          <w:lang w:eastAsia="en-AU"/>
        </w:rPr>
      </w:pPr>
      <w:r w:rsidRPr="008B0EEC">
        <w:rPr>
          <w:rFonts w:asciiTheme="minorHAnsi" w:hAnsiTheme="minorHAnsi"/>
          <w:lang w:eastAsia="en-AU"/>
        </w:rPr>
        <w:t>The committee's expectations in this regard are set out in the guideline on consultation published on the committee's website</w:t>
      </w:r>
      <w:r>
        <w:rPr>
          <w:rFonts w:asciiTheme="minorHAnsi" w:hAnsiTheme="minorHAnsi"/>
          <w:lang w:eastAsia="en-AU"/>
        </w:rPr>
        <w:t>.</w:t>
      </w:r>
      <w:r>
        <w:rPr>
          <w:rStyle w:val="FootnoteReference"/>
          <w:rFonts w:asciiTheme="minorHAnsi" w:hAnsiTheme="minorHAnsi"/>
          <w:lang w:eastAsia="en-AU"/>
        </w:rPr>
        <w:footnoteReference w:id="29"/>
      </w:r>
    </w:p>
    <w:p w:rsidR="00CD18D3" w:rsidRDefault="00CD18D3" w:rsidP="00CD18D3">
      <w:pPr>
        <w:rPr>
          <w:b/>
          <w:szCs w:val="26"/>
        </w:rPr>
      </w:pPr>
      <w:r w:rsidRPr="005623F3">
        <w:rPr>
          <w:b/>
          <w:noProof/>
        </w:rPr>
        <w:t>The committee draws the above to the minister's attention.</w:t>
      </w:r>
      <w:r w:rsidRPr="005623F3">
        <w:rPr>
          <w:b/>
          <w:szCs w:val="26"/>
        </w:rPr>
        <w:t xml:space="preserve"> </w:t>
      </w:r>
    </w:p>
    <w:p w:rsidR="00CD18D3" w:rsidRPr="008A21E5" w:rsidRDefault="00CD18D3" w:rsidP="00CD18D3">
      <w:pPr>
        <w:spacing w:before="0" w:after="0"/>
        <w:rPr>
          <w:sz w:val="2"/>
          <w:szCs w:val="2"/>
        </w:rPr>
      </w:pPr>
      <w:r>
        <w:br w:type="page"/>
      </w:r>
    </w:p>
    <w:tbl>
      <w:tblPr>
        <w:tblW w:w="0" w:type="auto"/>
        <w:tblInd w:w="108" w:type="dxa"/>
        <w:tblLook w:val="04A0" w:firstRow="1" w:lastRow="0" w:firstColumn="1" w:lastColumn="0" w:noHBand="0" w:noVBand="1"/>
      </w:tblPr>
      <w:tblGrid>
        <w:gridCol w:w="2694"/>
        <w:gridCol w:w="6378"/>
      </w:tblGrid>
      <w:tr w:rsidR="00CD18D3" w:rsidRPr="00322850" w:rsidTr="002B2721">
        <w:tc>
          <w:tcPr>
            <w:tcW w:w="2694" w:type="dxa"/>
            <w:tcBorders>
              <w:top w:val="single" w:sz="12" w:space="0" w:color="auto"/>
              <w:right w:val="single" w:sz="12" w:space="0" w:color="auto"/>
            </w:tcBorders>
          </w:tcPr>
          <w:p w:rsidR="00CD18D3" w:rsidRPr="00322850" w:rsidRDefault="00CD18D3" w:rsidP="002B2721">
            <w:pPr>
              <w:rPr>
                <w:b/>
                <w:sz w:val="24"/>
                <w:szCs w:val="24"/>
              </w:rPr>
            </w:pPr>
            <w:r w:rsidRPr="00322850">
              <w:rPr>
                <w:b/>
                <w:sz w:val="24"/>
                <w:szCs w:val="24"/>
              </w:rPr>
              <w:lastRenderedPageBreak/>
              <w:t>Instrument</w:t>
            </w:r>
          </w:p>
        </w:tc>
        <w:tc>
          <w:tcPr>
            <w:tcW w:w="6378" w:type="dxa"/>
            <w:tcBorders>
              <w:top w:val="single" w:sz="12" w:space="0" w:color="auto"/>
              <w:left w:val="single" w:sz="12" w:space="0" w:color="auto"/>
            </w:tcBorders>
          </w:tcPr>
          <w:p w:rsidR="00CD18D3" w:rsidRPr="00322850" w:rsidRDefault="00CD18D3" w:rsidP="002B2721">
            <w:pPr>
              <w:pStyle w:val="Heading3"/>
              <w:rPr>
                <w:sz w:val="24"/>
                <w:szCs w:val="24"/>
              </w:rPr>
            </w:pPr>
            <w:r w:rsidRPr="00786081">
              <w:rPr>
                <w:noProof/>
                <w:sz w:val="24"/>
                <w:szCs w:val="24"/>
              </w:rPr>
              <w:t>Ozone Protection and Synthetic Greenhouse Gas Management Legislation Amendment (2017 Measures No. 1) Regulations 2017 [F2017L00964]</w:t>
            </w:r>
          </w:p>
        </w:tc>
      </w:tr>
      <w:tr w:rsidR="00CD18D3" w:rsidRPr="00322850" w:rsidTr="002B2721">
        <w:tc>
          <w:tcPr>
            <w:tcW w:w="2694" w:type="dxa"/>
            <w:tcBorders>
              <w:right w:val="single" w:sz="12" w:space="0" w:color="auto"/>
            </w:tcBorders>
          </w:tcPr>
          <w:p w:rsidR="00CD18D3" w:rsidRPr="00322850" w:rsidRDefault="00CD18D3" w:rsidP="002B2721">
            <w:pPr>
              <w:rPr>
                <w:b/>
                <w:sz w:val="24"/>
                <w:szCs w:val="24"/>
              </w:rPr>
            </w:pPr>
            <w:r w:rsidRPr="00322850">
              <w:rPr>
                <w:b/>
                <w:sz w:val="24"/>
                <w:szCs w:val="24"/>
              </w:rPr>
              <w:t>Purpose</w:t>
            </w:r>
          </w:p>
        </w:tc>
        <w:tc>
          <w:tcPr>
            <w:tcW w:w="6378" w:type="dxa"/>
            <w:tcBorders>
              <w:left w:val="single" w:sz="12" w:space="0" w:color="auto"/>
            </w:tcBorders>
          </w:tcPr>
          <w:p w:rsidR="00CD18D3" w:rsidRPr="00322850" w:rsidRDefault="00CD18D3" w:rsidP="002B2721">
            <w:pPr>
              <w:rPr>
                <w:sz w:val="24"/>
                <w:szCs w:val="24"/>
              </w:rPr>
            </w:pPr>
            <w:r>
              <w:rPr>
                <w:noProof/>
                <w:sz w:val="24"/>
                <w:szCs w:val="24"/>
              </w:rPr>
              <w:t>S</w:t>
            </w:r>
            <w:r w:rsidRPr="00786081">
              <w:rPr>
                <w:noProof/>
                <w:sz w:val="24"/>
                <w:szCs w:val="24"/>
              </w:rPr>
              <w:t>upport</w:t>
            </w:r>
            <w:r>
              <w:rPr>
                <w:noProof/>
                <w:sz w:val="24"/>
                <w:szCs w:val="24"/>
              </w:rPr>
              <w:t>s</w:t>
            </w:r>
            <w:r w:rsidRPr="00786081">
              <w:rPr>
                <w:noProof/>
                <w:sz w:val="24"/>
                <w:szCs w:val="24"/>
              </w:rPr>
              <w:t xml:space="preserve"> the implementation of the measures contained in the </w:t>
            </w:r>
            <w:r w:rsidRPr="006F66B1">
              <w:rPr>
                <w:i/>
                <w:noProof/>
                <w:sz w:val="24"/>
                <w:szCs w:val="24"/>
              </w:rPr>
              <w:t>Ozone Protection and Synthetic Greenhouse Gas Management Legislation Amendment Act 2017</w:t>
            </w:r>
            <w:r w:rsidRPr="00786081">
              <w:rPr>
                <w:noProof/>
                <w:sz w:val="24"/>
                <w:szCs w:val="24"/>
              </w:rPr>
              <w:t xml:space="preserve"> by prescribing the detail of the hydrofluorocarbon</w:t>
            </w:r>
            <w:r>
              <w:rPr>
                <w:noProof/>
                <w:sz w:val="24"/>
                <w:szCs w:val="24"/>
              </w:rPr>
              <w:t xml:space="preserve"> </w:t>
            </w:r>
            <w:r w:rsidRPr="00786081">
              <w:rPr>
                <w:noProof/>
                <w:sz w:val="24"/>
                <w:szCs w:val="24"/>
              </w:rPr>
              <w:t xml:space="preserve">phase-down scheme, prescribing allowable uses for </w:t>
            </w:r>
            <w:r>
              <w:rPr>
                <w:noProof/>
                <w:sz w:val="24"/>
                <w:szCs w:val="24"/>
              </w:rPr>
              <w:t xml:space="preserve">hydrochlorofluorocarbons </w:t>
            </w:r>
            <w:r w:rsidRPr="00786081">
              <w:rPr>
                <w:noProof/>
                <w:sz w:val="24"/>
                <w:szCs w:val="24"/>
              </w:rPr>
              <w:t xml:space="preserve">from 1 January 2020, allowing the Secretary to delegate functions and powers, prescribing fee arrangements and </w:t>
            </w:r>
            <w:r>
              <w:rPr>
                <w:noProof/>
                <w:sz w:val="24"/>
                <w:szCs w:val="24"/>
              </w:rPr>
              <w:t xml:space="preserve">other </w:t>
            </w:r>
            <w:r w:rsidRPr="00786081">
              <w:rPr>
                <w:noProof/>
                <w:sz w:val="24"/>
                <w:szCs w:val="24"/>
              </w:rPr>
              <w:t xml:space="preserve">administrative measures </w:t>
            </w:r>
            <w:r>
              <w:rPr>
                <w:noProof/>
                <w:sz w:val="24"/>
                <w:szCs w:val="24"/>
              </w:rPr>
              <w:t>relating to licenses, and other matters</w:t>
            </w:r>
          </w:p>
        </w:tc>
      </w:tr>
      <w:tr w:rsidR="00CD18D3" w:rsidRPr="00322850" w:rsidTr="002B2721">
        <w:tc>
          <w:tcPr>
            <w:tcW w:w="2694" w:type="dxa"/>
            <w:tcBorders>
              <w:right w:val="single" w:sz="12" w:space="0" w:color="auto"/>
            </w:tcBorders>
          </w:tcPr>
          <w:p w:rsidR="00CD18D3" w:rsidRPr="00322850" w:rsidRDefault="00CD18D3" w:rsidP="002B2721">
            <w:pPr>
              <w:rPr>
                <w:b/>
                <w:sz w:val="24"/>
                <w:szCs w:val="24"/>
              </w:rPr>
            </w:pPr>
            <w:r w:rsidRPr="00322850">
              <w:rPr>
                <w:b/>
                <w:sz w:val="24"/>
                <w:szCs w:val="24"/>
              </w:rPr>
              <w:t>Authorising legislation</w:t>
            </w:r>
          </w:p>
        </w:tc>
        <w:tc>
          <w:tcPr>
            <w:tcW w:w="6378" w:type="dxa"/>
            <w:tcBorders>
              <w:left w:val="single" w:sz="12" w:space="0" w:color="auto"/>
            </w:tcBorders>
          </w:tcPr>
          <w:p w:rsidR="00CD18D3" w:rsidRPr="00322850" w:rsidRDefault="00CD18D3" w:rsidP="002B2721">
            <w:pPr>
              <w:rPr>
                <w:i/>
                <w:sz w:val="24"/>
                <w:szCs w:val="24"/>
              </w:rPr>
            </w:pPr>
            <w:r w:rsidRPr="00786081">
              <w:rPr>
                <w:i/>
                <w:noProof/>
                <w:sz w:val="24"/>
                <w:szCs w:val="24"/>
              </w:rPr>
              <w:t>Ozone Protection and Synthetic Greenhouse Gas (Import Levy) Act 1995</w:t>
            </w:r>
            <w:r w:rsidRPr="00863F0D">
              <w:rPr>
                <w:noProof/>
                <w:sz w:val="24"/>
                <w:szCs w:val="24"/>
              </w:rPr>
              <w:t>;</w:t>
            </w:r>
            <w:r w:rsidRPr="00786081">
              <w:rPr>
                <w:i/>
                <w:noProof/>
                <w:sz w:val="24"/>
                <w:szCs w:val="24"/>
              </w:rPr>
              <w:t xml:space="preserve"> Ozone Protection and Synthetic Greenhouse Gas (Manufacture Levy) Act 1995</w:t>
            </w:r>
            <w:r>
              <w:rPr>
                <w:noProof/>
                <w:sz w:val="24"/>
                <w:szCs w:val="24"/>
              </w:rPr>
              <w:t>;</w:t>
            </w:r>
            <w:r w:rsidRPr="00786081">
              <w:rPr>
                <w:i/>
                <w:noProof/>
                <w:sz w:val="24"/>
                <w:szCs w:val="24"/>
              </w:rPr>
              <w:t xml:space="preserve"> Ozone Protection and Synthetic Greenhouse Gas Management Act 1989</w:t>
            </w:r>
          </w:p>
        </w:tc>
      </w:tr>
      <w:tr w:rsidR="00CD18D3" w:rsidRPr="00322850" w:rsidTr="002B2721">
        <w:tc>
          <w:tcPr>
            <w:tcW w:w="2694" w:type="dxa"/>
            <w:tcBorders>
              <w:right w:val="single" w:sz="12" w:space="0" w:color="auto"/>
            </w:tcBorders>
          </w:tcPr>
          <w:p w:rsidR="00CD18D3" w:rsidRPr="00322850" w:rsidRDefault="00CD18D3" w:rsidP="002B2721">
            <w:pPr>
              <w:rPr>
                <w:b/>
                <w:sz w:val="24"/>
                <w:szCs w:val="24"/>
              </w:rPr>
            </w:pPr>
            <w:r w:rsidRPr="00322850">
              <w:rPr>
                <w:b/>
                <w:sz w:val="24"/>
                <w:szCs w:val="24"/>
              </w:rPr>
              <w:t>Department</w:t>
            </w:r>
          </w:p>
        </w:tc>
        <w:tc>
          <w:tcPr>
            <w:tcW w:w="6378" w:type="dxa"/>
            <w:tcBorders>
              <w:left w:val="single" w:sz="12" w:space="0" w:color="auto"/>
            </w:tcBorders>
          </w:tcPr>
          <w:p w:rsidR="00CD18D3" w:rsidRPr="00322850" w:rsidRDefault="00CD18D3" w:rsidP="002B2721">
            <w:pPr>
              <w:rPr>
                <w:sz w:val="24"/>
                <w:szCs w:val="24"/>
              </w:rPr>
            </w:pPr>
            <w:r w:rsidRPr="00786081">
              <w:rPr>
                <w:noProof/>
                <w:sz w:val="24"/>
                <w:szCs w:val="24"/>
              </w:rPr>
              <w:t>Environment and Energy</w:t>
            </w:r>
          </w:p>
        </w:tc>
      </w:tr>
      <w:tr w:rsidR="00CD18D3" w:rsidRPr="00322850" w:rsidTr="002B2721">
        <w:tc>
          <w:tcPr>
            <w:tcW w:w="2694" w:type="dxa"/>
            <w:tcBorders>
              <w:right w:val="single" w:sz="12" w:space="0" w:color="auto"/>
            </w:tcBorders>
          </w:tcPr>
          <w:p w:rsidR="00CD18D3" w:rsidRPr="00322850" w:rsidRDefault="00CD18D3" w:rsidP="002B2721">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CD18D3" w:rsidRPr="00322850" w:rsidRDefault="00CD18D3" w:rsidP="002B2721">
            <w:pPr>
              <w:rPr>
                <w:sz w:val="24"/>
                <w:szCs w:val="24"/>
              </w:rPr>
            </w:pPr>
            <w:r>
              <w:rPr>
                <w:sz w:val="24"/>
                <w:szCs w:val="24"/>
              </w:rPr>
              <w:t xml:space="preserve">15 sitting days after tabling (tabled Senate </w:t>
            </w:r>
            <w:r w:rsidRPr="00786081">
              <w:rPr>
                <w:noProof/>
                <w:sz w:val="24"/>
                <w:szCs w:val="24"/>
              </w:rPr>
              <w:t>8 August</w:t>
            </w:r>
            <w:r>
              <w:rPr>
                <w:sz w:val="24"/>
                <w:szCs w:val="24"/>
              </w:rPr>
              <w:t xml:space="preserve"> 2017)</w:t>
            </w:r>
            <w:r>
              <w:rPr>
                <w:sz w:val="24"/>
                <w:szCs w:val="24"/>
              </w:rPr>
              <w:br/>
              <w:t>Notice of motion to disallow currently must be given by</w:t>
            </w:r>
            <w:r>
              <w:rPr>
                <w:sz w:val="24"/>
                <w:szCs w:val="24"/>
              </w:rPr>
              <w:br/>
            </w:r>
            <w:r w:rsidRPr="00786081">
              <w:rPr>
                <w:noProof/>
                <w:sz w:val="24"/>
                <w:szCs w:val="24"/>
              </w:rPr>
              <w:t>16 October</w:t>
            </w:r>
            <w:r>
              <w:rPr>
                <w:sz w:val="24"/>
                <w:szCs w:val="24"/>
              </w:rPr>
              <w:t xml:space="preserve"> 2017</w:t>
            </w:r>
          </w:p>
        </w:tc>
      </w:tr>
      <w:tr w:rsidR="00CD18D3" w:rsidRPr="00322850" w:rsidTr="002B2721">
        <w:tc>
          <w:tcPr>
            <w:tcW w:w="2694" w:type="dxa"/>
            <w:tcBorders>
              <w:bottom w:val="single" w:sz="12" w:space="0" w:color="auto"/>
              <w:right w:val="single" w:sz="12" w:space="0" w:color="auto"/>
            </w:tcBorders>
          </w:tcPr>
          <w:p w:rsidR="00CD18D3" w:rsidRPr="00322850" w:rsidRDefault="00CD18D3" w:rsidP="002B2721">
            <w:pPr>
              <w:rPr>
                <w:b/>
                <w:sz w:val="24"/>
                <w:szCs w:val="24"/>
              </w:rPr>
            </w:pPr>
            <w:r w:rsidRPr="00322850">
              <w:rPr>
                <w:b/>
                <w:sz w:val="24"/>
                <w:szCs w:val="24"/>
              </w:rPr>
              <w:t>Scrutiny principle</w:t>
            </w:r>
          </w:p>
        </w:tc>
        <w:tc>
          <w:tcPr>
            <w:tcW w:w="6378" w:type="dxa"/>
            <w:tcBorders>
              <w:left w:val="single" w:sz="12" w:space="0" w:color="auto"/>
              <w:bottom w:val="single" w:sz="12" w:space="0" w:color="auto"/>
            </w:tcBorders>
          </w:tcPr>
          <w:p w:rsidR="00CD18D3" w:rsidRPr="00322850" w:rsidRDefault="00CD18D3" w:rsidP="002B2721">
            <w:pPr>
              <w:rPr>
                <w:sz w:val="24"/>
                <w:szCs w:val="24"/>
              </w:rPr>
            </w:pPr>
            <w:r w:rsidRPr="00322850">
              <w:rPr>
                <w:sz w:val="24"/>
                <w:szCs w:val="24"/>
              </w:rPr>
              <w:t>Standing Order 23(3)</w:t>
            </w:r>
            <w:r w:rsidRPr="00786081">
              <w:rPr>
                <w:noProof/>
                <w:sz w:val="24"/>
                <w:szCs w:val="24"/>
              </w:rPr>
              <w:t>(a)</w:t>
            </w:r>
            <w:r>
              <w:rPr>
                <w:noProof/>
                <w:sz w:val="24"/>
                <w:szCs w:val="24"/>
              </w:rPr>
              <w:t>, (d)</w:t>
            </w:r>
          </w:p>
        </w:tc>
      </w:tr>
    </w:tbl>
    <w:p w:rsidR="00CD18D3" w:rsidRPr="00322850" w:rsidRDefault="00CD18D3" w:rsidP="00CD18D3">
      <w:pPr>
        <w:spacing w:after="0"/>
      </w:pPr>
    </w:p>
    <w:p w:rsidR="00CD18D3" w:rsidRPr="00786081" w:rsidRDefault="00CD18D3" w:rsidP="00CD18D3">
      <w:pPr>
        <w:spacing w:before="0"/>
        <w:rPr>
          <w:b/>
          <w:noProof/>
        </w:rPr>
      </w:pPr>
      <w:r w:rsidRPr="00786081">
        <w:rPr>
          <w:b/>
          <w:noProof/>
        </w:rPr>
        <w:t>Sub</w:t>
      </w:r>
      <w:r>
        <w:rPr>
          <w:b/>
          <w:noProof/>
        </w:rPr>
        <w:t>-</w:t>
      </w:r>
      <w:r w:rsidRPr="00786081">
        <w:rPr>
          <w:b/>
          <w:noProof/>
        </w:rPr>
        <w:t>delegation</w:t>
      </w:r>
    </w:p>
    <w:p w:rsidR="00CD18D3" w:rsidRPr="000A1B44" w:rsidRDefault="00CD18D3" w:rsidP="00CD18D3">
      <w:r w:rsidRPr="000A1B44">
        <w:t>Item 34 of Schedule 1 to the regulation inserts new regulation 916 into the Ozone Protection and Synthetic Greenhouse Gas Management Regulations 1995 (OPSGGM Regulations). New paragraph 916(1)(b) provides that the minister’s functions and powers can be delegated to an Australian Public Service (APS) employee who holds, or is acting in, an Executive Level 2 (or equivalent) position in the Department of Environment and Energy (the department).</w:t>
      </w:r>
    </w:p>
    <w:p w:rsidR="00CD18D3" w:rsidRPr="000A1B44" w:rsidRDefault="00CD18D3" w:rsidP="00CD18D3">
      <w:r w:rsidRPr="000A1B44">
        <w:t>The committee's expectations in relation to sub-delegation accord with the approach of the Senate Standing Committee for the Scrutiny of Bills (Scrutiny of Bills committee), which has consistently drawn attention to legislation that allows delegations to a relatively large class of persons, with little or no specificity as to their qualifications or attributes. Generally, a limit should be set in legislation on either the sorts of powers that might be delegated</w:t>
      </w:r>
      <w:r>
        <w:t xml:space="preserve"> or on the categories of people</w:t>
      </w:r>
      <w:r>
        <w:br/>
      </w:r>
      <w:r w:rsidRPr="000A1B44">
        <w:t xml:space="preserve">to whom powers might be delegated; and delegates should be confined to the holders of nominated offices or to members of the senior executive service.  </w:t>
      </w:r>
    </w:p>
    <w:p w:rsidR="00CD18D3" w:rsidRPr="000A1B44" w:rsidRDefault="00CD18D3" w:rsidP="00CD18D3">
      <w:r w:rsidRPr="000A1B44">
        <w:t xml:space="preserve">The committee acknowledges that new paragraph 916(1)(b) of the OPSGGM Regulations is similar to section 67A in the </w:t>
      </w:r>
      <w:r w:rsidRPr="000A1B44">
        <w:rPr>
          <w:i/>
        </w:rPr>
        <w:t>Ozone Protection and Synthetic Greenhouse Gas Management Act 1989</w:t>
      </w:r>
      <w:r w:rsidRPr="000A1B44">
        <w:t xml:space="preserve"> (OPSGGM Act) which provides for </w:t>
      </w:r>
      <w:r w:rsidRPr="000A1B44">
        <w:lastRenderedPageBreak/>
        <w:t xml:space="preserve">delegations to Executive Level 2 officers within the department. </w:t>
      </w:r>
      <w:r>
        <w:t>T</w:t>
      </w:r>
      <w:r w:rsidRPr="0009395A">
        <w:t>he committee notes that the ES states:</w:t>
      </w:r>
    </w:p>
    <w:p w:rsidR="00CD18D3" w:rsidRPr="0009395A" w:rsidRDefault="00CD18D3" w:rsidP="00CD18D3">
      <w:pPr>
        <w:spacing w:before="0"/>
        <w:ind w:left="851" w:right="851"/>
        <w:rPr>
          <w:sz w:val="24"/>
        </w:rPr>
      </w:pPr>
      <w:r w:rsidRPr="0009395A">
        <w:rPr>
          <w:sz w:val="24"/>
        </w:rPr>
        <w:t>While Item 34 is drafted to refer to an APS employee who holds or performs the duties of an Executive Level 2, or equivalent, position, it is intended that these functions and powers would only be delegated to Executive Level 2 employees in the Department who have day-to-day responsibility for the administration of the OPSGGM Act and the Principal Regulations.</w:t>
      </w:r>
    </w:p>
    <w:p w:rsidR="00CD18D3" w:rsidRPr="0009395A" w:rsidRDefault="00CD18D3" w:rsidP="00CD18D3">
      <w:pPr>
        <w:spacing w:before="0"/>
        <w:ind w:left="851" w:right="851"/>
        <w:rPr>
          <w:sz w:val="24"/>
        </w:rPr>
      </w:pPr>
      <w:r w:rsidRPr="0009395A">
        <w:rPr>
          <w:sz w:val="24"/>
        </w:rPr>
        <w:t>The capacity to delegate to Executive Level 2 officers who have day-to-day responsibilities in relation to the OPSGGM Act and the Principal Regulations is essential to streamline the administration of the OPSSGM legislation.</w:t>
      </w:r>
    </w:p>
    <w:p w:rsidR="00CD18D3" w:rsidRPr="0009395A" w:rsidRDefault="00CD18D3" w:rsidP="00CD18D3">
      <w:pPr>
        <w:spacing w:before="0"/>
        <w:ind w:left="851" w:right="851"/>
        <w:rPr>
          <w:sz w:val="24"/>
        </w:rPr>
      </w:pPr>
      <w:r w:rsidRPr="0009395A">
        <w:rPr>
          <w:sz w:val="24"/>
        </w:rPr>
        <w:t>The giving of delegations and the exercise of delegated powers are the subject of fraud control procedures, risk management processes and other protocols. These are designed to ensure delegated decision-making is made at the appropriate level and in a transparent and accountable manner.</w:t>
      </w:r>
    </w:p>
    <w:p w:rsidR="00CD18D3" w:rsidRDefault="00CD18D3" w:rsidP="00CD18D3">
      <w:r>
        <w:t xml:space="preserve">The committee notes this elaboration of the department's intended approach to the relevant delegations, </w:t>
      </w:r>
      <w:r>
        <w:rPr>
          <w:szCs w:val="26"/>
        </w:rPr>
        <w:t>and the minister's description of the safeguards in place to ensure that delegated decision-making power is exercised appropriately.</w:t>
      </w:r>
    </w:p>
    <w:p w:rsidR="00CD18D3" w:rsidRDefault="00CD18D3" w:rsidP="00CD18D3">
      <w:r>
        <w:t>T</w:t>
      </w:r>
      <w:r w:rsidRPr="009D4E49">
        <w:t>he committee remains concerned</w:t>
      </w:r>
      <w:r>
        <w:t>, however,</w:t>
      </w:r>
      <w:r w:rsidRPr="009D4E49">
        <w:t xml:space="preserve"> that there is no legislative requirement that a person to whom these powers are delegated possess appropriate qualifications or attributes to ensure the proper exercise of the powers. </w:t>
      </w:r>
      <w:r>
        <w:t xml:space="preserve">The committee's expectation is not that details of the qualifications and attributes for delegates be specified in the regulation; rather, that the regulation include a requirement that the minister be satisfied that the delegate has the relevant qualifications and attributes to properly exercise the powers delegated.  </w:t>
      </w:r>
    </w:p>
    <w:p w:rsidR="00CD18D3" w:rsidRPr="00ED6A56" w:rsidRDefault="00CD18D3" w:rsidP="00CD18D3">
      <w:pPr>
        <w:spacing w:after="0"/>
        <w:rPr>
          <w:noProof/>
        </w:rPr>
      </w:pPr>
      <w:r>
        <w:rPr>
          <w:b/>
          <w:noProof/>
        </w:rPr>
        <w:t>In light of the committee's concerns regarding the absence of a legislative requirement that an Executive Level 2 officer to whom the relevant powers are delegated possess appropriate qualifications or attributes to ensure the proper exercise of the power, the</w:t>
      </w:r>
      <w:r w:rsidRPr="005623F3">
        <w:rPr>
          <w:b/>
          <w:noProof/>
        </w:rPr>
        <w:t xml:space="preserve"> committee </w:t>
      </w:r>
      <w:r>
        <w:rPr>
          <w:b/>
          <w:noProof/>
        </w:rPr>
        <w:t>draws</w:t>
      </w:r>
      <w:r w:rsidRPr="005623F3">
        <w:rPr>
          <w:b/>
          <w:noProof/>
        </w:rPr>
        <w:t xml:space="preserve"> the above</w:t>
      </w:r>
      <w:r>
        <w:rPr>
          <w:b/>
          <w:noProof/>
        </w:rPr>
        <w:t xml:space="preserve"> to the attention of the Senate</w:t>
      </w:r>
      <w:r w:rsidRPr="005623F3">
        <w:rPr>
          <w:b/>
          <w:noProof/>
        </w:rPr>
        <w:t>.</w:t>
      </w:r>
    </w:p>
    <w:p w:rsidR="00CD18D3" w:rsidRPr="00C25B02" w:rsidRDefault="00CD18D3" w:rsidP="00CD18D3">
      <w:pPr>
        <w:tabs>
          <w:tab w:val="left" w:pos="2268"/>
        </w:tabs>
        <w:spacing w:before="0"/>
        <w:rPr>
          <w:b/>
          <w:noProof/>
        </w:rPr>
      </w:pPr>
      <w:r>
        <w:rPr>
          <w:rFonts w:asciiTheme="minorHAnsi" w:hAnsiTheme="minorHAnsi"/>
          <w:lang w:eastAsia="en-AU"/>
        </w:rPr>
        <w:pict>
          <v:rect id="_x0000_i1036" style="width:222.95pt;height:.05pt" o:hrpct="494" o:hralign="center" o:hrstd="t" o:hr="t" fillcolor="#a0a0a0" stroked="f"/>
        </w:pict>
      </w:r>
    </w:p>
    <w:p w:rsidR="006C6921" w:rsidRDefault="006C6921" w:rsidP="00CD18D3">
      <w:pPr>
        <w:spacing w:before="0"/>
        <w:rPr>
          <w:b/>
          <w:noProof/>
        </w:rPr>
      </w:pPr>
    </w:p>
    <w:p w:rsidR="00CD18D3" w:rsidRPr="00786081" w:rsidRDefault="00CD18D3" w:rsidP="00CD18D3">
      <w:pPr>
        <w:spacing w:before="0"/>
        <w:rPr>
          <w:b/>
          <w:noProof/>
        </w:rPr>
      </w:pPr>
      <w:r w:rsidRPr="0009395A">
        <w:rPr>
          <w:b/>
          <w:noProof/>
        </w:rPr>
        <w:t xml:space="preserve">Delegation of </w:t>
      </w:r>
      <w:r>
        <w:rPr>
          <w:b/>
          <w:noProof/>
        </w:rPr>
        <w:t>legislative power – exceptions to offences</w:t>
      </w:r>
    </w:p>
    <w:p w:rsidR="00CD18D3" w:rsidRPr="000A1B44" w:rsidRDefault="00CD18D3" w:rsidP="00CD18D3">
      <w:r w:rsidRPr="000A1B44">
        <w:t xml:space="preserve">Scrutiny principle 23(3)(d) of the committee's terms of reference requires the committee to consider whether an instrument contains matters more appropriate for parliamentary enactment (that is, matters that should be enacted via primary rather than delegated legislation). </w:t>
      </w:r>
    </w:p>
    <w:p w:rsidR="00CD18D3" w:rsidRPr="000A1B44" w:rsidRDefault="00CD18D3" w:rsidP="00CD18D3">
      <w:r w:rsidRPr="000A1B44">
        <w:t xml:space="preserve">The committee notes that amendments made to the OPSGGM Act by the Ozone Protection and Synthetic Greenhouse Gas Management Legislation Amendment </w:t>
      </w:r>
      <w:r w:rsidRPr="000A1B44">
        <w:lastRenderedPageBreak/>
        <w:t>Bill</w:t>
      </w:r>
      <w:r>
        <w:t> </w:t>
      </w:r>
      <w:r w:rsidRPr="000A1B44">
        <w:t>2017 included an offence for unlicensed manufacture, import or export of ozone depleting substan</w:t>
      </w:r>
      <w:r>
        <w:t>ces and synthetic greenhouse ga</w:t>
      </w:r>
      <w:r w:rsidRPr="000A1B44">
        <w:t xml:space="preserve">ses (new section 13). New section 13 provides for some of the exceptions to the offence to rely on circumstances, types of equipment, amounts of relevant substances, and conditions to be prescribed in the regulations, rather than these details being included in the principal legislation. </w:t>
      </w:r>
    </w:p>
    <w:p w:rsidR="00CD18D3" w:rsidRPr="000A1B44" w:rsidRDefault="00CD18D3" w:rsidP="00CD18D3">
      <w:r w:rsidRPr="000A1B44">
        <w:t>These amendments were identified by the Scrutiny of Bills committee as a delegation to the executive of the Parliament's power to legislate significant matters – in this case exceptions to offences contained in principal legislation – and were referred to this committee's attention.</w:t>
      </w:r>
      <w:r w:rsidRPr="000A1B44">
        <w:rPr>
          <w:vertAlign w:val="superscript"/>
        </w:rPr>
        <w:footnoteReference w:id="30"/>
      </w:r>
      <w:r w:rsidRPr="000A1B44">
        <w:t xml:space="preserve"> </w:t>
      </w:r>
    </w:p>
    <w:p w:rsidR="00CD18D3" w:rsidRDefault="00CD18D3" w:rsidP="00CD18D3">
      <w:r w:rsidRPr="000A1B44">
        <w:t xml:space="preserve">The committee notes that item 6 of Schedule 1 to the regulations amends regulation 3 of the OPSGGM Regulations to prescribe 'low volume thresholds', being amounts of substances and conditions to meet the exemptions in section 13 of the OPSGGM Act.  </w:t>
      </w:r>
    </w:p>
    <w:p w:rsidR="00CD18D3" w:rsidRDefault="00CD18D3" w:rsidP="00CD18D3">
      <w:r w:rsidRPr="008018F5">
        <w:t xml:space="preserve">The Scrutiny of Bills committee also noted that it considers that, where the Parliament delegates its legislative power in relation to significant regulatory matters, it is appropriate that specific consultation obligations (beyond those in section 17 of the </w:t>
      </w:r>
      <w:r w:rsidRPr="008018F5">
        <w:rPr>
          <w:i/>
        </w:rPr>
        <w:t>Legislation Act 2003</w:t>
      </w:r>
      <w:r w:rsidRPr="008018F5">
        <w:t>) are included in the bill and that compliance with these obligations is a condition of the validity of the legislative instrument.</w:t>
      </w:r>
    </w:p>
    <w:p w:rsidR="00CD18D3" w:rsidRPr="008018F5" w:rsidRDefault="00CD18D3" w:rsidP="00CD18D3">
      <w:r w:rsidRPr="008018F5">
        <w:t>In this respect, the committee notes that the ES to the regulations provides the following description of consultation that occurred before making the regulations:</w:t>
      </w:r>
    </w:p>
    <w:p w:rsidR="00CD18D3" w:rsidRPr="008018F5" w:rsidRDefault="00CD18D3" w:rsidP="00CD18D3">
      <w:pPr>
        <w:spacing w:before="0"/>
        <w:ind w:left="851" w:right="851"/>
        <w:rPr>
          <w:sz w:val="24"/>
        </w:rPr>
      </w:pPr>
      <w:r w:rsidRPr="008018F5">
        <w:rPr>
          <w:sz w:val="24"/>
        </w:rPr>
        <w:t>A review of the Ozone Protection and Synthetic Greenhouse Gas Program (the Review), completed in 2016, identified a range of measures to improve the effectiveness and efficiency of the Program and further reduce emissions of ozone depleting substances (ODS) and synthetic greenhouse gases (SGGs).</w:t>
      </w:r>
    </w:p>
    <w:p w:rsidR="00CD18D3" w:rsidRPr="000A1B44" w:rsidRDefault="00CD18D3" w:rsidP="00CD18D3">
      <w:pPr>
        <w:spacing w:before="0"/>
        <w:ind w:left="851" w:right="851"/>
        <w:rPr>
          <w:sz w:val="24"/>
        </w:rPr>
      </w:pPr>
      <w:r w:rsidRPr="008018F5">
        <w:rPr>
          <w:sz w:val="24"/>
        </w:rPr>
        <w:t>…Relevant industry stakeholders (including HFC importers, equipment manufacturers, end users, state and territory governments, and non-government organisations) were consulted regularly throughout the Review between 2014 and 2016. This consultation included the measures included in the Regulations. Consultation was undertaken through public consultation meetings, invitations for public comment on an options paper, participation in a technical working group representative of stakeholders, and regular meetings with HFC importers, equipment manufacturers, and end users. HFC importers and equipment manufacturers were also consulted with in deciding Australia’s revised phase-down schedule following agreement to the global HFC phase-down under the Montreal Protocol in October 2016.</w:t>
      </w:r>
    </w:p>
    <w:p w:rsidR="00CD18D3" w:rsidRPr="000A1B44" w:rsidRDefault="00CD18D3" w:rsidP="00CD18D3">
      <w:r w:rsidRPr="000A1B44">
        <w:lastRenderedPageBreak/>
        <w:t xml:space="preserve">The committee takes this opportunity to share and reiterate the view of the Scrutiny of Bills committee that important matters should be included in primary legislation unless a compelling justification is provided for their inclusion in delegated legislation.  </w:t>
      </w:r>
    </w:p>
    <w:p w:rsidR="00CD18D3" w:rsidRDefault="00CD18D3" w:rsidP="00CD18D3">
      <w:pPr>
        <w:rPr>
          <w:b/>
        </w:rPr>
      </w:pPr>
      <w:r w:rsidRPr="000A1B44">
        <w:rPr>
          <w:b/>
        </w:rPr>
        <w:t>The committee draws the above to the attention of the Senate.</w:t>
      </w:r>
    </w:p>
    <w:p w:rsidR="00CD18D3" w:rsidRDefault="00CD18D3" w:rsidP="00CD18D3">
      <w:pPr>
        <w:spacing w:before="0"/>
        <w:rPr>
          <w:b/>
        </w:rPr>
      </w:pPr>
    </w:p>
    <w:p w:rsidR="006C6921" w:rsidRPr="000A1B44" w:rsidRDefault="006C6921" w:rsidP="00CD18D3">
      <w:pPr>
        <w:spacing w:before="0"/>
        <w:rPr>
          <w:b/>
        </w:rPr>
      </w:pPr>
    </w:p>
    <w:tbl>
      <w:tblPr>
        <w:tblW w:w="0" w:type="auto"/>
        <w:tblInd w:w="108" w:type="dxa"/>
        <w:tblLook w:val="04A0" w:firstRow="1" w:lastRow="0" w:firstColumn="1" w:lastColumn="0" w:noHBand="0" w:noVBand="1"/>
      </w:tblPr>
      <w:tblGrid>
        <w:gridCol w:w="2694"/>
        <w:gridCol w:w="6378"/>
      </w:tblGrid>
      <w:tr w:rsidR="00CD18D3" w:rsidRPr="00322850" w:rsidTr="002B2721">
        <w:tc>
          <w:tcPr>
            <w:tcW w:w="2694" w:type="dxa"/>
            <w:tcBorders>
              <w:top w:val="single" w:sz="12" w:space="0" w:color="auto"/>
              <w:right w:val="single" w:sz="12" w:space="0" w:color="auto"/>
            </w:tcBorders>
          </w:tcPr>
          <w:p w:rsidR="00CD18D3" w:rsidRPr="00322850" w:rsidRDefault="00CD18D3" w:rsidP="002B2721">
            <w:pPr>
              <w:rPr>
                <w:b/>
                <w:sz w:val="24"/>
                <w:szCs w:val="24"/>
              </w:rPr>
            </w:pPr>
            <w:r w:rsidRPr="00322850">
              <w:rPr>
                <w:b/>
                <w:sz w:val="24"/>
                <w:szCs w:val="24"/>
              </w:rPr>
              <w:t>Instrument</w:t>
            </w:r>
          </w:p>
        </w:tc>
        <w:tc>
          <w:tcPr>
            <w:tcW w:w="6378" w:type="dxa"/>
            <w:tcBorders>
              <w:top w:val="single" w:sz="12" w:space="0" w:color="auto"/>
              <w:left w:val="single" w:sz="12" w:space="0" w:color="auto"/>
            </w:tcBorders>
          </w:tcPr>
          <w:p w:rsidR="00CD18D3" w:rsidRPr="00322850" w:rsidRDefault="00CD18D3" w:rsidP="002B2721">
            <w:pPr>
              <w:pStyle w:val="Heading3"/>
              <w:rPr>
                <w:sz w:val="24"/>
                <w:szCs w:val="24"/>
              </w:rPr>
            </w:pPr>
            <w:r w:rsidRPr="00786081">
              <w:rPr>
                <w:noProof/>
                <w:sz w:val="24"/>
                <w:szCs w:val="24"/>
              </w:rPr>
              <w:t>Taxation Adminis</w:t>
            </w:r>
            <w:r>
              <w:rPr>
                <w:noProof/>
                <w:sz w:val="24"/>
                <w:szCs w:val="24"/>
              </w:rPr>
              <w:t xml:space="preserve">tration (Remedial Power—Foreign </w:t>
            </w:r>
            <w:r w:rsidRPr="00786081">
              <w:rPr>
                <w:noProof/>
                <w:sz w:val="24"/>
                <w:szCs w:val="24"/>
              </w:rPr>
              <w:t>Resident Capital Gains Withholding) Determination 2017 [F2017L00992]</w:t>
            </w:r>
          </w:p>
        </w:tc>
      </w:tr>
      <w:tr w:rsidR="00CD18D3" w:rsidRPr="00322850" w:rsidTr="002B2721">
        <w:tc>
          <w:tcPr>
            <w:tcW w:w="2694" w:type="dxa"/>
            <w:tcBorders>
              <w:right w:val="single" w:sz="12" w:space="0" w:color="auto"/>
            </w:tcBorders>
          </w:tcPr>
          <w:p w:rsidR="00CD18D3" w:rsidRPr="00322850" w:rsidRDefault="00CD18D3" w:rsidP="002B2721">
            <w:pPr>
              <w:rPr>
                <w:b/>
                <w:sz w:val="24"/>
                <w:szCs w:val="24"/>
              </w:rPr>
            </w:pPr>
            <w:r w:rsidRPr="00322850">
              <w:rPr>
                <w:b/>
                <w:sz w:val="24"/>
                <w:szCs w:val="24"/>
              </w:rPr>
              <w:t>Purpose</w:t>
            </w:r>
          </w:p>
        </w:tc>
        <w:tc>
          <w:tcPr>
            <w:tcW w:w="6378" w:type="dxa"/>
            <w:tcBorders>
              <w:left w:val="single" w:sz="12" w:space="0" w:color="auto"/>
            </w:tcBorders>
          </w:tcPr>
          <w:p w:rsidR="00CD18D3" w:rsidRPr="00322850" w:rsidRDefault="00CD18D3" w:rsidP="002B2721">
            <w:pPr>
              <w:rPr>
                <w:sz w:val="24"/>
                <w:szCs w:val="24"/>
              </w:rPr>
            </w:pPr>
            <w:r w:rsidRPr="00786081">
              <w:rPr>
                <w:noProof/>
                <w:sz w:val="24"/>
                <w:szCs w:val="24"/>
              </w:rPr>
              <w:t>Modifies the operation of the crediting provisions in Schedule</w:t>
            </w:r>
            <w:r>
              <w:rPr>
                <w:noProof/>
                <w:sz w:val="24"/>
                <w:szCs w:val="24"/>
              </w:rPr>
              <w:t> </w:t>
            </w:r>
            <w:r w:rsidRPr="00786081">
              <w:rPr>
                <w:noProof/>
                <w:sz w:val="24"/>
                <w:szCs w:val="24"/>
              </w:rPr>
              <w:t xml:space="preserve">1 to the </w:t>
            </w:r>
            <w:r w:rsidRPr="00E67A50">
              <w:rPr>
                <w:i/>
                <w:noProof/>
                <w:sz w:val="24"/>
                <w:szCs w:val="24"/>
              </w:rPr>
              <w:t>Taxation Administration Act 1953</w:t>
            </w:r>
            <w:r w:rsidRPr="00786081">
              <w:rPr>
                <w:noProof/>
                <w:sz w:val="24"/>
                <w:szCs w:val="24"/>
              </w:rPr>
              <w:t>, to permit an entity to claim a credit for an amount paid to the Commissioner, in respect of a transaction that is subject to the Foreign Resident Capital Gains Withholding provisions in subdivision 14-D in Schedule 1</w:t>
            </w:r>
          </w:p>
        </w:tc>
      </w:tr>
      <w:tr w:rsidR="00CD18D3" w:rsidRPr="00322850" w:rsidTr="002B2721">
        <w:tc>
          <w:tcPr>
            <w:tcW w:w="2694" w:type="dxa"/>
            <w:tcBorders>
              <w:right w:val="single" w:sz="12" w:space="0" w:color="auto"/>
            </w:tcBorders>
          </w:tcPr>
          <w:p w:rsidR="00CD18D3" w:rsidRPr="00322850" w:rsidRDefault="00CD18D3" w:rsidP="002B2721">
            <w:pPr>
              <w:rPr>
                <w:b/>
                <w:sz w:val="24"/>
                <w:szCs w:val="24"/>
              </w:rPr>
            </w:pPr>
            <w:r w:rsidRPr="00322850">
              <w:rPr>
                <w:b/>
                <w:sz w:val="24"/>
                <w:szCs w:val="24"/>
              </w:rPr>
              <w:t>Authorising legislation</w:t>
            </w:r>
          </w:p>
        </w:tc>
        <w:tc>
          <w:tcPr>
            <w:tcW w:w="6378" w:type="dxa"/>
            <w:tcBorders>
              <w:left w:val="single" w:sz="12" w:space="0" w:color="auto"/>
            </w:tcBorders>
          </w:tcPr>
          <w:p w:rsidR="00CD18D3" w:rsidRPr="00322850" w:rsidRDefault="00CD18D3" w:rsidP="002B2721">
            <w:pPr>
              <w:rPr>
                <w:i/>
                <w:sz w:val="24"/>
                <w:szCs w:val="24"/>
              </w:rPr>
            </w:pPr>
            <w:r w:rsidRPr="00786081">
              <w:rPr>
                <w:i/>
                <w:noProof/>
                <w:sz w:val="24"/>
                <w:szCs w:val="24"/>
              </w:rPr>
              <w:t>Taxation Administration Act 1953</w:t>
            </w:r>
          </w:p>
        </w:tc>
      </w:tr>
      <w:tr w:rsidR="00CD18D3" w:rsidRPr="00322850" w:rsidTr="002B2721">
        <w:tc>
          <w:tcPr>
            <w:tcW w:w="2694" w:type="dxa"/>
            <w:tcBorders>
              <w:right w:val="single" w:sz="12" w:space="0" w:color="auto"/>
            </w:tcBorders>
          </w:tcPr>
          <w:p w:rsidR="00CD18D3" w:rsidRPr="00322850" w:rsidRDefault="00CD18D3" w:rsidP="002B2721">
            <w:pPr>
              <w:rPr>
                <w:b/>
                <w:sz w:val="24"/>
                <w:szCs w:val="24"/>
              </w:rPr>
            </w:pPr>
            <w:r w:rsidRPr="00322850">
              <w:rPr>
                <w:b/>
                <w:sz w:val="24"/>
                <w:szCs w:val="24"/>
              </w:rPr>
              <w:t>Department</w:t>
            </w:r>
          </w:p>
        </w:tc>
        <w:tc>
          <w:tcPr>
            <w:tcW w:w="6378" w:type="dxa"/>
            <w:tcBorders>
              <w:left w:val="single" w:sz="12" w:space="0" w:color="auto"/>
            </w:tcBorders>
          </w:tcPr>
          <w:p w:rsidR="00CD18D3" w:rsidRPr="00322850" w:rsidRDefault="00CD18D3" w:rsidP="002B2721">
            <w:pPr>
              <w:rPr>
                <w:sz w:val="24"/>
                <w:szCs w:val="24"/>
              </w:rPr>
            </w:pPr>
            <w:r w:rsidRPr="00786081">
              <w:rPr>
                <w:noProof/>
                <w:sz w:val="24"/>
                <w:szCs w:val="24"/>
              </w:rPr>
              <w:t>Treasury</w:t>
            </w:r>
          </w:p>
        </w:tc>
      </w:tr>
      <w:tr w:rsidR="00CD18D3" w:rsidRPr="00322850" w:rsidTr="002B2721">
        <w:tc>
          <w:tcPr>
            <w:tcW w:w="2694" w:type="dxa"/>
            <w:tcBorders>
              <w:right w:val="single" w:sz="12" w:space="0" w:color="auto"/>
            </w:tcBorders>
          </w:tcPr>
          <w:p w:rsidR="00CD18D3" w:rsidRPr="00322850" w:rsidRDefault="00CD18D3" w:rsidP="002B2721">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CD18D3" w:rsidRPr="00322850" w:rsidRDefault="00CD18D3" w:rsidP="002B2721">
            <w:pPr>
              <w:rPr>
                <w:sz w:val="24"/>
                <w:szCs w:val="24"/>
              </w:rPr>
            </w:pPr>
            <w:r>
              <w:rPr>
                <w:sz w:val="24"/>
                <w:szCs w:val="24"/>
              </w:rPr>
              <w:t xml:space="preserve">15 sitting days after tabling (tabled Senate </w:t>
            </w:r>
            <w:r w:rsidRPr="00786081">
              <w:rPr>
                <w:noProof/>
                <w:sz w:val="24"/>
                <w:szCs w:val="24"/>
              </w:rPr>
              <w:t>8 August</w:t>
            </w:r>
            <w:r>
              <w:rPr>
                <w:sz w:val="24"/>
                <w:szCs w:val="24"/>
              </w:rPr>
              <w:t xml:space="preserve"> 2017)</w:t>
            </w:r>
            <w:r>
              <w:rPr>
                <w:sz w:val="24"/>
                <w:szCs w:val="24"/>
              </w:rPr>
              <w:br/>
              <w:t>Notice of motion to disallow currently must be given by</w:t>
            </w:r>
            <w:r>
              <w:rPr>
                <w:sz w:val="24"/>
                <w:szCs w:val="24"/>
              </w:rPr>
              <w:br/>
            </w:r>
            <w:r w:rsidRPr="00786081">
              <w:rPr>
                <w:noProof/>
                <w:sz w:val="24"/>
                <w:szCs w:val="24"/>
              </w:rPr>
              <w:t>16 October</w:t>
            </w:r>
            <w:r>
              <w:rPr>
                <w:sz w:val="24"/>
                <w:szCs w:val="24"/>
              </w:rPr>
              <w:t xml:space="preserve"> 2017</w:t>
            </w:r>
          </w:p>
        </w:tc>
      </w:tr>
      <w:tr w:rsidR="00CD18D3" w:rsidRPr="00322850" w:rsidTr="002B2721">
        <w:tc>
          <w:tcPr>
            <w:tcW w:w="2694" w:type="dxa"/>
            <w:tcBorders>
              <w:bottom w:val="single" w:sz="12" w:space="0" w:color="auto"/>
              <w:right w:val="single" w:sz="12" w:space="0" w:color="auto"/>
            </w:tcBorders>
          </w:tcPr>
          <w:p w:rsidR="00CD18D3" w:rsidRPr="00322850" w:rsidRDefault="00CD18D3" w:rsidP="002B2721">
            <w:pPr>
              <w:rPr>
                <w:b/>
                <w:sz w:val="24"/>
                <w:szCs w:val="24"/>
              </w:rPr>
            </w:pPr>
            <w:r w:rsidRPr="00322850">
              <w:rPr>
                <w:b/>
                <w:sz w:val="24"/>
                <w:szCs w:val="24"/>
              </w:rPr>
              <w:t>Scrutiny principle</w:t>
            </w:r>
          </w:p>
        </w:tc>
        <w:tc>
          <w:tcPr>
            <w:tcW w:w="6378" w:type="dxa"/>
            <w:tcBorders>
              <w:left w:val="single" w:sz="12" w:space="0" w:color="auto"/>
              <w:bottom w:val="single" w:sz="12" w:space="0" w:color="auto"/>
            </w:tcBorders>
          </w:tcPr>
          <w:p w:rsidR="00CD18D3" w:rsidRPr="00322850" w:rsidRDefault="00CD18D3" w:rsidP="002B2721">
            <w:pPr>
              <w:rPr>
                <w:sz w:val="24"/>
                <w:szCs w:val="24"/>
              </w:rPr>
            </w:pPr>
            <w:r w:rsidRPr="00322850">
              <w:rPr>
                <w:sz w:val="24"/>
                <w:szCs w:val="24"/>
              </w:rPr>
              <w:t>Standing Order 23(3)</w:t>
            </w:r>
            <w:r w:rsidRPr="00786081">
              <w:rPr>
                <w:noProof/>
                <w:sz w:val="24"/>
                <w:szCs w:val="24"/>
              </w:rPr>
              <w:t>(a)</w:t>
            </w:r>
          </w:p>
        </w:tc>
      </w:tr>
    </w:tbl>
    <w:p w:rsidR="00CD18D3" w:rsidRPr="00322850" w:rsidRDefault="00CD18D3" w:rsidP="00CD18D3">
      <w:pPr>
        <w:spacing w:before="0" w:after="0"/>
      </w:pPr>
    </w:p>
    <w:p w:rsidR="00CD18D3" w:rsidRPr="00786081" w:rsidRDefault="00CD18D3" w:rsidP="00CD18D3">
      <w:pPr>
        <w:rPr>
          <w:b/>
          <w:noProof/>
        </w:rPr>
      </w:pPr>
      <w:r w:rsidRPr="00786081">
        <w:rPr>
          <w:b/>
          <w:noProof/>
        </w:rPr>
        <w:t>Delegation of legislative power – commissioner of taxation’s remedial power</w:t>
      </w:r>
    </w:p>
    <w:p w:rsidR="00CD18D3" w:rsidRDefault="00CD18D3" w:rsidP="00CD18D3">
      <w:pPr>
        <w:rPr>
          <w:noProof/>
        </w:rPr>
      </w:pPr>
      <w:r w:rsidRPr="00CE29B3">
        <w:rPr>
          <w:noProof/>
        </w:rPr>
        <w:t xml:space="preserve">The committee </w:t>
      </w:r>
      <w:r>
        <w:rPr>
          <w:noProof/>
        </w:rPr>
        <w:t xml:space="preserve">notes that this determination is made under </w:t>
      </w:r>
      <w:r w:rsidRPr="00CE29B3">
        <w:rPr>
          <w:noProof/>
        </w:rPr>
        <w:t>section 370-5 of </w:t>
      </w:r>
      <w:r w:rsidRPr="00CE29B3">
        <w:rPr>
          <w:iCs/>
          <w:noProof/>
        </w:rPr>
        <w:t>Schedule 1 to the</w:t>
      </w:r>
      <w:r w:rsidRPr="00CE29B3">
        <w:rPr>
          <w:i/>
          <w:iCs/>
          <w:noProof/>
        </w:rPr>
        <w:t xml:space="preserve"> Taxation Administration Act 1953</w:t>
      </w:r>
      <w:r>
        <w:rPr>
          <w:iCs/>
          <w:noProof/>
        </w:rPr>
        <w:t xml:space="preserve">, which was inserted into that Act by the </w:t>
      </w:r>
      <w:r w:rsidRPr="00663859">
        <w:rPr>
          <w:i/>
          <w:iCs/>
          <w:noProof/>
        </w:rPr>
        <w:t>Tax and Superannuation Laws Amendment (2016 Measures No. 2) Act</w:t>
      </w:r>
      <w:r>
        <w:rPr>
          <w:i/>
          <w:iCs/>
          <w:noProof/>
        </w:rPr>
        <w:t> </w:t>
      </w:r>
      <w:r w:rsidRPr="00663859">
        <w:rPr>
          <w:i/>
          <w:iCs/>
          <w:noProof/>
        </w:rPr>
        <w:t>2016</w:t>
      </w:r>
      <w:r w:rsidRPr="00CE29B3">
        <w:rPr>
          <w:noProof/>
        </w:rPr>
        <w:t>.</w:t>
      </w:r>
      <w:r>
        <w:rPr>
          <w:noProof/>
        </w:rPr>
        <w:t xml:space="preserve"> This provision confers on the Commissioner of Taxation a 'remedial power' to modify, by a disallowable legislative instrument, the operation of a taxation law. The provision was referred to the committee's attention by the Senate Standing Committee for the Scrutiny of Bills (Scrutiny of Bills committee), which noted that</w:t>
      </w:r>
      <w:r>
        <w:rPr>
          <w:noProof/>
        </w:rPr>
        <w:br/>
        <w:t xml:space="preserve">the power is </w:t>
      </w:r>
      <w:r w:rsidRPr="00CE29B3">
        <w:rPr>
          <w:noProof/>
        </w:rPr>
        <w:t xml:space="preserve">akin to a so-called </w:t>
      </w:r>
      <w:r>
        <w:rPr>
          <w:noProof/>
        </w:rPr>
        <w:t>'</w:t>
      </w:r>
      <w:r w:rsidRPr="00CE29B3">
        <w:rPr>
          <w:noProof/>
        </w:rPr>
        <w:t>Henry VIII law</w:t>
      </w:r>
      <w:r>
        <w:rPr>
          <w:noProof/>
        </w:rPr>
        <w:t>'</w:t>
      </w:r>
      <w:r w:rsidRPr="00CE29B3">
        <w:rPr>
          <w:noProof/>
        </w:rPr>
        <w:t xml:space="preserve"> as it enables a legislative instrument to modify the operation of primary legislation.</w:t>
      </w:r>
      <w:r>
        <w:rPr>
          <w:rStyle w:val="FootnoteReference"/>
          <w:noProof/>
        </w:rPr>
        <w:footnoteReference w:id="31"/>
      </w:r>
      <w:r w:rsidRPr="00CE29B3">
        <w:rPr>
          <w:noProof/>
        </w:rPr>
        <w:t xml:space="preserve"> </w:t>
      </w:r>
    </w:p>
    <w:p w:rsidR="00CD18D3" w:rsidRPr="00CE29B3" w:rsidRDefault="00CD18D3" w:rsidP="00CD18D3">
      <w:pPr>
        <w:rPr>
          <w:noProof/>
        </w:rPr>
      </w:pPr>
      <w:r w:rsidRPr="00CE29B3">
        <w:rPr>
          <w:noProof/>
        </w:rPr>
        <w:lastRenderedPageBreak/>
        <w:t xml:space="preserve">Henry VIII clauses enable delegated legislation to override the operation of legislation which has been passed by the Parliament. In this regard, the committee's concern is that such </w:t>
      </w:r>
      <w:r>
        <w:rPr>
          <w:noProof/>
        </w:rPr>
        <w:t>provisions</w:t>
      </w:r>
      <w:r w:rsidRPr="00CE29B3">
        <w:rPr>
          <w:noProof/>
        </w:rPr>
        <w:t xml:space="preserve"> may subvert the appropriate relationship between the Parliament and the Executive branch of government.</w:t>
      </w:r>
    </w:p>
    <w:p w:rsidR="00CD18D3" w:rsidRDefault="00CD18D3" w:rsidP="00CD18D3">
      <w:pPr>
        <w:rPr>
          <w:noProof/>
        </w:rPr>
      </w:pPr>
      <w:r w:rsidRPr="00663859">
        <w:rPr>
          <w:noProof/>
        </w:rPr>
        <w:t xml:space="preserve">In </w:t>
      </w:r>
      <w:r>
        <w:rPr>
          <w:noProof/>
        </w:rPr>
        <w:t>its consideration of</w:t>
      </w:r>
      <w:r w:rsidRPr="00663859">
        <w:rPr>
          <w:noProof/>
        </w:rPr>
        <w:t xml:space="preserve"> this provision, the Scrutiny of Bills committeee </w:t>
      </w:r>
      <w:r>
        <w:rPr>
          <w:noProof/>
        </w:rPr>
        <w:t xml:space="preserve">noted advice from the minister that the Commissioner's Remedial Power (CRP) would in practice only be used as a last resort, and that its use would be subject to strict limitations. Nevertheless, the Scrutiny of Bills committee remained concerned that the full breadth of the power may not be necesssary, and that there may be </w:t>
      </w:r>
      <w:r w:rsidRPr="00663859">
        <w:rPr>
          <w:noProof/>
        </w:rPr>
        <w:t xml:space="preserve">scope for further legislative guidance on </w:t>
      </w:r>
      <w:r>
        <w:rPr>
          <w:noProof/>
        </w:rPr>
        <w:t>its use</w:t>
      </w:r>
      <w:r w:rsidRPr="00663859">
        <w:rPr>
          <w:noProof/>
        </w:rPr>
        <w:t>.</w:t>
      </w:r>
      <w:r>
        <w:rPr>
          <w:noProof/>
        </w:rPr>
        <w:t xml:space="preserve"> The Scrutiny of Bills committee drew these matters to the attention of this committee.</w:t>
      </w:r>
      <w:r w:rsidRPr="00663859">
        <w:rPr>
          <w:noProof/>
        </w:rPr>
        <w:t xml:space="preserve"> </w:t>
      </w:r>
    </w:p>
    <w:p w:rsidR="00CD18D3" w:rsidRPr="00663859" w:rsidRDefault="00CD18D3" w:rsidP="00CD18D3">
      <w:pPr>
        <w:rPr>
          <w:noProof/>
        </w:rPr>
      </w:pPr>
      <w:r w:rsidRPr="00663859">
        <w:rPr>
          <w:noProof/>
        </w:rPr>
        <w:t xml:space="preserve">The Scrutiny of Bills committeee also sought further information from the minister about consultation that would take place before the </w:t>
      </w:r>
      <w:r>
        <w:rPr>
          <w:noProof/>
        </w:rPr>
        <w:t>CRP</w:t>
      </w:r>
      <w:r w:rsidRPr="00663859">
        <w:rPr>
          <w:noProof/>
        </w:rPr>
        <w:t xml:space="preserve"> was exercised, and whether specific obligations to consult before exercising the power could be included in the </w:t>
      </w:r>
      <w:r w:rsidRPr="00663859">
        <w:rPr>
          <w:i/>
          <w:iCs/>
          <w:noProof/>
        </w:rPr>
        <w:t>Taxation Administration Act 1953</w:t>
      </w:r>
      <w:r w:rsidRPr="00663859">
        <w:rPr>
          <w:noProof/>
        </w:rPr>
        <w:t>. On response from the minister that he considered the consultation requirements</w:t>
      </w:r>
      <w:r>
        <w:rPr>
          <w:noProof/>
        </w:rPr>
        <w:t xml:space="preserve"> in the</w:t>
      </w:r>
      <w:r w:rsidRPr="00663859">
        <w:rPr>
          <w:noProof/>
        </w:rPr>
        <w:t xml:space="preserve"> </w:t>
      </w:r>
      <w:r w:rsidRPr="00663859">
        <w:rPr>
          <w:i/>
          <w:noProof/>
        </w:rPr>
        <w:t xml:space="preserve">Legislation Act 2003 </w:t>
      </w:r>
      <w:r w:rsidRPr="00663859">
        <w:rPr>
          <w:noProof/>
        </w:rPr>
        <w:t>to be sufficient, the Scrutiny of Bills committee also drew this matter to the attention of</w:t>
      </w:r>
      <w:r>
        <w:rPr>
          <w:noProof/>
        </w:rPr>
        <w:t xml:space="preserve"> this committee.</w:t>
      </w:r>
    </w:p>
    <w:p w:rsidR="00CD18D3" w:rsidRDefault="00CD18D3" w:rsidP="00CD18D3">
      <w:pPr>
        <w:rPr>
          <w:noProof/>
        </w:rPr>
      </w:pPr>
      <w:r>
        <w:rPr>
          <w:noProof/>
        </w:rPr>
        <w:t xml:space="preserve">The committee notes that this determination </w:t>
      </w:r>
      <w:r w:rsidRPr="00186475">
        <w:rPr>
          <w:noProof/>
        </w:rPr>
        <w:t>retrospectively </w:t>
      </w:r>
      <w:r w:rsidRPr="00615128">
        <w:rPr>
          <w:noProof/>
        </w:rPr>
        <w:t>modifies the operation of sections 18</w:t>
      </w:r>
      <w:r>
        <w:rPr>
          <w:noProof/>
        </w:rPr>
        <w:noBreakHyphen/>
      </w:r>
      <w:r w:rsidRPr="00615128">
        <w:rPr>
          <w:noProof/>
        </w:rPr>
        <w:t xml:space="preserve">15, 18-20 and 18-25 </w:t>
      </w:r>
      <w:r>
        <w:rPr>
          <w:noProof/>
        </w:rPr>
        <w:t xml:space="preserve">of the </w:t>
      </w:r>
      <w:r w:rsidRPr="00615128">
        <w:rPr>
          <w:i/>
          <w:iCs/>
          <w:noProof/>
        </w:rPr>
        <w:t>Taxation Administration Act 1953</w:t>
      </w:r>
      <w:r>
        <w:rPr>
          <w:i/>
          <w:iCs/>
          <w:noProof/>
        </w:rPr>
        <w:t xml:space="preserve"> </w:t>
      </w:r>
      <w:r w:rsidRPr="00615128">
        <w:rPr>
          <w:noProof/>
        </w:rPr>
        <w:t xml:space="preserve">to </w:t>
      </w:r>
      <w:r>
        <w:rPr>
          <w:noProof/>
        </w:rPr>
        <w:t>allow</w:t>
      </w:r>
      <w:r w:rsidRPr="00615128">
        <w:rPr>
          <w:noProof/>
        </w:rPr>
        <w:t xml:space="preserve"> an entity</w:t>
      </w:r>
      <w:r>
        <w:rPr>
          <w:noProof/>
        </w:rPr>
        <w:t xml:space="preserve"> to claim a </w:t>
      </w:r>
      <w:r w:rsidRPr="00615128">
        <w:rPr>
          <w:noProof/>
        </w:rPr>
        <w:t>credit entitlement for Foreign Resident Capital Gains Withholding (FRCGW)</w:t>
      </w:r>
      <w:r>
        <w:rPr>
          <w:noProof/>
        </w:rPr>
        <w:t xml:space="preserve"> payments</w:t>
      </w:r>
      <w:r w:rsidRPr="00615128">
        <w:rPr>
          <w:noProof/>
        </w:rPr>
        <w:t xml:space="preserve"> </w:t>
      </w:r>
      <w:r w:rsidRPr="00186475">
        <w:rPr>
          <w:noProof/>
        </w:rPr>
        <w:t xml:space="preserve">in the same income year as that in which the tax liability related to the sale of </w:t>
      </w:r>
      <w:r>
        <w:rPr>
          <w:noProof/>
        </w:rPr>
        <w:t>an</w:t>
      </w:r>
      <w:r w:rsidRPr="00186475">
        <w:rPr>
          <w:noProof/>
        </w:rPr>
        <w:t xml:space="preserve"> asset subject to</w:t>
      </w:r>
      <w:r>
        <w:rPr>
          <w:noProof/>
        </w:rPr>
        <w:t xml:space="preserve"> FRCGW</w:t>
      </w:r>
      <w:r w:rsidRPr="00186475">
        <w:rPr>
          <w:noProof/>
        </w:rPr>
        <w:t xml:space="preserve"> arises.</w:t>
      </w:r>
      <w:r>
        <w:rPr>
          <w:noProof/>
        </w:rPr>
        <w:t xml:space="preserve"> In relation to the retrospective operation of the determination, the ES states:</w:t>
      </w:r>
    </w:p>
    <w:p w:rsidR="00CD18D3" w:rsidRDefault="00CD18D3" w:rsidP="00CD18D3">
      <w:pPr>
        <w:pStyle w:val="Quote"/>
        <w:rPr>
          <w:noProof/>
        </w:rPr>
      </w:pPr>
      <w:r>
        <w:rPr>
          <w:noProof/>
        </w:rPr>
        <w:t>Retrospective application ensures the benefit of the modification is available to entities that have already entered into contracts that may straddle income years. This ensures that vendors, who have entered into relevant contracts on or after 1 July 2016, do not encounter adverse cash flow or compliance cost consequences which may have occurred but for the instrument.</w:t>
      </w:r>
    </w:p>
    <w:p w:rsidR="00CD18D3" w:rsidRDefault="00CD18D3" w:rsidP="00CD18D3">
      <w:pPr>
        <w:pStyle w:val="Quote"/>
        <w:rPr>
          <w:noProof/>
        </w:rPr>
      </w:pPr>
      <w:r>
        <w:rPr>
          <w:noProof/>
        </w:rPr>
        <w:t>Importantly, the retrospective application of this instrument is limited by the operation of subsection 370-5(4). This ensures that this instrument, made under section 370-5, will not apply if its application would produce a less favourable result for an entity.  Nothing in this instrument prevents a taxpayer from applying the law as it is enacted.</w:t>
      </w:r>
    </w:p>
    <w:p w:rsidR="00CD18D3" w:rsidRDefault="00CD18D3" w:rsidP="00CD18D3">
      <w:pPr>
        <w:rPr>
          <w:noProof/>
        </w:rPr>
      </w:pPr>
      <w:r>
        <w:rPr>
          <w:noProof/>
        </w:rPr>
        <w:t>The committee notes that the ES to the determination also sets out the limitations on the use of the CRP previously identified in explanatory material on the bill, and indicates how they are complied with in this instance.</w:t>
      </w:r>
    </w:p>
    <w:p w:rsidR="00CD18D3" w:rsidRDefault="00CD18D3" w:rsidP="00CD18D3">
      <w:pPr>
        <w:rPr>
          <w:noProof/>
        </w:rPr>
      </w:pPr>
      <w:r>
        <w:rPr>
          <w:noProof/>
        </w:rPr>
        <w:t>The committee also notes that the ES provides the following information in relation to consultation that occurred in relation to the making of the determination:</w:t>
      </w:r>
    </w:p>
    <w:p w:rsidR="00CD18D3" w:rsidRDefault="00CD18D3" w:rsidP="00CD18D3">
      <w:pPr>
        <w:pStyle w:val="Quote"/>
        <w:rPr>
          <w:noProof/>
        </w:rPr>
      </w:pPr>
      <w:r>
        <w:rPr>
          <w:noProof/>
        </w:rPr>
        <w:t xml:space="preserve">Broad consultation has been undertaken. The draft determination and draft explanatory statement were published on the ATO Legal database </w:t>
      </w:r>
      <w:r>
        <w:rPr>
          <w:noProof/>
        </w:rPr>
        <w:lastRenderedPageBreak/>
        <w:t>http://www.ato.gov.au seeking feedback and comments for a period of four weeks.  Notice of the draft determination was also published on http://www.ato.gov.au and subscription alerts issued. Tax professionals and tax associations regularly review both the Legal database and http://www.ato.gov.au and further promulgate advice of new drafts issued in their internal news bulletins. The major legal publishers also publish news of the drafts in their key tax alerting services – such as the Weekly Tax Bulletin (published by Thomson Reuters Australia) and Tax Tracker and Tax Week (published by CCH Australia).  Additionally, draft determinations and draft explanatory statements were published on the ATO Consultation Hub.</w:t>
      </w:r>
    </w:p>
    <w:p w:rsidR="00CD18D3" w:rsidRDefault="00CD18D3" w:rsidP="00CD18D3">
      <w:pPr>
        <w:pStyle w:val="Quote"/>
        <w:rPr>
          <w:noProof/>
        </w:rPr>
      </w:pPr>
      <w:r>
        <w:rPr>
          <w:noProof/>
        </w:rPr>
        <w:t xml:space="preserve">Public consultation resulted in submissions from the Property Council of Australia and the Law Institute of Victoria.  Both supported the CRP’s use to resolve this issue.  The Law Institute of Victoria expressly supported retrospective application, given the adverse consequences that could otherwise arise for transactions which may have already been entered into and which could straddle income tax years.    </w:t>
      </w:r>
    </w:p>
    <w:p w:rsidR="00CD18D3" w:rsidRDefault="00CD18D3" w:rsidP="00CD18D3">
      <w:pPr>
        <w:pStyle w:val="Quote"/>
        <w:rPr>
          <w:noProof/>
        </w:rPr>
      </w:pPr>
      <w:r>
        <w:rPr>
          <w:noProof/>
        </w:rPr>
        <w:t>In addition, targeted consultation on prospective CRP candidates is undertaken with the CRP Panel, a body comprised of private sector specialists, Treasury and ATO representatives.  This Panel provided feedback on the legislative instrument and draft explanatory statement.  This resulted in more targeted language in the instrument and additional examples in the explanatory statement.  The CRP Panel also supported retrospective application of this instrument, to ensure entities that have already entered into relevant property transactions can nonetheless have the advantage of access to this modification.</w:t>
      </w:r>
    </w:p>
    <w:p w:rsidR="00CD18D3" w:rsidRDefault="00CD18D3" w:rsidP="00CD18D3">
      <w:pPr>
        <w:pStyle w:val="Quote"/>
        <w:rPr>
          <w:noProof/>
        </w:rPr>
      </w:pPr>
      <w:r>
        <w:rPr>
          <w:noProof/>
        </w:rPr>
        <w:t>The Board of Taxation was also consulted on the use of the CRP to resolve this issue, the draft legislative instrument and explanatory statement.  The Board supported the CRP use and identified potential interaction issues with interest on early payments and over payments.  These were investigated and found to be a function of the operation of the interest on early payment and over payment rules.</w:t>
      </w:r>
    </w:p>
    <w:p w:rsidR="00CD18D3" w:rsidRPr="005978F2" w:rsidRDefault="00CD18D3" w:rsidP="00CD18D3">
      <w:pPr>
        <w:rPr>
          <w:noProof/>
        </w:rPr>
      </w:pPr>
      <w:r>
        <w:rPr>
          <w:noProof/>
        </w:rPr>
        <w:t xml:space="preserve">In light of the issues raised by the Scrutiny of Bills committee in relation to the delegation of legislative power through the CRP, the committee takes this opportunity to note its use in this instrument. </w:t>
      </w:r>
    </w:p>
    <w:p w:rsidR="00CD18D3" w:rsidRDefault="00CD18D3" w:rsidP="00CD18D3">
      <w:pPr>
        <w:rPr>
          <w:b/>
          <w:szCs w:val="26"/>
        </w:rPr>
      </w:pPr>
      <w:r w:rsidRPr="005623F3">
        <w:rPr>
          <w:b/>
          <w:noProof/>
        </w:rPr>
        <w:t xml:space="preserve">The committee draws the above to the </w:t>
      </w:r>
      <w:r>
        <w:rPr>
          <w:b/>
          <w:noProof/>
        </w:rPr>
        <w:t>attention of the Senate</w:t>
      </w:r>
      <w:r w:rsidRPr="005623F3">
        <w:rPr>
          <w:b/>
          <w:noProof/>
        </w:rPr>
        <w:t>.</w:t>
      </w:r>
      <w:r w:rsidRPr="005623F3">
        <w:rPr>
          <w:b/>
          <w:szCs w:val="26"/>
        </w:rPr>
        <w:t xml:space="preserve"> </w:t>
      </w:r>
    </w:p>
    <w:p w:rsidR="00CD18D3" w:rsidRPr="006972D8" w:rsidRDefault="00CD18D3" w:rsidP="00CD18D3">
      <w:pPr>
        <w:spacing w:before="0" w:after="0"/>
        <w:rPr>
          <w:b/>
          <w:sz w:val="2"/>
          <w:szCs w:val="2"/>
        </w:rPr>
      </w:pPr>
      <w:r>
        <w:rPr>
          <w:b/>
          <w:szCs w:val="26"/>
        </w:rPr>
        <w:br w:type="page"/>
      </w:r>
    </w:p>
    <w:tbl>
      <w:tblPr>
        <w:tblW w:w="0" w:type="auto"/>
        <w:tblInd w:w="108" w:type="dxa"/>
        <w:tblLook w:val="04A0" w:firstRow="1" w:lastRow="0" w:firstColumn="1" w:lastColumn="0" w:noHBand="0" w:noVBand="1"/>
      </w:tblPr>
      <w:tblGrid>
        <w:gridCol w:w="2694"/>
        <w:gridCol w:w="6378"/>
      </w:tblGrid>
      <w:tr w:rsidR="00CD18D3" w:rsidRPr="00322850" w:rsidTr="002B2721">
        <w:tc>
          <w:tcPr>
            <w:tcW w:w="2694" w:type="dxa"/>
            <w:tcBorders>
              <w:top w:val="single" w:sz="12" w:space="0" w:color="auto"/>
              <w:right w:val="single" w:sz="12" w:space="0" w:color="auto"/>
            </w:tcBorders>
          </w:tcPr>
          <w:p w:rsidR="00CD18D3" w:rsidRPr="00322850" w:rsidRDefault="00CD18D3" w:rsidP="002B2721">
            <w:pPr>
              <w:rPr>
                <w:b/>
                <w:sz w:val="24"/>
                <w:szCs w:val="24"/>
              </w:rPr>
            </w:pPr>
            <w:r w:rsidRPr="00322850">
              <w:rPr>
                <w:b/>
                <w:sz w:val="24"/>
                <w:szCs w:val="24"/>
              </w:rPr>
              <w:lastRenderedPageBreak/>
              <w:t>Instrument</w:t>
            </w:r>
          </w:p>
        </w:tc>
        <w:tc>
          <w:tcPr>
            <w:tcW w:w="6378" w:type="dxa"/>
            <w:tcBorders>
              <w:top w:val="single" w:sz="12" w:space="0" w:color="auto"/>
              <w:left w:val="single" w:sz="12" w:space="0" w:color="auto"/>
            </w:tcBorders>
          </w:tcPr>
          <w:p w:rsidR="00CD18D3" w:rsidRPr="00322850" w:rsidRDefault="00CD18D3" w:rsidP="002B2721">
            <w:pPr>
              <w:pStyle w:val="Heading3"/>
              <w:rPr>
                <w:sz w:val="24"/>
                <w:szCs w:val="24"/>
              </w:rPr>
            </w:pPr>
            <w:r w:rsidRPr="00786081">
              <w:rPr>
                <w:noProof/>
                <w:sz w:val="24"/>
                <w:szCs w:val="24"/>
              </w:rPr>
              <w:t>Therapeutic Goods Information (Sharing information about in-house in vitro diagnostic medical devices) Specification 2017 [F2017L00965]</w:t>
            </w:r>
          </w:p>
        </w:tc>
      </w:tr>
      <w:tr w:rsidR="00CD18D3" w:rsidRPr="00322850" w:rsidTr="002B2721">
        <w:tc>
          <w:tcPr>
            <w:tcW w:w="2694" w:type="dxa"/>
            <w:tcBorders>
              <w:right w:val="single" w:sz="12" w:space="0" w:color="auto"/>
            </w:tcBorders>
          </w:tcPr>
          <w:p w:rsidR="00CD18D3" w:rsidRPr="00322850" w:rsidRDefault="00CD18D3" w:rsidP="002B2721">
            <w:pPr>
              <w:rPr>
                <w:b/>
                <w:sz w:val="24"/>
                <w:szCs w:val="24"/>
              </w:rPr>
            </w:pPr>
            <w:r w:rsidRPr="00322850">
              <w:rPr>
                <w:b/>
                <w:sz w:val="24"/>
                <w:szCs w:val="24"/>
              </w:rPr>
              <w:t>Purpose</w:t>
            </w:r>
          </w:p>
        </w:tc>
        <w:tc>
          <w:tcPr>
            <w:tcW w:w="6378" w:type="dxa"/>
            <w:tcBorders>
              <w:left w:val="single" w:sz="12" w:space="0" w:color="auto"/>
            </w:tcBorders>
          </w:tcPr>
          <w:p w:rsidR="00CD18D3" w:rsidRPr="00322850" w:rsidRDefault="00CD18D3" w:rsidP="002B2721">
            <w:pPr>
              <w:rPr>
                <w:sz w:val="24"/>
                <w:szCs w:val="24"/>
              </w:rPr>
            </w:pPr>
            <w:r w:rsidRPr="00786081">
              <w:rPr>
                <w:noProof/>
                <w:sz w:val="24"/>
                <w:szCs w:val="24"/>
              </w:rPr>
              <w:t>Permits the Secretary of the Department of Health to release certain therapeutic goods information that relates to in-house in vitro diagnostic medical devices to the National Association of Testing Authorities</w:t>
            </w:r>
          </w:p>
        </w:tc>
      </w:tr>
      <w:tr w:rsidR="00CD18D3" w:rsidRPr="00322850" w:rsidTr="002B2721">
        <w:tc>
          <w:tcPr>
            <w:tcW w:w="2694" w:type="dxa"/>
            <w:tcBorders>
              <w:right w:val="single" w:sz="12" w:space="0" w:color="auto"/>
            </w:tcBorders>
          </w:tcPr>
          <w:p w:rsidR="00CD18D3" w:rsidRPr="00322850" w:rsidRDefault="00CD18D3" w:rsidP="002B2721">
            <w:pPr>
              <w:rPr>
                <w:b/>
                <w:sz w:val="24"/>
                <w:szCs w:val="24"/>
              </w:rPr>
            </w:pPr>
            <w:r w:rsidRPr="00322850">
              <w:rPr>
                <w:b/>
                <w:sz w:val="24"/>
                <w:szCs w:val="24"/>
              </w:rPr>
              <w:t>Authorising legislation</w:t>
            </w:r>
          </w:p>
        </w:tc>
        <w:tc>
          <w:tcPr>
            <w:tcW w:w="6378" w:type="dxa"/>
            <w:tcBorders>
              <w:left w:val="single" w:sz="12" w:space="0" w:color="auto"/>
            </w:tcBorders>
          </w:tcPr>
          <w:p w:rsidR="00CD18D3" w:rsidRPr="00322850" w:rsidRDefault="00CD18D3" w:rsidP="002B2721">
            <w:pPr>
              <w:rPr>
                <w:i/>
                <w:sz w:val="24"/>
                <w:szCs w:val="24"/>
              </w:rPr>
            </w:pPr>
            <w:r w:rsidRPr="00786081">
              <w:rPr>
                <w:i/>
                <w:noProof/>
                <w:sz w:val="24"/>
                <w:szCs w:val="24"/>
              </w:rPr>
              <w:t>Therapeutic Goods Act 1989</w:t>
            </w:r>
          </w:p>
        </w:tc>
      </w:tr>
      <w:tr w:rsidR="00CD18D3" w:rsidRPr="00322850" w:rsidTr="002B2721">
        <w:tc>
          <w:tcPr>
            <w:tcW w:w="2694" w:type="dxa"/>
            <w:tcBorders>
              <w:right w:val="single" w:sz="12" w:space="0" w:color="auto"/>
            </w:tcBorders>
          </w:tcPr>
          <w:p w:rsidR="00CD18D3" w:rsidRPr="00322850" w:rsidRDefault="00CD18D3" w:rsidP="002B2721">
            <w:pPr>
              <w:rPr>
                <w:b/>
                <w:sz w:val="24"/>
                <w:szCs w:val="24"/>
              </w:rPr>
            </w:pPr>
            <w:r w:rsidRPr="00322850">
              <w:rPr>
                <w:b/>
                <w:sz w:val="24"/>
                <w:szCs w:val="24"/>
              </w:rPr>
              <w:t>Department</w:t>
            </w:r>
          </w:p>
        </w:tc>
        <w:tc>
          <w:tcPr>
            <w:tcW w:w="6378" w:type="dxa"/>
            <w:tcBorders>
              <w:left w:val="single" w:sz="12" w:space="0" w:color="auto"/>
            </w:tcBorders>
          </w:tcPr>
          <w:p w:rsidR="00CD18D3" w:rsidRPr="00322850" w:rsidRDefault="00CD18D3" w:rsidP="002B2721">
            <w:pPr>
              <w:rPr>
                <w:sz w:val="24"/>
                <w:szCs w:val="24"/>
              </w:rPr>
            </w:pPr>
            <w:r w:rsidRPr="00786081">
              <w:rPr>
                <w:noProof/>
                <w:sz w:val="24"/>
                <w:szCs w:val="24"/>
              </w:rPr>
              <w:t>Health</w:t>
            </w:r>
          </w:p>
        </w:tc>
      </w:tr>
      <w:tr w:rsidR="00CD18D3" w:rsidRPr="00322850" w:rsidTr="002B2721">
        <w:tc>
          <w:tcPr>
            <w:tcW w:w="2694" w:type="dxa"/>
            <w:tcBorders>
              <w:right w:val="single" w:sz="12" w:space="0" w:color="auto"/>
            </w:tcBorders>
          </w:tcPr>
          <w:p w:rsidR="00CD18D3" w:rsidRPr="00322850" w:rsidRDefault="00CD18D3" w:rsidP="002B2721">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CD18D3" w:rsidRPr="00322850" w:rsidRDefault="00CD18D3" w:rsidP="002B2721">
            <w:pPr>
              <w:rPr>
                <w:sz w:val="24"/>
                <w:szCs w:val="24"/>
              </w:rPr>
            </w:pPr>
            <w:r>
              <w:rPr>
                <w:sz w:val="24"/>
                <w:szCs w:val="24"/>
              </w:rPr>
              <w:t xml:space="preserve">15 sitting days after tabling (tabled Senate </w:t>
            </w:r>
            <w:r w:rsidRPr="00786081">
              <w:rPr>
                <w:noProof/>
                <w:sz w:val="24"/>
                <w:szCs w:val="24"/>
              </w:rPr>
              <w:t>8 August</w:t>
            </w:r>
            <w:r>
              <w:rPr>
                <w:sz w:val="24"/>
                <w:szCs w:val="24"/>
              </w:rPr>
              <w:t xml:space="preserve"> 2017)</w:t>
            </w:r>
            <w:r>
              <w:rPr>
                <w:sz w:val="24"/>
                <w:szCs w:val="24"/>
              </w:rPr>
              <w:br/>
              <w:t>Notice of motion to disallow currently must be given by</w:t>
            </w:r>
            <w:r>
              <w:rPr>
                <w:sz w:val="24"/>
                <w:szCs w:val="24"/>
              </w:rPr>
              <w:br/>
            </w:r>
            <w:r w:rsidRPr="00786081">
              <w:rPr>
                <w:noProof/>
                <w:sz w:val="24"/>
                <w:szCs w:val="24"/>
              </w:rPr>
              <w:t>16 October</w:t>
            </w:r>
            <w:r>
              <w:rPr>
                <w:sz w:val="24"/>
                <w:szCs w:val="24"/>
              </w:rPr>
              <w:t xml:space="preserve"> 2017</w:t>
            </w:r>
          </w:p>
        </w:tc>
      </w:tr>
      <w:tr w:rsidR="00CD18D3" w:rsidRPr="00322850" w:rsidTr="002B2721">
        <w:tc>
          <w:tcPr>
            <w:tcW w:w="2694" w:type="dxa"/>
            <w:tcBorders>
              <w:bottom w:val="single" w:sz="12" w:space="0" w:color="auto"/>
              <w:right w:val="single" w:sz="12" w:space="0" w:color="auto"/>
            </w:tcBorders>
          </w:tcPr>
          <w:p w:rsidR="00CD18D3" w:rsidRPr="00322850" w:rsidRDefault="00CD18D3" w:rsidP="002B2721">
            <w:pPr>
              <w:rPr>
                <w:b/>
                <w:sz w:val="24"/>
                <w:szCs w:val="24"/>
              </w:rPr>
            </w:pPr>
            <w:r w:rsidRPr="00322850">
              <w:rPr>
                <w:b/>
                <w:sz w:val="24"/>
                <w:szCs w:val="24"/>
              </w:rPr>
              <w:t>Scrutiny principle</w:t>
            </w:r>
          </w:p>
        </w:tc>
        <w:tc>
          <w:tcPr>
            <w:tcW w:w="6378" w:type="dxa"/>
            <w:tcBorders>
              <w:left w:val="single" w:sz="12" w:space="0" w:color="auto"/>
              <w:bottom w:val="single" w:sz="12" w:space="0" w:color="auto"/>
            </w:tcBorders>
          </w:tcPr>
          <w:p w:rsidR="00CD18D3" w:rsidRPr="00322850" w:rsidRDefault="00CD18D3" w:rsidP="002B2721">
            <w:pPr>
              <w:rPr>
                <w:sz w:val="24"/>
                <w:szCs w:val="24"/>
              </w:rPr>
            </w:pPr>
            <w:r w:rsidRPr="00322850">
              <w:rPr>
                <w:sz w:val="24"/>
                <w:szCs w:val="24"/>
              </w:rPr>
              <w:t>Standing Order 23(3)</w:t>
            </w:r>
            <w:r w:rsidRPr="00786081">
              <w:rPr>
                <w:noProof/>
                <w:sz w:val="24"/>
                <w:szCs w:val="24"/>
              </w:rPr>
              <w:t>(a)</w:t>
            </w:r>
          </w:p>
        </w:tc>
      </w:tr>
    </w:tbl>
    <w:p w:rsidR="00CD18D3" w:rsidRPr="00322850" w:rsidRDefault="00CD18D3" w:rsidP="00CD18D3">
      <w:pPr>
        <w:spacing w:before="0" w:after="0"/>
      </w:pPr>
    </w:p>
    <w:p w:rsidR="00CD18D3" w:rsidRPr="00786081" w:rsidRDefault="00CD18D3" w:rsidP="00CD18D3">
      <w:pPr>
        <w:rPr>
          <w:b/>
          <w:noProof/>
        </w:rPr>
      </w:pPr>
      <w:r>
        <w:rPr>
          <w:b/>
          <w:noProof/>
        </w:rPr>
        <w:t>Description of c</w:t>
      </w:r>
      <w:r w:rsidRPr="00786081">
        <w:rPr>
          <w:b/>
          <w:noProof/>
        </w:rPr>
        <w:t>onsultation</w:t>
      </w:r>
    </w:p>
    <w:p w:rsidR="00CD18D3" w:rsidRPr="00E54765" w:rsidRDefault="00CD18D3" w:rsidP="00CD18D3">
      <w:pPr>
        <w:rPr>
          <w:rFonts w:asciiTheme="minorHAnsi" w:hAnsiTheme="minorHAnsi"/>
          <w:noProof/>
          <w:lang w:eastAsia="en-AU"/>
        </w:rPr>
      </w:pPr>
      <w:r w:rsidRPr="00E54765">
        <w:rPr>
          <w:rFonts w:asciiTheme="minorHAnsi" w:hAnsiTheme="minorHAnsi"/>
          <w:noProof/>
          <w:lang w:eastAsia="en-AU"/>
        </w:rPr>
        <w:t xml:space="preserve">Section 17 of the </w:t>
      </w:r>
      <w:r w:rsidRPr="00E54765">
        <w:rPr>
          <w:rFonts w:asciiTheme="minorHAnsi" w:hAnsiTheme="minorHAnsi"/>
          <w:i/>
          <w:noProof/>
          <w:lang w:eastAsia="en-AU"/>
        </w:rPr>
        <w:t>Legislation Act 2003</w:t>
      </w:r>
      <w:r w:rsidRPr="00E54765">
        <w:rPr>
          <w:rFonts w:asciiTheme="minorHAnsi" w:hAnsiTheme="minorHAnsi"/>
          <w:noProof/>
          <w:lang w:eastAsia="en-AU"/>
        </w:rPr>
        <w:t xml:space="preserve"> directs a rule-maker to be satisfied that appropriate consultation, as is reasonably practicable, has been undertaken in relation to a proposed instrument. The ES which must accompany an instrument is required to describe the nature of any consultation th</w:t>
      </w:r>
      <w:r>
        <w:rPr>
          <w:rFonts w:asciiTheme="minorHAnsi" w:hAnsiTheme="minorHAnsi"/>
          <w:noProof/>
          <w:lang w:eastAsia="en-AU"/>
        </w:rPr>
        <w:t>at has been carried out or,</w:t>
      </w:r>
      <w:r>
        <w:rPr>
          <w:rFonts w:asciiTheme="minorHAnsi" w:hAnsiTheme="minorHAnsi"/>
          <w:noProof/>
          <w:lang w:eastAsia="en-AU"/>
        </w:rPr>
        <w:br/>
      </w:r>
      <w:r w:rsidRPr="00E54765">
        <w:rPr>
          <w:rFonts w:asciiTheme="minorHAnsi" w:hAnsiTheme="minorHAnsi"/>
          <w:noProof/>
          <w:lang w:eastAsia="en-AU"/>
        </w:rPr>
        <w:t>if there has been no consultation, to explain why none was undertaken (paragraphs 15J(2)(d) and (e)).</w:t>
      </w:r>
    </w:p>
    <w:p w:rsidR="00CD18D3" w:rsidRDefault="00CD18D3" w:rsidP="00CD18D3">
      <w:pPr>
        <w:spacing w:before="0"/>
        <w:rPr>
          <w:rFonts w:asciiTheme="minorHAnsi" w:hAnsiTheme="minorHAnsi"/>
          <w:noProof/>
          <w:lang w:eastAsia="en-AU"/>
        </w:rPr>
      </w:pPr>
      <w:r w:rsidRPr="00804A99">
        <w:rPr>
          <w:rFonts w:asciiTheme="minorHAnsi" w:hAnsiTheme="minorHAnsi"/>
          <w:noProof/>
          <w:lang w:eastAsia="en-AU"/>
        </w:rPr>
        <w:t>With reference to these requirements, the committee notes that the ES for this instrument pro</w:t>
      </w:r>
      <w:r>
        <w:rPr>
          <w:rFonts w:asciiTheme="minorHAnsi" w:hAnsiTheme="minorHAnsi"/>
          <w:noProof/>
          <w:lang w:eastAsia="en-AU"/>
        </w:rPr>
        <w:t>vides the following information:</w:t>
      </w:r>
    </w:p>
    <w:p w:rsidR="00CD18D3" w:rsidRPr="00804A99" w:rsidRDefault="00CD18D3" w:rsidP="00CD18D3">
      <w:pPr>
        <w:pStyle w:val="Quote"/>
        <w:rPr>
          <w:noProof/>
          <w:lang w:eastAsia="en-AU"/>
        </w:rPr>
      </w:pPr>
      <w:r w:rsidRPr="00804A99">
        <w:rPr>
          <w:noProof/>
          <w:lang w:eastAsia="en-AU"/>
        </w:rPr>
        <w:t>The Specification is intended to support the operation of the MOU</w:t>
      </w:r>
      <w:r>
        <w:rPr>
          <w:noProof/>
          <w:lang w:eastAsia="en-AU"/>
        </w:rPr>
        <w:t xml:space="preserve"> (memorandum of understanding) </w:t>
      </w:r>
      <w:r w:rsidRPr="00804A99">
        <w:rPr>
          <w:noProof/>
          <w:lang w:eastAsia="en-AU"/>
        </w:rPr>
        <w:t xml:space="preserve"> between TGA and NATA (as per Clause 5.7 of the MoU). The MOU was developed in consultation with NATA and facilitates the exchange of information on matters relating to the compliance of NATA-accredited laboratories engaged in the manufacture of in-house IVD medical devices with conformity assessment procedures set out in Schedule 3 to the TG MD Regulations.</w:t>
      </w:r>
    </w:p>
    <w:p w:rsidR="00CD18D3" w:rsidRPr="00804A99" w:rsidRDefault="00CD18D3" w:rsidP="00CD18D3">
      <w:pPr>
        <w:pStyle w:val="Quote"/>
        <w:rPr>
          <w:noProof/>
          <w:lang w:eastAsia="en-AU"/>
        </w:rPr>
      </w:pPr>
      <w:r w:rsidRPr="00804A99">
        <w:rPr>
          <w:noProof/>
          <w:lang w:eastAsia="en-AU"/>
        </w:rPr>
        <w:t>The MOU is a publicly available document that can be viewed without charge on the NATA website, </w:t>
      </w:r>
      <w:hyperlink r:id="rId26" w:history="1">
        <w:r w:rsidRPr="00804A99">
          <w:rPr>
            <w:rStyle w:val="Hyperlink"/>
            <w:noProof/>
            <w:lang w:eastAsia="en-AU"/>
          </w:rPr>
          <w:t>https://www.nata.com.au/nata/about-nata/agreements</w:t>
        </w:r>
      </w:hyperlink>
      <w:r w:rsidRPr="00804A99">
        <w:rPr>
          <w:noProof/>
          <w:lang w:eastAsia="en-AU"/>
        </w:rPr>
        <w:t>. Laboratories engaged in the manufacture of in-house IVD medical devices are aware of the MoU and upon submission of an application for inclusion (for a Class 4 in-house IVD medical device) or a notification (for Class 1-3</w:t>
      </w:r>
      <w:r>
        <w:rPr>
          <w:noProof/>
          <w:lang w:eastAsia="en-AU"/>
        </w:rPr>
        <w:t xml:space="preserve"> </w:t>
      </w:r>
      <w:r w:rsidRPr="00804A99">
        <w:rPr>
          <w:noProof/>
          <w:lang w:eastAsia="en-AU"/>
        </w:rPr>
        <w:t>in-house medical devices) certify that the information provided is current and correct and acknowledge that any information provided to support an application for inclusion or notification may be shared with NATA.</w:t>
      </w:r>
    </w:p>
    <w:p w:rsidR="00CD18D3" w:rsidRDefault="00CD18D3" w:rsidP="00CD18D3">
      <w:pPr>
        <w:rPr>
          <w:noProof/>
          <w:lang w:eastAsia="en-AU"/>
        </w:rPr>
      </w:pPr>
      <w:r w:rsidRPr="00E54765">
        <w:rPr>
          <w:rFonts w:asciiTheme="minorHAnsi" w:hAnsiTheme="minorHAnsi"/>
          <w:noProof/>
          <w:lang w:eastAsia="en-AU"/>
        </w:rPr>
        <w:lastRenderedPageBreak/>
        <w:t xml:space="preserve">While the committee does not usually interpret paragraphs 15J(2)(d) and (e) as requiring a highly detailed description of consultation undertaken, it considers that an overly bare or general description is insufficient to satisfy the requirements of the </w:t>
      </w:r>
      <w:r w:rsidRPr="00E54765">
        <w:rPr>
          <w:rFonts w:asciiTheme="minorHAnsi" w:hAnsiTheme="minorHAnsi"/>
          <w:i/>
          <w:noProof/>
          <w:lang w:eastAsia="en-AU"/>
        </w:rPr>
        <w:t>Legislation Act 2003</w:t>
      </w:r>
      <w:r>
        <w:rPr>
          <w:rFonts w:asciiTheme="minorHAnsi" w:hAnsiTheme="minorHAnsi"/>
          <w:noProof/>
          <w:lang w:eastAsia="en-AU"/>
        </w:rPr>
        <w:t>. In this</w:t>
      </w:r>
      <w:r w:rsidRPr="00E54765">
        <w:rPr>
          <w:rFonts w:asciiTheme="minorHAnsi" w:hAnsiTheme="minorHAnsi"/>
          <w:noProof/>
          <w:lang w:eastAsia="en-AU"/>
        </w:rPr>
        <w:t xml:space="preserve"> case, the ES refer</w:t>
      </w:r>
      <w:r>
        <w:rPr>
          <w:rFonts w:asciiTheme="minorHAnsi" w:hAnsiTheme="minorHAnsi"/>
          <w:noProof/>
          <w:lang w:eastAsia="en-AU"/>
        </w:rPr>
        <w:t>s</w:t>
      </w:r>
      <w:r w:rsidRPr="00E54765">
        <w:rPr>
          <w:rFonts w:asciiTheme="minorHAnsi" w:hAnsiTheme="minorHAnsi"/>
          <w:noProof/>
          <w:lang w:eastAsia="en-AU"/>
        </w:rPr>
        <w:t xml:space="preserve"> to a general process of consultation </w:t>
      </w:r>
      <w:r>
        <w:rPr>
          <w:rFonts w:asciiTheme="minorHAnsi" w:hAnsiTheme="minorHAnsi"/>
          <w:noProof/>
          <w:lang w:eastAsia="en-AU"/>
        </w:rPr>
        <w:t xml:space="preserve">that occurred in relation to the development of a memorandum of understanding </w:t>
      </w:r>
      <w:r w:rsidRPr="00E54765">
        <w:rPr>
          <w:rFonts w:asciiTheme="minorHAnsi" w:hAnsiTheme="minorHAnsi"/>
          <w:noProof/>
          <w:lang w:eastAsia="en-AU"/>
        </w:rPr>
        <w:t>and do</w:t>
      </w:r>
      <w:r>
        <w:rPr>
          <w:rFonts w:asciiTheme="minorHAnsi" w:hAnsiTheme="minorHAnsi"/>
          <w:noProof/>
          <w:lang w:eastAsia="en-AU"/>
        </w:rPr>
        <w:t>es</w:t>
      </w:r>
      <w:r w:rsidRPr="00E54765">
        <w:rPr>
          <w:rFonts w:asciiTheme="minorHAnsi" w:hAnsiTheme="minorHAnsi"/>
          <w:noProof/>
          <w:lang w:eastAsia="en-AU"/>
        </w:rPr>
        <w:t xml:space="preserve"> not provide information about whether consultation was or was not undertaken </w:t>
      </w:r>
      <w:r>
        <w:rPr>
          <w:rFonts w:asciiTheme="minorHAnsi" w:hAnsiTheme="minorHAnsi"/>
          <w:noProof/>
          <w:lang w:eastAsia="en-AU"/>
        </w:rPr>
        <w:t>specifically in relation to this</w:t>
      </w:r>
      <w:r w:rsidRPr="00E54765">
        <w:rPr>
          <w:rFonts w:asciiTheme="minorHAnsi" w:hAnsiTheme="minorHAnsi"/>
          <w:noProof/>
          <w:lang w:eastAsia="en-AU"/>
        </w:rPr>
        <w:t xml:space="preserve"> instrument. </w:t>
      </w:r>
      <w:r w:rsidRPr="00E54765">
        <w:rPr>
          <w:noProof/>
          <w:lang w:eastAsia="en-AU"/>
        </w:rPr>
        <w:t xml:space="preserve">In terms of complying with paragraphs 15J(2)(d) and (e) of the </w:t>
      </w:r>
      <w:r w:rsidRPr="00E54765">
        <w:rPr>
          <w:i/>
          <w:noProof/>
          <w:lang w:eastAsia="en-AU"/>
        </w:rPr>
        <w:t>Legislation Act 2003</w:t>
      </w:r>
      <w:r w:rsidRPr="00E54765">
        <w:rPr>
          <w:noProof/>
          <w:lang w:eastAsia="en-AU"/>
        </w:rPr>
        <w:t>, the committee's preferr</w:t>
      </w:r>
      <w:r>
        <w:rPr>
          <w:noProof/>
          <w:lang w:eastAsia="en-AU"/>
        </w:rPr>
        <w:t>ed approach would be for the ES</w:t>
      </w:r>
      <w:r w:rsidRPr="00E54765">
        <w:rPr>
          <w:noProof/>
          <w:lang w:eastAsia="en-AU"/>
        </w:rPr>
        <w:t xml:space="preserve"> to have explicitly stated that further consulta</w:t>
      </w:r>
      <w:r>
        <w:rPr>
          <w:noProof/>
          <w:lang w:eastAsia="en-AU"/>
        </w:rPr>
        <w:t>tion</w:t>
      </w:r>
      <w:r>
        <w:rPr>
          <w:noProof/>
          <w:lang w:eastAsia="en-AU"/>
        </w:rPr>
        <w:br/>
        <w:t>for the instrument</w:t>
      </w:r>
      <w:r w:rsidRPr="00E54765">
        <w:rPr>
          <w:noProof/>
          <w:lang w:eastAsia="en-AU"/>
        </w:rPr>
        <w:t xml:space="preserve"> was considered unnecessary (or inappropriate) due to the nature of the consultation that had already taken place. </w:t>
      </w:r>
    </w:p>
    <w:p w:rsidR="00CD18D3" w:rsidRPr="006340A3" w:rsidRDefault="00CD18D3" w:rsidP="00CD18D3">
      <w:pPr>
        <w:rPr>
          <w:rFonts w:asciiTheme="minorHAnsi" w:hAnsiTheme="minorHAnsi"/>
          <w:lang w:eastAsia="en-AU"/>
        </w:rPr>
      </w:pPr>
      <w:r w:rsidRPr="008B0EEC">
        <w:rPr>
          <w:rFonts w:asciiTheme="minorHAnsi" w:hAnsiTheme="minorHAnsi"/>
          <w:lang w:eastAsia="en-AU"/>
        </w:rPr>
        <w:t>The committee's expectations in this regard are set out in the guideline on consultation published on the committee's website</w:t>
      </w:r>
      <w:r>
        <w:rPr>
          <w:rFonts w:asciiTheme="minorHAnsi" w:hAnsiTheme="minorHAnsi"/>
          <w:lang w:eastAsia="en-AU"/>
        </w:rPr>
        <w:t>.</w:t>
      </w:r>
      <w:r>
        <w:rPr>
          <w:rStyle w:val="FootnoteReference"/>
          <w:rFonts w:asciiTheme="minorHAnsi" w:hAnsiTheme="minorHAnsi"/>
          <w:lang w:eastAsia="en-AU"/>
        </w:rPr>
        <w:footnoteReference w:id="32"/>
      </w:r>
    </w:p>
    <w:p w:rsidR="00CD18D3" w:rsidRDefault="00CD18D3" w:rsidP="00CD18D3">
      <w:pPr>
        <w:rPr>
          <w:b/>
          <w:szCs w:val="26"/>
        </w:rPr>
      </w:pPr>
      <w:r w:rsidRPr="005623F3">
        <w:rPr>
          <w:b/>
          <w:noProof/>
        </w:rPr>
        <w:t>The committee draws the above to the minister's attention.</w:t>
      </w:r>
      <w:r w:rsidRPr="005623F3">
        <w:rPr>
          <w:b/>
          <w:szCs w:val="26"/>
        </w:rPr>
        <w:t xml:space="preserve"> </w:t>
      </w:r>
    </w:p>
    <w:p w:rsidR="00CD18D3" w:rsidRPr="00DE507D" w:rsidRDefault="00CD18D3" w:rsidP="00CD18D3">
      <w:pPr>
        <w:spacing w:before="0" w:after="0"/>
        <w:rPr>
          <w:sz w:val="2"/>
          <w:szCs w:val="2"/>
          <w:lang w:eastAsia="en-AU"/>
        </w:rPr>
      </w:pPr>
      <w:r>
        <w:rPr>
          <w:lang w:eastAsia="en-AU"/>
        </w:rPr>
        <w:br w:type="page"/>
      </w:r>
    </w:p>
    <w:tbl>
      <w:tblPr>
        <w:tblW w:w="0" w:type="auto"/>
        <w:tblInd w:w="108" w:type="dxa"/>
        <w:tblLook w:val="04A0" w:firstRow="1" w:lastRow="0" w:firstColumn="1" w:lastColumn="0" w:noHBand="0" w:noVBand="1"/>
      </w:tblPr>
      <w:tblGrid>
        <w:gridCol w:w="2694"/>
        <w:gridCol w:w="6378"/>
      </w:tblGrid>
      <w:tr w:rsidR="00CD18D3" w:rsidRPr="00322850" w:rsidTr="002B2721">
        <w:tc>
          <w:tcPr>
            <w:tcW w:w="2694" w:type="dxa"/>
            <w:tcBorders>
              <w:top w:val="single" w:sz="12" w:space="0" w:color="auto"/>
              <w:right w:val="single" w:sz="12" w:space="0" w:color="auto"/>
            </w:tcBorders>
          </w:tcPr>
          <w:p w:rsidR="00CD18D3" w:rsidRPr="00322850" w:rsidRDefault="00CD18D3" w:rsidP="002B2721">
            <w:pPr>
              <w:rPr>
                <w:b/>
                <w:sz w:val="24"/>
                <w:szCs w:val="24"/>
              </w:rPr>
            </w:pPr>
            <w:r w:rsidRPr="00322850">
              <w:rPr>
                <w:b/>
                <w:sz w:val="24"/>
                <w:szCs w:val="24"/>
              </w:rPr>
              <w:lastRenderedPageBreak/>
              <w:t>Instrument</w:t>
            </w:r>
          </w:p>
        </w:tc>
        <w:tc>
          <w:tcPr>
            <w:tcW w:w="6378" w:type="dxa"/>
            <w:tcBorders>
              <w:top w:val="single" w:sz="12" w:space="0" w:color="auto"/>
              <w:left w:val="single" w:sz="12" w:space="0" w:color="auto"/>
            </w:tcBorders>
          </w:tcPr>
          <w:p w:rsidR="00CD18D3" w:rsidRPr="00322850" w:rsidRDefault="00CD18D3" w:rsidP="002B2721">
            <w:pPr>
              <w:pStyle w:val="Heading3"/>
              <w:rPr>
                <w:sz w:val="24"/>
                <w:szCs w:val="24"/>
              </w:rPr>
            </w:pPr>
            <w:r w:rsidRPr="006D7A8A">
              <w:rPr>
                <w:noProof/>
                <w:sz w:val="24"/>
                <w:szCs w:val="24"/>
              </w:rPr>
              <w:t>Therapeutic Goods (Permissible Ingredients) Determination No. 3 of 2017 [F2017L00926]</w:t>
            </w:r>
          </w:p>
        </w:tc>
      </w:tr>
      <w:tr w:rsidR="00CD18D3" w:rsidRPr="00322850" w:rsidTr="002B2721">
        <w:tc>
          <w:tcPr>
            <w:tcW w:w="2694" w:type="dxa"/>
            <w:tcBorders>
              <w:right w:val="single" w:sz="12" w:space="0" w:color="auto"/>
            </w:tcBorders>
          </w:tcPr>
          <w:p w:rsidR="00CD18D3" w:rsidRPr="00322850" w:rsidRDefault="00CD18D3" w:rsidP="002B2721">
            <w:pPr>
              <w:rPr>
                <w:b/>
                <w:sz w:val="24"/>
                <w:szCs w:val="24"/>
              </w:rPr>
            </w:pPr>
            <w:r w:rsidRPr="00322850">
              <w:rPr>
                <w:b/>
                <w:sz w:val="24"/>
                <w:szCs w:val="24"/>
              </w:rPr>
              <w:t>Purpose</w:t>
            </w:r>
          </w:p>
        </w:tc>
        <w:tc>
          <w:tcPr>
            <w:tcW w:w="6378" w:type="dxa"/>
            <w:tcBorders>
              <w:left w:val="single" w:sz="12" w:space="0" w:color="auto"/>
            </w:tcBorders>
          </w:tcPr>
          <w:p w:rsidR="00CD18D3" w:rsidRPr="00322850" w:rsidRDefault="00CD18D3" w:rsidP="002B2721">
            <w:pPr>
              <w:rPr>
                <w:sz w:val="24"/>
                <w:szCs w:val="24"/>
              </w:rPr>
            </w:pPr>
            <w:r w:rsidRPr="006D7A8A">
              <w:rPr>
                <w:noProof/>
                <w:sz w:val="24"/>
                <w:szCs w:val="24"/>
              </w:rPr>
              <w:t>Replaces the Therapeutic Goods (Permissible Ingredients) Determination No.</w:t>
            </w:r>
            <w:r>
              <w:rPr>
                <w:noProof/>
                <w:sz w:val="24"/>
                <w:szCs w:val="24"/>
              </w:rPr>
              <w:t> </w:t>
            </w:r>
            <w:r w:rsidRPr="006D7A8A">
              <w:rPr>
                <w:noProof/>
                <w:sz w:val="24"/>
                <w:szCs w:val="24"/>
              </w:rPr>
              <w:t>2 of 2017, and has the effect of permitting the ingredients described in the determination to be contained in medicines or listed on the Australian Register of Therapeutic Goods</w:t>
            </w:r>
          </w:p>
        </w:tc>
      </w:tr>
      <w:tr w:rsidR="00CD18D3" w:rsidRPr="00322850" w:rsidTr="002B2721">
        <w:tc>
          <w:tcPr>
            <w:tcW w:w="2694" w:type="dxa"/>
            <w:tcBorders>
              <w:right w:val="single" w:sz="12" w:space="0" w:color="auto"/>
            </w:tcBorders>
          </w:tcPr>
          <w:p w:rsidR="00CD18D3" w:rsidRPr="00322850" w:rsidRDefault="00CD18D3" w:rsidP="002B2721">
            <w:pPr>
              <w:rPr>
                <w:b/>
                <w:sz w:val="24"/>
                <w:szCs w:val="24"/>
              </w:rPr>
            </w:pPr>
            <w:r w:rsidRPr="00322850">
              <w:rPr>
                <w:b/>
                <w:sz w:val="24"/>
                <w:szCs w:val="24"/>
              </w:rPr>
              <w:t>Authorising legislation</w:t>
            </w:r>
          </w:p>
        </w:tc>
        <w:tc>
          <w:tcPr>
            <w:tcW w:w="6378" w:type="dxa"/>
            <w:tcBorders>
              <w:left w:val="single" w:sz="12" w:space="0" w:color="auto"/>
            </w:tcBorders>
          </w:tcPr>
          <w:p w:rsidR="00CD18D3" w:rsidRPr="00322850" w:rsidRDefault="00CD18D3" w:rsidP="002B2721">
            <w:pPr>
              <w:rPr>
                <w:i/>
                <w:sz w:val="24"/>
                <w:szCs w:val="24"/>
              </w:rPr>
            </w:pPr>
            <w:r w:rsidRPr="006D7A8A">
              <w:rPr>
                <w:i/>
                <w:noProof/>
                <w:sz w:val="24"/>
                <w:szCs w:val="24"/>
              </w:rPr>
              <w:t>Therapeutic Goods Act 1989</w:t>
            </w:r>
          </w:p>
        </w:tc>
      </w:tr>
      <w:tr w:rsidR="00CD18D3" w:rsidRPr="00322850" w:rsidTr="002B2721">
        <w:tc>
          <w:tcPr>
            <w:tcW w:w="2694" w:type="dxa"/>
            <w:tcBorders>
              <w:right w:val="single" w:sz="12" w:space="0" w:color="auto"/>
            </w:tcBorders>
          </w:tcPr>
          <w:p w:rsidR="00CD18D3" w:rsidRPr="00322850" w:rsidRDefault="00CD18D3" w:rsidP="002B2721">
            <w:pPr>
              <w:rPr>
                <w:b/>
                <w:sz w:val="24"/>
                <w:szCs w:val="24"/>
              </w:rPr>
            </w:pPr>
            <w:r w:rsidRPr="00322850">
              <w:rPr>
                <w:b/>
                <w:sz w:val="24"/>
                <w:szCs w:val="24"/>
              </w:rPr>
              <w:t>Department</w:t>
            </w:r>
          </w:p>
        </w:tc>
        <w:tc>
          <w:tcPr>
            <w:tcW w:w="6378" w:type="dxa"/>
            <w:tcBorders>
              <w:left w:val="single" w:sz="12" w:space="0" w:color="auto"/>
            </w:tcBorders>
          </w:tcPr>
          <w:p w:rsidR="00CD18D3" w:rsidRPr="00322850" w:rsidRDefault="00CD18D3" w:rsidP="002B2721">
            <w:pPr>
              <w:rPr>
                <w:sz w:val="24"/>
                <w:szCs w:val="24"/>
              </w:rPr>
            </w:pPr>
            <w:r w:rsidRPr="006D7A8A">
              <w:rPr>
                <w:noProof/>
                <w:sz w:val="24"/>
                <w:szCs w:val="24"/>
              </w:rPr>
              <w:t>Health</w:t>
            </w:r>
          </w:p>
        </w:tc>
      </w:tr>
      <w:tr w:rsidR="00CD18D3" w:rsidRPr="00322850" w:rsidTr="002B2721">
        <w:tc>
          <w:tcPr>
            <w:tcW w:w="2694" w:type="dxa"/>
            <w:tcBorders>
              <w:right w:val="single" w:sz="12" w:space="0" w:color="auto"/>
            </w:tcBorders>
          </w:tcPr>
          <w:p w:rsidR="00CD18D3" w:rsidRPr="00322850" w:rsidRDefault="00CD18D3" w:rsidP="002B2721">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CD18D3" w:rsidRPr="00322850" w:rsidRDefault="00CD18D3" w:rsidP="002B2721">
            <w:pPr>
              <w:rPr>
                <w:sz w:val="24"/>
                <w:szCs w:val="24"/>
              </w:rPr>
            </w:pPr>
            <w:r>
              <w:rPr>
                <w:sz w:val="24"/>
                <w:szCs w:val="24"/>
              </w:rPr>
              <w:t xml:space="preserve">15 sitting days after tabling (tabled Senate </w:t>
            </w:r>
            <w:r w:rsidRPr="006D7A8A">
              <w:rPr>
                <w:noProof/>
                <w:sz w:val="24"/>
                <w:szCs w:val="24"/>
              </w:rPr>
              <w:t>8 August</w:t>
            </w:r>
            <w:r>
              <w:rPr>
                <w:sz w:val="24"/>
                <w:szCs w:val="24"/>
              </w:rPr>
              <w:t xml:space="preserve"> 2017)</w:t>
            </w:r>
            <w:r>
              <w:rPr>
                <w:sz w:val="24"/>
                <w:szCs w:val="24"/>
              </w:rPr>
              <w:br/>
              <w:t>Notice of motion to disallow currently must be given by</w:t>
            </w:r>
            <w:r>
              <w:rPr>
                <w:sz w:val="24"/>
                <w:szCs w:val="24"/>
              </w:rPr>
              <w:br/>
            </w:r>
            <w:r w:rsidRPr="006D7A8A">
              <w:rPr>
                <w:noProof/>
                <w:sz w:val="24"/>
                <w:szCs w:val="24"/>
              </w:rPr>
              <w:t>16 October</w:t>
            </w:r>
            <w:r>
              <w:rPr>
                <w:sz w:val="24"/>
                <w:szCs w:val="24"/>
              </w:rPr>
              <w:t xml:space="preserve"> 2017</w:t>
            </w:r>
          </w:p>
        </w:tc>
      </w:tr>
      <w:tr w:rsidR="00CD18D3" w:rsidRPr="00322850" w:rsidTr="002B2721">
        <w:tc>
          <w:tcPr>
            <w:tcW w:w="2694" w:type="dxa"/>
            <w:tcBorders>
              <w:bottom w:val="single" w:sz="12" w:space="0" w:color="auto"/>
              <w:right w:val="single" w:sz="12" w:space="0" w:color="auto"/>
            </w:tcBorders>
          </w:tcPr>
          <w:p w:rsidR="00CD18D3" w:rsidRPr="00322850" w:rsidRDefault="00CD18D3" w:rsidP="002B2721">
            <w:pPr>
              <w:rPr>
                <w:b/>
                <w:sz w:val="24"/>
                <w:szCs w:val="24"/>
              </w:rPr>
            </w:pPr>
            <w:r w:rsidRPr="00322850">
              <w:rPr>
                <w:b/>
                <w:sz w:val="24"/>
                <w:szCs w:val="24"/>
              </w:rPr>
              <w:t>Scrutiny principle</w:t>
            </w:r>
          </w:p>
        </w:tc>
        <w:tc>
          <w:tcPr>
            <w:tcW w:w="6378" w:type="dxa"/>
            <w:tcBorders>
              <w:left w:val="single" w:sz="12" w:space="0" w:color="auto"/>
              <w:bottom w:val="single" w:sz="12" w:space="0" w:color="auto"/>
            </w:tcBorders>
          </w:tcPr>
          <w:p w:rsidR="00CD18D3" w:rsidRPr="00322850" w:rsidRDefault="00CD18D3" w:rsidP="002B2721">
            <w:pPr>
              <w:rPr>
                <w:sz w:val="24"/>
                <w:szCs w:val="24"/>
              </w:rPr>
            </w:pPr>
            <w:r w:rsidRPr="00322850">
              <w:rPr>
                <w:sz w:val="24"/>
                <w:szCs w:val="24"/>
              </w:rPr>
              <w:t>Standing Order 23(3)</w:t>
            </w:r>
            <w:r w:rsidRPr="006D7A8A">
              <w:rPr>
                <w:noProof/>
                <w:sz w:val="24"/>
                <w:szCs w:val="24"/>
              </w:rPr>
              <w:t>(a)</w:t>
            </w:r>
          </w:p>
        </w:tc>
      </w:tr>
    </w:tbl>
    <w:p w:rsidR="00CD18D3" w:rsidRPr="00322850" w:rsidRDefault="00CD18D3" w:rsidP="00CD18D3">
      <w:pPr>
        <w:spacing w:before="0" w:after="0"/>
      </w:pPr>
    </w:p>
    <w:p w:rsidR="00CD18D3" w:rsidRPr="006D7A8A" w:rsidRDefault="00CD18D3" w:rsidP="00CD18D3">
      <w:pPr>
        <w:rPr>
          <w:b/>
          <w:noProof/>
        </w:rPr>
      </w:pPr>
      <w:r w:rsidRPr="006D7A8A">
        <w:rPr>
          <w:b/>
          <w:noProof/>
        </w:rPr>
        <w:t>A</w:t>
      </w:r>
      <w:r>
        <w:rPr>
          <w:b/>
          <w:noProof/>
        </w:rPr>
        <w:t>ccess to incorporated documents</w:t>
      </w:r>
    </w:p>
    <w:p w:rsidR="00CD18D3" w:rsidRPr="008B0EEC" w:rsidRDefault="00CD18D3" w:rsidP="00CD18D3">
      <w:pPr>
        <w:rPr>
          <w:noProof/>
        </w:rPr>
      </w:pPr>
      <w:r w:rsidRPr="008B0EEC">
        <w:rPr>
          <w:noProof/>
        </w:rPr>
        <w:t xml:space="preserve">Paragraph 15J(2)(c) of the </w:t>
      </w:r>
      <w:r w:rsidRPr="008B0EEC">
        <w:rPr>
          <w:i/>
          <w:noProof/>
        </w:rPr>
        <w:t>Legislation Act 2003</w:t>
      </w:r>
      <w:r w:rsidRPr="008B0EEC">
        <w:rPr>
          <w:noProof/>
        </w:rPr>
        <w:t xml:space="preserve"> requires the ES for a legislative instrument that incorporates a document to contain a description of that document and indicate how it may be obtained. </w:t>
      </w:r>
    </w:p>
    <w:p w:rsidR="00CD18D3" w:rsidRPr="008B0EEC" w:rsidRDefault="00CD18D3" w:rsidP="00CD18D3">
      <w:pPr>
        <w:rPr>
          <w:noProof/>
        </w:rPr>
      </w:pPr>
      <w:r w:rsidRPr="008B0EEC">
        <w:rPr>
          <w:noProof/>
        </w:rPr>
        <w:t>The committee's expectations where a legislative instrument incorporates a document generally accord with the approach of the Senate Standing Committee for the Scrutiny of Bills, which has consistently drawn attention to legislation that incorporates documents not readily and freely available (i.e. without cost) to the public. Generally, the committee will be concerned where incorporated documents are not publicly and freely available, because perso</w:t>
      </w:r>
      <w:r>
        <w:rPr>
          <w:noProof/>
        </w:rPr>
        <w:t>ns interested in or affected by</w:t>
      </w:r>
      <w:r>
        <w:rPr>
          <w:noProof/>
        </w:rPr>
        <w:br/>
      </w:r>
      <w:r w:rsidRPr="008B0EEC">
        <w:rPr>
          <w:noProof/>
        </w:rPr>
        <w:t xml:space="preserve">the law may have inadequate access to its terms.  </w:t>
      </w:r>
    </w:p>
    <w:p w:rsidR="00CD18D3" w:rsidRDefault="00CD18D3" w:rsidP="00CD18D3">
      <w:pPr>
        <w:rPr>
          <w:noProof/>
        </w:rPr>
      </w:pPr>
      <w:r w:rsidRPr="00A314FE">
        <w:rPr>
          <w:noProof/>
        </w:rPr>
        <w:t xml:space="preserve">With reference to the above, the committee notes that </w:t>
      </w:r>
      <w:r>
        <w:rPr>
          <w:noProof/>
        </w:rPr>
        <w:t>the determination</w:t>
      </w:r>
      <w:r w:rsidRPr="00A314FE">
        <w:rPr>
          <w:noProof/>
        </w:rPr>
        <w:t xml:space="preserve"> incorporates:</w:t>
      </w:r>
    </w:p>
    <w:p w:rsidR="00CD18D3" w:rsidRDefault="00CD18D3" w:rsidP="00CD18D3">
      <w:pPr>
        <w:pStyle w:val="Bullet1"/>
        <w:rPr>
          <w:noProof/>
        </w:rPr>
      </w:pPr>
      <w:r>
        <w:rPr>
          <w:noProof/>
        </w:rPr>
        <w:t>British Pharmacopoeia;</w:t>
      </w:r>
    </w:p>
    <w:p w:rsidR="00CD18D3" w:rsidRPr="00A314FE" w:rsidRDefault="00CD18D3" w:rsidP="00CD18D3">
      <w:pPr>
        <w:pStyle w:val="Bullet1"/>
        <w:rPr>
          <w:noProof/>
        </w:rPr>
      </w:pPr>
      <w:r>
        <w:rPr>
          <w:noProof/>
        </w:rPr>
        <w:t>Eur</w:t>
      </w:r>
      <w:r w:rsidRPr="00A314FE">
        <w:rPr>
          <w:noProof/>
        </w:rPr>
        <w:t>opean Pharmacopoeia;</w:t>
      </w:r>
    </w:p>
    <w:p w:rsidR="00CD18D3" w:rsidRPr="00A314FE" w:rsidRDefault="00CD18D3" w:rsidP="00CD18D3">
      <w:pPr>
        <w:pStyle w:val="Bullet1"/>
        <w:rPr>
          <w:noProof/>
        </w:rPr>
      </w:pPr>
      <w:r w:rsidRPr="00A314FE">
        <w:rPr>
          <w:noProof/>
        </w:rPr>
        <w:t>United States Pharmacopeia – National Formulary; and</w:t>
      </w:r>
    </w:p>
    <w:p w:rsidR="00CD18D3" w:rsidRDefault="00CD18D3" w:rsidP="00CD18D3">
      <w:pPr>
        <w:pStyle w:val="Bullet1"/>
        <w:rPr>
          <w:noProof/>
        </w:rPr>
      </w:pPr>
      <w:r w:rsidRPr="00A314FE">
        <w:rPr>
          <w:noProof/>
        </w:rPr>
        <w:t>Food Chemicals Codex published by the United States Pharmacopeial Convention.</w:t>
      </w:r>
    </w:p>
    <w:p w:rsidR="00CD18D3" w:rsidRDefault="00CD18D3" w:rsidP="00CD18D3">
      <w:pPr>
        <w:rPr>
          <w:noProof/>
        </w:rPr>
      </w:pPr>
      <w:r w:rsidRPr="00A314FE">
        <w:rPr>
          <w:noProof/>
        </w:rPr>
        <w:t xml:space="preserve">While the committee notes that the ES is generally helpful in providing information about where documents incorporated in the determination can be obtained, in relation to the above documents, the ES states:  </w:t>
      </w:r>
    </w:p>
    <w:p w:rsidR="00CD18D3" w:rsidRDefault="00CD18D3" w:rsidP="00CD18D3">
      <w:pPr>
        <w:pStyle w:val="Quote"/>
        <w:rPr>
          <w:noProof/>
        </w:rPr>
      </w:pPr>
      <w:r w:rsidRPr="00A314FE">
        <w:rPr>
          <w:noProof/>
        </w:rPr>
        <w:lastRenderedPageBreak/>
        <w:t>A fee is required for access to these documents. It is anticipated that a sponsor of a medicine included in the Australian Register of Therapeutic Goods and other interested persons in the medicines industry using this instrument would be in possession of these standards in order to manufacture the medicine or use the ingredients. Further, versions of these documents are available through a number of libraries allowing public access.</w:t>
      </w:r>
    </w:p>
    <w:p w:rsidR="00CD18D3" w:rsidRDefault="00CD18D3" w:rsidP="00CD18D3">
      <w:pPr>
        <w:rPr>
          <w:noProof/>
        </w:rPr>
      </w:pPr>
      <w:r>
        <w:rPr>
          <w:noProof/>
        </w:rPr>
        <w:t>The committee acknowledges that anticipated users and other interested persons in the medicines industry using this determination would be in possession of the incorporated documents. However, in addition to access for members of the medicines industry, the committee is interested in the broader issue of access for other parties who might be affected by, or are otherwise interested in, the law.</w:t>
      </w:r>
      <w:r>
        <w:rPr>
          <w:noProof/>
        </w:rPr>
        <w:br/>
        <w:t xml:space="preserve">In this respect, the committee notes the advice in the ES that the incorporated documents are available through a number of libraries allowing public access.  </w:t>
      </w:r>
    </w:p>
    <w:p w:rsidR="00CD18D3" w:rsidRPr="00A314FE" w:rsidRDefault="00CD18D3" w:rsidP="00CD18D3">
      <w:pPr>
        <w:rPr>
          <w:noProof/>
        </w:rPr>
      </w:pPr>
      <w:r>
        <w:rPr>
          <w:noProof/>
        </w:rPr>
        <w:t>The issue of access to material incorporated into the law by reference to external documents has been one of ongoing concern to this committee and other Australian parliamentary scrutiny committees. The committee remains concerned about the lack of free access to material incorporated into legislation generally, and will continue to monitor this issue.</w:t>
      </w:r>
    </w:p>
    <w:p w:rsidR="00CD18D3" w:rsidRPr="008B0EEC" w:rsidRDefault="00CD18D3" w:rsidP="00CD18D3">
      <w:pPr>
        <w:rPr>
          <w:rFonts w:asciiTheme="minorHAnsi" w:hAnsiTheme="minorHAnsi"/>
          <w:lang w:eastAsia="en-AU"/>
        </w:rPr>
      </w:pPr>
      <w:r w:rsidRPr="008B0EEC">
        <w:rPr>
          <w:rFonts w:asciiTheme="minorHAnsi" w:hAnsiTheme="minorHAnsi"/>
          <w:lang w:eastAsia="en-AU"/>
        </w:rPr>
        <w:t>The committee's expectations in this regard are set out in the guideline on incorporation of documents published on the committee's website.</w:t>
      </w:r>
      <w:r w:rsidRPr="008B0EEC">
        <w:rPr>
          <w:rStyle w:val="FootnoteReference"/>
          <w:rFonts w:asciiTheme="minorHAnsi" w:hAnsiTheme="minorHAnsi"/>
          <w:lang w:eastAsia="en-AU"/>
        </w:rPr>
        <w:footnoteReference w:id="33"/>
      </w:r>
      <w:r w:rsidRPr="008B0EEC">
        <w:rPr>
          <w:rFonts w:asciiTheme="minorHAnsi" w:hAnsiTheme="minorHAnsi"/>
          <w:lang w:eastAsia="en-AU"/>
        </w:rPr>
        <w:t xml:space="preserve"> </w:t>
      </w:r>
    </w:p>
    <w:p w:rsidR="00CD18D3" w:rsidRPr="005623F3" w:rsidRDefault="00CD18D3" w:rsidP="00CD18D3">
      <w:pPr>
        <w:rPr>
          <w:b/>
          <w:szCs w:val="26"/>
        </w:rPr>
      </w:pPr>
      <w:r w:rsidRPr="005623F3">
        <w:rPr>
          <w:b/>
          <w:noProof/>
        </w:rPr>
        <w:t>The committee draws the above to the minister's attention.</w:t>
      </w:r>
      <w:r w:rsidRPr="005623F3">
        <w:rPr>
          <w:b/>
          <w:szCs w:val="26"/>
        </w:rPr>
        <w:t xml:space="preserve"> </w:t>
      </w:r>
    </w:p>
    <w:p w:rsidR="00CD18D3" w:rsidRDefault="00CD18D3" w:rsidP="00CD18D3">
      <w:pPr>
        <w:rPr>
          <w:noProof/>
          <w:highlight w:val="yellow"/>
        </w:rPr>
      </w:pPr>
    </w:p>
    <w:p w:rsidR="00CD18D3" w:rsidRPr="00E54765" w:rsidRDefault="00CD18D3" w:rsidP="00CD18D3">
      <w:pPr>
        <w:pStyle w:val="Heading3"/>
        <w:rPr>
          <w:lang w:eastAsia="en-AU"/>
        </w:rPr>
      </w:pPr>
      <w:r w:rsidRPr="00E54765">
        <w:rPr>
          <w:lang w:eastAsia="en-AU"/>
        </w:rPr>
        <w:br w:type="page"/>
      </w:r>
      <w:r w:rsidRPr="00E54765">
        <w:rPr>
          <w:lang w:eastAsia="en-AU"/>
        </w:rPr>
        <w:lastRenderedPageBreak/>
        <w:t xml:space="preserve">Multiple instruments that appear to rely on section 10 of the </w:t>
      </w:r>
      <w:r w:rsidRPr="00E54765">
        <w:rPr>
          <w:i/>
          <w:lang w:eastAsia="en-AU"/>
        </w:rPr>
        <w:t>Acts Interpretation Act 1901</w:t>
      </w:r>
      <w:r w:rsidRPr="00E54765">
        <w:rPr>
          <w:lang w:eastAsia="en-AU"/>
        </w:rPr>
        <w:t xml:space="preserve"> (as applied by paragraph 13(1)(a) of the </w:t>
      </w:r>
      <w:r w:rsidRPr="00E54765">
        <w:rPr>
          <w:i/>
          <w:lang w:eastAsia="en-AU"/>
        </w:rPr>
        <w:t>Legislation Act 2003</w:t>
      </w:r>
      <w:r w:rsidRPr="00E54765">
        <w:rPr>
          <w:lang w:eastAsia="en-AU"/>
        </w:rPr>
        <w:t>)</w:t>
      </w:r>
    </w:p>
    <w:tbl>
      <w:tblPr>
        <w:tblW w:w="0" w:type="auto"/>
        <w:tblInd w:w="108" w:type="dxa"/>
        <w:tblLook w:val="04A0" w:firstRow="1" w:lastRow="0" w:firstColumn="1" w:lastColumn="0" w:noHBand="0" w:noVBand="1"/>
      </w:tblPr>
      <w:tblGrid>
        <w:gridCol w:w="2694"/>
        <w:gridCol w:w="6378"/>
      </w:tblGrid>
      <w:tr w:rsidR="00CD18D3" w:rsidRPr="00E54765" w:rsidTr="002B2721">
        <w:tc>
          <w:tcPr>
            <w:tcW w:w="2694" w:type="dxa"/>
            <w:tcBorders>
              <w:top w:val="single" w:sz="12" w:space="0" w:color="auto"/>
              <w:right w:val="single" w:sz="12" w:space="0" w:color="auto"/>
            </w:tcBorders>
          </w:tcPr>
          <w:p w:rsidR="00CD18D3" w:rsidRPr="00E54765" w:rsidRDefault="00CD18D3" w:rsidP="002B2721">
            <w:pPr>
              <w:rPr>
                <w:rFonts w:asciiTheme="minorHAnsi" w:hAnsiTheme="minorHAnsi"/>
                <w:b/>
                <w:sz w:val="24"/>
                <w:szCs w:val="24"/>
                <w:lang w:eastAsia="en-AU"/>
              </w:rPr>
            </w:pPr>
            <w:r w:rsidRPr="00E54765">
              <w:rPr>
                <w:rFonts w:asciiTheme="minorHAnsi" w:hAnsiTheme="minorHAnsi"/>
                <w:b/>
                <w:sz w:val="24"/>
                <w:szCs w:val="24"/>
                <w:lang w:eastAsia="en-AU"/>
              </w:rPr>
              <w:t>Instruments</w:t>
            </w:r>
          </w:p>
        </w:tc>
        <w:tc>
          <w:tcPr>
            <w:tcW w:w="6378" w:type="dxa"/>
            <w:tcBorders>
              <w:top w:val="single" w:sz="12" w:space="0" w:color="auto"/>
              <w:left w:val="single" w:sz="12" w:space="0" w:color="auto"/>
            </w:tcBorders>
          </w:tcPr>
          <w:p w:rsidR="00CD18D3" w:rsidRDefault="00CD18D3" w:rsidP="002B2721">
            <w:pPr>
              <w:spacing w:after="60"/>
              <w:rPr>
                <w:rFonts w:asciiTheme="minorHAnsi" w:hAnsiTheme="minorHAnsi"/>
                <w:sz w:val="24"/>
                <w:szCs w:val="24"/>
                <w:lang w:eastAsia="en-AU"/>
              </w:rPr>
            </w:pPr>
            <w:r w:rsidRPr="00374956">
              <w:rPr>
                <w:rFonts w:asciiTheme="minorHAnsi" w:hAnsiTheme="minorHAnsi"/>
                <w:sz w:val="24"/>
                <w:szCs w:val="24"/>
                <w:lang w:eastAsia="en-AU"/>
              </w:rPr>
              <w:t>ASIC Corporations (Credit Union Member Shares) Instrument 2017/616 [F2017L00898]</w:t>
            </w:r>
          </w:p>
          <w:p w:rsidR="00CD18D3" w:rsidRPr="00374956" w:rsidRDefault="00CD18D3" w:rsidP="002B2721">
            <w:pPr>
              <w:spacing w:after="60"/>
              <w:rPr>
                <w:rFonts w:asciiTheme="minorHAnsi" w:hAnsiTheme="minorHAnsi"/>
                <w:sz w:val="24"/>
                <w:szCs w:val="24"/>
                <w:lang w:eastAsia="en-AU"/>
              </w:rPr>
            </w:pPr>
            <w:r w:rsidRPr="00CA6B0D">
              <w:rPr>
                <w:rFonts w:asciiTheme="minorHAnsi" w:hAnsiTheme="minorHAnsi"/>
                <w:sz w:val="24"/>
                <w:szCs w:val="24"/>
                <w:lang w:eastAsia="en-AU"/>
              </w:rPr>
              <w:t>AusCheck Regulations 2017 [F2017L00971]</w:t>
            </w:r>
          </w:p>
          <w:p w:rsidR="00CD18D3" w:rsidRDefault="00CD18D3" w:rsidP="002B2721">
            <w:pPr>
              <w:spacing w:after="60"/>
              <w:rPr>
                <w:rFonts w:asciiTheme="minorHAnsi" w:hAnsiTheme="minorHAnsi"/>
                <w:sz w:val="24"/>
                <w:szCs w:val="24"/>
                <w:lang w:eastAsia="en-AU"/>
              </w:rPr>
            </w:pPr>
            <w:r w:rsidRPr="00374956">
              <w:rPr>
                <w:rFonts w:asciiTheme="minorHAnsi" w:hAnsiTheme="minorHAnsi"/>
                <w:sz w:val="24"/>
                <w:szCs w:val="24"/>
                <w:lang w:eastAsia="en-AU"/>
              </w:rPr>
              <w:t>Authorised Deposit-taking Institutions Supervisory Levy Imposition Determination 2017 [F2017L00906]</w:t>
            </w:r>
          </w:p>
          <w:p w:rsidR="00CD18D3" w:rsidRPr="00374956" w:rsidRDefault="00CD18D3" w:rsidP="002B2721">
            <w:pPr>
              <w:spacing w:after="60"/>
              <w:rPr>
                <w:rFonts w:asciiTheme="minorHAnsi" w:hAnsiTheme="minorHAnsi"/>
                <w:sz w:val="24"/>
                <w:szCs w:val="24"/>
                <w:lang w:eastAsia="en-AU"/>
              </w:rPr>
            </w:pPr>
            <w:r w:rsidRPr="00444333">
              <w:rPr>
                <w:rFonts w:asciiTheme="minorHAnsi" w:hAnsiTheme="minorHAnsi"/>
                <w:sz w:val="24"/>
                <w:szCs w:val="24"/>
                <w:lang w:eastAsia="en-AU"/>
              </w:rPr>
              <w:t>CASA 70/17 - Direction — stop bars</w:t>
            </w:r>
            <w:r>
              <w:rPr>
                <w:rFonts w:asciiTheme="minorHAnsi" w:hAnsiTheme="minorHAnsi"/>
                <w:sz w:val="24"/>
                <w:szCs w:val="24"/>
                <w:lang w:eastAsia="en-AU"/>
              </w:rPr>
              <w:t xml:space="preserve"> </w:t>
            </w:r>
            <w:r w:rsidRPr="00444333">
              <w:rPr>
                <w:rFonts w:asciiTheme="minorHAnsi" w:hAnsiTheme="minorHAnsi"/>
                <w:sz w:val="24"/>
                <w:szCs w:val="24"/>
                <w:lang w:eastAsia="en-AU"/>
              </w:rPr>
              <w:t>[F2017L00954]</w:t>
            </w:r>
          </w:p>
          <w:p w:rsidR="00CD18D3" w:rsidRPr="00374956" w:rsidRDefault="00CD18D3" w:rsidP="002B2721">
            <w:pPr>
              <w:spacing w:after="60"/>
              <w:rPr>
                <w:rFonts w:asciiTheme="minorHAnsi" w:hAnsiTheme="minorHAnsi"/>
                <w:sz w:val="24"/>
                <w:szCs w:val="24"/>
                <w:lang w:eastAsia="en-AU"/>
              </w:rPr>
            </w:pPr>
            <w:r w:rsidRPr="00374956">
              <w:rPr>
                <w:rFonts w:asciiTheme="minorHAnsi" w:hAnsiTheme="minorHAnsi"/>
                <w:sz w:val="24"/>
                <w:szCs w:val="24"/>
                <w:lang w:eastAsia="en-AU"/>
              </w:rPr>
              <w:t>General Insurance Supervisory Levy Imposition Determination 2017 [F2017L00911]</w:t>
            </w:r>
          </w:p>
          <w:p w:rsidR="00CD18D3" w:rsidRPr="00374956" w:rsidRDefault="00CD18D3" w:rsidP="002B2721">
            <w:pPr>
              <w:spacing w:after="60"/>
              <w:rPr>
                <w:rFonts w:asciiTheme="minorHAnsi" w:hAnsiTheme="minorHAnsi"/>
                <w:sz w:val="24"/>
                <w:szCs w:val="24"/>
                <w:lang w:eastAsia="en-AU"/>
              </w:rPr>
            </w:pPr>
            <w:r w:rsidRPr="00374956">
              <w:rPr>
                <w:rFonts w:asciiTheme="minorHAnsi" w:hAnsiTheme="minorHAnsi"/>
                <w:sz w:val="24"/>
                <w:szCs w:val="24"/>
                <w:lang w:eastAsia="en-AU"/>
              </w:rPr>
              <w:t>Great Barrier Reef Marine Park Amendment (Whitsundays Plan of Management) Instrument 2017</w:t>
            </w:r>
          </w:p>
          <w:p w:rsidR="00CD18D3" w:rsidRPr="00374956" w:rsidRDefault="00CD18D3" w:rsidP="002B2721">
            <w:pPr>
              <w:spacing w:after="60"/>
              <w:rPr>
                <w:rFonts w:asciiTheme="minorHAnsi" w:hAnsiTheme="minorHAnsi"/>
                <w:sz w:val="24"/>
                <w:szCs w:val="24"/>
                <w:lang w:eastAsia="en-AU"/>
              </w:rPr>
            </w:pPr>
            <w:r w:rsidRPr="00374956">
              <w:rPr>
                <w:rFonts w:asciiTheme="minorHAnsi" w:hAnsiTheme="minorHAnsi"/>
                <w:sz w:val="24"/>
                <w:szCs w:val="24"/>
                <w:lang w:eastAsia="en-AU"/>
              </w:rPr>
              <w:t>Life Insurance Supervisory Levy Imposition Determination 2017 [F2017L00912]</w:t>
            </w:r>
          </w:p>
          <w:p w:rsidR="00CD18D3" w:rsidRPr="00374956" w:rsidRDefault="00CD18D3" w:rsidP="002B2721">
            <w:pPr>
              <w:spacing w:after="60"/>
              <w:rPr>
                <w:rFonts w:asciiTheme="minorHAnsi" w:hAnsiTheme="minorHAnsi"/>
                <w:sz w:val="24"/>
                <w:szCs w:val="24"/>
                <w:lang w:eastAsia="en-AU"/>
              </w:rPr>
            </w:pPr>
            <w:r w:rsidRPr="00374956">
              <w:rPr>
                <w:rFonts w:asciiTheme="minorHAnsi" w:hAnsiTheme="minorHAnsi"/>
                <w:sz w:val="24"/>
                <w:szCs w:val="24"/>
                <w:lang w:eastAsia="en-AU"/>
              </w:rPr>
              <w:t>Superannuation Supervisory Levy Imposition Determination 2017 [F2017L00914]</w:t>
            </w:r>
          </w:p>
          <w:p w:rsidR="00CD18D3" w:rsidRPr="00374956" w:rsidRDefault="00CD18D3" w:rsidP="002B2721">
            <w:pPr>
              <w:spacing w:after="60"/>
              <w:rPr>
                <w:rFonts w:asciiTheme="minorHAnsi" w:hAnsiTheme="minorHAnsi"/>
                <w:sz w:val="24"/>
                <w:szCs w:val="24"/>
                <w:lang w:eastAsia="en-AU"/>
              </w:rPr>
            </w:pPr>
            <w:r w:rsidRPr="00374956">
              <w:rPr>
                <w:rFonts w:asciiTheme="minorHAnsi" w:hAnsiTheme="minorHAnsi"/>
                <w:sz w:val="24"/>
                <w:szCs w:val="24"/>
                <w:lang w:eastAsia="en-AU"/>
              </w:rPr>
              <w:t>Telecommunications (Integrated Public Number Database Scheme – Conditions for Authorisations) Determination 2017 [F2017L00941]</w:t>
            </w:r>
          </w:p>
          <w:p w:rsidR="00CD18D3" w:rsidRPr="00374956" w:rsidRDefault="00CD18D3" w:rsidP="002B2721">
            <w:pPr>
              <w:spacing w:after="60"/>
              <w:rPr>
                <w:rFonts w:asciiTheme="minorHAnsi" w:hAnsiTheme="minorHAnsi"/>
                <w:sz w:val="24"/>
                <w:szCs w:val="24"/>
                <w:lang w:eastAsia="en-AU"/>
              </w:rPr>
            </w:pPr>
            <w:r w:rsidRPr="00374956">
              <w:rPr>
                <w:rFonts w:asciiTheme="minorHAnsi" w:hAnsiTheme="minorHAnsi"/>
                <w:sz w:val="24"/>
                <w:szCs w:val="24"/>
                <w:lang w:eastAsia="en-AU"/>
              </w:rPr>
              <w:t>Telecommunications (Integrated Public Number Database Scheme – Criteria for Deciding Authorisation Applications) Instrument 2017 [F2017L00937]</w:t>
            </w:r>
          </w:p>
          <w:p w:rsidR="00CD18D3" w:rsidRPr="00374956" w:rsidRDefault="00CD18D3" w:rsidP="002B2721">
            <w:pPr>
              <w:spacing w:after="60"/>
              <w:rPr>
                <w:rFonts w:asciiTheme="minorHAnsi" w:hAnsiTheme="minorHAnsi"/>
                <w:sz w:val="24"/>
                <w:szCs w:val="24"/>
                <w:lang w:eastAsia="en-AU"/>
              </w:rPr>
            </w:pPr>
            <w:r w:rsidRPr="00374956">
              <w:rPr>
                <w:rFonts w:asciiTheme="minorHAnsi" w:hAnsiTheme="minorHAnsi"/>
                <w:sz w:val="24"/>
                <w:szCs w:val="24"/>
                <w:lang w:eastAsia="en-AU"/>
              </w:rPr>
              <w:t>Telecommunications (Integrated Public Number Database – Public Number Directory Additional Information) Instrument 2017 [F2017L00933]</w:t>
            </w:r>
          </w:p>
          <w:p w:rsidR="00CD18D3" w:rsidRDefault="00CD18D3" w:rsidP="002B2721">
            <w:pPr>
              <w:spacing w:after="60"/>
              <w:rPr>
                <w:rFonts w:asciiTheme="minorHAnsi" w:hAnsiTheme="minorHAnsi"/>
                <w:sz w:val="24"/>
                <w:szCs w:val="24"/>
                <w:lang w:eastAsia="en-AU"/>
              </w:rPr>
            </w:pPr>
            <w:r w:rsidRPr="00374956">
              <w:rPr>
                <w:rFonts w:asciiTheme="minorHAnsi" w:hAnsiTheme="minorHAnsi"/>
                <w:sz w:val="24"/>
                <w:szCs w:val="24"/>
                <w:lang w:eastAsia="en-AU"/>
              </w:rPr>
              <w:t>Telecommunications (Integrated Public Number Database – Public Number Directory Requirements) Instrument 2017 [F2017L00934]</w:t>
            </w:r>
          </w:p>
          <w:p w:rsidR="00CD18D3" w:rsidRPr="00321BF5" w:rsidRDefault="00CD18D3" w:rsidP="002B2721">
            <w:pPr>
              <w:spacing w:after="60"/>
              <w:rPr>
                <w:rFonts w:asciiTheme="minorHAnsi" w:hAnsiTheme="minorHAnsi"/>
                <w:sz w:val="24"/>
                <w:szCs w:val="24"/>
                <w:lang w:eastAsia="en-AU"/>
              </w:rPr>
            </w:pPr>
            <w:r w:rsidRPr="00CA6B0D">
              <w:rPr>
                <w:rFonts w:asciiTheme="minorHAnsi" w:hAnsiTheme="minorHAnsi"/>
                <w:sz w:val="24"/>
                <w:szCs w:val="24"/>
                <w:lang w:eastAsia="en-AU"/>
              </w:rPr>
              <w:t>Therapeutic Goods Information (Sharing information about in-house in vitro diagnostic medical devices) Specification 2017 [F2017L00965]</w:t>
            </w:r>
          </w:p>
        </w:tc>
      </w:tr>
      <w:tr w:rsidR="00CD18D3" w:rsidRPr="00E54765" w:rsidTr="002B2721">
        <w:tc>
          <w:tcPr>
            <w:tcW w:w="2694" w:type="dxa"/>
            <w:tcBorders>
              <w:bottom w:val="single" w:sz="12" w:space="0" w:color="auto"/>
              <w:right w:val="single" w:sz="12" w:space="0" w:color="auto"/>
            </w:tcBorders>
          </w:tcPr>
          <w:p w:rsidR="00CD18D3" w:rsidRPr="00E54765" w:rsidRDefault="00CD18D3" w:rsidP="002B2721">
            <w:pPr>
              <w:rPr>
                <w:rFonts w:asciiTheme="minorHAnsi" w:hAnsiTheme="minorHAnsi"/>
                <w:b/>
                <w:sz w:val="24"/>
                <w:szCs w:val="24"/>
                <w:lang w:eastAsia="en-AU"/>
              </w:rPr>
            </w:pPr>
            <w:r w:rsidRPr="00E54765">
              <w:rPr>
                <w:rFonts w:asciiTheme="minorHAnsi" w:hAnsiTheme="minorHAnsi"/>
                <w:b/>
                <w:sz w:val="24"/>
                <w:szCs w:val="24"/>
                <w:lang w:eastAsia="en-AU"/>
              </w:rPr>
              <w:t>Scrutiny principle</w:t>
            </w:r>
          </w:p>
        </w:tc>
        <w:tc>
          <w:tcPr>
            <w:tcW w:w="6378" w:type="dxa"/>
            <w:tcBorders>
              <w:left w:val="single" w:sz="12" w:space="0" w:color="auto"/>
              <w:bottom w:val="single" w:sz="12" w:space="0" w:color="auto"/>
            </w:tcBorders>
          </w:tcPr>
          <w:p w:rsidR="00CD18D3" w:rsidRPr="00E54765" w:rsidRDefault="00CD18D3" w:rsidP="002B2721">
            <w:pPr>
              <w:rPr>
                <w:rFonts w:asciiTheme="minorHAnsi" w:hAnsiTheme="minorHAnsi"/>
                <w:sz w:val="24"/>
                <w:szCs w:val="24"/>
                <w:lang w:eastAsia="en-AU"/>
              </w:rPr>
            </w:pPr>
            <w:r w:rsidRPr="00E54765">
              <w:rPr>
                <w:rFonts w:asciiTheme="minorHAnsi" w:hAnsiTheme="minorHAnsi"/>
                <w:sz w:val="24"/>
                <w:szCs w:val="24"/>
                <w:lang w:eastAsia="en-AU"/>
              </w:rPr>
              <w:t>Standing Order 23(3)</w:t>
            </w:r>
            <w:r w:rsidRPr="00E54765">
              <w:rPr>
                <w:rFonts w:asciiTheme="minorHAnsi" w:hAnsiTheme="minorHAnsi"/>
                <w:noProof/>
                <w:sz w:val="24"/>
                <w:szCs w:val="24"/>
                <w:lang w:eastAsia="en-AU"/>
              </w:rPr>
              <w:t>(a)</w:t>
            </w:r>
          </w:p>
        </w:tc>
      </w:tr>
    </w:tbl>
    <w:p w:rsidR="00CD18D3" w:rsidRPr="00E54765" w:rsidRDefault="00CD18D3" w:rsidP="00CD18D3">
      <w:pPr>
        <w:spacing w:before="0" w:after="0"/>
        <w:rPr>
          <w:rFonts w:asciiTheme="minorHAnsi" w:hAnsiTheme="minorHAnsi"/>
          <w:lang w:eastAsia="en-AU"/>
        </w:rPr>
      </w:pPr>
    </w:p>
    <w:p w:rsidR="00CD18D3" w:rsidRDefault="00CD18D3" w:rsidP="00CD18D3">
      <w:pPr>
        <w:rPr>
          <w:rFonts w:asciiTheme="minorHAnsi" w:hAnsiTheme="minorHAnsi"/>
          <w:b/>
          <w:lang w:eastAsia="en-AU"/>
        </w:rPr>
      </w:pPr>
      <w:r>
        <w:rPr>
          <w:rFonts w:asciiTheme="minorHAnsi" w:hAnsiTheme="minorHAnsi"/>
          <w:b/>
          <w:noProof/>
          <w:lang w:eastAsia="en-AU"/>
        </w:rPr>
        <w:t>Incorporation of Commonwealth disallowable legislative instruments</w:t>
      </w:r>
    </w:p>
    <w:p w:rsidR="00CD18D3" w:rsidRDefault="00CD18D3" w:rsidP="00CD18D3">
      <w:pPr>
        <w:rPr>
          <w:rFonts w:asciiTheme="minorHAnsi" w:hAnsiTheme="minorHAnsi"/>
          <w:lang w:eastAsia="en-AU"/>
        </w:rPr>
      </w:pPr>
      <w:r>
        <w:rPr>
          <w:rFonts w:asciiTheme="minorHAnsi" w:hAnsiTheme="minorHAnsi"/>
          <w:lang w:eastAsia="en-AU"/>
        </w:rPr>
        <w:t xml:space="preserve">The instruments identified above incorporate by reference Commonwealth disallowable legislative instruments. This means that they incorporate the content of other disallowable legislative instruments without reproducing the relevant text. </w:t>
      </w:r>
    </w:p>
    <w:p w:rsidR="00CD18D3" w:rsidRDefault="00CD18D3" w:rsidP="00CD18D3">
      <w:pPr>
        <w:rPr>
          <w:rFonts w:asciiTheme="minorHAnsi" w:hAnsiTheme="minorHAnsi"/>
          <w:lang w:eastAsia="en-AU"/>
        </w:rPr>
      </w:pPr>
      <w:r>
        <w:rPr>
          <w:rFonts w:asciiTheme="minorHAnsi" w:hAnsiTheme="minorHAnsi"/>
          <w:lang w:eastAsia="en-AU"/>
        </w:rPr>
        <w:lastRenderedPageBreak/>
        <w:t xml:space="preserve">Section 14 of the </w:t>
      </w:r>
      <w:r>
        <w:rPr>
          <w:rFonts w:asciiTheme="minorHAnsi" w:hAnsiTheme="minorHAnsi"/>
          <w:i/>
          <w:lang w:eastAsia="en-AU"/>
        </w:rPr>
        <w:t>Legislation Act 2003</w:t>
      </w:r>
      <w:r>
        <w:rPr>
          <w:rFonts w:asciiTheme="minorHAnsi" w:hAnsiTheme="minorHAnsi"/>
          <w:lang w:eastAsia="en-AU"/>
        </w:rPr>
        <w:t xml:space="preserve"> allows legislative instruments to make provision in relation to matters by incorporating disallowable legislative instruments, either as in force at a particular time or as in force from time to time. </w:t>
      </w:r>
    </w:p>
    <w:p w:rsidR="00CD18D3" w:rsidRDefault="00CD18D3" w:rsidP="00CD18D3">
      <w:pPr>
        <w:rPr>
          <w:rFonts w:asciiTheme="minorHAnsi" w:hAnsiTheme="minorHAnsi"/>
          <w:lang w:eastAsia="en-AU"/>
        </w:rPr>
      </w:pPr>
      <w:r>
        <w:rPr>
          <w:rFonts w:asciiTheme="minorHAnsi" w:hAnsiTheme="minorHAnsi"/>
          <w:lang w:eastAsia="en-AU"/>
        </w:rPr>
        <w:t xml:space="preserve">Section 10 of the </w:t>
      </w:r>
      <w:r>
        <w:rPr>
          <w:rFonts w:asciiTheme="minorHAnsi" w:hAnsiTheme="minorHAnsi"/>
          <w:i/>
          <w:lang w:eastAsia="en-AU"/>
        </w:rPr>
        <w:t xml:space="preserve">Acts Interpretation Act 1901 </w:t>
      </w:r>
      <w:r>
        <w:rPr>
          <w:rFonts w:asciiTheme="minorHAnsi" w:hAnsiTheme="minorHAnsi"/>
          <w:lang w:eastAsia="en-AU"/>
        </w:rPr>
        <w:t>(as applied by paragraph 13(1)(a) of the</w:t>
      </w:r>
      <w:r>
        <w:rPr>
          <w:rFonts w:asciiTheme="minorHAnsi" w:hAnsiTheme="minorHAnsi"/>
          <w:i/>
          <w:lang w:eastAsia="en-AU"/>
        </w:rPr>
        <w:t xml:space="preserve"> Legislation Act 2003</w:t>
      </w:r>
      <w:r>
        <w:rPr>
          <w:rFonts w:asciiTheme="minorHAnsi" w:hAnsiTheme="minorHAnsi"/>
          <w:lang w:eastAsia="en-AU"/>
        </w:rPr>
        <w:t>) has the effect that references to Commonwealth disallowable legislative instruments can be taken to be references to versions of those instruments as in force from time to time.</w:t>
      </w:r>
      <w:r>
        <w:t xml:space="preserve"> </w:t>
      </w:r>
      <w:r>
        <w:rPr>
          <w:rFonts w:asciiTheme="minorHAnsi" w:hAnsiTheme="minorHAnsi"/>
          <w:lang w:eastAsia="en-AU"/>
        </w:rPr>
        <w:t>However, neither the text of the instruments identified above nor their accompanying ESs explain the relevance of these provisions to their operation.</w:t>
      </w:r>
    </w:p>
    <w:p w:rsidR="00CD18D3" w:rsidRDefault="00CD18D3" w:rsidP="00CD18D3">
      <w:pPr>
        <w:rPr>
          <w:rFonts w:asciiTheme="minorHAnsi" w:hAnsiTheme="minorHAnsi"/>
          <w:lang w:eastAsia="en-AU"/>
        </w:rPr>
      </w:pPr>
      <w:r>
        <w:rPr>
          <w:rFonts w:asciiTheme="minorHAnsi" w:hAnsiTheme="minorHAnsi"/>
          <w:lang w:eastAsia="en-AU"/>
        </w:rPr>
        <w:t xml:space="preserve">The committee considers that, in the interests of promoting the clarity and intelligibility of delegated legislation, instruments (and ideally their accompanying ESs) should clearly state the manner in which Commonwealth disallowable legislative instruments are incorporated; and/or clearly identify the relevance of section 10 of the </w:t>
      </w:r>
      <w:r>
        <w:rPr>
          <w:rFonts w:asciiTheme="minorHAnsi" w:hAnsiTheme="minorHAnsi"/>
          <w:i/>
          <w:lang w:eastAsia="en-AU"/>
        </w:rPr>
        <w:t xml:space="preserve">Acts Interpretation Act 1901 </w:t>
      </w:r>
      <w:r>
        <w:rPr>
          <w:rFonts w:asciiTheme="minorHAnsi" w:hAnsiTheme="minorHAnsi"/>
          <w:lang w:eastAsia="en-AU"/>
        </w:rPr>
        <w:t xml:space="preserve">(as applied by paragraph 13(1)(a) of the </w:t>
      </w:r>
      <w:r>
        <w:rPr>
          <w:rFonts w:asciiTheme="minorHAnsi" w:hAnsiTheme="minorHAnsi"/>
          <w:i/>
          <w:lang w:eastAsia="en-AU"/>
        </w:rPr>
        <w:t>Legislation Act 2003</w:t>
      </w:r>
      <w:r>
        <w:rPr>
          <w:rFonts w:asciiTheme="minorHAnsi" w:hAnsiTheme="minorHAnsi"/>
          <w:lang w:eastAsia="en-AU"/>
        </w:rPr>
        <w:t>) to their operation. This enables persons interested in or affected by an instrument to understand its operation, without the need to rely on specialist legal knowledge or advice, or consult extrinsic material.</w:t>
      </w:r>
    </w:p>
    <w:p w:rsidR="00CD18D3" w:rsidRDefault="00CD18D3" w:rsidP="00CD18D3">
      <w:pPr>
        <w:rPr>
          <w:rFonts w:asciiTheme="minorHAnsi" w:hAnsiTheme="minorHAnsi"/>
          <w:lang w:eastAsia="en-AU"/>
        </w:rPr>
      </w:pPr>
      <w:r>
        <w:rPr>
          <w:rFonts w:asciiTheme="minorHAnsi" w:hAnsiTheme="minorHAnsi"/>
          <w:lang w:eastAsia="en-AU"/>
        </w:rPr>
        <w:t xml:space="preserve">The committee's expectations in this regard are set out in the guideline on incorporation </w:t>
      </w:r>
      <w:r w:rsidRPr="00C14A20">
        <w:t>published on the committee's website.</w:t>
      </w:r>
      <w:r w:rsidRPr="00C14A20">
        <w:rPr>
          <w:rStyle w:val="FootnoteReference"/>
        </w:rPr>
        <w:footnoteReference w:id="34"/>
      </w:r>
    </w:p>
    <w:p w:rsidR="00CD18D3" w:rsidRDefault="00CD18D3" w:rsidP="00CD18D3">
      <w:pPr>
        <w:rPr>
          <w:rFonts w:asciiTheme="minorHAnsi" w:hAnsiTheme="minorHAnsi"/>
          <w:b/>
          <w:lang w:eastAsia="en-AU"/>
        </w:rPr>
      </w:pPr>
      <w:r>
        <w:rPr>
          <w:rFonts w:asciiTheme="minorHAnsi" w:hAnsiTheme="minorHAnsi"/>
          <w:b/>
          <w:lang w:eastAsia="en-AU"/>
        </w:rPr>
        <w:t>The committee draws the above to the attention of ministers.</w:t>
      </w:r>
    </w:p>
    <w:p w:rsidR="00CD18D3" w:rsidRPr="002309BC" w:rsidRDefault="00CD18D3" w:rsidP="00CD18D3">
      <w:pPr>
        <w:pStyle w:val="Heading3"/>
        <w:rPr>
          <w:rFonts w:asciiTheme="minorHAnsi" w:hAnsiTheme="minorHAnsi"/>
          <w:lang w:eastAsia="en-AU"/>
        </w:rPr>
      </w:pPr>
      <w:r>
        <w:rPr>
          <w:lang w:eastAsia="en-AU"/>
        </w:rPr>
        <w:br w:type="page"/>
      </w:r>
      <w:r w:rsidRPr="008A21E5">
        <w:rPr>
          <w:lang w:eastAsia="en-AU"/>
        </w:rPr>
        <w:lastRenderedPageBreak/>
        <w:t>Multiple instruments that appear to rely on subsection 33(3) of the</w:t>
      </w:r>
      <w:r w:rsidRPr="008A21E5">
        <w:rPr>
          <w:i/>
          <w:lang w:eastAsia="en-AU"/>
        </w:rPr>
        <w:t xml:space="preserve"> Acts Interpretation Act 1901</w:t>
      </w:r>
    </w:p>
    <w:tbl>
      <w:tblPr>
        <w:tblStyle w:val="TableGrid10"/>
        <w:tblW w:w="0" w:type="auto"/>
        <w:tblInd w:w="108" w:type="dxa"/>
        <w:tblLook w:val="04A0" w:firstRow="1" w:lastRow="0" w:firstColumn="1" w:lastColumn="0" w:noHBand="0" w:noVBand="1"/>
      </w:tblPr>
      <w:tblGrid>
        <w:gridCol w:w="2694"/>
        <w:gridCol w:w="6378"/>
      </w:tblGrid>
      <w:tr w:rsidR="00CD18D3" w:rsidRPr="00E54765" w:rsidTr="002B2721">
        <w:tc>
          <w:tcPr>
            <w:tcW w:w="2694" w:type="dxa"/>
            <w:tcBorders>
              <w:top w:val="single" w:sz="12" w:space="0" w:color="auto"/>
              <w:left w:val="nil"/>
              <w:bottom w:val="nil"/>
              <w:right w:val="single" w:sz="12" w:space="0" w:color="auto"/>
            </w:tcBorders>
          </w:tcPr>
          <w:p w:rsidR="00CD18D3" w:rsidRPr="00E54765" w:rsidRDefault="00CD18D3" w:rsidP="002B2721">
            <w:pPr>
              <w:rPr>
                <w:rFonts w:asciiTheme="minorHAnsi" w:hAnsiTheme="minorHAnsi"/>
                <w:sz w:val="22"/>
                <w:szCs w:val="22"/>
                <w:lang w:eastAsia="en-AU"/>
              </w:rPr>
            </w:pPr>
            <w:r w:rsidRPr="00E54765">
              <w:rPr>
                <w:rFonts w:asciiTheme="minorHAnsi" w:hAnsiTheme="minorHAnsi"/>
                <w:b/>
                <w:szCs w:val="26"/>
                <w:lang w:eastAsia="en-AU"/>
              </w:rPr>
              <w:t>Instruments</w:t>
            </w:r>
          </w:p>
        </w:tc>
        <w:tc>
          <w:tcPr>
            <w:tcW w:w="6378" w:type="dxa"/>
            <w:tcBorders>
              <w:top w:val="single" w:sz="12" w:space="0" w:color="auto"/>
              <w:left w:val="single" w:sz="12" w:space="0" w:color="auto"/>
              <w:bottom w:val="nil"/>
              <w:right w:val="nil"/>
            </w:tcBorders>
          </w:tcPr>
          <w:p w:rsidR="00CD18D3" w:rsidRPr="00CA6B0D" w:rsidRDefault="00CD18D3" w:rsidP="002B2721">
            <w:pPr>
              <w:spacing w:after="60"/>
              <w:rPr>
                <w:rFonts w:asciiTheme="minorHAnsi" w:hAnsiTheme="minorHAnsi"/>
                <w:sz w:val="24"/>
                <w:szCs w:val="24"/>
                <w:lang w:eastAsia="en-AU"/>
              </w:rPr>
            </w:pPr>
            <w:r w:rsidRPr="00CA6B0D">
              <w:rPr>
                <w:rFonts w:asciiTheme="minorHAnsi" w:hAnsiTheme="minorHAnsi"/>
                <w:sz w:val="24"/>
                <w:szCs w:val="24"/>
                <w:lang w:eastAsia="en-AU"/>
              </w:rPr>
              <w:t>ASIC Corporations (Amendment) Instrument 2017/642 [F2017L00905]</w:t>
            </w:r>
          </w:p>
          <w:p w:rsidR="00CD18D3" w:rsidRPr="00CA6B0D" w:rsidRDefault="00CD18D3" w:rsidP="002B2721">
            <w:pPr>
              <w:spacing w:after="60"/>
              <w:rPr>
                <w:rFonts w:asciiTheme="minorHAnsi" w:hAnsiTheme="minorHAnsi"/>
                <w:sz w:val="24"/>
                <w:szCs w:val="24"/>
                <w:lang w:eastAsia="en-AU"/>
              </w:rPr>
            </w:pPr>
            <w:r w:rsidRPr="00CA6B0D">
              <w:rPr>
                <w:rFonts w:asciiTheme="minorHAnsi" w:hAnsiTheme="minorHAnsi"/>
                <w:sz w:val="24"/>
                <w:szCs w:val="24"/>
                <w:lang w:eastAsia="en-AU"/>
              </w:rPr>
              <w:t>ASIC Credit (Amendment) Instrument 2017/641 [F2017L00904]</w:t>
            </w:r>
          </w:p>
          <w:p w:rsidR="00CD18D3" w:rsidRPr="00CA6B0D" w:rsidRDefault="00CD18D3" w:rsidP="002B2721">
            <w:pPr>
              <w:spacing w:after="60"/>
              <w:rPr>
                <w:rFonts w:asciiTheme="minorHAnsi" w:hAnsiTheme="minorHAnsi"/>
                <w:sz w:val="24"/>
                <w:szCs w:val="24"/>
                <w:lang w:eastAsia="en-AU"/>
              </w:rPr>
            </w:pPr>
            <w:r w:rsidRPr="00CA6B0D">
              <w:rPr>
                <w:rFonts w:asciiTheme="minorHAnsi" w:hAnsiTheme="minorHAnsi"/>
                <w:sz w:val="24"/>
                <w:szCs w:val="24"/>
                <w:lang w:eastAsia="en-AU"/>
              </w:rPr>
              <w:t>Australian Prudential Regulation Authority (Commonwealth Costs) Determination 2017 [F2017L00907]</w:t>
            </w:r>
          </w:p>
          <w:p w:rsidR="00CD18D3" w:rsidRPr="00CA6B0D" w:rsidRDefault="00CD18D3" w:rsidP="002B2721">
            <w:pPr>
              <w:spacing w:after="60"/>
              <w:rPr>
                <w:rFonts w:asciiTheme="minorHAnsi" w:hAnsiTheme="minorHAnsi"/>
                <w:sz w:val="24"/>
                <w:szCs w:val="24"/>
                <w:lang w:eastAsia="en-AU"/>
              </w:rPr>
            </w:pPr>
            <w:r w:rsidRPr="00CA6B0D">
              <w:rPr>
                <w:rFonts w:asciiTheme="minorHAnsi" w:hAnsiTheme="minorHAnsi"/>
                <w:sz w:val="24"/>
                <w:szCs w:val="24"/>
                <w:lang w:eastAsia="en-AU"/>
              </w:rPr>
              <w:t>Authorised Deposit-taking Institutions Supervisory Levy Imposition Determination 2017 [F2017L00906]</w:t>
            </w:r>
          </w:p>
          <w:p w:rsidR="00CD18D3" w:rsidRPr="00CA6B0D" w:rsidRDefault="00CD18D3" w:rsidP="002B2721">
            <w:pPr>
              <w:spacing w:after="60"/>
              <w:rPr>
                <w:rFonts w:asciiTheme="minorHAnsi" w:hAnsiTheme="minorHAnsi"/>
                <w:sz w:val="24"/>
                <w:szCs w:val="24"/>
                <w:lang w:eastAsia="en-AU"/>
              </w:rPr>
            </w:pPr>
            <w:r w:rsidRPr="00CA6B0D">
              <w:rPr>
                <w:rFonts w:asciiTheme="minorHAnsi" w:hAnsiTheme="minorHAnsi"/>
                <w:sz w:val="24"/>
                <w:szCs w:val="24"/>
                <w:lang w:eastAsia="en-AU"/>
              </w:rPr>
              <w:t>Authorised Non-operating Holding Companies Supervisory Levy Imposition Determination 2017 [F2017L00908]</w:t>
            </w:r>
          </w:p>
          <w:p w:rsidR="00CD18D3" w:rsidRPr="00CA6B0D" w:rsidRDefault="00CD18D3" w:rsidP="002B2721">
            <w:pPr>
              <w:spacing w:after="60"/>
              <w:rPr>
                <w:rFonts w:asciiTheme="minorHAnsi" w:hAnsiTheme="minorHAnsi"/>
                <w:sz w:val="24"/>
                <w:szCs w:val="24"/>
                <w:lang w:eastAsia="en-AU"/>
              </w:rPr>
            </w:pPr>
            <w:r w:rsidRPr="00CA6B0D">
              <w:rPr>
                <w:rFonts w:asciiTheme="minorHAnsi" w:hAnsiTheme="minorHAnsi"/>
                <w:sz w:val="24"/>
                <w:szCs w:val="24"/>
                <w:lang w:eastAsia="en-AU"/>
              </w:rPr>
              <w:t>Autonomous Sanctions (Russia, Crimea and Sevastopol) Amendment Specification 2017 [F2017L01001]</w:t>
            </w:r>
          </w:p>
          <w:p w:rsidR="00CD18D3" w:rsidRPr="00CA6B0D" w:rsidRDefault="00CD18D3" w:rsidP="002B2721">
            <w:pPr>
              <w:spacing w:after="60"/>
              <w:rPr>
                <w:rFonts w:asciiTheme="minorHAnsi" w:hAnsiTheme="minorHAnsi"/>
                <w:sz w:val="24"/>
                <w:szCs w:val="24"/>
                <w:lang w:eastAsia="en-AU"/>
              </w:rPr>
            </w:pPr>
            <w:r w:rsidRPr="00CA6B0D">
              <w:rPr>
                <w:rFonts w:asciiTheme="minorHAnsi" w:hAnsiTheme="minorHAnsi"/>
                <w:sz w:val="24"/>
                <w:szCs w:val="24"/>
                <w:lang w:eastAsia="en-AU"/>
              </w:rPr>
              <w:t>Broadcasting (Hours of Local Content) Declaration No.</w:t>
            </w:r>
            <w:r>
              <w:rPr>
                <w:rFonts w:asciiTheme="minorHAnsi" w:hAnsiTheme="minorHAnsi"/>
                <w:sz w:val="24"/>
                <w:szCs w:val="24"/>
                <w:lang w:eastAsia="en-AU"/>
              </w:rPr>
              <w:t xml:space="preserve"> </w:t>
            </w:r>
            <w:r w:rsidRPr="00CA6B0D">
              <w:rPr>
                <w:rFonts w:asciiTheme="minorHAnsi" w:hAnsiTheme="minorHAnsi"/>
                <w:sz w:val="24"/>
                <w:szCs w:val="24"/>
                <w:lang w:eastAsia="en-AU"/>
              </w:rPr>
              <w:t>1 of 2017 [F2017L01000]</w:t>
            </w:r>
          </w:p>
          <w:p w:rsidR="00CD18D3" w:rsidRPr="00CA6B0D" w:rsidRDefault="00CD18D3" w:rsidP="002B2721">
            <w:pPr>
              <w:spacing w:after="60"/>
              <w:rPr>
                <w:rFonts w:asciiTheme="minorHAnsi" w:hAnsiTheme="minorHAnsi"/>
                <w:sz w:val="24"/>
                <w:szCs w:val="24"/>
                <w:lang w:eastAsia="en-AU"/>
              </w:rPr>
            </w:pPr>
            <w:r w:rsidRPr="00CA6B0D">
              <w:rPr>
                <w:rFonts w:asciiTheme="minorHAnsi" w:hAnsiTheme="minorHAnsi"/>
                <w:sz w:val="24"/>
                <w:szCs w:val="24"/>
                <w:lang w:eastAsia="en-AU"/>
              </w:rPr>
              <w:t>Carbon Credits (Carbon Farming Initiative) Amendment Rule 2017 (No. 1) [F2017L00925]</w:t>
            </w:r>
          </w:p>
          <w:p w:rsidR="00CD18D3" w:rsidRPr="00CA6B0D" w:rsidRDefault="00CD18D3" w:rsidP="002B2721">
            <w:pPr>
              <w:spacing w:after="60"/>
              <w:rPr>
                <w:rFonts w:asciiTheme="minorHAnsi" w:hAnsiTheme="minorHAnsi"/>
                <w:sz w:val="24"/>
                <w:szCs w:val="24"/>
                <w:lang w:eastAsia="en-AU"/>
              </w:rPr>
            </w:pPr>
            <w:r w:rsidRPr="00CA6B0D">
              <w:rPr>
                <w:rFonts w:asciiTheme="minorHAnsi" w:hAnsiTheme="minorHAnsi"/>
                <w:sz w:val="24"/>
                <w:szCs w:val="24"/>
                <w:lang w:eastAsia="en-AU"/>
              </w:rPr>
              <w:t>Charter of the United Nations (UN Sanction Enforcement Law) Amendment Declaration 2017 (No. 2) [F2017L00991]</w:t>
            </w:r>
          </w:p>
          <w:p w:rsidR="00CD18D3" w:rsidRPr="00CA6B0D" w:rsidRDefault="00CD18D3" w:rsidP="002B2721">
            <w:pPr>
              <w:spacing w:after="60"/>
              <w:rPr>
                <w:rFonts w:asciiTheme="minorHAnsi" w:hAnsiTheme="minorHAnsi"/>
                <w:sz w:val="24"/>
                <w:szCs w:val="24"/>
                <w:lang w:eastAsia="en-AU"/>
              </w:rPr>
            </w:pPr>
            <w:r w:rsidRPr="00CA6B0D">
              <w:rPr>
                <w:rFonts w:asciiTheme="minorHAnsi" w:hAnsiTheme="minorHAnsi"/>
                <w:sz w:val="24"/>
                <w:szCs w:val="24"/>
                <w:lang w:eastAsia="en-AU"/>
              </w:rPr>
              <w:t>Declaration of Quality Assurance Activity under section 124X of the Health Insurance Act 1973 – QAA 3/2017 [F2017L00931]</w:t>
            </w:r>
          </w:p>
          <w:p w:rsidR="00CD18D3" w:rsidRPr="00CA6B0D" w:rsidRDefault="00CD18D3" w:rsidP="002B2721">
            <w:pPr>
              <w:spacing w:after="60"/>
              <w:rPr>
                <w:rFonts w:asciiTheme="minorHAnsi" w:hAnsiTheme="minorHAnsi"/>
                <w:sz w:val="24"/>
                <w:szCs w:val="24"/>
                <w:lang w:eastAsia="en-AU"/>
              </w:rPr>
            </w:pPr>
            <w:r w:rsidRPr="00CA6B0D">
              <w:rPr>
                <w:rFonts w:asciiTheme="minorHAnsi" w:hAnsiTheme="minorHAnsi"/>
                <w:sz w:val="24"/>
                <w:szCs w:val="24"/>
                <w:lang w:eastAsia="en-AU"/>
              </w:rPr>
              <w:t>General Insurance Supervisory Levy Imposition Determination 2017 [F2017L00911]</w:t>
            </w:r>
          </w:p>
          <w:p w:rsidR="00CD18D3" w:rsidRPr="00CA6B0D" w:rsidRDefault="00CD18D3" w:rsidP="002B2721">
            <w:pPr>
              <w:spacing w:after="60"/>
              <w:rPr>
                <w:rFonts w:asciiTheme="minorHAnsi" w:hAnsiTheme="minorHAnsi"/>
                <w:sz w:val="24"/>
                <w:szCs w:val="24"/>
                <w:lang w:eastAsia="en-AU"/>
              </w:rPr>
            </w:pPr>
            <w:r w:rsidRPr="00CA6B0D">
              <w:rPr>
                <w:rFonts w:asciiTheme="minorHAnsi" w:hAnsiTheme="minorHAnsi"/>
                <w:sz w:val="24"/>
                <w:szCs w:val="24"/>
                <w:lang w:eastAsia="en-AU"/>
              </w:rPr>
              <w:t>Life Insurance Supervisory Levy Imposition Determination 2017 [F2017L00912]</w:t>
            </w:r>
          </w:p>
          <w:p w:rsidR="00CD18D3" w:rsidRPr="00CA6B0D" w:rsidRDefault="00CD18D3" w:rsidP="002B2721">
            <w:pPr>
              <w:spacing w:after="60"/>
              <w:rPr>
                <w:rFonts w:asciiTheme="minorHAnsi" w:hAnsiTheme="minorHAnsi"/>
                <w:sz w:val="24"/>
                <w:szCs w:val="24"/>
                <w:lang w:eastAsia="en-AU"/>
              </w:rPr>
            </w:pPr>
            <w:r w:rsidRPr="00CA6B0D">
              <w:rPr>
                <w:rFonts w:asciiTheme="minorHAnsi" w:hAnsiTheme="minorHAnsi"/>
                <w:sz w:val="24"/>
                <w:szCs w:val="24"/>
                <w:lang w:eastAsia="en-AU"/>
              </w:rPr>
              <w:t>Private Health Insurance (Benefit Requirements) Amendment Rules 2017 (No. 6) [F2017L00894]</w:t>
            </w:r>
          </w:p>
          <w:p w:rsidR="00CD18D3" w:rsidRPr="00CA6B0D" w:rsidRDefault="00CD18D3" w:rsidP="002B2721">
            <w:pPr>
              <w:spacing w:after="60"/>
              <w:rPr>
                <w:rFonts w:asciiTheme="minorHAnsi" w:hAnsiTheme="minorHAnsi"/>
                <w:sz w:val="24"/>
                <w:szCs w:val="24"/>
                <w:lang w:eastAsia="en-AU"/>
              </w:rPr>
            </w:pPr>
            <w:r w:rsidRPr="00CA6B0D">
              <w:rPr>
                <w:rFonts w:asciiTheme="minorHAnsi" w:hAnsiTheme="minorHAnsi"/>
                <w:sz w:val="24"/>
                <w:szCs w:val="24"/>
                <w:lang w:eastAsia="en-AU"/>
              </w:rPr>
              <w:t>Public Governance, Performance and Accountability (Relevant Company) Amendment (2017 Measures No 2) Rules 2017 [F2017L00935]</w:t>
            </w:r>
          </w:p>
          <w:p w:rsidR="00CD18D3" w:rsidRPr="00CA6B0D" w:rsidRDefault="00CD18D3" w:rsidP="002B2721">
            <w:pPr>
              <w:spacing w:after="60"/>
              <w:rPr>
                <w:rFonts w:asciiTheme="minorHAnsi" w:hAnsiTheme="minorHAnsi"/>
                <w:sz w:val="24"/>
                <w:szCs w:val="24"/>
                <w:lang w:eastAsia="en-AU"/>
              </w:rPr>
            </w:pPr>
            <w:r w:rsidRPr="00CA6B0D">
              <w:rPr>
                <w:rFonts w:asciiTheme="minorHAnsi" w:hAnsiTheme="minorHAnsi"/>
                <w:sz w:val="24"/>
                <w:szCs w:val="24"/>
                <w:lang w:eastAsia="en-AU"/>
              </w:rPr>
              <w:t>Retirement Savings Account Providers Supervisory Levy Imposition Determination 2017 [F2017L00913]</w:t>
            </w:r>
          </w:p>
          <w:p w:rsidR="00CD18D3" w:rsidRPr="00CA6B0D" w:rsidRDefault="00CD18D3" w:rsidP="002B2721">
            <w:pPr>
              <w:spacing w:after="60"/>
              <w:rPr>
                <w:rFonts w:asciiTheme="minorHAnsi" w:hAnsiTheme="minorHAnsi"/>
                <w:sz w:val="24"/>
                <w:szCs w:val="24"/>
                <w:lang w:eastAsia="en-AU"/>
              </w:rPr>
            </w:pPr>
            <w:r w:rsidRPr="00CA6B0D">
              <w:rPr>
                <w:rFonts w:asciiTheme="minorHAnsi" w:hAnsiTheme="minorHAnsi"/>
                <w:sz w:val="24"/>
                <w:szCs w:val="24"/>
                <w:lang w:eastAsia="en-AU"/>
              </w:rPr>
              <w:t xml:space="preserve">Superannuation Supervisory Levy Imposition Determination 2017 [F2017L00914] </w:t>
            </w:r>
          </w:p>
          <w:p w:rsidR="00CD18D3" w:rsidRDefault="00CD18D3" w:rsidP="002B2721">
            <w:pPr>
              <w:spacing w:after="60"/>
              <w:rPr>
                <w:rFonts w:asciiTheme="minorHAnsi" w:hAnsiTheme="minorHAnsi"/>
                <w:sz w:val="24"/>
                <w:szCs w:val="24"/>
                <w:lang w:eastAsia="en-AU"/>
              </w:rPr>
            </w:pPr>
          </w:p>
          <w:p w:rsidR="00CD18D3" w:rsidRPr="00CA6B0D" w:rsidRDefault="00CD18D3" w:rsidP="002B2721">
            <w:pPr>
              <w:spacing w:after="60"/>
              <w:rPr>
                <w:rFonts w:asciiTheme="minorHAnsi" w:hAnsiTheme="minorHAnsi"/>
                <w:sz w:val="24"/>
                <w:szCs w:val="24"/>
                <w:lang w:eastAsia="en-AU"/>
              </w:rPr>
            </w:pPr>
            <w:r w:rsidRPr="00CA6B0D">
              <w:rPr>
                <w:rFonts w:asciiTheme="minorHAnsi" w:hAnsiTheme="minorHAnsi"/>
                <w:sz w:val="24"/>
                <w:szCs w:val="24"/>
                <w:lang w:eastAsia="en-AU"/>
              </w:rPr>
              <w:t>Telecommunications (Integrated Public Number Database Scheme – Conditions for Authorisations) Determination 2017 [F2017L00941]</w:t>
            </w:r>
          </w:p>
          <w:p w:rsidR="00CD18D3" w:rsidRPr="00CA6B0D" w:rsidRDefault="00CD18D3" w:rsidP="002B2721">
            <w:pPr>
              <w:spacing w:after="60"/>
              <w:rPr>
                <w:rFonts w:asciiTheme="minorHAnsi" w:hAnsiTheme="minorHAnsi"/>
                <w:sz w:val="24"/>
                <w:szCs w:val="24"/>
                <w:lang w:eastAsia="en-AU"/>
              </w:rPr>
            </w:pPr>
            <w:r w:rsidRPr="00CA6B0D">
              <w:rPr>
                <w:rFonts w:asciiTheme="minorHAnsi" w:hAnsiTheme="minorHAnsi"/>
                <w:sz w:val="24"/>
                <w:szCs w:val="24"/>
                <w:lang w:eastAsia="en-AU"/>
              </w:rPr>
              <w:lastRenderedPageBreak/>
              <w:t>Telecommunications (Integrated Public Number Database Scheme – Criteria for Deciding Authorisation Applications) Instrument 2017 [F2017L00937]</w:t>
            </w:r>
          </w:p>
          <w:p w:rsidR="00CD18D3" w:rsidRPr="00CA6B0D" w:rsidRDefault="00CD18D3" w:rsidP="002B2721">
            <w:pPr>
              <w:spacing w:after="60"/>
              <w:rPr>
                <w:rFonts w:asciiTheme="minorHAnsi" w:hAnsiTheme="minorHAnsi"/>
                <w:sz w:val="24"/>
                <w:szCs w:val="24"/>
                <w:lang w:eastAsia="en-AU"/>
              </w:rPr>
            </w:pPr>
            <w:r w:rsidRPr="00CA6B0D">
              <w:rPr>
                <w:rFonts w:asciiTheme="minorHAnsi" w:hAnsiTheme="minorHAnsi"/>
                <w:sz w:val="24"/>
                <w:szCs w:val="24"/>
                <w:lang w:eastAsia="en-AU"/>
              </w:rPr>
              <w:t>Telecommunications (Integrated Public Number Database – Permitted Research Purposes) Instrument 2017 [F2017L00938]</w:t>
            </w:r>
          </w:p>
          <w:p w:rsidR="00CD18D3" w:rsidRPr="00CA6B0D" w:rsidRDefault="00CD18D3" w:rsidP="002B2721">
            <w:pPr>
              <w:spacing w:after="60"/>
              <w:rPr>
                <w:rFonts w:asciiTheme="minorHAnsi" w:hAnsiTheme="minorHAnsi"/>
                <w:sz w:val="24"/>
                <w:szCs w:val="24"/>
                <w:lang w:eastAsia="en-AU"/>
              </w:rPr>
            </w:pPr>
            <w:r w:rsidRPr="00CA6B0D">
              <w:rPr>
                <w:rFonts w:asciiTheme="minorHAnsi" w:hAnsiTheme="minorHAnsi"/>
                <w:sz w:val="24"/>
                <w:szCs w:val="24"/>
                <w:lang w:eastAsia="en-AU"/>
              </w:rPr>
              <w:t>Telecommunications (Integrated Public Number Database – Public Number Directory Additional Information) Instrument 2017 [F2017L00933]</w:t>
            </w:r>
          </w:p>
          <w:p w:rsidR="00CD18D3" w:rsidRPr="00CA6B0D" w:rsidRDefault="00CD18D3" w:rsidP="002B2721">
            <w:pPr>
              <w:spacing w:after="60"/>
              <w:rPr>
                <w:rFonts w:asciiTheme="minorHAnsi" w:hAnsiTheme="minorHAnsi"/>
                <w:sz w:val="24"/>
                <w:szCs w:val="24"/>
                <w:lang w:eastAsia="en-AU"/>
              </w:rPr>
            </w:pPr>
            <w:r w:rsidRPr="00CA6B0D">
              <w:rPr>
                <w:rFonts w:asciiTheme="minorHAnsi" w:hAnsiTheme="minorHAnsi"/>
                <w:sz w:val="24"/>
                <w:szCs w:val="24"/>
                <w:lang w:eastAsia="en-AU"/>
              </w:rPr>
              <w:t>Telecommunications (Integrated Public Number Database – Public Number Directory Requirements) Instrument 2017 [F2017L00934]</w:t>
            </w:r>
          </w:p>
          <w:p w:rsidR="00CD18D3" w:rsidRPr="00E54765" w:rsidRDefault="00CD18D3" w:rsidP="002B2721">
            <w:pPr>
              <w:spacing w:after="60"/>
              <w:rPr>
                <w:rFonts w:asciiTheme="minorHAnsi" w:hAnsiTheme="minorHAnsi"/>
                <w:sz w:val="22"/>
                <w:szCs w:val="22"/>
                <w:lang w:eastAsia="en-AU"/>
              </w:rPr>
            </w:pPr>
            <w:r w:rsidRPr="00CA6B0D">
              <w:rPr>
                <w:rFonts w:asciiTheme="minorHAnsi" w:hAnsiTheme="minorHAnsi"/>
                <w:sz w:val="24"/>
                <w:szCs w:val="24"/>
                <w:lang w:eastAsia="en-AU"/>
              </w:rPr>
              <w:t>Therapeutic Goods (Permissible Ingredients) Determination No. 3 of 2017 [F2017L00926]</w:t>
            </w:r>
          </w:p>
        </w:tc>
      </w:tr>
      <w:tr w:rsidR="00CD18D3" w:rsidRPr="00E54765" w:rsidTr="002B2721">
        <w:tc>
          <w:tcPr>
            <w:tcW w:w="2694" w:type="dxa"/>
            <w:tcBorders>
              <w:top w:val="nil"/>
              <w:left w:val="nil"/>
              <w:bottom w:val="single" w:sz="12" w:space="0" w:color="auto"/>
              <w:right w:val="single" w:sz="12" w:space="0" w:color="auto"/>
            </w:tcBorders>
          </w:tcPr>
          <w:p w:rsidR="00CD18D3" w:rsidRPr="00E54765" w:rsidRDefault="00CD18D3" w:rsidP="002B2721">
            <w:pPr>
              <w:rPr>
                <w:rFonts w:asciiTheme="minorHAnsi" w:hAnsiTheme="minorHAnsi"/>
                <w:sz w:val="22"/>
                <w:szCs w:val="22"/>
                <w:lang w:eastAsia="en-AU"/>
              </w:rPr>
            </w:pPr>
            <w:r w:rsidRPr="00E54765">
              <w:rPr>
                <w:rFonts w:asciiTheme="minorHAnsi" w:hAnsiTheme="minorHAnsi"/>
                <w:b/>
                <w:sz w:val="24"/>
                <w:szCs w:val="24"/>
                <w:lang w:eastAsia="en-AU"/>
              </w:rPr>
              <w:lastRenderedPageBreak/>
              <w:t>Scrutiny principle</w:t>
            </w:r>
          </w:p>
        </w:tc>
        <w:tc>
          <w:tcPr>
            <w:tcW w:w="6378" w:type="dxa"/>
            <w:tcBorders>
              <w:top w:val="nil"/>
              <w:left w:val="single" w:sz="12" w:space="0" w:color="auto"/>
              <w:bottom w:val="single" w:sz="12" w:space="0" w:color="auto"/>
              <w:right w:val="nil"/>
            </w:tcBorders>
          </w:tcPr>
          <w:p w:rsidR="00CD18D3" w:rsidRPr="00E54765" w:rsidRDefault="00CD18D3" w:rsidP="002B2721">
            <w:pPr>
              <w:rPr>
                <w:rFonts w:asciiTheme="minorHAnsi" w:hAnsiTheme="minorHAnsi"/>
                <w:sz w:val="22"/>
                <w:szCs w:val="22"/>
                <w:lang w:eastAsia="en-AU"/>
              </w:rPr>
            </w:pPr>
            <w:r w:rsidRPr="00E54765">
              <w:rPr>
                <w:rFonts w:asciiTheme="minorHAnsi" w:hAnsiTheme="minorHAnsi"/>
                <w:noProof/>
                <w:sz w:val="24"/>
                <w:szCs w:val="24"/>
                <w:lang w:eastAsia="en-AU"/>
              </w:rPr>
              <w:t>Standing Order 23(3)(a)</w:t>
            </w:r>
          </w:p>
        </w:tc>
      </w:tr>
    </w:tbl>
    <w:p w:rsidR="00CD18D3" w:rsidRPr="00E54765" w:rsidRDefault="00CD18D3" w:rsidP="00CD18D3">
      <w:pPr>
        <w:spacing w:after="0"/>
        <w:rPr>
          <w:rFonts w:asciiTheme="minorHAnsi" w:hAnsiTheme="minorHAnsi"/>
          <w:lang w:eastAsia="en-AU"/>
        </w:rPr>
      </w:pPr>
    </w:p>
    <w:p w:rsidR="00CD18D3" w:rsidRPr="00E54765" w:rsidRDefault="00CD18D3" w:rsidP="00CD18D3">
      <w:pPr>
        <w:spacing w:before="0" w:after="0"/>
        <w:rPr>
          <w:rFonts w:asciiTheme="minorHAnsi" w:hAnsiTheme="minorHAnsi"/>
          <w:b/>
          <w:i/>
          <w:lang w:eastAsia="en-AU"/>
        </w:rPr>
      </w:pPr>
      <w:r w:rsidRPr="00E54765">
        <w:rPr>
          <w:rFonts w:asciiTheme="minorHAnsi" w:hAnsiTheme="minorHAnsi"/>
          <w:b/>
          <w:lang w:eastAsia="en-AU"/>
        </w:rPr>
        <w:t>Drafting</w:t>
      </w:r>
    </w:p>
    <w:p w:rsidR="00CD18D3" w:rsidRPr="00E54765" w:rsidRDefault="00CD18D3" w:rsidP="00CD18D3">
      <w:pPr>
        <w:rPr>
          <w:rFonts w:asciiTheme="minorHAnsi" w:hAnsiTheme="minorHAnsi"/>
          <w:lang w:eastAsia="en-AU"/>
        </w:rPr>
      </w:pPr>
      <w:r w:rsidRPr="00E54765">
        <w:rPr>
          <w:rFonts w:asciiTheme="minorHAnsi" w:hAnsiTheme="minorHAnsi"/>
          <w:lang w:eastAsia="en-AU"/>
        </w:rPr>
        <w:t xml:space="preserve">The instruments identified above appear to </w:t>
      </w:r>
      <w:r>
        <w:rPr>
          <w:rFonts w:asciiTheme="minorHAnsi" w:hAnsiTheme="minorHAnsi"/>
          <w:lang w:eastAsia="en-AU"/>
        </w:rPr>
        <w:t>rely on subsection 33(3) of the</w:t>
      </w:r>
      <w:r>
        <w:rPr>
          <w:rFonts w:asciiTheme="minorHAnsi" w:hAnsiTheme="minorHAnsi"/>
          <w:lang w:eastAsia="en-AU"/>
        </w:rPr>
        <w:br/>
      </w:r>
      <w:r w:rsidRPr="00E54765">
        <w:rPr>
          <w:rFonts w:asciiTheme="minorHAnsi" w:hAnsiTheme="minorHAnsi"/>
          <w:i/>
          <w:lang w:eastAsia="en-AU"/>
        </w:rPr>
        <w:t>Acts Interpretation Act 1901</w:t>
      </w:r>
      <w:r w:rsidRPr="00E54765">
        <w:rPr>
          <w:rFonts w:asciiTheme="minorHAnsi" w:hAnsiTheme="minorHAnsi"/>
          <w:lang w:eastAsia="en-AU"/>
        </w:rPr>
        <w:t xml:space="preserve">, which provides that the power to make an instrument includes the power to vary or revoke the instrument. If that is the case, the committee considers </w:t>
      </w:r>
      <w:r>
        <w:rPr>
          <w:rFonts w:asciiTheme="minorHAnsi" w:hAnsiTheme="minorHAnsi"/>
          <w:lang w:eastAsia="en-AU"/>
        </w:rPr>
        <w:t xml:space="preserve">that </w:t>
      </w:r>
      <w:r w:rsidRPr="00E54765">
        <w:rPr>
          <w:rFonts w:asciiTheme="minorHAnsi" w:hAnsiTheme="minorHAnsi"/>
          <w:lang w:eastAsia="en-AU"/>
        </w:rPr>
        <w:t>it would be preferable for</w:t>
      </w:r>
      <w:r>
        <w:rPr>
          <w:rFonts w:asciiTheme="minorHAnsi" w:hAnsiTheme="minorHAnsi"/>
          <w:lang w:eastAsia="en-AU"/>
        </w:rPr>
        <w:t xml:space="preserve"> the ES for any such instrument</w:t>
      </w:r>
      <w:r>
        <w:rPr>
          <w:rFonts w:asciiTheme="minorHAnsi" w:hAnsiTheme="minorHAnsi"/>
          <w:lang w:eastAsia="en-AU"/>
        </w:rPr>
        <w:br/>
      </w:r>
      <w:r w:rsidRPr="00E54765">
        <w:rPr>
          <w:rFonts w:asciiTheme="minorHAnsi" w:hAnsiTheme="minorHAnsi"/>
          <w:lang w:eastAsia="en-AU"/>
        </w:rPr>
        <w:t xml:space="preserve">to identify the relevance of subsection 33(3), in the interests of promoting the clarity and intelligibility of the instrument to anticipated users. </w:t>
      </w:r>
      <w:r>
        <w:rPr>
          <w:rFonts w:asciiTheme="minorHAnsi" w:hAnsiTheme="minorHAnsi"/>
          <w:b/>
          <w:lang w:eastAsia="en-AU"/>
        </w:rPr>
        <w:t>The committee provides</w:t>
      </w:r>
      <w:r>
        <w:rPr>
          <w:rFonts w:asciiTheme="minorHAnsi" w:hAnsiTheme="minorHAnsi"/>
          <w:b/>
          <w:lang w:eastAsia="en-AU"/>
        </w:rPr>
        <w:br/>
      </w:r>
      <w:r w:rsidRPr="00E54765">
        <w:rPr>
          <w:rFonts w:asciiTheme="minorHAnsi" w:hAnsiTheme="minorHAnsi"/>
          <w:b/>
          <w:lang w:eastAsia="en-AU"/>
        </w:rPr>
        <w:t xml:space="preserve">the following example of a form of words which may be included in an ES where subsection 33(3) of the </w:t>
      </w:r>
      <w:r w:rsidRPr="00E54765">
        <w:rPr>
          <w:rFonts w:asciiTheme="minorHAnsi" w:hAnsiTheme="minorHAnsi"/>
          <w:b/>
          <w:i/>
          <w:lang w:eastAsia="en-AU"/>
        </w:rPr>
        <w:t>Acts Interpretation Act 1901</w:t>
      </w:r>
      <w:r w:rsidRPr="00E54765">
        <w:rPr>
          <w:rFonts w:asciiTheme="minorHAnsi" w:hAnsiTheme="minorHAnsi"/>
          <w:b/>
          <w:lang w:eastAsia="en-AU"/>
        </w:rPr>
        <w:t xml:space="preserve"> is relevant:</w:t>
      </w:r>
    </w:p>
    <w:p w:rsidR="00CD18D3" w:rsidRPr="00E54765" w:rsidRDefault="00CD18D3" w:rsidP="00CD18D3">
      <w:pPr>
        <w:ind w:left="851" w:right="851"/>
        <w:rPr>
          <w:rFonts w:asciiTheme="minorHAnsi" w:hAnsiTheme="minorHAnsi"/>
          <w:sz w:val="24"/>
          <w:lang w:eastAsia="en-AU"/>
        </w:rPr>
      </w:pPr>
      <w:r w:rsidRPr="00E54765">
        <w:rPr>
          <w:rFonts w:asciiTheme="minorHAnsi" w:hAnsiTheme="minorHAnsi"/>
          <w:sz w:val="24"/>
          <w:lang w:eastAsia="en-AU"/>
        </w:rPr>
        <w:t xml:space="preserve">Under subsection 33(3) of the </w:t>
      </w:r>
      <w:r w:rsidRPr="00E54765">
        <w:rPr>
          <w:rFonts w:asciiTheme="minorHAnsi" w:hAnsiTheme="minorHAnsi"/>
          <w:i/>
          <w:sz w:val="24"/>
          <w:lang w:eastAsia="en-AU"/>
        </w:rPr>
        <w:t>Acts Interpretation Act 1901</w:t>
      </w:r>
      <w:r w:rsidRPr="00E54765">
        <w:rPr>
          <w:rFonts w:asciiTheme="minorHAnsi" w:hAnsiTheme="minorHAnsi"/>
          <w:sz w:val="24"/>
          <w:lang w:eastAsia="en-AU"/>
        </w:rPr>
        <w:t xml:space="preserve">, where an Act confers a power to make, grant or issue any instrument of a legislative or administrative character (including </w:t>
      </w:r>
      <w:r>
        <w:rPr>
          <w:rFonts w:asciiTheme="minorHAnsi" w:hAnsiTheme="minorHAnsi"/>
          <w:sz w:val="24"/>
          <w:lang w:eastAsia="en-AU"/>
        </w:rPr>
        <w:t>rules, regulations or by-laws),</w:t>
      </w:r>
      <w:r>
        <w:rPr>
          <w:rFonts w:asciiTheme="minorHAnsi" w:hAnsiTheme="minorHAnsi"/>
          <w:sz w:val="24"/>
          <w:lang w:eastAsia="en-AU"/>
        </w:rPr>
        <w:br/>
      </w:r>
      <w:r w:rsidRPr="00E54765">
        <w:rPr>
          <w:rFonts w:asciiTheme="minorHAnsi" w:hAnsiTheme="minorHAnsi"/>
          <w:sz w:val="24"/>
          <w:lang w:eastAsia="en-AU"/>
        </w:rPr>
        <w:t>the power shall be construed as including a power exercisable in the like manner and subject to the like conditions (if any) to repeal, rescind, revoke, amend, or vary any such instrument.</w:t>
      </w:r>
      <w:r w:rsidRPr="00E54765">
        <w:rPr>
          <w:rFonts w:asciiTheme="minorHAnsi" w:hAnsiTheme="minorHAnsi"/>
          <w:sz w:val="24"/>
          <w:vertAlign w:val="superscript"/>
          <w:lang w:eastAsia="en-AU"/>
        </w:rPr>
        <w:footnoteReference w:id="35"/>
      </w:r>
    </w:p>
    <w:p w:rsidR="00CD18D3" w:rsidRPr="008F4DC9" w:rsidRDefault="00CD18D3" w:rsidP="00CD18D3">
      <w:pPr>
        <w:rPr>
          <w:rFonts w:asciiTheme="minorHAnsi" w:hAnsiTheme="minorHAnsi"/>
          <w:b/>
          <w:lang w:eastAsia="en-AU"/>
        </w:rPr>
      </w:pPr>
      <w:r w:rsidRPr="00E54765">
        <w:rPr>
          <w:rFonts w:asciiTheme="minorHAnsi" w:hAnsiTheme="minorHAnsi"/>
          <w:b/>
          <w:lang w:eastAsia="en-AU"/>
        </w:rPr>
        <w:t>The committee draws the above to the attention of ministers.</w:t>
      </w:r>
    </w:p>
    <w:p w:rsidR="00CD18D3" w:rsidRDefault="00CD18D3" w:rsidP="00C25B02">
      <w:pPr>
        <w:pStyle w:val="Heading1"/>
        <w:sectPr w:rsidR="00CD18D3" w:rsidSect="002B2721">
          <w:headerReference w:type="first" r:id="rId27"/>
          <w:pgSz w:w="11906" w:h="16838" w:code="9"/>
          <w:pgMar w:top="1440" w:right="1440" w:bottom="1202" w:left="1440" w:header="1134" w:footer="720" w:gutter="0"/>
          <w:pgNumType w:start="1"/>
          <w:cols w:space="720"/>
          <w:titlePg/>
        </w:sectPr>
      </w:pPr>
    </w:p>
    <w:p w:rsidR="00A27907" w:rsidRPr="00A27907" w:rsidRDefault="00A27907" w:rsidP="00C25B02">
      <w:pPr>
        <w:pStyle w:val="Heading1"/>
      </w:pPr>
      <w:r w:rsidRPr="00A27907">
        <w:lastRenderedPageBreak/>
        <w:t>Chapter 2</w:t>
      </w:r>
    </w:p>
    <w:p w:rsidR="00A27907" w:rsidRPr="00A27907" w:rsidRDefault="00A27907" w:rsidP="00C25B02">
      <w:pPr>
        <w:pStyle w:val="Heading2"/>
        <w:spacing w:after="240"/>
      </w:pPr>
      <w:r w:rsidRPr="00A27907">
        <w:t>Concluded matters</w:t>
      </w:r>
    </w:p>
    <w:p w:rsidR="00A27907" w:rsidRPr="00A27907" w:rsidRDefault="00A27907" w:rsidP="00C25B02">
      <w:pPr>
        <w:rPr>
          <w:szCs w:val="26"/>
        </w:rPr>
      </w:pPr>
      <w:r w:rsidRPr="00A27907">
        <w:rPr>
          <w:szCs w:val="26"/>
        </w:rPr>
        <w:t>This chapter sets out matters which have been concluded following the receipt of additional information from ministers or relevant instrument-makers.</w:t>
      </w:r>
    </w:p>
    <w:p w:rsidR="00934437" w:rsidRPr="00A27907" w:rsidRDefault="00934437" w:rsidP="00934437">
      <w:pPr>
        <w:rPr>
          <w:szCs w:val="26"/>
        </w:rPr>
      </w:pPr>
      <w:r w:rsidRPr="008E494F">
        <w:rPr>
          <w:szCs w:val="26"/>
        </w:rPr>
        <w:t>Correspondence relating to these matters is available on the committee's website.</w:t>
      </w:r>
      <w:r w:rsidRPr="008E494F">
        <w:rPr>
          <w:rStyle w:val="FootnoteReference"/>
          <w:szCs w:val="26"/>
        </w:rPr>
        <w:footnoteReference w:id="36"/>
      </w:r>
    </w:p>
    <w:p w:rsidR="00A27907" w:rsidRPr="00A27907" w:rsidRDefault="00A27907" w:rsidP="00C25B02">
      <w:pPr>
        <w:rPr>
          <w:szCs w:val="26"/>
        </w:rPr>
      </w:pPr>
    </w:p>
    <w:tbl>
      <w:tblPr>
        <w:tblW w:w="0" w:type="auto"/>
        <w:tblInd w:w="108" w:type="dxa"/>
        <w:tblLook w:val="04A0" w:firstRow="1" w:lastRow="0" w:firstColumn="1" w:lastColumn="0" w:noHBand="0" w:noVBand="1"/>
      </w:tblPr>
      <w:tblGrid>
        <w:gridCol w:w="2694"/>
        <w:gridCol w:w="6378"/>
      </w:tblGrid>
      <w:tr w:rsidR="0038147A" w:rsidRPr="00322850" w:rsidTr="00C25B02">
        <w:tc>
          <w:tcPr>
            <w:tcW w:w="2694" w:type="dxa"/>
            <w:tcBorders>
              <w:top w:val="single" w:sz="12" w:space="0" w:color="auto"/>
              <w:right w:val="single" w:sz="12" w:space="0" w:color="auto"/>
            </w:tcBorders>
          </w:tcPr>
          <w:p w:rsidR="0038147A" w:rsidRPr="00322850" w:rsidRDefault="0038147A" w:rsidP="00C25B02">
            <w:pPr>
              <w:rPr>
                <w:b/>
                <w:sz w:val="24"/>
                <w:szCs w:val="24"/>
              </w:rPr>
            </w:pPr>
            <w:r w:rsidRPr="00322850">
              <w:rPr>
                <w:b/>
                <w:sz w:val="24"/>
                <w:szCs w:val="24"/>
              </w:rPr>
              <w:t>Instrument</w:t>
            </w:r>
          </w:p>
        </w:tc>
        <w:tc>
          <w:tcPr>
            <w:tcW w:w="6378" w:type="dxa"/>
            <w:tcBorders>
              <w:top w:val="single" w:sz="12" w:space="0" w:color="auto"/>
              <w:left w:val="single" w:sz="12" w:space="0" w:color="auto"/>
            </w:tcBorders>
          </w:tcPr>
          <w:p w:rsidR="0038147A" w:rsidRPr="00322850" w:rsidRDefault="0038147A" w:rsidP="00C25B02">
            <w:pPr>
              <w:pStyle w:val="Heading3"/>
              <w:rPr>
                <w:sz w:val="24"/>
                <w:szCs w:val="24"/>
              </w:rPr>
            </w:pPr>
            <w:r w:rsidRPr="00735FE6">
              <w:rPr>
                <w:noProof/>
                <w:sz w:val="24"/>
                <w:szCs w:val="24"/>
              </w:rPr>
              <w:t>Australian Radiation Protection and Nuclear Safety Amendment (2017 Measures No. 1) Regulations 2017 [F2017L00781]</w:t>
            </w:r>
          </w:p>
        </w:tc>
      </w:tr>
      <w:tr w:rsidR="0038147A" w:rsidRPr="00322850" w:rsidTr="00C25B02">
        <w:tc>
          <w:tcPr>
            <w:tcW w:w="2694" w:type="dxa"/>
            <w:tcBorders>
              <w:right w:val="single" w:sz="12" w:space="0" w:color="auto"/>
            </w:tcBorders>
          </w:tcPr>
          <w:p w:rsidR="0038147A" w:rsidRPr="00322850" w:rsidRDefault="0038147A" w:rsidP="00C25B02">
            <w:pPr>
              <w:rPr>
                <w:b/>
                <w:sz w:val="24"/>
                <w:szCs w:val="24"/>
              </w:rPr>
            </w:pPr>
            <w:r w:rsidRPr="00322850">
              <w:rPr>
                <w:b/>
                <w:sz w:val="24"/>
                <w:szCs w:val="24"/>
              </w:rPr>
              <w:t>Purpose</w:t>
            </w:r>
          </w:p>
        </w:tc>
        <w:tc>
          <w:tcPr>
            <w:tcW w:w="6378" w:type="dxa"/>
            <w:tcBorders>
              <w:left w:val="single" w:sz="12" w:space="0" w:color="auto"/>
            </w:tcBorders>
          </w:tcPr>
          <w:p w:rsidR="0038147A" w:rsidRPr="00322850" w:rsidRDefault="0038147A" w:rsidP="00C25B02">
            <w:pPr>
              <w:rPr>
                <w:sz w:val="24"/>
                <w:szCs w:val="24"/>
              </w:rPr>
            </w:pPr>
            <w:r w:rsidRPr="00735FE6">
              <w:rPr>
                <w:noProof/>
                <w:sz w:val="24"/>
                <w:szCs w:val="24"/>
              </w:rPr>
              <w:t>Amends the Australian Radiation Protection and Nuclear Safet</w:t>
            </w:r>
            <w:r>
              <w:rPr>
                <w:noProof/>
                <w:sz w:val="24"/>
                <w:szCs w:val="24"/>
              </w:rPr>
              <w:t xml:space="preserve">y Regulations 1999 to increase </w:t>
            </w:r>
            <w:r w:rsidRPr="00735FE6">
              <w:rPr>
                <w:noProof/>
                <w:sz w:val="24"/>
                <w:szCs w:val="24"/>
              </w:rPr>
              <w:t xml:space="preserve">licence application fees </w:t>
            </w:r>
            <w:r>
              <w:rPr>
                <w:noProof/>
                <w:sz w:val="24"/>
                <w:szCs w:val="24"/>
              </w:rPr>
              <w:t>by an indexation amount of 2.3 per cent</w:t>
            </w:r>
          </w:p>
        </w:tc>
      </w:tr>
      <w:tr w:rsidR="0038147A" w:rsidRPr="00322850" w:rsidTr="00C25B02">
        <w:tc>
          <w:tcPr>
            <w:tcW w:w="2694" w:type="dxa"/>
            <w:tcBorders>
              <w:right w:val="single" w:sz="12" w:space="0" w:color="auto"/>
            </w:tcBorders>
          </w:tcPr>
          <w:p w:rsidR="0038147A" w:rsidRPr="00322850" w:rsidRDefault="0038147A" w:rsidP="00C25B02">
            <w:pPr>
              <w:rPr>
                <w:b/>
                <w:sz w:val="24"/>
                <w:szCs w:val="24"/>
              </w:rPr>
            </w:pPr>
            <w:r w:rsidRPr="00322850">
              <w:rPr>
                <w:b/>
                <w:sz w:val="24"/>
                <w:szCs w:val="24"/>
              </w:rPr>
              <w:t>Authorising legislation</w:t>
            </w:r>
          </w:p>
        </w:tc>
        <w:tc>
          <w:tcPr>
            <w:tcW w:w="6378" w:type="dxa"/>
            <w:tcBorders>
              <w:left w:val="single" w:sz="12" w:space="0" w:color="auto"/>
            </w:tcBorders>
          </w:tcPr>
          <w:p w:rsidR="0038147A" w:rsidRPr="00322850" w:rsidRDefault="0038147A" w:rsidP="00C25B02">
            <w:pPr>
              <w:rPr>
                <w:i/>
                <w:sz w:val="24"/>
                <w:szCs w:val="24"/>
              </w:rPr>
            </w:pPr>
            <w:r w:rsidRPr="00735FE6">
              <w:rPr>
                <w:i/>
                <w:noProof/>
                <w:sz w:val="24"/>
                <w:szCs w:val="24"/>
              </w:rPr>
              <w:t>Australian Radiation Protection and Nuclear Safety Act 1998</w:t>
            </w:r>
          </w:p>
        </w:tc>
      </w:tr>
      <w:tr w:rsidR="0038147A" w:rsidRPr="00322850" w:rsidTr="00C25B02">
        <w:tc>
          <w:tcPr>
            <w:tcW w:w="2694" w:type="dxa"/>
            <w:tcBorders>
              <w:right w:val="single" w:sz="12" w:space="0" w:color="auto"/>
            </w:tcBorders>
          </w:tcPr>
          <w:p w:rsidR="0038147A" w:rsidRPr="00322850" w:rsidRDefault="0038147A" w:rsidP="00C25B02">
            <w:pPr>
              <w:rPr>
                <w:b/>
                <w:sz w:val="24"/>
                <w:szCs w:val="24"/>
              </w:rPr>
            </w:pPr>
            <w:r w:rsidRPr="00322850">
              <w:rPr>
                <w:b/>
                <w:sz w:val="24"/>
                <w:szCs w:val="24"/>
              </w:rPr>
              <w:t>Department</w:t>
            </w:r>
          </w:p>
        </w:tc>
        <w:tc>
          <w:tcPr>
            <w:tcW w:w="6378" w:type="dxa"/>
            <w:tcBorders>
              <w:left w:val="single" w:sz="12" w:space="0" w:color="auto"/>
            </w:tcBorders>
          </w:tcPr>
          <w:p w:rsidR="0038147A" w:rsidRPr="00322850" w:rsidRDefault="0038147A" w:rsidP="00C25B02">
            <w:pPr>
              <w:rPr>
                <w:sz w:val="24"/>
                <w:szCs w:val="24"/>
              </w:rPr>
            </w:pPr>
            <w:r w:rsidRPr="00735FE6">
              <w:rPr>
                <w:noProof/>
                <w:sz w:val="24"/>
                <w:szCs w:val="24"/>
              </w:rPr>
              <w:t>Health</w:t>
            </w:r>
          </w:p>
        </w:tc>
      </w:tr>
      <w:tr w:rsidR="0038147A" w:rsidRPr="00322850" w:rsidTr="00C25B02">
        <w:tc>
          <w:tcPr>
            <w:tcW w:w="2694" w:type="dxa"/>
            <w:tcBorders>
              <w:right w:val="single" w:sz="12" w:space="0" w:color="auto"/>
            </w:tcBorders>
          </w:tcPr>
          <w:p w:rsidR="0038147A" w:rsidRPr="00322850" w:rsidRDefault="0038147A" w:rsidP="00C25B02">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38147A" w:rsidRPr="00322850" w:rsidRDefault="0038147A" w:rsidP="00C25B02">
            <w:pPr>
              <w:rPr>
                <w:sz w:val="24"/>
                <w:szCs w:val="24"/>
              </w:rPr>
            </w:pPr>
            <w:r>
              <w:rPr>
                <w:sz w:val="24"/>
                <w:szCs w:val="24"/>
              </w:rPr>
              <w:t xml:space="preserve">15 sitting days after tabling (tabled Senate </w:t>
            </w:r>
            <w:r w:rsidRPr="00735FE6">
              <w:rPr>
                <w:noProof/>
                <w:sz w:val="24"/>
                <w:szCs w:val="24"/>
              </w:rPr>
              <w:t>8 August</w:t>
            </w:r>
            <w:r>
              <w:rPr>
                <w:sz w:val="24"/>
                <w:szCs w:val="24"/>
              </w:rPr>
              <w:t xml:space="preserve"> 2017)</w:t>
            </w:r>
            <w:r>
              <w:rPr>
                <w:sz w:val="24"/>
                <w:szCs w:val="24"/>
              </w:rPr>
              <w:br/>
              <w:t>Notice of motion to disallow currently must be given by</w:t>
            </w:r>
            <w:r>
              <w:rPr>
                <w:sz w:val="24"/>
                <w:szCs w:val="24"/>
              </w:rPr>
              <w:br/>
            </w:r>
            <w:r w:rsidRPr="00735FE6">
              <w:rPr>
                <w:noProof/>
                <w:sz w:val="24"/>
                <w:szCs w:val="24"/>
              </w:rPr>
              <w:t>16 October</w:t>
            </w:r>
            <w:r>
              <w:rPr>
                <w:sz w:val="24"/>
                <w:szCs w:val="24"/>
              </w:rPr>
              <w:t xml:space="preserve"> 2017</w:t>
            </w:r>
          </w:p>
        </w:tc>
      </w:tr>
      <w:tr w:rsidR="0038147A" w:rsidRPr="00322850" w:rsidTr="0038147A">
        <w:tc>
          <w:tcPr>
            <w:tcW w:w="2694" w:type="dxa"/>
            <w:tcBorders>
              <w:right w:val="single" w:sz="12" w:space="0" w:color="auto"/>
            </w:tcBorders>
          </w:tcPr>
          <w:p w:rsidR="0038147A" w:rsidRPr="00322850" w:rsidRDefault="0038147A" w:rsidP="00C25B02">
            <w:pPr>
              <w:rPr>
                <w:b/>
                <w:sz w:val="24"/>
                <w:szCs w:val="24"/>
              </w:rPr>
            </w:pPr>
            <w:r w:rsidRPr="00322850">
              <w:rPr>
                <w:b/>
                <w:sz w:val="24"/>
                <w:szCs w:val="24"/>
              </w:rPr>
              <w:t>Scrutiny principle</w:t>
            </w:r>
          </w:p>
        </w:tc>
        <w:tc>
          <w:tcPr>
            <w:tcW w:w="6378" w:type="dxa"/>
            <w:tcBorders>
              <w:left w:val="single" w:sz="12" w:space="0" w:color="auto"/>
            </w:tcBorders>
          </w:tcPr>
          <w:p w:rsidR="0038147A" w:rsidRPr="00322850" w:rsidRDefault="0038147A" w:rsidP="00C25B02">
            <w:pPr>
              <w:rPr>
                <w:sz w:val="24"/>
                <w:szCs w:val="24"/>
              </w:rPr>
            </w:pPr>
            <w:r w:rsidRPr="00322850">
              <w:rPr>
                <w:sz w:val="24"/>
                <w:szCs w:val="24"/>
              </w:rPr>
              <w:t>Standing Order 23(3)</w:t>
            </w:r>
            <w:r w:rsidRPr="00735FE6">
              <w:rPr>
                <w:noProof/>
                <w:sz w:val="24"/>
                <w:szCs w:val="24"/>
              </w:rPr>
              <w:t>(a)</w:t>
            </w:r>
          </w:p>
        </w:tc>
      </w:tr>
      <w:tr w:rsidR="0038147A" w:rsidRPr="00322850" w:rsidTr="00C25B02">
        <w:tc>
          <w:tcPr>
            <w:tcW w:w="2694" w:type="dxa"/>
            <w:tcBorders>
              <w:bottom w:val="single" w:sz="12" w:space="0" w:color="auto"/>
              <w:right w:val="single" w:sz="12" w:space="0" w:color="auto"/>
            </w:tcBorders>
          </w:tcPr>
          <w:p w:rsidR="0038147A" w:rsidRPr="00556E96" w:rsidRDefault="0038147A" w:rsidP="00C25B02">
            <w:pPr>
              <w:rPr>
                <w:b/>
                <w:sz w:val="24"/>
                <w:szCs w:val="24"/>
              </w:rPr>
            </w:pPr>
            <w:r w:rsidRPr="00556E96">
              <w:rPr>
                <w:b/>
                <w:sz w:val="24"/>
                <w:szCs w:val="24"/>
              </w:rPr>
              <w:t>Previously reported in</w:t>
            </w:r>
          </w:p>
        </w:tc>
        <w:tc>
          <w:tcPr>
            <w:tcW w:w="6378" w:type="dxa"/>
            <w:tcBorders>
              <w:left w:val="single" w:sz="12" w:space="0" w:color="auto"/>
              <w:bottom w:val="single" w:sz="12" w:space="0" w:color="auto"/>
            </w:tcBorders>
          </w:tcPr>
          <w:p w:rsidR="0038147A" w:rsidRPr="00556E96" w:rsidRDefault="0038147A" w:rsidP="00C25B02">
            <w:pPr>
              <w:rPr>
                <w:sz w:val="24"/>
                <w:szCs w:val="24"/>
              </w:rPr>
            </w:pPr>
            <w:r w:rsidRPr="00556E96">
              <w:rPr>
                <w:i/>
                <w:noProof/>
                <w:sz w:val="24"/>
                <w:szCs w:val="24"/>
              </w:rPr>
              <w:t>Delegated legislation monitor</w:t>
            </w:r>
            <w:r>
              <w:rPr>
                <w:noProof/>
                <w:sz w:val="24"/>
                <w:szCs w:val="24"/>
              </w:rPr>
              <w:t xml:space="preserve"> 8</w:t>
            </w:r>
            <w:r w:rsidRPr="00556E96">
              <w:rPr>
                <w:noProof/>
                <w:sz w:val="24"/>
                <w:szCs w:val="24"/>
              </w:rPr>
              <w:t xml:space="preserve"> of 2017</w:t>
            </w:r>
          </w:p>
        </w:tc>
      </w:tr>
    </w:tbl>
    <w:p w:rsidR="0038147A" w:rsidRPr="00322850" w:rsidRDefault="0038147A" w:rsidP="0038147A">
      <w:pPr>
        <w:spacing w:before="0" w:after="0"/>
      </w:pPr>
    </w:p>
    <w:p w:rsidR="0038147A" w:rsidRDefault="0038147A" w:rsidP="0038147A">
      <w:pPr>
        <w:spacing w:after="0"/>
        <w:rPr>
          <w:b/>
          <w:noProof/>
        </w:rPr>
      </w:pPr>
      <w:r>
        <w:rPr>
          <w:b/>
          <w:noProof/>
        </w:rPr>
        <w:t>Access to incorporated documents</w:t>
      </w:r>
    </w:p>
    <w:p w:rsidR="004A7CC9" w:rsidRPr="00322850" w:rsidRDefault="004A7CC9" w:rsidP="0038147A">
      <w:pPr>
        <w:spacing w:after="0"/>
        <w:rPr>
          <w:b/>
        </w:rPr>
      </w:pPr>
      <w:r w:rsidRPr="00556E96">
        <w:rPr>
          <w:noProof/>
        </w:rPr>
        <w:t>The committee previously commented as follows:</w:t>
      </w:r>
    </w:p>
    <w:p w:rsidR="0038147A" w:rsidRDefault="0038147A" w:rsidP="0038147A">
      <w:pPr>
        <w:rPr>
          <w:noProof/>
        </w:rPr>
      </w:pPr>
      <w:r>
        <w:rPr>
          <w:noProof/>
        </w:rPr>
        <w:t xml:space="preserve">Paragraph 15J(2)(c) of the </w:t>
      </w:r>
      <w:r w:rsidRPr="00954EE4">
        <w:rPr>
          <w:i/>
          <w:noProof/>
        </w:rPr>
        <w:t>Legislation Act 2003</w:t>
      </w:r>
      <w:r>
        <w:rPr>
          <w:noProof/>
        </w:rPr>
        <w:t xml:space="preserve"> requires the explanatory statement (ES) for a legislative instrument that incorporates a document to contain a description of that document and indicate how it may be obtained. </w:t>
      </w:r>
    </w:p>
    <w:p w:rsidR="0038147A" w:rsidRDefault="0038147A" w:rsidP="0038147A">
      <w:pPr>
        <w:rPr>
          <w:noProof/>
        </w:rPr>
      </w:pPr>
      <w:r>
        <w:rPr>
          <w:noProof/>
        </w:rPr>
        <w:t xml:space="preserve">The committee's expectations where a legislative instrument incorporates a document generally accord with the approach of the Senate Standing Committee for the Scrutiny of Bills, which has consistently drawn attention to legislation that incorporates documents not readily and freely available (i.e. without cost) to the public. Generally, the committee will be concerned where incorporated documents </w:t>
      </w:r>
      <w:r>
        <w:rPr>
          <w:noProof/>
        </w:rPr>
        <w:lastRenderedPageBreak/>
        <w:t xml:space="preserve">are not publicly and freely available, because persons interested in or affected by the law may have inadequate access to its terms. </w:t>
      </w:r>
    </w:p>
    <w:p w:rsidR="0038147A" w:rsidRDefault="0038147A" w:rsidP="0038147A">
      <w:pPr>
        <w:rPr>
          <w:noProof/>
        </w:rPr>
      </w:pPr>
      <w:r>
        <w:rPr>
          <w:noProof/>
        </w:rPr>
        <w:t xml:space="preserve">With reference to the above, the committee notes that the instrument incorporates the following Australian/New Zealand Standards into the </w:t>
      </w:r>
      <w:r w:rsidRPr="00B96B17">
        <w:rPr>
          <w:noProof/>
        </w:rPr>
        <w:t>Australian Radiation Protection and Nuclear Safety Regulations 1999</w:t>
      </w:r>
      <w:r>
        <w:rPr>
          <w:noProof/>
        </w:rPr>
        <w:t xml:space="preserve"> (ARPANS Regulations), as existing on 1 July 2017:</w:t>
      </w:r>
    </w:p>
    <w:p w:rsidR="0038147A" w:rsidRDefault="0038147A" w:rsidP="0038147A">
      <w:pPr>
        <w:pStyle w:val="Bullet1"/>
        <w:rPr>
          <w:noProof/>
        </w:rPr>
      </w:pPr>
      <w:r>
        <w:rPr>
          <w:noProof/>
        </w:rPr>
        <w:t>Australian/New Zealand Standard AS/NZS IEC 60825.1:2014 Safety of laser products, Part 1: Equipment classification and requirements;</w:t>
      </w:r>
    </w:p>
    <w:p w:rsidR="0038147A" w:rsidRDefault="0038147A" w:rsidP="0038147A">
      <w:pPr>
        <w:pStyle w:val="Bullet1"/>
        <w:rPr>
          <w:noProof/>
        </w:rPr>
      </w:pPr>
      <w:r>
        <w:rPr>
          <w:noProof/>
        </w:rPr>
        <w:t>Australian/New Zealand Standard AS/NZS IEC 60825.2:2011 Safety of laser products, Part 2: Safety of optical fibre communication systems (OFCS); and</w:t>
      </w:r>
    </w:p>
    <w:p w:rsidR="0038147A" w:rsidRDefault="0038147A" w:rsidP="0038147A">
      <w:pPr>
        <w:pStyle w:val="Bullet1"/>
        <w:rPr>
          <w:noProof/>
        </w:rPr>
      </w:pPr>
      <w:r>
        <w:rPr>
          <w:noProof/>
        </w:rPr>
        <w:t>Australian/New Zealand Standard AS/NZS IEC 62471:2011 Photobiological safety of lamp and lamp systems.</w:t>
      </w:r>
    </w:p>
    <w:p w:rsidR="0038147A" w:rsidRDefault="0038147A" w:rsidP="0038147A">
      <w:pPr>
        <w:rPr>
          <w:noProof/>
        </w:rPr>
      </w:pPr>
      <w:r>
        <w:rPr>
          <w:noProof/>
        </w:rPr>
        <w:t>The ES states that these standards are available from the SAI global website, but does not provide further information as to where the standards incorporated into the ARPANS Regulations can be accessed for free. The committee understands the standards to be</w:t>
      </w:r>
      <w:r w:rsidR="005A254A">
        <w:rPr>
          <w:noProof/>
        </w:rPr>
        <w:t xml:space="preserve"> only</w:t>
      </w:r>
      <w:r>
        <w:rPr>
          <w:noProof/>
        </w:rPr>
        <w:t xml:space="preserve"> available for purchase from the SAI global website.</w:t>
      </w:r>
    </w:p>
    <w:p w:rsidR="0038147A" w:rsidRPr="0010765E" w:rsidRDefault="0038147A" w:rsidP="0038147A">
      <w:pPr>
        <w:rPr>
          <w:rFonts w:asciiTheme="minorHAnsi" w:hAnsiTheme="minorHAnsi"/>
          <w:lang w:eastAsia="en-AU"/>
        </w:rPr>
      </w:pPr>
      <w:r w:rsidRPr="00574CB6">
        <w:rPr>
          <w:rFonts w:asciiTheme="minorHAnsi" w:hAnsiTheme="minorHAnsi"/>
          <w:lang w:eastAsia="en-AU"/>
        </w:rPr>
        <w:t xml:space="preserve">The committee's expectations in this regard are set out in the guideline on incorporation </w:t>
      </w:r>
      <w:r>
        <w:rPr>
          <w:rFonts w:asciiTheme="minorHAnsi" w:hAnsiTheme="minorHAnsi"/>
          <w:lang w:eastAsia="en-AU"/>
        </w:rPr>
        <w:t>of documents published on the committee's website</w:t>
      </w:r>
      <w:r w:rsidRPr="00574CB6">
        <w:rPr>
          <w:rFonts w:asciiTheme="minorHAnsi" w:hAnsiTheme="minorHAnsi"/>
          <w:lang w:eastAsia="en-AU"/>
        </w:rPr>
        <w:t>.</w:t>
      </w:r>
      <w:r>
        <w:rPr>
          <w:rStyle w:val="FootnoteReference"/>
          <w:rFonts w:asciiTheme="minorHAnsi" w:hAnsiTheme="minorHAnsi"/>
          <w:lang w:eastAsia="en-AU"/>
        </w:rPr>
        <w:footnoteReference w:id="37"/>
      </w:r>
      <w:r w:rsidRPr="001B5C80">
        <w:rPr>
          <w:rFonts w:asciiTheme="minorHAnsi" w:hAnsiTheme="minorHAnsi"/>
          <w:lang w:eastAsia="en-AU"/>
        </w:rPr>
        <w:t xml:space="preserve"> </w:t>
      </w:r>
    </w:p>
    <w:p w:rsidR="0038147A" w:rsidRDefault="005A254A" w:rsidP="0038147A">
      <w:pPr>
        <w:rPr>
          <w:noProof/>
        </w:rPr>
      </w:pPr>
      <w:r>
        <w:rPr>
          <w:noProof/>
        </w:rPr>
        <w:t>The committee requested</w:t>
      </w:r>
      <w:r w:rsidR="0038147A" w:rsidRPr="0038147A">
        <w:rPr>
          <w:noProof/>
        </w:rPr>
        <w:t xml:space="preserve"> the advice of the minister in relation to the above.</w:t>
      </w:r>
    </w:p>
    <w:p w:rsidR="004A7CC9" w:rsidRPr="00556E96" w:rsidRDefault="004A7CC9" w:rsidP="004A7CC9">
      <w:pPr>
        <w:tabs>
          <w:tab w:val="left" w:pos="2268"/>
        </w:tabs>
        <w:rPr>
          <w:b/>
          <w:noProof/>
        </w:rPr>
      </w:pPr>
      <w:r w:rsidRPr="00556E96">
        <w:rPr>
          <w:b/>
          <w:noProof/>
        </w:rPr>
        <w:t>Minister's response</w:t>
      </w:r>
    </w:p>
    <w:p w:rsidR="004A7CC9" w:rsidRDefault="004A7CC9" w:rsidP="004A7CC9">
      <w:pPr>
        <w:rPr>
          <w:noProof/>
        </w:rPr>
      </w:pPr>
      <w:r w:rsidRPr="00556E96">
        <w:rPr>
          <w:noProof/>
        </w:rPr>
        <w:t xml:space="preserve">The </w:t>
      </w:r>
      <w:r>
        <w:rPr>
          <w:noProof/>
        </w:rPr>
        <w:t>Assistant Minister for Health</w:t>
      </w:r>
      <w:r w:rsidRPr="00F45435">
        <w:t xml:space="preserve"> </w:t>
      </w:r>
      <w:r w:rsidRPr="00556E96">
        <w:rPr>
          <w:noProof/>
        </w:rPr>
        <w:t>advised:</w:t>
      </w:r>
    </w:p>
    <w:p w:rsidR="004A7CC9" w:rsidRDefault="004A7CC9" w:rsidP="004A7CC9">
      <w:pPr>
        <w:pStyle w:val="Quote"/>
        <w:rPr>
          <w:noProof/>
        </w:rPr>
      </w:pPr>
      <w:r>
        <w:rPr>
          <w:noProof/>
        </w:rPr>
        <w:t>The Australian/New Zealand Standards that have been incorporated by reference into the Australian Radiation Protection and Nuclear Safety Regulations 1999 are copyrighted to Standards Australia who have been designated by the Australian Government as the nation's peak non-government standards development organisation. Standards Australia have exclusively licenced SAI Global to publish standards developed by it. Other than accessing a copy, where available, at a public library, there is no alternative method to legally obtain Australian Standards free-of-charge.</w:t>
      </w:r>
    </w:p>
    <w:p w:rsidR="004A7CC9" w:rsidRPr="00556E96" w:rsidRDefault="004A7CC9" w:rsidP="004A7CC9">
      <w:pPr>
        <w:pStyle w:val="Quote"/>
        <w:rPr>
          <w:noProof/>
        </w:rPr>
      </w:pPr>
      <w:r>
        <w:rPr>
          <w:noProof/>
        </w:rPr>
        <w:t>The Regulations only apply to the Australian Radiation Protection and Nuclear Safety Agency's licence holders and potential licence holders, which are other Commonwealth departments or agencies. Therefore, in this context, these standards would only affect a small number of technical and scientific personnel from Commonwealth entities and not the general public.</w:t>
      </w:r>
    </w:p>
    <w:p w:rsidR="004A7CC9" w:rsidRPr="00301FAD" w:rsidRDefault="004A7CC9" w:rsidP="004A7CC9">
      <w:pPr>
        <w:pStyle w:val="Quote"/>
        <w:ind w:left="0"/>
        <w:rPr>
          <w:b/>
          <w:noProof/>
          <w:sz w:val="26"/>
        </w:rPr>
      </w:pPr>
      <w:bookmarkStart w:id="22" w:name="OLE_LINK1"/>
      <w:r w:rsidRPr="00301FAD">
        <w:rPr>
          <w:b/>
          <w:noProof/>
          <w:sz w:val="26"/>
        </w:rPr>
        <w:lastRenderedPageBreak/>
        <w:t>Committee's response</w:t>
      </w:r>
    </w:p>
    <w:p w:rsidR="004A7CC9" w:rsidRDefault="004A7CC9" w:rsidP="004A7CC9">
      <w:pPr>
        <w:rPr>
          <w:b/>
          <w:szCs w:val="26"/>
        </w:rPr>
      </w:pPr>
      <w:r w:rsidRPr="00556E96">
        <w:rPr>
          <w:b/>
          <w:szCs w:val="26"/>
        </w:rPr>
        <w:t>T</w:t>
      </w:r>
      <w:r>
        <w:rPr>
          <w:b/>
          <w:szCs w:val="26"/>
        </w:rPr>
        <w:t xml:space="preserve">he committee thanks </w:t>
      </w:r>
      <w:r w:rsidRPr="004A7CC9">
        <w:rPr>
          <w:b/>
          <w:szCs w:val="26"/>
        </w:rPr>
        <w:t xml:space="preserve">the </w:t>
      </w:r>
      <w:r w:rsidRPr="004A7CC9">
        <w:rPr>
          <w:b/>
          <w:noProof/>
        </w:rPr>
        <w:t>Assistant Minister</w:t>
      </w:r>
      <w:r w:rsidRPr="004A7CC9">
        <w:rPr>
          <w:b/>
          <w:szCs w:val="26"/>
        </w:rPr>
        <w:t xml:space="preserve"> f</w:t>
      </w:r>
      <w:r w:rsidRPr="00556E96">
        <w:rPr>
          <w:b/>
          <w:szCs w:val="26"/>
        </w:rPr>
        <w:t xml:space="preserve">or his response and has concluded its examination of the above. </w:t>
      </w:r>
    </w:p>
    <w:p w:rsidR="003D63A0" w:rsidRDefault="004A7CC9" w:rsidP="0038147A">
      <w:pPr>
        <w:rPr>
          <w:szCs w:val="26"/>
        </w:rPr>
      </w:pPr>
      <w:r w:rsidRPr="00821E80">
        <w:rPr>
          <w:szCs w:val="26"/>
        </w:rPr>
        <w:t>The committee notes the minister's advice that</w:t>
      </w:r>
      <w:bookmarkEnd w:id="22"/>
      <w:r w:rsidR="003D63A0">
        <w:rPr>
          <w:szCs w:val="26"/>
        </w:rPr>
        <w:t xml:space="preserve"> </w:t>
      </w:r>
      <w:r w:rsidR="003D63A0" w:rsidRPr="003D63A0">
        <w:rPr>
          <w:szCs w:val="26"/>
        </w:rPr>
        <w:t>the</w:t>
      </w:r>
      <w:r w:rsidR="003D63A0">
        <w:rPr>
          <w:szCs w:val="26"/>
        </w:rPr>
        <w:t xml:space="preserve"> incorporated</w:t>
      </w:r>
      <w:r w:rsidR="003D63A0" w:rsidRPr="003D63A0">
        <w:rPr>
          <w:szCs w:val="26"/>
        </w:rPr>
        <w:t xml:space="preserve"> standards would only affect a small number of technical and scientific personnel from Commonwealth entities and not the general public</w:t>
      </w:r>
      <w:r w:rsidR="003D63A0">
        <w:rPr>
          <w:szCs w:val="26"/>
        </w:rPr>
        <w:t xml:space="preserve">. </w:t>
      </w:r>
    </w:p>
    <w:p w:rsidR="00821E80" w:rsidRDefault="00821E80" w:rsidP="0038147A">
      <w:pPr>
        <w:rPr>
          <w:szCs w:val="26"/>
        </w:rPr>
      </w:pPr>
      <w:r>
        <w:rPr>
          <w:szCs w:val="26"/>
        </w:rPr>
        <w:t>However, the committee expects Commonwealth agencies to take appropriate steps to ensure that standards are freely available wherever possible, including as an alternative to a purchasable standard.</w:t>
      </w:r>
      <w:r w:rsidR="00AB3DF0">
        <w:rPr>
          <w:szCs w:val="26"/>
        </w:rPr>
        <w:t xml:space="preserve"> In addition to access for persons who are directly affected by a legislative instrument, the committee is interested in the broader issue of access for other parties who might be affected by, or are otherwise interested in, the law. </w:t>
      </w:r>
    </w:p>
    <w:p w:rsidR="00AB3DF0" w:rsidRDefault="00AB3DF0" w:rsidP="0038147A">
      <w:pPr>
        <w:rPr>
          <w:szCs w:val="26"/>
        </w:rPr>
      </w:pPr>
      <w:r w:rsidRPr="00AB3DF0">
        <w:t>The committee's expectation, at a minimum, is that consideration be given by the department to any means by which the document is or may be made available to interested or affected persons. This may be, for example, by noting availability through specific public libraries, or by making the document available for viewing upon request to the department. Consideration of this principle and details of any means of access identified or established should be reflected in the ES to the instrument.</w:t>
      </w:r>
    </w:p>
    <w:p w:rsidR="00821E80" w:rsidRDefault="00821E80" w:rsidP="0038147A">
      <w:pPr>
        <w:rPr>
          <w:szCs w:val="26"/>
        </w:rPr>
      </w:pPr>
      <w:r w:rsidRPr="00821E80">
        <w:rPr>
          <w:szCs w:val="26"/>
        </w:rPr>
        <w:t xml:space="preserve">The issue of access to material incorporated into the law by reference to external documents, such as Australian and international standards, has been </w:t>
      </w:r>
      <w:r w:rsidR="00405249">
        <w:rPr>
          <w:szCs w:val="26"/>
        </w:rPr>
        <w:t>one</w:t>
      </w:r>
      <w:r w:rsidRPr="00821E80">
        <w:rPr>
          <w:szCs w:val="26"/>
        </w:rPr>
        <w:t xml:space="preserve"> of ongoing concern to Australian parliamentary scru</w:t>
      </w:r>
      <w:r>
        <w:rPr>
          <w:szCs w:val="26"/>
        </w:rPr>
        <w:t>tiny committees. Most recently,</w:t>
      </w:r>
      <w:r>
        <w:rPr>
          <w:szCs w:val="26"/>
        </w:rPr>
        <w:br/>
      </w:r>
      <w:r w:rsidRPr="00821E80">
        <w:rPr>
          <w:szCs w:val="26"/>
        </w:rPr>
        <w:t>the Joint Standing Committee on Delegated Legislation of the Western Australian Parliament published a detailed report on this issue.</w:t>
      </w:r>
      <w:r>
        <w:rPr>
          <w:rStyle w:val="FootnoteReference"/>
          <w:szCs w:val="26"/>
        </w:rPr>
        <w:footnoteReference w:id="38"/>
      </w:r>
      <w:r w:rsidR="008A4617">
        <w:rPr>
          <w:szCs w:val="26"/>
        </w:rPr>
        <w:t xml:space="preserve"> </w:t>
      </w:r>
      <w:r w:rsidRPr="00821E80">
        <w:rPr>
          <w:szCs w:val="26"/>
        </w:rPr>
        <w:t xml:space="preserve">This report comprehensively </w:t>
      </w:r>
      <w:r w:rsidR="005A254A">
        <w:rPr>
          <w:szCs w:val="26"/>
        </w:rPr>
        <w:t>outlined</w:t>
      </w:r>
      <w:r w:rsidRPr="00821E80">
        <w:rPr>
          <w:szCs w:val="26"/>
        </w:rPr>
        <w:t xml:space="preserve"> the significant scrutiny concerns associated with the incorporation of material by reference, particularly where the incorporated material is not freely available.</w:t>
      </w:r>
    </w:p>
    <w:p w:rsidR="004A7CC9" w:rsidRPr="00677DB9" w:rsidRDefault="003D63A0" w:rsidP="0038147A">
      <w:pPr>
        <w:rPr>
          <w:szCs w:val="26"/>
        </w:rPr>
      </w:pPr>
      <w:r>
        <w:rPr>
          <w:szCs w:val="26"/>
        </w:rPr>
        <w:t xml:space="preserve">The committee remains concerned about the lack of free access to material incorporated into </w:t>
      </w:r>
      <w:r w:rsidRPr="003D63A0">
        <w:rPr>
          <w:szCs w:val="26"/>
        </w:rPr>
        <w:t>legislation generally</w:t>
      </w:r>
      <w:r>
        <w:rPr>
          <w:szCs w:val="26"/>
        </w:rPr>
        <w:t>, and will continue to monitor this issue.</w:t>
      </w:r>
    </w:p>
    <w:p w:rsidR="008D31FD" w:rsidRDefault="008D31FD">
      <w:pPr>
        <w:spacing w:before="0" w:after="0"/>
        <w:jc w:val="left"/>
        <w:rPr>
          <w:b/>
          <w:noProof/>
        </w:rPr>
      </w:pPr>
      <w:r>
        <w:rPr>
          <w:b/>
          <w:noProof/>
        </w:rPr>
        <w:br w:type="page"/>
      </w:r>
    </w:p>
    <w:tbl>
      <w:tblPr>
        <w:tblW w:w="0" w:type="auto"/>
        <w:tblInd w:w="108" w:type="dxa"/>
        <w:tblLook w:val="04A0" w:firstRow="1" w:lastRow="0" w:firstColumn="1" w:lastColumn="0" w:noHBand="0" w:noVBand="1"/>
      </w:tblPr>
      <w:tblGrid>
        <w:gridCol w:w="2694"/>
        <w:gridCol w:w="6378"/>
      </w:tblGrid>
      <w:tr w:rsidR="008D31FD" w:rsidRPr="008B0EEC" w:rsidTr="00213477">
        <w:tc>
          <w:tcPr>
            <w:tcW w:w="2694" w:type="dxa"/>
            <w:tcBorders>
              <w:top w:val="single" w:sz="12" w:space="0" w:color="auto"/>
              <w:right w:val="single" w:sz="12" w:space="0" w:color="auto"/>
            </w:tcBorders>
          </w:tcPr>
          <w:p w:rsidR="008D31FD" w:rsidRPr="008B0EEC" w:rsidRDefault="008D31FD" w:rsidP="00213477">
            <w:pPr>
              <w:rPr>
                <w:b/>
                <w:sz w:val="24"/>
                <w:szCs w:val="24"/>
              </w:rPr>
            </w:pPr>
            <w:r w:rsidRPr="008B0EEC">
              <w:rPr>
                <w:b/>
                <w:sz w:val="24"/>
                <w:szCs w:val="24"/>
              </w:rPr>
              <w:lastRenderedPageBreak/>
              <w:t>Instrument</w:t>
            </w:r>
          </w:p>
        </w:tc>
        <w:tc>
          <w:tcPr>
            <w:tcW w:w="6378" w:type="dxa"/>
            <w:tcBorders>
              <w:top w:val="single" w:sz="12" w:space="0" w:color="auto"/>
              <w:left w:val="single" w:sz="12" w:space="0" w:color="auto"/>
            </w:tcBorders>
          </w:tcPr>
          <w:p w:rsidR="008D31FD" w:rsidRPr="008B0EEC" w:rsidRDefault="008D31FD" w:rsidP="00213477">
            <w:pPr>
              <w:pStyle w:val="Heading3"/>
              <w:rPr>
                <w:sz w:val="24"/>
                <w:szCs w:val="24"/>
              </w:rPr>
            </w:pPr>
            <w:r w:rsidRPr="008B0EEC">
              <w:rPr>
                <w:noProof/>
                <w:sz w:val="24"/>
                <w:szCs w:val="24"/>
              </w:rPr>
              <w:t>Australian Radiation Protection and Nuclear Safety (Licence Charges) Amendment (2017 Measures No. 1) Regulations 2017 [F2017L00808]</w:t>
            </w:r>
          </w:p>
        </w:tc>
      </w:tr>
      <w:tr w:rsidR="008D31FD" w:rsidRPr="008B0EEC" w:rsidTr="00213477">
        <w:tc>
          <w:tcPr>
            <w:tcW w:w="2694" w:type="dxa"/>
            <w:tcBorders>
              <w:right w:val="single" w:sz="12" w:space="0" w:color="auto"/>
            </w:tcBorders>
          </w:tcPr>
          <w:p w:rsidR="008D31FD" w:rsidRPr="008B0EEC" w:rsidRDefault="008D31FD" w:rsidP="00213477">
            <w:pPr>
              <w:rPr>
                <w:b/>
                <w:sz w:val="24"/>
                <w:szCs w:val="24"/>
              </w:rPr>
            </w:pPr>
            <w:r w:rsidRPr="008B0EEC">
              <w:rPr>
                <w:b/>
                <w:sz w:val="24"/>
                <w:szCs w:val="24"/>
              </w:rPr>
              <w:t>Purpose</w:t>
            </w:r>
          </w:p>
        </w:tc>
        <w:tc>
          <w:tcPr>
            <w:tcW w:w="6378" w:type="dxa"/>
            <w:tcBorders>
              <w:left w:val="single" w:sz="12" w:space="0" w:color="auto"/>
            </w:tcBorders>
          </w:tcPr>
          <w:p w:rsidR="008D31FD" w:rsidRPr="008B0EEC" w:rsidRDefault="008D31FD" w:rsidP="00213477">
            <w:pPr>
              <w:rPr>
                <w:sz w:val="24"/>
                <w:szCs w:val="24"/>
              </w:rPr>
            </w:pPr>
            <w:r w:rsidRPr="008B0EEC">
              <w:rPr>
                <w:noProof/>
                <w:sz w:val="24"/>
                <w:szCs w:val="24"/>
              </w:rPr>
              <w:t xml:space="preserve">Increases by an indexation amount of 2.3 per cent the annual licence charges paid by Commonwealth entities to the Australian Radiation Protection and Nuclear Safety Agency </w:t>
            </w:r>
          </w:p>
        </w:tc>
      </w:tr>
      <w:tr w:rsidR="008D31FD" w:rsidRPr="008B0EEC" w:rsidTr="00213477">
        <w:tc>
          <w:tcPr>
            <w:tcW w:w="2694" w:type="dxa"/>
            <w:tcBorders>
              <w:right w:val="single" w:sz="12" w:space="0" w:color="auto"/>
            </w:tcBorders>
          </w:tcPr>
          <w:p w:rsidR="008D31FD" w:rsidRPr="008B0EEC" w:rsidRDefault="008D31FD" w:rsidP="00213477">
            <w:pPr>
              <w:rPr>
                <w:b/>
                <w:sz w:val="24"/>
                <w:szCs w:val="24"/>
              </w:rPr>
            </w:pPr>
            <w:r w:rsidRPr="008B0EEC">
              <w:rPr>
                <w:b/>
                <w:sz w:val="24"/>
                <w:szCs w:val="24"/>
              </w:rPr>
              <w:t>Authorising legislation</w:t>
            </w:r>
          </w:p>
        </w:tc>
        <w:tc>
          <w:tcPr>
            <w:tcW w:w="6378" w:type="dxa"/>
            <w:tcBorders>
              <w:left w:val="single" w:sz="12" w:space="0" w:color="auto"/>
            </w:tcBorders>
          </w:tcPr>
          <w:p w:rsidR="008D31FD" w:rsidRPr="008B0EEC" w:rsidRDefault="008D31FD" w:rsidP="00213477">
            <w:pPr>
              <w:rPr>
                <w:i/>
                <w:sz w:val="24"/>
                <w:szCs w:val="24"/>
              </w:rPr>
            </w:pPr>
            <w:r w:rsidRPr="008B0EEC">
              <w:rPr>
                <w:i/>
                <w:noProof/>
                <w:sz w:val="24"/>
                <w:szCs w:val="24"/>
              </w:rPr>
              <w:t>Australian Radiation Protection and Nuclear Safety (Licence Charges) Act 1998</w:t>
            </w:r>
          </w:p>
        </w:tc>
      </w:tr>
      <w:tr w:rsidR="008D31FD" w:rsidRPr="008B0EEC" w:rsidTr="00213477">
        <w:tc>
          <w:tcPr>
            <w:tcW w:w="2694" w:type="dxa"/>
            <w:tcBorders>
              <w:right w:val="single" w:sz="12" w:space="0" w:color="auto"/>
            </w:tcBorders>
          </w:tcPr>
          <w:p w:rsidR="008D31FD" w:rsidRPr="008B0EEC" w:rsidRDefault="008D31FD" w:rsidP="00213477">
            <w:pPr>
              <w:rPr>
                <w:b/>
                <w:sz w:val="24"/>
                <w:szCs w:val="24"/>
              </w:rPr>
            </w:pPr>
            <w:r w:rsidRPr="008B0EEC">
              <w:rPr>
                <w:b/>
                <w:sz w:val="24"/>
                <w:szCs w:val="24"/>
              </w:rPr>
              <w:t>Department</w:t>
            </w:r>
          </w:p>
        </w:tc>
        <w:tc>
          <w:tcPr>
            <w:tcW w:w="6378" w:type="dxa"/>
            <w:tcBorders>
              <w:left w:val="single" w:sz="12" w:space="0" w:color="auto"/>
            </w:tcBorders>
          </w:tcPr>
          <w:p w:rsidR="008D31FD" w:rsidRPr="008B0EEC" w:rsidRDefault="008D31FD" w:rsidP="00213477">
            <w:pPr>
              <w:rPr>
                <w:sz w:val="24"/>
                <w:szCs w:val="24"/>
              </w:rPr>
            </w:pPr>
            <w:r w:rsidRPr="008B0EEC">
              <w:rPr>
                <w:noProof/>
                <w:sz w:val="24"/>
                <w:szCs w:val="24"/>
              </w:rPr>
              <w:t>Health</w:t>
            </w:r>
          </w:p>
        </w:tc>
      </w:tr>
      <w:tr w:rsidR="008D31FD" w:rsidRPr="008B0EEC" w:rsidTr="00213477">
        <w:tc>
          <w:tcPr>
            <w:tcW w:w="2694" w:type="dxa"/>
            <w:tcBorders>
              <w:right w:val="single" w:sz="12" w:space="0" w:color="auto"/>
            </w:tcBorders>
          </w:tcPr>
          <w:p w:rsidR="008D31FD" w:rsidRPr="008B0EEC" w:rsidRDefault="008D31FD" w:rsidP="00213477">
            <w:pPr>
              <w:rPr>
                <w:b/>
                <w:sz w:val="24"/>
                <w:szCs w:val="24"/>
              </w:rPr>
            </w:pPr>
            <w:r w:rsidRPr="008B0EEC">
              <w:rPr>
                <w:b/>
                <w:sz w:val="24"/>
                <w:szCs w:val="24"/>
              </w:rPr>
              <w:t>Disallowance</w:t>
            </w:r>
          </w:p>
        </w:tc>
        <w:tc>
          <w:tcPr>
            <w:tcW w:w="6378" w:type="dxa"/>
            <w:tcBorders>
              <w:left w:val="single" w:sz="12" w:space="0" w:color="auto"/>
            </w:tcBorders>
          </w:tcPr>
          <w:p w:rsidR="008D31FD" w:rsidRPr="008B0EEC" w:rsidRDefault="008D31FD" w:rsidP="00213477">
            <w:pPr>
              <w:rPr>
                <w:sz w:val="24"/>
                <w:szCs w:val="24"/>
              </w:rPr>
            </w:pPr>
            <w:r w:rsidRPr="008B0EEC">
              <w:rPr>
                <w:sz w:val="24"/>
                <w:szCs w:val="24"/>
              </w:rPr>
              <w:t xml:space="preserve">15 sitting days after tabling (tabled Senate </w:t>
            </w:r>
            <w:r w:rsidRPr="008B0EEC">
              <w:rPr>
                <w:noProof/>
                <w:sz w:val="24"/>
                <w:szCs w:val="24"/>
              </w:rPr>
              <w:t>8 August</w:t>
            </w:r>
            <w:r w:rsidRPr="008B0EEC">
              <w:rPr>
                <w:sz w:val="24"/>
                <w:szCs w:val="24"/>
              </w:rPr>
              <w:t xml:space="preserve"> 2017)</w:t>
            </w:r>
            <w:r w:rsidRPr="008B0EEC">
              <w:rPr>
                <w:sz w:val="24"/>
                <w:szCs w:val="24"/>
              </w:rPr>
              <w:br/>
              <w:t>Notice of motion to disallow currently must be given by</w:t>
            </w:r>
            <w:r w:rsidRPr="008B0EEC">
              <w:rPr>
                <w:sz w:val="24"/>
                <w:szCs w:val="24"/>
              </w:rPr>
              <w:br/>
            </w:r>
            <w:r w:rsidRPr="008B0EEC">
              <w:rPr>
                <w:noProof/>
                <w:sz w:val="24"/>
                <w:szCs w:val="24"/>
              </w:rPr>
              <w:t>16 October</w:t>
            </w:r>
            <w:r w:rsidRPr="008B0EEC">
              <w:rPr>
                <w:sz w:val="24"/>
                <w:szCs w:val="24"/>
              </w:rPr>
              <w:t xml:space="preserve"> 2017</w:t>
            </w:r>
          </w:p>
        </w:tc>
      </w:tr>
      <w:tr w:rsidR="008D31FD" w:rsidRPr="008B0EEC" w:rsidTr="008D31FD">
        <w:tc>
          <w:tcPr>
            <w:tcW w:w="2694" w:type="dxa"/>
            <w:tcBorders>
              <w:right w:val="single" w:sz="12" w:space="0" w:color="auto"/>
            </w:tcBorders>
          </w:tcPr>
          <w:p w:rsidR="008D31FD" w:rsidRPr="008B0EEC" w:rsidRDefault="008D31FD" w:rsidP="00213477">
            <w:pPr>
              <w:rPr>
                <w:b/>
                <w:sz w:val="24"/>
                <w:szCs w:val="24"/>
              </w:rPr>
            </w:pPr>
            <w:r w:rsidRPr="008B0EEC">
              <w:rPr>
                <w:b/>
                <w:sz w:val="24"/>
                <w:szCs w:val="24"/>
              </w:rPr>
              <w:t>Scrutiny principle</w:t>
            </w:r>
          </w:p>
        </w:tc>
        <w:tc>
          <w:tcPr>
            <w:tcW w:w="6378" w:type="dxa"/>
            <w:tcBorders>
              <w:left w:val="single" w:sz="12" w:space="0" w:color="auto"/>
            </w:tcBorders>
          </w:tcPr>
          <w:p w:rsidR="008D31FD" w:rsidRPr="008B0EEC" w:rsidRDefault="008D31FD" w:rsidP="00213477">
            <w:pPr>
              <w:rPr>
                <w:sz w:val="24"/>
                <w:szCs w:val="24"/>
              </w:rPr>
            </w:pPr>
            <w:r w:rsidRPr="008B0EEC">
              <w:rPr>
                <w:sz w:val="24"/>
                <w:szCs w:val="24"/>
              </w:rPr>
              <w:t>Standing Order 23(3)</w:t>
            </w:r>
            <w:r w:rsidRPr="008B0EEC">
              <w:rPr>
                <w:noProof/>
                <w:sz w:val="24"/>
                <w:szCs w:val="24"/>
              </w:rPr>
              <w:t>(a)</w:t>
            </w:r>
          </w:p>
        </w:tc>
      </w:tr>
      <w:tr w:rsidR="008D31FD" w:rsidRPr="008B0EEC" w:rsidTr="00213477">
        <w:tc>
          <w:tcPr>
            <w:tcW w:w="2694" w:type="dxa"/>
            <w:tcBorders>
              <w:bottom w:val="single" w:sz="12" w:space="0" w:color="auto"/>
              <w:right w:val="single" w:sz="12" w:space="0" w:color="auto"/>
            </w:tcBorders>
          </w:tcPr>
          <w:p w:rsidR="008D31FD" w:rsidRPr="00556E96" w:rsidRDefault="008D31FD" w:rsidP="00213477">
            <w:pPr>
              <w:rPr>
                <w:b/>
                <w:sz w:val="24"/>
                <w:szCs w:val="24"/>
              </w:rPr>
            </w:pPr>
            <w:r w:rsidRPr="00556E96">
              <w:rPr>
                <w:b/>
                <w:sz w:val="24"/>
                <w:szCs w:val="24"/>
              </w:rPr>
              <w:t>Previously reported in</w:t>
            </w:r>
          </w:p>
        </w:tc>
        <w:tc>
          <w:tcPr>
            <w:tcW w:w="6378" w:type="dxa"/>
            <w:tcBorders>
              <w:left w:val="single" w:sz="12" w:space="0" w:color="auto"/>
              <w:bottom w:val="single" w:sz="12" w:space="0" w:color="auto"/>
            </w:tcBorders>
          </w:tcPr>
          <w:p w:rsidR="008D31FD" w:rsidRPr="00556E96" w:rsidRDefault="008D31FD" w:rsidP="00213477">
            <w:pPr>
              <w:rPr>
                <w:sz w:val="24"/>
                <w:szCs w:val="24"/>
              </w:rPr>
            </w:pPr>
            <w:r w:rsidRPr="00556E96">
              <w:rPr>
                <w:i/>
                <w:noProof/>
                <w:sz w:val="24"/>
                <w:szCs w:val="24"/>
              </w:rPr>
              <w:t>Delegated legislation monitor</w:t>
            </w:r>
            <w:r>
              <w:rPr>
                <w:noProof/>
                <w:sz w:val="24"/>
                <w:szCs w:val="24"/>
              </w:rPr>
              <w:t xml:space="preserve"> 10</w:t>
            </w:r>
            <w:r w:rsidRPr="00556E96">
              <w:rPr>
                <w:noProof/>
                <w:sz w:val="24"/>
                <w:szCs w:val="24"/>
              </w:rPr>
              <w:t xml:space="preserve"> of 2017</w:t>
            </w:r>
          </w:p>
        </w:tc>
      </w:tr>
    </w:tbl>
    <w:p w:rsidR="008D31FD" w:rsidRPr="008B0EEC" w:rsidRDefault="008D31FD" w:rsidP="008D31FD">
      <w:pPr>
        <w:spacing w:before="0" w:after="0"/>
        <w:rPr>
          <w:b/>
          <w:noProof/>
        </w:rPr>
      </w:pPr>
    </w:p>
    <w:p w:rsidR="008D31FD" w:rsidRPr="008B0EEC" w:rsidRDefault="008D31FD" w:rsidP="008D31FD">
      <w:pPr>
        <w:spacing w:after="0"/>
        <w:rPr>
          <w:b/>
        </w:rPr>
      </w:pPr>
      <w:r w:rsidRPr="008B0EEC">
        <w:rPr>
          <w:b/>
          <w:noProof/>
        </w:rPr>
        <w:t>Access to incorporated documents</w:t>
      </w:r>
    </w:p>
    <w:p w:rsidR="008D31FD" w:rsidRPr="00322850" w:rsidRDefault="008D31FD" w:rsidP="008D31FD">
      <w:pPr>
        <w:spacing w:after="0"/>
        <w:rPr>
          <w:b/>
        </w:rPr>
      </w:pPr>
      <w:r w:rsidRPr="00556E96">
        <w:rPr>
          <w:noProof/>
        </w:rPr>
        <w:t>The committee previously commented as follows:</w:t>
      </w:r>
    </w:p>
    <w:p w:rsidR="008D31FD" w:rsidRPr="008B0EEC" w:rsidRDefault="008D31FD" w:rsidP="008D31FD">
      <w:pPr>
        <w:rPr>
          <w:noProof/>
        </w:rPr>
      </w:pPr>
      <w:r w:rsidRPr="008B0EEC">
        <w:rPr>
          <w:noProof/>
        </w:rPr>
        <w:t xml:space="preserve">Paragraph 15J(2)(c) of the </w:t>
      </w:r>
      <w:r w:rsidRPr="008B0EEC">
        <w:rPr>
          <w:i/>
          <w:noProof/>
        </w:rPr>
        <w:t>Legislation Act 2003</w:t>
      </w:r>
      <w:r w:rsidRPr="008B0EEC">
        <w:rPr>
          <w:noProof/>
        </w:rPr>
        <w:t xml:space="preserve"> requires the explanatory statement (ES) for a legislative instrument that incorporates a document to contain a description of that document and indicate how it may be obtained. </w:t>
      </w:r>
    </w:p>
    <w:p w:rsidR="008D31FD" w:rsidRPr="008B0EEC" w:rsidRDefault="008D31FD" w:rsidP="008D31FD">
      <w:pPr>
        <w:rPr>
          <w:noProof/>
        </w:rPr>
      </w:pPr>
      <w:r w:rsidRPr="008B0EEC">
        <w:rPr>
          <w:noProof/>
        </w:rPr>
        <w:t xml:space="preserve">The committee's expectations where a legislative instrument incorporates a document generally accord with the approach of the Senate Standing Committee for the Scrutiny of Bills, which has consistently drawn attention to legislation that incorporates documents not readily and freely available (i.e. without cost) to the public. Generally, the committee will be concerned where incorporated documents are not publicly and freely available, because persons interested in or affected by the law may have inadequate access to its terms. </w:t>
      </w:r>
    </w:p>
    <w:p w:rsidR="008D31FD" w:rsidRPr="008B0EEC" w:rsidRDefault="008D31FD" w:rsidP="008D31FD">
      <w:pPr>
        <w:pStyle w:val="Level1"/>
        <w:numPr>
          <w:ilvl w:val="0"/>
          <w:numId w:val="0"/>
        </w:numPr>
        <w:rPr>
          <w:noProof/>
        </w:rPr>
      </w:pPr>
      <w:r w:rsidRPr="008B0EEC">
        <w:rPr>
          <w:noProof/>
        </w:rPr>
        <w:t xml:space="preserve">With reference to the above, the committee notes that item 8 of the regulations inserts new table item 23 into clause 1 of Schedule 3 to the Australian Radiation Protection and Nuclear Safety (Licence Charges) Regulations 2000, which incorporates Australian/New Zealand Standard AS/NZS IEC 60825.1:2014 </w:t>
      </w:r>
      <w:r w:rsidRPr="008B0EEC">
        <w:rPr>
          <w:i/>
          <w:noProof/>
        </w:rPr>
        <w:t>Safety of laser products, Part 1: Equipment classification and requirements</w:t>
      </w:r>
      <w:r w:rsidRPr="008B0EEC">
        <w:rPr>
          <w:noProof/>
        </w:rPr>
        <w:t>, published jointly by, or on behalf of, Standards Australia and Standards New Zealand, as existing on 1 July 2017.</w:t>
      </w:r>
    </w:p>
    <w:p w:rsidR="008D31FD" w:rsidRPr="008B0EEC" w:rsidRDefault="008D31FD" w:rsidP="008D31FD">
      <w:pPr>
        <w:pStyle w:val="Level1"/>
        <w:numPr>
          <w:ilvl w:val="0"/>
          <w:numId w:val="0"/>
        </w:numPr>
        <w:rPr>
          <w:noProof/>
        </w:rPr>
      </w:pPr>
      <w:r w:rsidRPr="008B0EEC">
        <w:rPr>
          <w:noProof/>
        </w:rPr>
        <w:t>The ES states:</w:t>
      </w:r>
    </w:p>
    <w:p w:rsidR="008D31FD" w:rsidRPr="008B0EEC" w:rsidRDefault="008D31FD" w:rsidP="008D31FD">
      <w:pPr>
        <w:pStyle w:val="Quote"/>
        <w:rPr>
          <w:noProof/>
        </w:rPr>
      </w:pPr>
      <w:r w:rsidRPr="008B0EEC">
        <w:rPr>
          <w:noProof/>
        </w:rPr>
        <w:t xml:space="preserve">Table item 23 refers to an Australian/New Zealand Standard on laser products that was published in 2011. The amendment updates the </w:t>
      </w:r>
      <w:r w:rsidRPr="008B0EEC">
        <w:rPr>
          <w:noProof/>
        </w:rPr>
        <w:lastRenderedPageBreak/>
        <w:t>reference to the most recent version of the Standard that was published in 2014 and adds information on the name of the publishers of the Standard, namely Standards Australia and Standards New Zealand, which is in line with current drafting conventions of the Office of Parliamentary Counsel. This Standard may be obtained from SAI Global (</w:t>
      </w:r>
      <w:hyperlink r:id="rId28" w:history="1">
        <w:r w:rsidRPr="008B0EEC">
          <w:rPr>
            <w:rStyle w:val="Hyperlink"/>
            <w:noProof/>
          </w:rPr>
          <w:t>www.saiglobal.com</w:t>
        </w:r>
      </w:hyperlink>
      <w:r w:rsidRPr="008B0EEC">
        <w:rPr>
          <w:noProof/>
        </w:rPr>
        <w:t>).</w:t>
      </w:r>
    </w:p>
    <w:p w:rsidR="008D31FD" w:rsidRPr="008B0EEC" w:rsidRDefault="008D31FD" w:rsidP="008D31FD">
      <w:pPr>
        <w:rPr>
          <w:noProof/>
        </w:rPr>
      </w:pPr>
      <w:r w:rsidRPr="008B0EEC">
        <w:rPr>
          <w:noProof/>
        </w:rPr>
        <w:t>While the ES states that this standard is available from the SAI global website, it does not provide further information as to where the standard incorporated into the regulations can be accessed for free. The committee understands the standard to be</w:t>
      </w:r>
      <w:r w:rsidR="00405249">
        <w:rPr>
          <w:noProof/>
        </w:rPr>
        <w:t xml:space="preserve"> only</w:t>
      </w:r>
      <w:r w:rsidRPr="008B0EEC">
        <w:rPr>
          <w:noProof/>
        </w:rPr>
        <w:t xml:space="preserve"> available for purchase from the SAI global website.</w:t>
      </w:r>
    </w:p>
    <w:p w:rsidR="008D31FD" w:rsidRPr="008B0EEC" w:rsidRDefault="008D31FD" w:rsidP="008D31FD">
      <w:pPr>
        <w:rPr>
          <w:rFonts w:asciiTheme="minorHAnsi" w:hAnsiTheme="minorHAnsi"/>
          <w:lang w:eastAsia="en-AU"/>
        </w:rPr>
      </w:pPr>
      <w:r w:rsidRPr="008B0EEC">
        <w:rPr>
          <w:rFonts w:asciiTheme="minorHAnsi" w:hAnsiTheme="minorHAnsi"/>
          <w:lang w:eastAsia="en-AU"/>
        </w:rPr>
        <w:t>The committee's expectations in this regard are set out in the guideline on incorporation of documents published on the committee's website.</w:t>
      </w:r>
      <w:r w:rsidRPr="008B0EEC">
        <w:rPr>
          <w:rStyle w:val="FootnoteReference"/>
          <w:rFonts w:asciiTheme="minorHAnsi" w:hAnsiTheme="minorHAnsi"/>
          <w:lang w:eastAsia="en-AU"/>
        </w:rPr>
        <w:footnoteReference w:id="39"/>
      </w:r>
      <w:r w:rsidRPr="008B0EEC">
        <w:rPr>
          <w:rFonts w:asciiTheme="minorHAnsi" w:hAnsiTheme="minorHAnsi"/>
          <w:lang w:eastAsia="en-AU"/>
        </w:rPr>
        <w:t xml:space="preserve"> </w:t>
      </w:r>
    </w:p>
    <w:p w:rsidR="008D31FD" w:rsidRPr="008D31FD" w:rsidRDefault="00405249" w:rsidP="008D31FD">
      <w:pPr>
        <w:rPr>
          <w:noProof/>
        </w:rPr>
      </w:pPr>
      <w:r>
        <w:rPr>
          <w:noProof/>
        </w:rPr>
        <w:t>The committee requested</w:t>
      </w:r>
      <w:r w:rsidR="008D31FD" w:rsidRPr="008D31FD">
        <w:rPr>
          <w:noProof/>
        </w:rPr>
        <w:t xml:space="preserve"> the advice of the minister in relation to the above.</w:t>
      </w:r>
    </w:p>
    <w:p w:rsidR="008D31FD" w:rsidRPr="00556E96" w:rsidRDefault="008D31FD" w:rsidP="008D31FD">
      <w:pPr>
        <w:tabs>
          <w:tab w:val="left" w:pos="2268"/>
        </w:tabs>
        <w:rPr>
          <w:b/>
          <w:noProof/>
        </w:rPr>
      </w:pPr>
      <w:r w:rsidRPr="00556E96">
        <w:rPr>
          <w:b/>
          <w:noProof/>
        </w:rPr>
        <w:t>Minister's response</w:t>
      </w:r>
    </w:p>
    <w:p w:rsidR="008D31FD" w:rsidRDefault="008D31FD" w:rsidP="008D31FD">
      <w:pPr>
        <w:rPr>
          <w:noProof/>
        </w:rPr>
      </w:pPr>
      <w:r w:rsidRPr="00556E96">
        <w:rPr>
          <w:noProof/>
        </w:rPr>
        <w:t xml:space="preserve">The </w:t>
      </w:r>
      <w:r>
        <w:rPr>
          <w:noProof/>
        </w:rPr>
        <w:t>Assistant Minister for Health</w:t>
      </w:r>
      <w:r w:rsidRPr="00F45435">
        <w:t xml:space="preserve"> </w:t>
      </w:r>
      <w:r w:rsidRPr="00556E96">
        <w:rPr>
          <w:noProof/>
        </w:rPr>
        <w:t>advised:</w:t>
      </w:r>
    </w:p>
    <w:p w:rsidR="008D31FD" w:rsidRDefault="008D31FD" w:rsidP="008D31FD">
      <w:pPr>
        <w:pStyle w:val="Quote"/>
        <w:rPr>
          <w:noProof/>
        </w:rPr>
      </w:pPr>
      <w:r>
        <w:rPr>
          <w:noProof/>
        </w:rPr>
        <w:t>The Australian/New Zealand Standards that have been incorporated by reference into the Australian Radiation Protection and Nuclear Safety Regulations 1999 are copyrighted to Standards Australia who has been designated by the Australian Government as the nation's peak non-government standards development organisation. Standards Australia have exclusively licenced SAI Global to publish standards developed by it. Other than accessing a copy, where available, at a public library, there is no alternative method to legally obtain Australian Standards free-of-charge.</w:t>
      </w:r>
    </w:p>
    <w:p w:rsidR="008D31FD" w:rsidRDefault="008D31FD" w:rsidP="008D31FD">
      <w:pPr>
        <w:pStyle w:val="Quote"/>
        <w:rPr>
          <w:noProof/>
        </w:rPr>
      </w:pPr>
      <w:r>
        <w:rPr>
          <w:noProof/>
        </w:rPr>
        <w:t>The Regulations only apply to the ARPANSA's licence holders and potential licence holders, which are other Commonwealth departments or agencies. Therefore, in this context, these standards would only affect a small number of technical and scientific personnel from Commonwealth entities and not the general public.</w:t>
      </w:r>
    </w:p>
    <w:p w:rsidR="008D31FD" w:rsidRPr="00301FAD" w:rsidRDefault="008D31FD" w:rsidP="008D31FD">
      <w:pPr>
        <w:pStyle w:val="Quote"/>
        <w:spacing w:before="240"/>
        <w:ind w:left="0"/>
        <w:rPr>
          <w:b/>
          <w:noProof/>
          <w:sz w:val="26"/>
        </w:rPr>
      </w:pPr>
      <w:r w:rsidRPr="00301FAD">
        <w:rPr>
          <w:b/>
          <w:noProof/>
          <w:sz w:val="26"/>
        </w:rPr>
        <w:t>Committee's response</w:t>
      </w:r>
    </w:p>
    <w:p w:rsidR="008D31FD" w:rsidRDefault="008D31FD" w:rsidP="008D31FD">
      <w:pPr>
        <w:rPr>
          <w:b/>
          <w:szCs w:val="26"/>
        </w:rPr>
      </w:pPr>
      <w:r w:rsidRPr="00556E96">
        <w:rPr>
          <w:b/>
          <w:szCs w:val="26"/>
        </w:rPr>
        <w:t>T</w:t>
      </w:r>
      <w:r>
        <w:rPr>
          <w:b/>
          <w:szCs w:val="26"/>
        </w:rPr>
        <w:t xml:space="preserve">he committee thanks </w:t>
      </w:r>
      <w:r w:rsidRPr="004A7CC9">
        <w:rPr>
          <w:b/>
          <w:szCs w:val="26"/>
        </w:rPr>
        <w:t xml:space="preserve">the </w:t>
      </w:r>
      <w:r w:rsidRPr="004A7CC9">
        <w:rPr>
          <w:b/>
          <w:noProof/>
        </w:rPr>
        <w:t>Assistant Minister</w:t>
      </w:r>
      <w:r w:rsidRPr="004A7CC9">
        <w:rPr>
          <w:b/>
          <w:szCs w:val="26"/>
        </w:rPr>
        <w:t xml:space="preserve"> f</w:t>
      </w:r>
      <w:r w:rsidRPr="00556E96">
        <w:rPr>
          <w:b/>
          <w:szCs w:val="26"/>
        </w:rPr>
        <w:t xml:space="preserve">or his response and has concluded its examination of the above. </w:t>
      </w:r>
    </w:p>
    <w:p w:rsidR="008D272A" w:rsidRDefault="008D272A" w:rsidP="008D272A">
      <w:pPr>
        <w:rPr>
          <w:szCs w:val="26"/>
        </w:rPr>
      </w:pPr>
      <w:r w:rsidRPr="00821E80">
        <w:rPr>
          <w:szCs w:val="26"/>
        </w:rPr>
        <w:t>The committee notes the minister's advice that</w:t>
      </w:r>
      <w:r>
        <w:rPr>
          <w:szCs w:val="26"/>
        </w:rPr>
        <w:t xml:space="preserve"> </w:t>
      </w:r>
      <w:r w:rsidRPr="003D63A0">
        <w:rPr>
          <w:szCs w:val="26"/>
        </w:rPr>
        <w:t>the</w:t>
      </w:r>
      <w:r>
        <w:rPr>
          <w:szCs w:val="26"/>
        </w:rPr>
        <w:t xml:space="preserve"> incorporated</w:t>
      </w:r>
      <w:r w:rsidRPr="003D63A0">
        <w:rPr>
          <w:szCs w:val="26"/>
        </w:rPr>
        <w:t xml:space="preserve"> standards would only affect a small number of technical and scientific personnel from Commonwealth entities and not the general public</w:t>
      </w:r>
      <w:r>
        <w:rPr>
          <w:szCs w:val="26"/>
        </w:rPr>
        <w:t xml:space="preserve">. </w:t>
      </w:r>
    </w:p>
    <w:p w:rsidR="00AB3DF0" w:rsidRDefault="008D272A" w:rsidP="00AB3DF0">
      <w:pPr>
        <w:rPr>
          <w:szCs w:val="26"/>
        </w:rPr>
      </w:pPr>
      <w:r>
        <w:rPr>
          <w:szCs w:val="26"/>
        </w:rPr>
        <w:t xml:space="preserve">However, the committee expects Commonwealth agencies to take appropriate steps to ensure that standards are freely available wherever possible, including as an </w:t>
      </w:r>
      <w:r>
        <w:rPr>
          <w:szCs w:val="26"/>
        </w:rPr>
        <w:lastRenderedPageBreak/>
        <w:t>alternative to a purchasable standard.</w:t>
      </w:r>
      <w:r w:rsidR="00AB3DF0">
        <w:rPr>
          <w:szCs w:val="26"/>
        </w:rPr>
        <w:t xml:space="preserve"> In addition to access for persons who are directly affected by a legislative instrument, the committee is interested in the broader issue of access for other parties who might be affected by, or are otherwise interested in, the law. </w:t>
      </w:r>
    </w:p>
    <w:p w:rsidR="008D272A" w:rsidRDefault="00AB3DF0" w:rsidP="008D272A">
      <w:pPr>
        <w:rPr>
          <w:szCs w:val="26"/>
        </w:rPr>
      </w:pPr>
      <w:r w:rsidRPr="00AB3DF0">
        <w:t>The committee's expectation, at a minimum, is that consideration be given by the department to any means by which the document is or may be made available to interested or affected persons. This may be, for example, by noting availability through specific public libraries, or by making the document available for viewing upon request to the department. Consideration of this principle and details of any means of access identified or established should be reflected in the ES to the instrument.</w:t>
      </w:r>
    </w:p>
    <w:p w:rsidR="008D272A" w:rsidRDefault="008D272A" w:rsidP="008D272A">
      <w:pPr>
        <w:rPr>
          <w:szCs w:val="26"/>
        </w:rPr>
      </w:pPr>
      <w:r w:rsidRPr="00821E80">
        <w:rPr>
          <w:szCs w:val="26"/>
        </w:rPr>
        <w:t>The issue of access to material incorporated into the law by reference to external documents, such as Australian and international standards, has been an issue of ongoing concern to Australian parliamentary scru</w:t>
      </w:r>
      <w:r>
        <w:rPr>
          <w:szCs w:val="26"/>
        </w:rPr>
        <w:t>tiny committees. Most recently,</w:t>
      </w:r>
      <w:r>
        <w:rPr>
          <w:szCs w:val="26"/>
        </w:rPr>
        <w:br/>
      </w:r>
      <w:r w:rsidRPr="00821E80">
        <w:rPr>
          <w:szCs w:val="26"/>
        </w:rPr>
        <w:t>the Joint Standing Committee on Delegated Legislation of the Western Australian Parliament published a detailed report on this issue.</w:t>
      </w:r>
      <w:r>
        <w:rPr>
          <w:rStyle w:val="FootnoteReference"/>
          <w:szCs w:val="26"/>
        </w:rPr>
        <w:footnoteReference w:id="40"/>
      </w:r>
      <w:r>
        <w:rPr>
          <w:szCs w:val="26"/>
        </w:rPr>
        <w:t xml:space="preserve"> </w:t>
      </w:r>
      <w:r w:rsidRPr="00821E80">
        <w:rPr>
          <w:szCs w:val="26"/>
        </w:rPr>
        <w:t>This</w:t>
      </w:r>
      <w:r w:rsidR="001C7078">
        <w:rPr>
          <w:szCs w:val="26"/>
        </w:rPr>
        <w:t xml:space="preserve"> report comprehensively outlined</w:t>
      </w:r>
      <w:r w:rsidRPr="00821E80">
        <w:rPr>
          <w:szCs w:val="26"/>
        </w:rPr>
        <w:t xml:space="preserve"> the significant scrutiny concerns associated with the incorporation of material by reference, particularly where the incorporated material is not freely available.</w:t>
      </w:r>
    </w:p>
    <w:p w:rsidR="008D272A" w:rsidRPr="00677DB9" w:rsidRDefault="008D272A" w:rsidP="008D272A">
      <w:pPr>
        <w:rPr>
          <w:szCs w:val="26"/>
        </w:rPr>
      </w:pPr>
      <w:r>
        <w:rPr>
          <w:szCs w:val="26"/>
        </w:rPr>
        <w:t xml:space="preserve">The committee remains concerned about the lack of free access to material incorporated into </w:t>
      </w:r>
      <w:r w:rsidRPr="003D63A0">
        <w:rPr>
          <w:szCs w:val="26"/>
        </w:rPr>
        <w:t>legislation generally</w:t>
      </w:r>
      <w:r>
        <w:rPr>
          <w:szCs w:val="26"/>
        </w:rPr>
        <w:t>, and will continue to monitor this issue.</w:t>
      </w:r>
    </w:p>
    <w:p w:rsidR="008A71E2" w:rsidRDefault="008A71E2">
      <w:pPr>
        <w:spacing w:before="0" w:after="0"/>
        <w:jc w:val="left"/>
        <w:rPr>
          <w:b/>
          <w:noProof/>
        </w:rPr>
      </w:pPr>
      <w:r>
        <w:rPr>
          <w:b/>
          <w:noProof/>
        </w:rPr>
        <w:br w:type="page"/>
      </w:r>
    </w:p>
    <w:tbl>
      <w:tblPr>
        <w:tblW w:w="0" w:type="auto"/>
        <w:tblInd w:w="108" w:type="dxa"/>
        <w:tblLook w:val="04A0" w:firstRow="1" w:lastRow="0" w:firstColumn="1" w:lastColumn="0" w:noHBand="0" w:noVBand="1"/>
      </w:tblPr>
      <w:tblGrid>
        <w:gridCol w:w="2694"/>
        <w:gridCol w:w="6378"/>
      </w:tblGrid>
      <w:tr w:rsidR="00ED67B3" w:rsidRPr="00322850" w:rsidTr="00841609">
        <w:tc>
          <w:tcPr>
            <w:tcW w:w="2694" w:type="dxa"/>
            <w:tcBorders>
              <w:top w:val="single" w:sz="12" w:space="0" w:color="auto"/>
              <w:right w:val="single" w:sz="12" w:space="0" w:color="auto"/>
            </w:tcBorders>
          </w:tcPr>
          <w:p w:rsidR="00ED67B3" w:rsidRPr="00322850" w:rsidRDefault="00ED67B3" w:rsidP="00841609">
            <w:pPr>
              <w:rPr>
                <w:b/>
                <w:sz w:val="24"/>
                <w:szCs w:val="24"/>
              </w:rPr>
            </w:pPr>
            <w:r w:rsidRPr="00322850">
              <w:rPr>
                <w:b/>
                <w:sz w:val="24"/>
                <w:szCs w:val="24"/>
              </w:rPr>
              <w:lastRenderedPageBreak/>
              <w:t>Instrument</w:t>
            </w:r>
          </w:p>
        </w:tc>
        <w:tc>
          <w:tcPr>
            <w:tcW w:w="6378" w:type="dxa"/>
            <w:tcBorders>
              <w:top w:val="single" w:sz="12" w:space="0" w:color="auto"/>
              <w:left w:val="single" w:sz="12" w:space="0" w:color="auto"/>
            </w:tcBorders>
          </w:tcPr>
          <w:p w:rsidR="00ED67B3" w:rsidRPr="00322850" w:rsidRDefault="00ED67B3" w:rsidP="00841609">
            <w:pPr>
              <w:pStyle w:val="Heading3"/>
              <w:rPr>
                <w:sz w:val="24"/>
                <w:szCs w:val="24"/>
              </w:rPr>
            </w:pPr>
            <w:r w:rsidRPr="0012389A">
              <w:rPr>
                <w:noProof/>
                <w:sz w:val="24"/>
                <w:szCs w:val="24"/>
              </w:rPr>
              <w:t>Banking (prudential standard) determination No. 2 of 2017 - Prudential Standard APS 001 – Definitions [F2017L00661]</w:t>
            </w:r>
          </w:p>
        </w:tc>
      </w:tr>
      <w:tr w:rsidR="00ED67B3" w:rsidRPr="00322850" w:rsidTr="00841609">
        <w:tc>
          <w:tcPr>
            <w:tcW w:w="2694" w:type="dxa"/>
            <w:tcBorders>
              <w:right w:val="single" w:sz="12" w:space="0" w:color="auto"/>
            </w:tcBorders>
          </w:tcPr>
          <w:p w:rsidR="00ED67B3" w:rsidRPr="00322850" w:rsidRDefault="00ED67B3" w:rsidP="00841609">
            <w:pPr>
              <w:rPr>
                <w:b/>
                <w:sz w:val="24"/>
                <w:szCs w:val="24"/>
              </w:rPr>
            </w:pPr>
            <w:r w:rsidRPr="00322850">
              <w:rPr>
                <w:b/>
                <w:sz w:val="24"/>
                <w:szCs w:val="24"/>
              </w:rPr>
              <w:t>Purpose</w:t>
            </w:r>
          </w:p>
        </w:tc>
        <w:tc>
          <w:tcPr>
            <w:tcW w:w="6378" w:type="dxa"/>
            <w:tcBorders>
              <w:left w:val="single" w:sz="12" w:space="0" w:color="auto"/>
            </w:tcBorders>
          </w:tcPr>
          <w:p w:rsidR="00ED67B3" w:rsidRPr="00322850" w:rsidRDefault="00ED67B3" w:rsidP="00841609">
            <w:pPr>
              <w:rPr>
                <w:sz w:val="24"/>
                <w:szCs w:val="24"/>
              </w:rPr>
            </w:pPr>
            <w:r>
              <w:rPr>
                <w:noProof/>
                <w:sz w:val="24"/>
                <w:szCs w:val="24"/>
              </w:rPr>
              <w:t>I</w:t>
            </w:r>
            <w:r w:rsidRPr="003E346E">
              <w:rPr>
                <w:noProof/>
                <w:sz w:val="24"/>
                <w:szCs w:val="24"/>
              </w:rPr>
              <w:t>ncorporates definitions used in prudential standar</w:t>
            </w:r>
            <w:r>
              <w:rPr>
                <w:noProof/>
                <w:sz w:val="24"/>
                <w:szCs w:val="24"/>
              </w:rPr>
              <w:t xml:space="preserve">ds relating to </w:t>
            </w:r>
            <w:r w:rsidRPr="00B2067C">
              <w:rPr>
                <w:noProof/>
                <w:sz w:val="24"/>
                <w:szCs w:val="24"/>
              </w:rPr>
              <w:t>authorised deposit-taking institutions</w:t>
            </w:r>
          </w:p>
        </w:tc>
      </w:tr>
      <w:tr w:rsidR="00ED67B3" w:rsidRPr="00322850" w:rsidTr="00841609">
        <w:tc>
          <w:tcPr>
            <w:tcW w:w="2694" w:type="dxa"/>
            <w:tcBorders>
              <w:right w:val="single" w:sz="12" w:space="0" w:color="auto"/>
            </w:tcBorders>
          </w:tcPr>
          <w:p w:rsidR="00ED67B3" w:rsidRPr="00322850" w:rsidRDefault="00ED67B3" w:rsidP="00841609">
            <w:pPr>
              <w:rPr>
                <w:b/>
                <w:sz w:val="24"/>
                <w:szCs w:val="24"/>
              </w:rPr>
            </w:pPr>
            <w:r w:rsidRPr="00322850">
              <w:rPr>
                <w:b/>
                <w:sz w:val="24"/>
                <w:szCs w:val="24"/>
              </w:rPr>
              <w:t>Authorising legislation</w:t>
            </w:r>
          </w:p>
        </w:tc>
        <w:tc>
          <w:tcPr>
            <w:tcW w:w="6378" w:type="dxa"/>
            <w:tcBorders>
              <w:left w:val="single" w:sz="12" w:space="0" w:color="auto"/>
            </w:tcBorders>
          </w:tcPr>
          <w:p w:rsidR="00ED67B3" w:rsidRPr="00322850" w:rsidRDefault="00ED67B3" w:rsidP="00841609">
            <w:pPr>
              <w:rPr>
                <w:i/>
                <w:sz w:val="24"/>
                <w:szCs w:val="24"/>
              </w:rPr>
            </w:pPr>
            <w:r w:rsidRPr="0012389A">
              <w:rPr>
                <w:i/>
                <w:noProof/>
                <w:sz w:val="24"/>
                <w:szCs w:val="24"/>
              </w:rPr>
              <w:t>Banking Act 1959</w:t>
            </w:r>
          </w:p>
        </w:tc>
      </w:tr>
      <w:tr w:rsidR="00ED67B3" w:rsidRPr="00322850" w:rsidTr="00841609">
        <w:tc>
          <w:tcPr>
            <w:tcW w:w="2694" w:type="dxa"/>
            <w:tcBorders>
              <w:right w:val="single" w:sz="12" w:space="0" w:color="auto"/>
            </w:tcBorders>
          </w:tcPr>
          <w:p w:rsidR="00ED67B3" w:rsidRPr="00322850" w:rsidRDefault="00ED67B3" w:rsidP="00841609">
            <w:pPr>
              <w:rPr>
                <w:b/>
                <w:sz w:val="24"/>
                <w:szCs w:val="24"/>
              </w:rPr>
            </w:pPr>
            <w:r w:rsidRPr="00322850">
              <w:rPr>
                <w:b/>
                <w:sz w:val="24"/>
                <w:szCs w:val="24"/>
              </w:rPr>
              <w:t>Department</w:t>
            </w:r>
          </w:p>
        </w:tc>
        <w:tc>
          <w:tcPr>
            <w:tcW w:w="6378" w:type="dxa"/>
            <w:tcBorders>
              <w:left w:val="single" w:sz="12" w:space="0" w:color="auto"/>
            </w:tcBorders>
          </w:tcPr>
          <w:p w:rsidR="00ED67B3" w:rsidRPr="00322850" w:rsidRDefault="00ED67B3" w:rsidP="00841609">
            <w:pPr>
              <w:rPr>
                <w:sz w:val="24"/>
                <w:szCs w:val="24"/>
              </w:rPr>
            </w:pPr>
            <w:r w:rsidRPr="0012389A">
              <w:rPr>
                <w:noProof/>
                <w:sz w:val="24"/>
                <w:szCs w:val="24"/>
              </w:rPr>
              <w:t>Treasury</w:t>
            </w:r>
          </w:p>
        </w:tc>
      </w:tr>
      <w:tr w:rsidR="00ED67B3" w:rsidRPr="00322850" w:rsidTr="00841609">
        <w:tc>
          <w:tcPr>
            <w:tcW w:w="2694" w:type="dxa"/>
            <w:tcBorders>
              <w:right w:val="single" w:sz="12" w:space="0" w:color="auto"/>
            </w:tcBorders>
          </w:tcPr>
          <w:p w:rsidR="00ED67B3" w:rsidRPr="00322850" w:rsidRDefault="00ED67B3" w:rsidP="00841609">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ED67B3" w:rsidRPr="00322850" w:rsidRDefault="00ED67B3" w:rsidP="00841609">
            <w:pPr>
              <w:rPr>
                <w:sz w:val="24"/>
                <w:szCs w:val="24"/>
              </w:rPr>
            </w:pPr>
            <w:r>
              <w:rPr>
                <w:sz w:val="24"/>
                <w:szCs w:val="24"/>
              </w:rPr>
              <w:t xml:space="preserve">15 sitting days after tabling (tabled Senate </w:t>
            </w:r>
            <w:r w:rsidRPr="0012389A">
              <w:rPr>
                <w:noProof/>
                <w:sz w:val="24"/>
                <w:szCs w:val="24"/>
              </w:rPr>
              <w:t>19 June</w:t>
            </w:r>
            <w:r>
              <w:rPr>
                <w:sz w:val="24"/>
                <w:szCs w:val="24"/>
              </w:rPr>
              <w:t xml:space="preserve"> 2017)</w:t>
            </w:r>
            <w:r>
              <w:rPr>
                <w:sz w:val="24"/>
                <w:szCs w:val="24"/>
              </w:rPr>
              <w:br/>
              <w:t xml:space="preserve">Notice of motion to disallow </w:t>
            </w:r>
            <w:r w:rsidRPr="00ED2F28">
              <w:rPr>
                <w:sz w:val="24"/>
                <w:szCs w:val="24"/>
              </w:rPr>
              <w:t xml:space="preserve">currently </w:t>
            </w:r>
            <w:r>
              <w:rPr>
                <w:sz w:val="24"/>
                <w:szCs w:val="24"/>
              </w:rPr>
              <w:t>must be given by</w:t>
            </w:r>
            <w:r>
              <w:rPr>
                <w:sz w:val="24"/>
                <w:szCs w:val="24"/>
              </w:rPr>
              <w:br/>
            </w:r>
            <w:r w:rsidRPr="0012389A">
              <w:rPr>
                <w:noProof/>
                <w:sz w:val="24"/>
                <w:szCs w:val="24"/>
              </w:rPr>
              <w:t>11 September</w:t>
            </w:r>
            <w:r>
              <w:rPr>
                <w:sz w:val="24"/>
                <w:szCs w:val="24"/>
              </w:rPr>
              <w:t xml:space="preserve"> 2017</w:t>
            </w:r>
          </w:p>
        </w:tc>
      </w:tr>
      <w:tr w:rsidR="00ED67B3" w:rsidRPr="00322850" w:rsidTr="00ED67B3">
        <w:tc>
          <w:tcPr>
            <w:tcW w:w="2694" w:type="dxa"/>
            <w:tcBorders>
              <w:right w:val="single" w:sz="12" w:space="0" w:color="auto"/>
            </w:tcBorders>
          </w:tcPr>
          <w:p w:rsidR="00ED67B3" w:rsidRPr="00322850" w:rsidRDefault="00ED67B3" w:rsidP="00841609">
            <w:pPr>
              <w:rPr>
                <w:b/>
                <w:sz w:val="24"/>
                <w:szCs w:val="24"/>
              </w:rPr>
            </w:pPr>
            <w:r w:rsidRPr="00322850">
              <w:rPr>
                <w:b/>
                <w:sz w:val="24"/>
                <w:szCs w:val="24"/>
              </w:rPr>
              <w:t>Scrutiny principle</w:t>
            </w:r>
          </w:p>
        </w:tc>
        <w:tc>
          <w:tcPr>
            <w:tcW w:w="6378" w:type="dxa"/>
            <w:tcBorders>
              <w:left w:val="single" w:sz="12" w:space="0" w:color="auto"/>
            </w:tcBorders>
          </w:tcPr>
          <w:p w:rsidR="00ED67B3" w:rsidRPr="00322850" w:rsidRDefault="00ED67B3" w:rsidP="00841609">
            <w:pPr>
              <w:rPr>
                <w:sz w:val="24"/>
                <w:szCs w:val="24"/>
              </w:rPr>
            </w:pPr>
            <w:r w:rsidRPr="00322850">
              <w:rPr>
                <w:sz w:val="24"/>
                <w:szCs w:val="24"/>
              </w:rPr>
              <w:t>Standing Order 23(3)</w:t>
            </w:r>
            <w:r w:rsidRPr="0012389A">
              <w:rPr>
                <w:noProof/>
                <w:sz w:val="24"/>
                <w:szCs w:val="24"/>
              </w:rPr>
              <w:t>(a)</w:t>
            </w:r>
          </w:p>
        </w:tc>
      </w:tr>
      <w:tr w:rsidR="00ED67B3" w:rsidRPr="00322850" w:rsidTr="00841609">
        <w:tc>
          <w:tcPr>
            <w:tcW w:w="2694" w:type="dxa"/>
            <w:tcBorders>
              <w:bottom w:val="single" w:sz="12" w:space="0" w:color="auto"/>
              <w:right w:val="single" w:sz="12" w:space="0" w:color="auto"/>
            </w:tcBorders>
          </w:tcPr>
          <w:p w:rsidR="00ED67B3" w:rsidRPr="00556E96" w:rsidRDefault="00ED67B3" w:rsidP="00841609">
            <w:pPr>
              <w:rPr>
                <w:b/>
                <w:sz w:val="24"/>
                <w:szCs w:val="24"/>
              </w:rPr>
            </w:pPr>
            <w:r w:rsidRPr="00556E96">
              <w:rPr>
                <w:b/>
                <w:sz w:val="24"/>
                <w:szCs w:val="24"/>
              </w:rPr>
              <w:t>Previously reported in</w:t>
            </w:r>
          </w:p>
        </w:tc>
        <w:tc>
          <w:tcPr>
            <w:tcW w:w="6378" w:type="dxa"/>
            <w:tcBorders>
              <w:left w:val="single" w:sz="12" w:space="0" w:color="auto"/>
              <w:bottom w:val="single" w:sz="12" w:space="0" w:color="auto"/>
            </w:tcBorders>
          </w:tcPr>
          <w:p w:rsidR="00ED67B3" w:rsidRPr="00556E96" w:rsidRDefault="00ED67B3" w:rsidP="00841609">
            <w:pPr>
              <w:rPr>
                <w:sz w:val="24"/>
                <w:szCs w:val="24"/>
              </w:rPr>
            </w:pPr>
            <w:r w:rsidRPr="00556E96">
              <w:rPr>
                <w:i/>
                <w:noProof/>
                <w:sz w:val="24"/>
                <w:szCs w:val="24"/>
              </w:rPr>
              <w:t>Delegated legislation monitor</w:t>
            </w:r>
            <w:r>
              <w:rPr>
                <w:noProof/>
                <w:sz w:val="24"/>
                <w:szCs w:val="24"/>
              </w:rPr>
              <w:t xml:space="preserve"> 8</w:t>
            </w:r>
            <w:r w:rsidRPr="00556E96">
              <w:rPr>
                <w:noProof/>
                <w:sz w:val="24"/>
                <w:szCs w:val="24"/>
              </w:rPr>
              <w:t xml:space="preserve"> of 2017</w:t>
            </w:r>
          </w:p>
        </w:tc>
      </w:tr>
    </w:tbl>
    <w:p w:rsidR="00ED67B3" w:rsidRPr="00322850" w:rsidRDefault="00ED67B3" w:rsidP="00ED67B3">
      <w:pPr>
        <w:spacing w:before="0" w:after="0"/>
      </w:pPr>
    </w:p>
    <w:p w:rsidR="00ED67B3" w:rsidRPr="0012389A" w:rsidRDefault="00ED67B3" w:rsidP="00ED67B3">
      <w:pPr>
        <w:rPr>
          <w:b/>
          <w:noProof/>
        </w:rPr>
      </w:pPr>
      <w:r w:rsidRPr="0012389A">
        <w:rPr>
          <w:b/>
          <w:noProof/>
        </w:rPr>
        <w:t xml:space="preserve">Access to </w:t>
      </w:r>
      <w:r w:rsidRPr="00BB748A">
        <w:rPr>
          <w:b/>
          <w:noProof/>
        </w:rPr>
        <w:t>incorporated</w:t>
      </w:r>
      <w:r w:rsidRPr="0012389A">
        <w:rPr>
          <w:b/>
          <w:noProof/>
        </w:rPr>
        <w:t xml:space="preserve"> documents</w:t>
      </w:r>
    </w:p>
    <w:p w:rsidR="00ED67B3" w:rsidRPr="00322850" w:rsidRDefault="00ED67B3" w:rsidP="00ED67B3">
      <w:pPr>
        <w:spacing w:after="0"/>
        <w:rPr>
          <w:b/>
        </w:rPr>
      </w:pPr>
      <w:r w:rsidRPr="00556E96">
        <w:rPr>
          <w:noProof/>
        </w:rPr>
        <w:t>The committee previously commented as follows:</w:t>
      </w:r>
    </w:p>
    <w:p w:rsidR="00ED67B3" w:rsidRPr="004B3FB9" w:rsidRDefault="00ED67B3" w:rsidP="00ED67B3">
      <w:pPr>
        <w:rPr>
          <w:rFonts w:asciiTheme="minorHAnsi" w:hAnsiTheme="minorHAnsi"/>
          <w:noProof/>
          <w:lang w:eastAsia="en-AU"/>
        </w:rPr>
      </w:pPr>
      <w:r w:rsidRPr="004B3FB9">
        <w:rPr>
          <w:rFonts w:asciiTheme="minorHAnsi" w:hAnsiTheme="minorHAnsi"/>
          <w:noProof/>
          <w:lang w:eastAsia="en-AU"/>
        </w:rPr>
        <w:t xml:space="preserve">Paragraph 15J(2)(c) of the </w:t>
      </w:r>
      <w:r w:rsidRPr="004B3FB9">
        <w:rPr>
          <w:rFonts w:asciiTheme="minorHAnsi" w:hAnsiTheme="minorHAnsi"/>
          <w:i/>
          <w:noProof/>
          <w:lang w:eastAsia="en-AU"/>
        </w:rPr>
        <w:t>Legislation Act 2003</w:t>
      </w:r>
      <w:r>
        <w:rPr>
          <w:rFonts w:asciiTheme="minorHAnsi" w:hAnsiTheme="minorHAnsi"/>
          <w:noProof/>
          <w:lang w:eastAsia="en-AU"/>
        </w:rPr>
        <w:t xml:space="preserve"> req</w:t>
      </w:r>
      <w:r w:rsidRPr="007211EF">
        <w:rPr>
          <w:rFonts w:asciiTheme="minorHAnsi" w:hAnsiTheme="minorHAnsi"/>
          <w:noProof/>
          <w:lang w:eastAsia="en-AU"/>
        </w:rPr>
        <w:t>uires the ES fo</w:t>
      </w:r>
      <w:r w:rsidRPr="004B3FB9">
        <w:rPr>
          <w:rFonts w:asciiTheme="minorHAnsi" w:hAnsiTheme="minorHAnsi"/>
          <w:noProof/>
          <w:lang w:eastAsia="en-AU"/>
        </w:rPr>
        <w:t xml:space="preserve">r a legislative instrument that incorporates a document to contain a description of that document and indicate how it may be obtained. </w:t>
      </w:r>
    </w:p>
    <w:p w:rsidR="00ED67B3" w:rsidRPr="004B3FB9" w:rsidRDefault="00ED67B3" w:rsidP="00ED67B3">
      <w:pPr>
        <w:rPr>
          <w:rFonts w:asciiTheme="minorHAnsi" w:hAnsiTheme="minorHAnsi"/>
          <w:noProof/>
          <w:lang w:eastAsia="en-AU"/>
        </w:rPr>
      </w:pPr>
      <w:r w:rsidRPr="004B3FB9">
        <w:rPr>
          <w:rFonts w:asciiTheme="minorHAnsi" w:hAnsiTheme="minorHAnsi"/>
          <w:noProof/>
          <w:lang w:eastAsia="en-AU"/>
        </w:rPr>
        <w:t>The committee's expectations where a legislative instrument incorporates a document generally accord with the approach of the Senate Standing Committee for the Scrutiny of Bills, which has consistently drawn attention to legislation that incorporates documents not readily and freely available (i.e. without cost) to the public. Generally, the committee will be concerned where incorporated documents are not publicly and freely available, because perso</w:t>
      </w:r>
      <w:r>
        <w:rPr>
          <w:rFonts w:asciiTheme="minorHAnsi" w:hAnsiTheme="minorHAnsi"/>
          <w:noProof/>
          <w:lang w:eastAsia="en-AU"/>
        </w:rPr>
        <w:t>ns interested in or affected by</w:t>
      </w:r>
      <w:r>
        <w:rPr>
          <w:rFonts w:asciiTheme="minorHAnsi" w:hAnsiTheme="minorHAnsi"/>
          <w:noProof/>
          <w:lang w:eastAsia="en-AU"/>
        </w:rPr>
        <w:br/>
      </w:r>
      <w:r w:rsidRPr="004B3FB9">
        <w:rPr>
          <w:rFonts w:asciiTheme="minorHAnsi" w:hAnsiTheme="minorHAnsi"/>
          <w:noProof/>
          <w:lang w:eastAsia="en-AU"/>
        </w:rPr>
        <w:t xml:space="preserve">the law may have </w:t>
      </w:r>
      <w:r w:rsidR="001C7078">
        <w:rPr>
          <w:rFonts w:asciiTheme="minorHAnsi" w:hAnsiTheme="minorHAnsi"/>
          <w:noProof/>
          <w:lang w:eastAsia="en-AU"/>
        </w:rPr>
        <w:t>inadequate access to its terms.</w:t>
      </w:r>
    </w:p>
    <w:p w:rsidR="00ED67B3" w:rsidRPr="00013BD1" w:rsidRDefault="00ED67B3" w:rsidP="00ED67B3">
      <w:pPr>
        <w:rPr>
          <w:noProof/>
        </w:rPr>
      </w:pPr>
      <w:r w:rsidRPr="004B3FB9">
        <w:rPr>
          <w:rFonts w:asciiTheme="minorHAnsi" w:hAnsiTheme="minorHAnsi"/>
          <w:noProof/>
          <w:lang w:eastAsia="en-AU"/>
        </w:rPr>
        <w:t>With reference to the above,</w:t>
      </w:r>
      <w:r>
        <w:rPr>
          <w:rFonts w:asciiTheme="minorHAnsi" w:hAnsiTheme="minorHAnsi"/>
          <w:noProof/>
          <w:lang w:eastAsia="en-AU"/>
        </w:rPr>
        <w:t xml:space="preserve"> </w:t>
      </w:r>
      <w:r>
        <w:rPr>
          <w:noProof/>
        </w:rPr>
        <w:t>t</w:t>
      </w:r>
      <w:r w:rsidRPr="00013BD1">
        <w:rPr>
          <w:noProof/>
        </w:rPr>
        <w:t>he</w:t>
      </w:r>
      <w:r>
        <w:rPr>
          <w:noProof/>
        </w:rPr>
        <w:t xml:space="preserve"> committee notes that the</w:t>
      </w:r>
      <w:r w:rsidRPr="00013BD1">
        <w:rPr>
          <w:noProof/>
        </w:rPr>
        <w:t xml:space="preserve"> definitions of</w:t>
      </w:r>
      <w:r w:rsidRPr="00A10C70">
        <w:rPr>
          <w:noProof/>
        </w:rPr>
        <w:t xml:space="preserve"> </w:t>
      </w:r>
      <w:r>
        <w:rPr>
          <w:noProof/>
        </w:rPr>
        <w:t>'</w:t>
      </w:r>
      <w:r w:rsidRPr="00A10C70">
        <w:rPr>
          <w:noProof/>
        </w:rPr>
        <w:t>Limited assurance</w:t>
      </w:r>
      <w:r>
        <w:rPr>
          <w:noProof/>
        </w:rPr>
        <w:t>'</w:t>
      </w:r>
      <w:r w:rsidRPr="00013BD1">
        <w:rPr>
          <w:noProof/>
        </w:rPr>
        <w:t xml:space="preserve"> and</w:t>
      </w:r>
      <w:r>
        <w:rPr>
          <w:noProof/>
        </w:rPr>
        <w:t xml:space="preserve"> '</w:t>
      </w:r>
      <w:r w:rsidRPr="00A10C70">
        <w:rPr>
          <w:noProof/>
        </w:rPr>
        <w:t>Reasonable assurance</w:t>
      </w:r>
      <w:r>
        <w:rPr>
          <w:noProof/>
        </w:rPr>
        <w:t>'</w:t>
      </w:r>
      <w:r w:rsidRPr="00BB7B23">
        <w:rPr>
          <w:noProof/>
        </w:rPr>
        <w:t xml:space="preserve"> in section 5 of t</w:t>
      </w:r>
      <w:r>
        <w:rPr>
          <w:noProof/>
        </w:rPr>
        <w:t xml:space="preserve">he instrument </w:t>
      </w:r>
      <w:r w:rsidRPr="00013BD1">
        <w:rPr>
          <w:noProof/>
        </w:rPr>
        <w:t xml:space="preserve">incorporate the </w:t>
      </w:r>
      <w:r w:rsidRPr="003F7497">
        <w:rPr>
          <w:i/>
          <w:noProof/>
        </w:rPr>
        <w:t>Framework for Assurance Engagements</w:t>
      </w:r>
      <w:r w:rsidRPr="00013BD1">
        <w:rPr>
          <w:noProof/>
        </w:rPr>
        <w:t xml:space="preserve"> issued by the </w:t>
      </w:r>
      <w:r w:rsidRPr="00BB7B23">
        <w:rPr>
          <w:noProof/>
        </w:rPr>
        <w:t>Auditing and Assurance Standards Board (AUASB) from time to time. However, neither the instrument nor the ES provides a description</w:t>
      </w:r>
      <w:r w:rsidRPr="00013BD1">
        <w:rPr>
          <w:noProof/>
        </w:rPr>
        <w:t xml:space="preserve"> of this document or </w:t>
      </w:r>
      <w:r>
        <w:rPr>
          <w:noProof/>
        </w:rPr>
        <w:t xml:space="preserve">indicates </w:t>
      </w:r>
      <w:r w:rsidRPr="00013BD1">
        <w:rPr>
          <w:noProof/>
        </w:rPr>
        <w:t>where it can be freely accessed.</w:t>
      </w:r>
      <w:r>
        <w:rPr>
          <w:rStyle w:val="FootnoteReference"/>
          <w:noProof/>
        </w:rPr>
        <w:footnoteReference w:id="41"/>
      </w:r>
    </w:p>
    <w:p w:rsidR="00ED67B3" w:rsidRDefault="00ED67B3" w:rsidP="00ED67B3">
      <w:pPr>
        <w:rPr>
          <w:noProof/>
          <w:highlight w:val="yellow"/>
        </w:rPr>
      </w:pPr>
      <w:r w:rsidRPr="00C711A4">
        <w:rPr>
          <w:noProof/>
        </w:rPr>
        <w:lastRenderedPageBreak/>
        <w:t>While the committee does not interpret paragraph 15J(2)(c) as requiring a detailed description of an incorporated document and how it may be obtained, it considers that an ES that does not contain any description of</w:t>
      </w:r>
      <w:r>
        <w:rPr>
          <w:noProof/>
        </w:rPr>
        <w:t xml:space="preserve"> an incorporated document fails</w:t>
      </w:r>
      <w:r>
        <w:rPr>
          <w:noProof/>
        </w:rPr>
        <w:br/>
      </w:r>
      <w:r w:rsidRPr="00C711A4">
        <w:rPr>
          <w:noProof/>
        </w:rPr>
        <w:t xml:space="preserve">to satisfy the requirements of the </w:t>
      </w:r>
      <w:r w:rsidRPr="00C711A4">
        <w:rPr>
          <w:i/>
          <w:noProof/>
        </w:rPr>
        <w:t>Legislation Act 2003</w:t>
      </w:r>
      <w:r w:rsidRPr="00C711A4">
        <w:rPr>
          <w:noProof/>
        </w:rPr>
        <w:t>. However, in this case the committee notes that</w:t>
      </w:r>
      <w:r>
        <w:rPr>
          <w:noProof/>
        </w:rPr>
        <w:t xml:space="preserve"> the</w:t>
      </w:r>
      <w:r w:rsidRPr="00BA70B6">
        <w:rPr>
          <w:noProof/>
        </w:rPr>
        <w:t xml:space="preserve"> </w:t>
      </w:r>
      <w:r w:rsidRPr="003F7497">
        <w:rPr>
          <w:i/>
          <w:noProof/>
        </w:rPr>
        <w:t>Framework for Assurance Engagements</w:t>
      </w:r>
      <w:r w:rsidRPr="00C711A4">
        <w:rPr>
          <w:noProof/>
        </w:rPr>
        <w:t xml:space="preserve"> issued by the AUASB </w:t>
      </w:r>
      <w:r>
        <w:rPr>
          <w:noProof/>
        </w:rPr>
        <w:t>is</w:t>
      </w:r>
      <w:r w:rsidRPr="00C711A4">
        <w:rPr>
          <w:noProof/>
        </w:rPr>
        <w:t xml:space="preserve"> available for free online</w:t>
      </w:r>
      <w:r>
        <w:rPr>
          <w:noProof/>
        </w:rPr>
        <w:t>.</w:t>
      </w:r>
      <w:r>
        <w:rPr>
          <w:rStyle w:val="FootnoteReference"/>
          <w:noProof/>
        </w:rPr>
        <w:footnoteReference w:id="42"/>
      </w:r>
      <w:r w:rsidRPr="00C711A4">
        <w:rPr>
          <w:noProof/>
        </w:rPr>
        <w:t xml:space="preserve"> Where an incorporated document is available for free online, the committee considers that a best-practice approach is for the ES to an instrument to provide details of the website where the document can be accessed.</w:t>
      </w:r>
    </w:p>
    <w:p w:rsidR="00ED67B3" w:rsidRPr="0010765E" w:rsidRDefault="00ED67B3" w:rsidP="00ED67B3">
      <w:pPr>
        <w:rPr>
          <w:rFonts w:asciiTheme="minorHAnsi" w:hAnsiTheme="minorHAnsi"/>
          <w:lang w:eastAsia="en-AU"/>
        </w:rPr>
      </w:pPr>
      <w:r w:rsidRPr="00574CB6">
        <w:rPr>
          <w:rFonts w:asciiTheme="minorHAnsi" w:hAnsiTheme="minorHAnsi"/>
          <w:lang w:eastAsia="en-AU"/>
        </w:rPr>
        <w:t xml:space="preserve">The committee's expectations in this regard are set out in the guideline on incorporation </w:t>
      </w:r>
      <w:r>
        <w:rPr>
          <w:rFonts w:asciiTheme="minorHAnsi" w:hAnsiTheme="minorHAnsi"/>
          <w:lang w:eastAsia="en-AU"/>
        </w:rPr>
        <w:t>of documents published on the committee's website</w:t>
      </w:r>
      <w:r w:rsidRPr="00574CB6">
        <w:rPr>
          <w:rFonts w:asciiTheme="minorHAnsi" w:hAnsiTheme="minorHAnsi"/>
          <w:lang w:eastAsia="en-AU"/>
        </w:rPr>
        <w:t>.</w:t>
      </w:r>
      <w:r>
        <w:rPr>
          <w:rStyle w:val="FootnoteReference"/>
          <w:rFonts w:asciiTheme="minorHAnsi" w:hAnsiTheme="minorHAnsi"/>
          <w:lang w:eastAsia="en-AU"/>
        </w:rPr>
        <w:footnoteReference w:id="43"/>
      </w:r>
      <w:r w:rsidRPr="001B5C80">
        <w:rPr>
          <w:rFonts w:asciiTheme="minorHAnsi" w:hAnsiTheme="minorHAnsi"/>
          <w:lang w:eastAsia="en-AU"/>
        </w:rPr>
        <w:t xml:space="preserve"> </w:t>
      </w:r>
    </w:p>
    <w:p w:rsidR="00ED67B3" w:rsidRDefault="00ED67B3" w:rsidP="00ED67B3">
      <w:pPr>
        <w:rPr>
          <w:noProof/>
        </w:rPr>
      </w:pPr>
      <w:r w:rsidRPr="00ED67B3">
        <w:rPr>
          <w:noProof/>
        </w:rPr>
        <w:t xml:space="preserve">The committee </w:t>
      </w:r>
      <w:r w:rsidR="00CA1312" w:rsidRPr="00ED67B3">
        <w:rPr>
          <w:noProof/>
        </w:rPr>
        <w:t>request</w:t>
      </w:r>
      <w:r w:rsidR="00CA1312">
        <w:rPr>
          <w:noProof/>
        </w:rPr>
        <w:t>ed</w:t>
      </w:r>
      <w:r w:rsidR="00CA1312" w:rsidRPr="00ED67B3">
        <w:rPr>
          <w:noProof/>
        </w:rPr>
        <w:t xml:space="preserve"> </w:t>
      </w:r>
      <w:r w:rsidRPr="00ED67B3">
        <w:rPr>
          <w:noProof/>
        </w:rPr>
        <w:t>the advice of the minister in relation to the above.</w:t>
      </w:r>
    </w:p>
    <w:p w:rsidR="00F92443" w:rsidRPr="00556E96" w:rsidRDefault="00F92443" w:rsidP="00F92443">
      <w:pPr>
        <w:tabs>
          <w:tab w:val="left" w:pos="2268"/>
        </w:tabs>
        <w:rPr>
          <w:b/>
          <w:noProof/>
        </w:rPr>
      </w:pPr>
      <w:r w:rsidRPr="00556E96">
        <w:rPr>
          <w:b/>
          <w:noProof/>
        </w:rPr>
        <w:t>Minister's response</w:t>
      </w:r>
    </w:p>
    <w:p w:rsidR="00F92443" w:rsidRDefault="00F92443" w:rsidP="00F92443">
      <w:pPr>
        <w:rPr>
          <w:noProof/>
        </w:rPr>
      </w:pPr>
      <w:r w:rsidRPr="00556E96">
        <w:rPr>
          <w:noProof/>
        </w:rPr>
        <w:t xml:space="preserve">The </w:t>
      </w:r>
      <w:r>
        <w:rPr>
          <w:noProof/>
        </w:rPr>
        <w:t>Treasurer</w:t>
      </w:r>
      <w:r w:rsidRPr="00F45435">
        <w:t xml:space="preserve"> </w:t>
      </w:r>
      <w:r w:rsidRPr="00556E96">
        <w:rPr>
          <w:noProof/>
        </w:rPr>
        <w:t>advised:</w:t>
      </w:r>
    </w:p>
    <w:p w:rsidR="00F92443" w:rsidRDefault="00F92443" w:rsidP="00F92443">
      <w:pPr>
        <w:pStyle w:val="Quote"/>
        <w:rPr>
          <w:noProof/>
        </w:rPr>
      </w:pPr>
      <w:r>
        <w:rPr>
          <w:noProof/>
        </w:rPr>
        <w:t xml:space="preserve">I have raised the Committee's concern with the Australian Prudential Regulation Authority (APRA), which is responsible for the Instrument. APRA acknowledges that the ES to the Instrument does not comply with the </w:t>
      </w:r>
      <w:r w:rsidRPr="00F92443">
        <w:rPr>
          <w:i/>
          <w:noProof/>
        </w:rPr>
        <w:t>Legislation Act 2003</w:t>
      </w:r>
      <w:r>
        <w:rPr>
          <w:noProof/>
        </w:rPr>
        <w:t>, which requires the ES for a legislative instrument that incorporates a document to contain a description of that document and indicate how it could be accessed.</w:t>
      </w:r>
    </w:p>
    <w:p w:rsidR="00F92443" w:rsidRDefault="00F92443" w:rsidP="00F92443">
      <w:pPr>
        <w:pStyle w:val="Quote"/>
        <w:rPr>
          <w:noProof/>
        </w:rPr>
      </w:pPr>
      <w:r>
        <w:rPr>
          <w:noProof/>
        </w:rPr>
        <w:t>APRA notes the Committee has stated that where an incorporated document is available for free online, the Committee considers that a best practice approach is for the ES to provide details of the website where the document can be accessed.</w:t>
      </w:r>
    </w:p>
    <w:p w:rsidR="00ED67B3" w:rsidRDefault="00F92443" w:rsidP="00F92443">
      <w:pPr>
        <w:pStyle w:val="Quote"/>
        <w:rPr>
          <w:noProof/>
        </w:rPr>
      </w:pPr>
      <w:r>
        <w:rPr>
          <w:noProof/>
        </w:rPr>
        <w:t xml:space="preserve">Adopting the Committee's approach, APRA has agreed to lodge a replacement ES for inclusion on the Register of Legislative Instruments forthwith. That document will expand the description of the </w:t>
      </w:r>
      <w:r w:rsidRPr="00F92443">
        <w:rPr>
          <w:i/>
          <w:noProof/>
        </w:rPr>
        <w:t>Framework for Assurance Engagements</w:t>
      </w:r>
      <w:r>
        <w:rPr>
          <w:noProof/>
        </w:rPr>
        <w:t xml:space="preserve"> and include details of the website where that document can be accessed.</w:t>
      </w:r>
    </w:p>
    <w:p w:rsidR="00ED67B3" w:rsidRPr="00301FAD" w:rsidRDefault="00ED67B3" w:rsidP="00ED67B3">
      <w:pPr>
        <w:pStyle w:val="Quote"/>
        <w:spacing w:before="240"/>
        <w:ind w:left="0"/>
        <w:rPr>
          <w:b/>
          <w:noProof/>
          <w:sz w:val="26"/>
        </w:rPr>
      </w:pPr>
      <w:r w:rsidRPr="00301FAD">
        <w:rPr>
          <w:b/>
          <w:noProof/>
          <w:sz w:val="26"/>
        </w:rPr>
        <w:t>Committee's response</w:t>
      </w:r>
    </w:p>
    <w:p w:rsidR="00ED67B3" w:rsidRDefault="00ED67B3" w:rsidP="00ED67B3">
      <w:pPr>
        <w:rPr>
          <w:b/>
          <w:szCs w:val="26"/>
        </w:rPr>
      </w:pPr>
      <w:r w:rsidRPr="00556E96">
        <w:rPr>
          <w:b/>
          <w:szCs w:val="26"/>
        </w:rPr>
        <w:t>T</w:t>
      </w:r>
      <w:r>
        <w:rPr>
          <w:b/>
          <w:szCs w:val="26"/>
        </w:rPr>
        <w:t xml:space="preserve">he committee thanks </w:t>
      </w:r>
      <w:r w:rsidRPr="004A7CC9">
        <w:rPr>
          <w:b/>
          <w:szCs w:val="26"/>
        </w:rPr>
        <w:t xml:space="preserve">the </w:t>
      </w:r>
      <w:r>
        <w:rPr>
          <w:b/>
          <w:noProof/>
        </w:rPr>
        <w:t>Treasur</w:t>
      </w:r>
      <w:r w:rsidRPr="004A7CC9">
        <w:rPr>
          <w:b/>
          <w:noProof/>
        </w:rPr>
        <w:t>er</w:t>
      </w:r>
      <w:r w:rsidRPr="004A7CC9">
        <w:rPr>
          <w:b/>
          <w:szCs w:val="26"/>
        </w:rPr>
        <w:t xml:space="preserve"> f</w:t>
      </w:r>
      <w:r>
        <w:rPr>
          <w:b/>
          <w:szCs w:val="26"/>
        </w:rPr>
        <w:t>or his</w:t>
      </w:r>
      <w:r w:rsidRPr="00556E96">
        <w:rPr>
          <w:b/>
          <w:szCs w:val="26"/>
        </w:rPr>
        <w:t xml:space="preserve"> response and has concluded its examination of the above. </w:t>
      </w:r>
    </w:p>
    <w:p w:rsidR="00804C7B" w:rsidRPr="008A71E2" w:rsidRDefault="00F92443" w:rsidP="008A71E2">
      <w:pPr>
        <w:rPr>
          <w:noProof/>
        </w:rPr>
      </w:pPr>
      <w:r>
        <w:rPr>
          <w:noProof/>
        </w:rPr>
        <w:lastRenderedPageBreak/>
        <w:t xml:space="preserve">The committee notes the Treasurer's undertaking to register a replacement ES </w:t>
      </w:r>
      <w:r w:rsidR="00F66DFE">
        <w:rPr>
          <w:noProof/>
        </w:rPr>
        <w:t>on the Federal Register of Legislation,</w:t>
      </w:r>
      <w:r w:rsidR="00DC42CD">
        <w:rPr>
          <w:noProof/>
        </w:rPr>
        <w:t xml:space="preserve"> </w:t>
      </w:r>
      <w:r w:rsidR="00F66DFE">
        <w:rPr>
          <w:noProof/>
        </w:rPr>
        <w:t>contain</w:t>
      </w:r>
      <w:r w:rsidR="00DC42CD">
        <w:rPr>
          <w:noProof/>
        </w:rPr>
        <w:t>ing</w:t>
      </w:r>
      <w:r w:rsidR="00F66DFE">
        <w:rPr>
          <w:noProof/>
        </w:rPr>
        <w:t xml:space="preserve"> a decription of the incorporated document and indicating where it is freely available</w:t>
      </w:r>
      <w:r>
        <w:rPr>
          <w:noProof/>
        </w:rPr>
        <w:t>.</w:t>
      </w:r>
    </w:p>
    <w:p w:rsidR="008A71E2" w:rsidRDefault="008A71E2" w:rsidP="008A71E2">
      <w:pPr>
        <w:rPr>
          <w:b/>
          <w:noProof/>
        </w:rPr>
      </w:pPr>
    </w:p>
    <w:p w:rsidR="006C6921" w:rsidRDefault="006C6921" w:rsidP="008A71E2">
      <w:pPr>
        <w:rPr>
          <w:b/>
          <w:noProof/>
        </w:rPr>
      </w:pPr>
    </w:p>
    <w:tbl>
      <w:tblPr>
        <w:tblW w:w="0" w:type="auto"/>
        <w:tblInd w:w="108" w:type="dxa"/>
        <w:tblLook w:val="04A0" w:firstRow="1" w:lastRow="0" w:firstColumn="1" w:lastColumn="0" w:noHBand="0" w:noVBand="1"/>
      </w:tblPr>
      <w:tblGrid>
        <w:gridCol w:w="2694"/>
        <w:gridCol w:w="6378"/>
      </w:tblGrid>
      <w:tr w:rsidR="009A39A3" w:rsidRPr="00322850" w:rsidTr="00213477">
        <w:tc>
          <w:tcPr>
            <w:tcW w:w="2694" w:type="dxa"/>
            <w:tcBorders>
              <w:top w:val="single" w:sz="12" w:space="0" w:color="auto"/>
              <w:right w:val="single" w:sz="12" w:space="0" w:color="auto"/>
            </w:tcBorders>
          </w:tcPr>
          <w:p w:rsidR="009A39A3" w:rsidRPr="00322850" w:rsidRDefault="009A39A3" w:rsidP="00213477">
            <w:pPr>
              <w:rPr>
                <w:b/>
                <w:sz w:val="24"/>
                <w:szCs w:val="24"/>
              </w:rPr>
            </w:pPr>
            <w:r w:rsidRPr="00322850">
              <w:rPr>
                <w:b/>
                <w:sz w:val="24"/>
                <w:szCs w:val="24"/>
              </w:rPr>
              <w:t>Instrument</w:t>
            </w:r>
          </w:p>
        </w:tc>
        <w:tc>
          <w:tcPr>
            <w:tcW w:w="6378" w:type="dxa"/>
            <w:tcBorders>
              <w:top w:val="single" w:sz="12" w:space="0" w:color="auto"/>
              <w:left w:val="single" w:sz="12" w:space="0" w:color="auto"/>
            </w:tcBorders>
          </w:tcPr>
          <w:p w:rsidR="009A39A3" w:rsidRPr="00322850" w:rsidRDefault="009A39A3" w:rsidP="00213477">
            <w:pPr>
              <w:pStyle w:val="Heading3"/>
              <w:rPr>
                <w:sz w:val="24"/>
                <w:szCs w:val="24"/>
              </w:rPr>
            </w:pPr>
            <w:r w:rsidRPr="0012389A">
              <w:rPr>
                <w:noProof/>
                <w:sz w:val="24"/>
                <w:szCs w:val="24"/>
              </w:rPr>
              <w:t>Building and Construction Industry (Improving Productivity) (Federal Safety Officers) General Directions 2017 [F2017L00655]</w:t>
            </w:r>
          </w:p>
        </w:tc>
      </w:tr>
      <w:tr w:rsidR="009A39A3" w:rsidRPr="00322850" w:rsidTr="00213477">
        <w:tc>
          <w:tcPr>
            <w:tcW w:w="2694" w:type="dxa"/>
            <w:tcBorders>
              <w:right w:val="single" w:sz="12" w:space="0" w:color="auto"/>
            </w:tcBorders>
          </w:tcPr>
          <w:p w:rsidR="009A39A3" w:rsidRPr="00322850" w:rsidRDefault="009A39A3" w:rsidP="00213477">
            <w:pPr>
              <w:rPr>
                <w:b/>
                <w:sz w:val="24"/>
                <w:szCs w:val="24"/>
              </w:rPr>
            </w:pPr>
            <w:r w:rsidRPr="00322850">
              <w:rPr>
                <w:b/>
                <w:sz w:val="24"/>
                <w:szCs w:val="24"/>
              </w:rPr>
              <w:t>Purpose</w:t>
            </w:r>
          </w:p>
        </w:tc>
        <w:tc>
          <w:tcPr>
            <w:tcW w:w="6378" w:type="dxa"/>
            <w:tcBorders>
              <w:left w:val="single" w:sz="12" w:space="0" w:color="auto"/>
            </w:tcBorders>
          </w:tcPr>
          <w:p w:rsidR="009A39A3" w:rsidRPr="00322850" w:rsidRDefault="009A39A3" w:rsidP="00213477">
            <w:pPr>
              <w:rPr>
                <w:sz w:val="24"/>
                <w:szCs w:val="24"/>
              </w:rPr>
            </w:pPr>
            <w:r>
              <w:rPr>
                <w:noProof/>
                <w:sz w:val="24"/>
                <w:szCs w:val="24"/>
              </w:rPr>
              <w:t xml:space="preserve">Directs </w:t>
            </w:r>
            <w:r w:rsidRPr="0012389A">
              <w:rPr>
                <w:noProof/>
                <w:sz w:val="24"/>
                <w:szCs w:val="24"/>
              </w:rPr>
              <w:t xml:space="preserve">Federal Safety Officers </w:t>
            </w:r>
            <w:r>
              <w:rPr>
                <w:noProof/>
                <w:sz w:val="24"/>
                <w:szCs w:val="24"/>
              </w:rPr>
              <w:t>how to conduct themselves when exercising powers and performing functions under</w:t>
            </w:r>
            <w:r w:rsidRPr="0012389A">
              <w:rPr>
                <w:noProof/>
                <w:sz w:val="24"/>
                <w:szCs w:val="24"/>
              </w:rPr>
              <w:t xml:space="preserve"> the </w:t>
            </w:r>
            <w:r w:rsidRPr="009E1865">
              <w:rPr>
                <w:i/>
                <w:noProof/>
                <w:sz w:val="24"/>
                <w:szCs w:val="24"/>
              </w:rPr>
              <w:t>Building and Construction Industry (Improving Productivity) A</w:t>
            </w:r>
            <w:r>
              <w:rPr>
                <w:i/>
                <w:noProof/>
                <w:sz w:val="24"/>
                <w:szCs w:val="24"/>
              </w:rPr>
              <w:t>ct </w:t>
            </w:r>
            <w:r w:rsidRPr="009E1865">
              <w:rPr>
                <w:i/>
                <w:noProof/>
                <w:sz w:val="24"/>
                <w:szCs w:val="24"/>
              </w:rPr>
              <w:t xml:space="preserve"> 2016</w:t>
            </w:r>
          </w:p>
        </w:tc>
      </w:tr>
      <w:tr w:rsidR="009A39A3" w:rsidRPr="00322850" w:rsidTr="00213477">
        <w:tc>
          <w:tcPr>
            <w:tcW w:w="2694" w:type="dxa"/>
            <w:tcBorders>
              <w:right w:val="single" w:sz="12" w:space="0" w:color="auto"/>
            </w:tcBorders>
          </w:tcPr>
          <w:p w:rsidR="009A39A3" w:rsidRPr="00322850" w:rsidRDefault="009A39A3" w:rsidP="00213477">
            <w:pPr>
              <w:rPr>
                <w:b/>
                <w:sz w:val="24"/>
                <w:szCs w:val="24"/>
              </w:rPr>
            </w:pPr>
            <w:r w:rsidRPr="00322850">
              <w:rPr>
                <w:b/>
                <w:sz w:val="24"/>
                <w:szCs w:val="24"/>
              </w:rPr>
              <w:t>Authorising legislation</w:t>
            </w:r>
          </w:p>
        </w:tc>
        <w:tc>
          <w:tcPr>
            <w:tcW w:w="6378" w:type="dxa"/>
            <w:tcBorders>
              <w:left w:val="single" w:sz="12" w:space="0" w:color="auto"/>
            </w:tcBorders>
          </w:tcPr>
          <w:p w:rsidR="009A39A3" w:rsidRPr="00322850" w:rsidRDefault="009A39A3" w:rsidP="00213477">
            <w:pPr>
              <w:rPr>
                <w:i/>
                <w:sz w:val="24"/>
                <w:szCs w:val="24"/>
              </w:rPr>
            </w:pPr>
            <w:r w:rsidRPr="0012389A">
              <w:rPr>
                <w:i/>
                <w:noProof/>
                <w:sz w:val="24"/>
                <w:szCs w:val="24"/>
              </w:rPr>
              <w:t xml:space="preserve">Building and Construction Industry (Improving </w:t>
            </w:r>
            <w:r>
              <w:rPr>
                <w:i/>
                <w:noProof/>
                <w:sz w:val="24"/>
                <w:szCs w:val="24"/>
              </w:rPr>
              <w:t>Productivity)</w:t>
            </w:r>
            <w:r>
              <w:rPr>
                <w:i/>
                <w:noProof/>
                <w:sz w:val="24"/>
                <w:szCs w:val="24"/>
              </w:rPr>
              <w:br/>
            </w:r>
            <w:r w:rsidRPr="0012389A">
              <w:rPr>
                <w:i/>
                <w:noProof/>
                <w:sz w:val="24"/>
                <w:szCs w:val="24"/>
              </w:rPr>
              <w:t>Act 2016</w:t>
            </w:r>
          </w:p>
        </w:tc>
      </w:tr>
      <w:tr w:rsidR="009A39A3" w:rsidRPr="00322850" w:rsidTr="00213477">
        <w:tc>
          <w:tcPr>
            <w:tcW w:w="2694" w:type="dxa"/>
            <w:tcBorders>
              <w:right w:val="single" w:sz="12" w:space="0" w:color="auto"/>
            </w:tcBorders>
          </w:tcPr>
          <w:p w:rsidR="009A39A3" w:rsidRPr="00322850" w:rsidRDefault="009A39A3" w:rsidP="00213477">
            <w:pPr>
              <w:rPr>
                <w:b/>
                <w:sz w:val="24"/>
                <w:szCs w:val="24"/>
              </w:rPr>
            </w:pPr>
            <w:r w:rsidRPr="00322850">
              <w:rPr>
                <w:b/>
                <w:sz w:val="24"/>
                <w:szCs w:val="24"/>
              </w:rPr>
              <w:t>Department</w:t>
            </w:r>
          </w:p>
        </w:tc>
        <w:tc>
          <w:tcPr>
            <w:tcW w:w="6378" w:type="dxa"/>
            <w:tcBorders>
              <w:left w:val="single" w:sz="12" w:space="0" w:color="auto"/>
            </w:tcBorders>
          </w:tcPr>
          <w:p w:rsidR="009A39A3" w:rsidRPr="00322850" w:rsidRDefault="009A39A3" w:rsidP="00213477">
            <w:pPr>
              <w:rPr>
                <w:sz w:val="24"/>
                <w:szCs w:val="24"/>
              </w:rPr>
            </w:pPr>
            <w:r w:rsidRPr="0012389A">
              <w:rPr>
                <w:noProof/>
                <w:sz w:val="24"/>
                <w:szCs w:val="24"/>
              </w:rPr>
              <w:t>Employment</w:t>
            </w:r>
          </w:p>
        </w:tc>
      </w:tr>
      <w:tr w:rsidR="009A39A3" w:rsidRPr="00322850" w:rsidTr="00213477">
        <w:tc>
          <w:tcPr>
            <w:tcW w:w="2694" w:type="dxa"/>
            <w:tcBorders>
              <w:right w:val="single" w:sz="12" w:space="0" w:color="auto"/>
            </w:tcBorders>
          </w:tcPr>
          <w:p w:rsidR="009A39A3" w:rsidRPr="00322850" w:rsidRDefault="009A39A3" w:rsidP="00213477">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9A39A3" w:rsidRPr="00322850" w:rsidRDefault="009A39A3" w:rsidP="00213477">
            <w:pPr>
              <w:rPr>
                <w:sz w:val="24"/>
                <w:szCs w:val="24"/>
              </w:rPr>
            </w:pPr>
            <w:r>
              <w:rPr>
                <w:sz w:val="24"/>
                <w:szCs w:val="24"/>
              </w:rPr>
              <w:t xml:space="preserve">15 sitting days after tabling (tabled Senate </w:t>
            </w:r>
            <w:r w:rsidRPr="0012389A">
              <w:rPr>
                <w:noProof/>
                <w:sz w:val="24"/>
                <w:szCs w:val="24"/>
              </w:rPr>
              <w:t>14 June</w:t>
            </w:r>
            <w:r>
              <w:rPr>
                <w:sz w:val="24"/>
                <w:szCs w:val="24"/>
              </w:rPr>
              <w:t xml:space="preserve"> 2017)</w:t>
            </w:r>
            <w:r>
              <w:rPr>
                <w:sz w:val="24"/>
                <w:szCs w:val="24"/>
              </w:rPr>
              <w:br/>
            </w:r>
            <w:r w:rsidRPr="006B7ADA">
              <w:rPr>
                <w:sz w:val="24"/>
                <w:szCs w:val="24"/>
              </w:rPr>
              <w:t>The time to give a notice of motion to disallow expired on</w:t>
            </w:r>
            <w:r>
              <w:rPr>
                <w:sz w:val="24"/>
                <w:szCs w:val="24"/>
              </w:rPr>
              <w:br/>
            </w:r>
            <w:r w:rsidRPr="0012389A">
              <w:rPr>
                <w:noProof/>
                <w:sz w:val="24"/>
                <w:szCs w:val="24"/>
              </w:rPr>
              <w:t>6 September</w:t>
            </w:r>
            <w:r>
              <w:rPr>
                <w:sz w:val="24"/>
                <w:szCs w:val="24"/>
              </w:rPr>
              <w:t xml:space="preserve"> 2017</w:t>
            </w:r>
          </w:p>
        </w:tc>
      </w:tr>
      <w:tr w:rsidR="009A39A3" w:rsidRPr="00322850" w:rsidTr="009A39A3">
        <w:tc>
          <w:tcPr>
            <w:tcW w:w="2694" w:type="dxa"/>
            <w:tcBorders>
              <w:right w:val="single" w:sz="12" w:space="0" w:color="auto"/>
            </w:tcBorders>
          </w:tcPr>
          <w:p w:rsidR="009A39A3" w:rsidRPr="00322850" w:rsidRDefault="009A39A3" w:rsidP="00213477">
            <w:pPr>
              <w:rPr>
                <w:b/>
                <w:sz w:val="24"/>
                <w:szCs w:val="24"/>
              </w:rPr>
            </w:pPr>
            <w:r w:rsidRPr="00322850">
              <w:rPr>
                <w:b/>
                <w:sz w:val="24"/>
                <w:szCs w:val="24"/>
              </w:rPr>
              <w:t>Scrutiny principle</w:t>
            </w:r>
          </w:p>
        </w:tc>
        <w:tc>
          <w:tcPr>
            <w:tcW w:w="6378" w:type="dxa"/>
            <w:tcBorders>
              <w:left w:val="single" w:sz="12" w:space="0" w:color="auto"/>
            </w:tcBorders>
          </w:tcPr>
          <w:p w:rsidR="009A39A3" w:rsidRPr="00322850" w:rsidRDefault="009A39A3" w:rsidP="00213477">
            <w:pPr>
              <w:rPr>
                <w:sz w:val="24"/>
                <w:szCs w:val="24"/>
              </w:rPr>
            </w:pPr>
            <w:r w:rsidRPr="00322850">
              <w:rPr>
                <w:sz w:val="24"/>
                <w:szCs w:val="24"/>
              </w:rPr>
              <w:t>Standing Order 23(3)</w:t>
            </w:r>
            <w:r w:rsidRPr="0012389A">
              <w:rPr>
                <w:noProof/>
                <w:sz w:val="24"/>
                <w:szCs w:val="24"/>
              </w:rPr>
              <w:t>(a)</w:t>
            </w:r>
          </w:p>
        </w:tc>
      </w:tr>
      <w:tr w:rsidR="009A39A3" w:rsidRPr="00322850" w:rsidTr="00213477">
        <w:tc>
          <w:tcPr>
            <w:tcW w:w="2694" w:type="dxa"/>
            <w:tcBorders>
              <w:bottom w:val="single" w:sz="12" w:space="0" w:color="auto"/>
              <w:right w:val="single" w:sz="12" w:space="0" w:color="auto"/>
            </w:tcBorders>
          </w:tcPr>
          <w:p w:rsidR="009A39A3" w:rsidRPr="00556E96" w:rsidRDefault="009A39A3" w:rsidP="00213477">
            <w:pPr>
              <w:rPr>
                <w:b/>
                <w:sz w:val="24"/>
                <w:szCs w:val="24"/>
              </w:rPr>
            </w:pPr>
            <w:r w:rsidRPr="00556E96">
              <w:rPr>
                <w:b/>
                <w:sz w:val="24"/>
                <w:szCs w:val="24"/>
              </w:rPr>
              <w:t>Previously reported in</w:t>
            </w:r>
          </w:p>
        </w:tc>
        <w:tc>
          <w:tcPr>
            <w:tcW w:w="6378" w:type="dxa"/>
            <w:tcBorders>
              <w:left w:val="single" w:sz="12" w:space="0" w:color="auto"/>
              <w:bottom w:val="single" w:sz="12" w:space="0" w:color="auto"/>
            </w:tcBorders>
          </w:tcPr>
          <w:p w:rsidR="009A39A3" w:rsidRPr="00556E96" w:rsidRDefault="009A39A3" w:rsidP="00213477">
            <w:pPr>
              <w:rPr>
                <w:sz w:val="24"/>
                <w:szCs w:val="24"/>
              </w:rPr>
            </w:pPr>
            <w:r w:rsidRPr="00556E96">
              <w:rPr>
                <w:i/>
                <w:noProof/>
                <w:sz w:val="24"/>
                <w:szCs w:val="24"/>
              </w:rPr>
              <w:t>Delegated legislation monitor</w:t>
            </w:r>
            <w:r>
              <w:rPr>
                <w:noProof/>
                <w:sz w:val="24"/>
                <w:szCs w:val="24"/>
              </w:rPr>
              <w:t xml:space="preserve"> 8</w:t>
            </w:r>
            <w:r w:rsidRPr="00556E96">
              <w:rPr>
                <w:noProof/>
                <w:sz w:val="24"/>
                <w:szCs w:val="24"/>
              </w:rPr>
              <w:t xml:space="preserve"> of 2017</w:t>
            </w:r>
          </w:p>
        </w:tc>
      </w:tr>
    </w:tbl>
    <w:p w:rsidR="009A39A3" w:rsidRPr="00322850" w:rsidRDefault="009A39A3" w:rsidP="009A39A3">
      <w:pPr>
        <w:spacing w:before="0" w:after="0"/>
      </w:pPr>
    </w:p>
    <w:p w:rsidR="008575B2" w:rsidRPr="00322850" w:rsidRDefault="008575B2" w:rsidP="008575B2">
      <w:pPr>
        <w:spacing w:after="0"/>
        <w:rPr>
          <w:b/>
        </w:rPr>
      </w:pPr>
      <w:r w:rsidRPr="00556E96">
        <w:rPr>
          <w:noProof/>
        </w:rPr>
        <w:t xml:space="preserve">The committee previously commented </w:t>
      </w:r>
      <w:r>
        <w:rPr>
          <w:noProof/>
        </w:rPr>
        <w:t xml:space="preserve">on two issues </w:t>
      </w:r>
      <w:r w:rsidRPr="00556E96">
        <w:rPr>
          <w:noProof/>
        </w:rPr>
        <w:t>as follows:</w:t>
      </w:r>
    </w:p>
    <w:p w:rsidR="009A39A3" w:rsidRPr="008F4138" w:rsidRDefault="009A39A3" w:rsidP="009A39A3">
      <w:pPr>
        <w:rPr>
          <w:b/>
          <w:noProof/>
          <w:color w:val="FF0000"/>
        </w:rPr>
      </w:pPr>
      <w:r w:rsidRPr="0012389A">
        <w:rPr>
          <w:b/>
          <w:noProof/>
        </w:rPr>
        <w:t xml:space="preserve">Manner of incorporation </w:t>
      </w:r>
    </w:p>
    <w:p w:rsidR="009A39A3" w:rsidRPr="00B2067C" w:rsidRDefault="009A39A3" w:rsidP="009A39A3">
      <w:pPr>
        <w:rPr>
          <w:rFonts w:asciiTheme="minorHAnsi" w:hAnsiTheme="minorHAnsi"/>
          <w:lang w:eastAsia="en-AU"/>
        </w:rPr>
      </w:pPr>
      <w:r w:rsidRPr="001B5C80">
        <w:rPr>
          <w:rFonts w:asciiTheme="minorHAnsi" w:hAnsiTheme="minorHAnsi"/>
          <w:lang w:eastAsia="en-AU"/>
        </w:rPr>
        <w:t xml:space="preserve">Section 14 of the </w:t>
      </w:r>
      <w:r w:rsidRPr="001B5C80">
        <w:rPr>
          <w:rFonts w:asciiTheme="minorHAnsi" w:hAnsiTheme="minorHAnsi"/>
          <w:i/>
          <w:lang w:eastAsia="en-AU"/>
        </w:rPr>
        <w:t>Legislation Act 2003</w:t>
      </w:r>
      <w:r w:rsidRPr="001B5C80">
        <w:rPr>
          <w:rFonts w:asciiTheme="minorHAnsi" w:hAnsiTheme="minorHAnsi"/>
          <w:lang w:eastAsia="en-AU"/>
        </w:rPr>
        <w:t xml:space="preserve"> allows legislative instruments to make provision in relation to matters by incorporating Acts and disallowable legislative instruments, either as in force at a particular time or as in force from time to time. </w:t>
      </w:r>
      <w:r w:rsidRPr="003670C6">
        <w:rPr>
          <w:rFonts w:asciiTheme="minorHAnsi" w:hAnsiTheme="minorHAnsi"/>
          <w:lang w:eastAsia="en-AU"/>
        </w:rPr>
        <w:t>However, other documents</w:t>
      </w:r>
      <w:r w:rsidRPr="00B2067C">
        <w:rPr>
          <w:rFonts w:asciiTheme="minorHAnsi" w:hAnsiTheme="minorHAnsi"/>
          <w:lang w:eastAsia="en-AU"/>
        </w:rPr>
        <w:t xml:space="preserve"> may only be incorporated as in force at the commencement of the legislative instrument, unless authorising or other legislation alters the operation of section 14.</w:t>
      </w:r>
    </w:p>
    <w:p w:rsidR="009A39A3" w:rsidRPr="00B2067C" w:rsidRDefault="009A39A3" w:rsidP="009A39A3">
      <w:pPr>
        <w:rPr>
          <w:rFonts w:asciiTheme="minorHAnsi" w:hAnsiTheme="minorHAnsi"/>
          <w:lang w:eastAsia="en-AU"/>
        </w:rPr>
      </w:pPr>
      <w:r w:rsidRPr="00B2067C">
        <w:rPr>
          <w:rFonts w:asciiTheme="minorHAnsi" w:hAnsiTheme="minorHAnsi"/>
          <w:lang w:eastAsia="en-AU"/>
        </w:rPr>
        <w:t xml:space="preserve">With reference to the above, the committee notes that section 4 of the instrument incorporates the Federal Safety Officer Code of Conduct (FSO Code of Conduct), dated 1 January 2015, issued by the Federal Safety Commissioner. </w:t>
      </w:r>
    </w:p>
    <w:p w:rsidR="009A39A3" w:rsidRPr="00B2067C" w:rsidRDefault="009A39A3" w:rsidP="009A39A3">
      <w:pPr>
        <w:rPr>
          <w:rFonts w:asciiTheme="minorHAnsi" w:hAnsiTheme="minorHAnsi"/>
          <w:lang w:eastAsia="en-AU"/>
        </w:rPr>
      </w:pPr>
      <w:r w:rsidRPr="00B2067C">
        <w:rPr>
          <w:rFonts w:asciiTheme="minorHAnsi" w:hAnsiTheme="minorHAnsi"/>
          <w:lang w:eastAsia="en-AU"/>
        </w:rPr>
        <w:t xml:space="preserve">Pursuant to section 14 of the </w:t>
      </w:r>
      <w:r w:rsidRPr="00B2067C">
        <w:rPr>
          <w:rFonts w:asciiTheme="minorHAnsi" w:hAnsiTheme="minorHAnsi"/>
          <w:i/>
          <w:lang w:eastAsia="en-AU"/>
        </w:rPr>
        <w:t>Legislation Act 2003,</w:t>
      </w:r>
      <w:r w:rsidRPr="00B2067C">
        <w:t xml:space="preserve"> as the FSO Code of Conduct is not a Commonwealth Act or disallowable instrument, it may only be incorporated as in force at a particular time, unless authorising or other legislation alters the operation of section 14. The committee is not aware of any legislation that alters the operation </w:t>
      </w:r>
      <w:r w:rsidRPr="00B2067C">
        <w:lastRenderedPageBreak/>
        <w:t>of section 14 in relation to this instrument and therefore understands the FSO Code of Conduct to be incorporated as</w:t>
      </w:r>
      <w:r>
        <w:t xml:space="preserve"> in force at the commencement of the instrument</w:t>
      </w:r>
      <w:r w:rsidRPr="00B2067C">
        <w:t xml:space="preserve">. </w:t>
      </w:r>
      <w:r w:rsidRPr="00B2067C">
        <w:rPr>
          <w:rFonts w:asciiTheme="minorHAnsi" w:hAnsiTheme="minorHAnsi"/>
          <w:lang w:eastAsia="en-AU"/>
        </w:rPr>
        <w:t xml:space="preserve">However, neither the text of the instrument nor the ES expressly states that the FSO Code of Conduct is incorporated as in force at the commencement of the instrument. </w:t>
      </w:r>
    </w:p>
    <w:p w:rsidR="009A39A3" w:rsidRPr="00B2067C" w:rsidRDefault="009A39A3" w:rsidP="009A39A3">
      <w:pPr>
        <w:rPr>
          <w:rFonts w:cs="Calibri"/>
          <w:szCs w:val="26"/>
          <w:lang w:eastAsia="en-AU"/>
        </w:rPr>
      </w:pPr>
      <w:r w:rsidRPr="00B2067C">
        <w:rPr>
          <w:rFonts w:cs="Calibri"/>
          <w:szCs w:val="26"/>
          <w:lang w:eastAsia="en-AU"/>
        </w:rPr>
        <w:t>The committee expects instruments (and ideally their accompanying ESs) to clearly state the manner in which documents are incorporated. This enables persons interested in or affected by the instrument to understand its operation without the need to rely on specialist legal knowledge or advice, or consult extrinsic material.</w:t>
      </w:r>
    </w:p>
    <w:p w:rsidR="009A39A3" w:rsidRPr="0010765E" w:rsidRDefault="009A39A3" w:rsidP="009A39A3">
      <w:pPr>
        <w:rPr>
          <w:rFonts w:asciiTheme="minorHAnsi" w:hAnsiTheme="minorHAnsi"/>
          <w:lang w:eastAsia="en-AU"/>
        </w:rPr>
      </w:pPr>
      <w:r w:rsidRPr="00574CB6">
        <w:rPr>
          <w:rFonts w:asciiTheme="minorHAnsi" w:hAnsiTheme="minorHAnsi"/>
          <w:lang w:eastAsia="en-AU"/>
        </w:rPr>
        <w:t xml:space="preserve">The committee's expectations in this regard are set out in the guideline on incorporation </w:t>
      </w:r>
      <w:r>
        <w:rPr>
          <w:rFonts w:asciiTheme="minorHAnsi" w:hAnsiTheme="minorHAnsi"/>
          <w:lang w:eastAsia="en-AU"/>
        </w:rPr>
        <w:t>of documents published on the committee's website</w:t>
      </w:r>
      <w:r w:rsidRPr="00574CB6">
        <w:rPr>
          <w:rFonts w:asciiTheme="minorHAnsi" w:hAnsiTheme="minorHAnsi"/>
          <w:lang w:eastAsia="en-AU"/>
        </w:rPr>
        <w:t>.</w:t>
      </w:r>
      <w:r>
        <w:rPr>
          <w:rStyle w:val="FootnoteReference"/>
          <w:rFonts w:asciiTheme="minorHAnsi" w:hAnsiTheme="minorHAnsi"/>
          <w:lang w:eastAsia="en-AU"/>
        </w:rPr>
        <w:footnoteReference w:id="44"/>
      </w:r>
      <w:r w:rsidRPr="001B5C80">
        <w:rPr>
          <w:rFonts w:asciiTheme="minorHAnsi" w:hAnsiTheme="minorHAnsi"/>
          <w:lang w:eastAsia="en-AU"/>
        </w:rPr>
        <w:t xml:space="preserve"> </w:t>
      </w:r>
    </w:p>
    <w:p w:rsidR="009A39A3" w:rsidRPr="009A39A3" w:rsidRDefault="00904536" w:rsidP="009A39A3">
      <w:pPr>
        <w:spacing w:after="0"/>
        <w:rPr>
          <w:noProof/>
        </w:rPr>
      </w:pPr>
      <w:r>
        <w:rPr>
          <w:noProof/>
        </w:rPr>
        <w:t>The committee drew</w:t>
      </w:r>
      <w:r w:rsidR="009A39A3" w:rsidRPr="009A39A3">
        <w:rPr>
          <w:noProof/>
        </w:rPr>
        <w:t xml:space="preserve"> the above to the minister's attention.</w:t>
      </w:r>
    </w:p>
    <w:p w:rsidR="009A39A3" w:rsidRPr="001B5C80" w:rsidRDefault="002B2721" w:rsidP="009A39A3">
      <w:pPr>
        <w:tabs>
          <w:tab w:val="left" w:pos="2268"/>
        </w:tabs>
        <w:spacing w:before="0"/>
        <w:rPr>
          <w:b/>
          <w:noProof/>
        </w:rPr>
      </w:pPr>
      <w:r>
        <w:rPr>
          <w:rFonts w:asciiTheme="minorHAnsi" w:hAnsiTheme="minorHAnsi"/>
          <w:lang w:eastAsia="en-AU"/>
        </w:rPr>
        <w:pict>
          <v:rect id="_x0000_i1025" style="width:222.95pt;height:.05pt" o:hrpct="494" o:hralign="center" o:hrstd="t" o:hr="t" fillcolor="#a0a0a0" stroked="f"/>
        </w:pict>
      </w:r>
    </w:p>
    <w:p w:rsidR="009A39A3" w:rsidRPr="008F4138" w:rsidRDefault="009A39A3" w:rsidP="009A39A3">
      <w:pPr>
        <w:rPr>
          <w:b/>
          <w:noProof/>
          <w:color w:val="FF0000"/>
        </w:rPr>
      </w:pPr>
      <w:r w:rsidRPr="0012389A">
        <w:rPr>
          <w:b/>
          <w:noProof/>
        </w:rPr>
        <w:t xml:space="preserve">Access to </w:t>
      </w:r>
      <w:r w:rsidRPr="00BB748A">
        <w:rPr>
          <w:b/>
          <w:noProof/>
        </w:rPr>
        <w:t>incorporated</w:t>
      </w:r>
      <w:r w:rsidRPr="0012389A">
        <w:rPr>
          <w:b/>
          <w:noProof/>
        </w:rPr>
        <w:t xml:space="preserve"> </w:t>
      </w:r>
      <w:r>
        <w:rPr>
          <w:b/>
          <w:noProof/>
        </w:rPr>
        <w:t>documents</w:t>
      </w:r>
    </w:p>
    <w:p w:rsidR="009A39A3" w:rsidRPr="004B3FB9" w:rsidRDefault="009A39A3" w:rsidP="009A39A3">
      <w:pPr>
        <w:rPr>
          <w:rFonts w:asciiTheme="minorHAnsi" w:hAnsiTheme="minorHAnsi"/>
          <w:noProof/>
          <w:lang w:eastAsia="en-AU"/>
        </w:rPr>
      </w:pPr>
      <w:r w:rsidRPr="004B3FB9">
        <w:rPr>
          <w:rFonts w:asciiTheme="minorHAnsi" w:hAnsiTheme="minorHAnsi"/>
          <w:noProof/>
          <w:lang w:eastAsia="en-AU"/>
        </w:rPr>
        <w:t xml:space="preserve">Paragraph 15J(2)(c) of the </w:t>
      </w:r>
      <w:r w:rsidRPr="004B3FB9">
        <w:rPr>
          <w:rFonts w:asciiTheme="minorHAnsi" w:hAnsiTheme="minorHAnsi"/>
          <w:i/>
          <w:noProof/>
          <w:lang w:eastAsia="en-AU"/>
        </w:rPr>
        <w:t>Legislation Act 2003</w:t>
      </w:r>
      <w:r w:rsidRPr="004B3FB9">
        <w:rPr>
          <w:rFonts w:asciiTheme="minorHAnsi" w:hAnsiTheme="minorHAnsi"/>
          <w:noProof/>
          <w:lang w:eastAsia="en-AU"/>
        </w:rPr>
        <w:t xml:space="preserve"> requires the ES for a legislative instrument that incorporates a document to contain a description of that document and indicate how it may be obtained. </w:t>
      </w:r>
    </w:p>
    <w:p w:rsidR="009A39A3" w:rsidRPr="004B3FB9" w:rsidRDefault="009A39A3" w:rsidP="009A39A3">
      <w:pPr>
        <w:rPr>
          <w:rFonts w:asciiTheme="minorHAnsi" w:hAnsiTheme="minorHAnsi"/>
          <w:noProof/>
          <w:lang w:eastAsia="en-AU"/>
        </w:rPr>
      </w:pPr>
      <w:r w:rsidRPr="004B3FB9">
        <w:rPr>
          <w:rFonts w:asciiTheme="minorHAnsi" w:hAnsiTheme="minorHAnsi"/>
          <w:noProof/>
          <w:lang w:eastAsia="en-AU"/>
        </w:rPr>
        <w:t xml:space="preserve">The committee's expectations where a legislative instrument incorporates a document generally accord with the approach of the Senate Standing Committee for the Scrutiny of Bills, which has consistently drawn attention to legislation that incorporates documents not readily and freely available (i.e. without cost) to the public. Generally, the committee will be concerned where incorporated documents are not publicly and freely available, because persons interested in or affected by the law may have inadequate access to its terms. </w:t>
      </w:r>
    </w:p>
    <w:p w:rsidR="009A39A3" w:rsidRDefault="009A39A3" w:rsidP="009A39A3">
      <w:pPr>
        <w:rPr>
          <w:rFonts w:asciiTheme="minorHAnsi" w:hAnsiTheme="minorHAnsi"/>
          <w:noProof/>
          <w:lang w:eastAsia="en-AU"/>
        </w:rPr>
      </w:pPr>
      <w:r w:rsidRPr="002F7FC2">
        <w:rPr>
          <w:rFonts w:asciiTheme="minorHAnsi" w:hAnsiTheme="minorHAnsi"/>
          <w:noProof/>
          <w:lang w:eastAsia="en-AU"/>
        </w:rPr>
        <w:t>With reference to the above,</w:t>
      </w:r>
      <w:r w:rsidRPr="00A324B8">
        <w:rPr>
          <w:rFonts w:asciiTheme="minorHAnsi" w:hAnsiTheme="minorHAnsi"/>
          <w:noProof/>
          <w:lang w:eastAsia="en-AU"/>
        </w:rPr>
        <w:t xml:space="preserve"> th</w:t>
      </w:r>
      <w:r>
        <w:rPr>
          <w:rFonts w:asciiTheme="minorHAnsi" w:hAnsiTheme="minorHAnsi"/>
          <w:noProof/>
          <w:lang w:eastAsia="en-AU"/>
        </w:rPr>
        <w:t>e committee notes that the instrument incorporates the FSO Code of Conduct</w:t>
      </w:r>
      <w:r w:rsidRPr="00A46C7D">
        <w:rPr>
          <w:rFonts w:asciiTheme="minorHAnsi" w:hAnsiTheme="minorHAnsi"/>
          <w:noProof/>
          <w:lang w:eastAsia="en-AU"/>
        </w:rPr>
        <w:t xml:space="preserve">. However, neither the instrument nor the ES provides a description of this document or </w:t>
      </w:r>
      <w:r>
        <w:rPr>
          <w:rFonts w:asciiTheme="minorHAnsi" w:hAnsiTheme="minorHAnsi"/>
          <w:noProof/>
          <w:lang w:eastAsia="en-AU"/>
        </w:rPr>
        <w:t xml:space="preserve">indicates </w:t>
      </w:r>
      <w:r w:rsidRPr="00A46C7D">
        <w:rPr>
          <w:rFonts w:asciiTheme="minorHAnsi" w:hAnsiTheme="minorHAnsi"/>
          <w:noProof/>
          <w:lang w:eastAsia="en-AU"/>
        </w:rPr>
        <w:t>where it can be freely accessed.</w:t>
      </w:r>
    </w:p>
    <w:p w:rsidR="009A39A3" w:rsidRPr="0010765E" w:rsidRDefault="009A39A3" w:rsidP="009A39A3">
      <w:pPr>
        <w:rPr>
          <w:rFonts w:asciiTheme="minorHAnsi" w:hAnsiTheme="minorHAnsi"/>
          <w:lang w:eastAsia="en-AU"/>
        </w:rPr>
      </w:pPr>
      <w:r w:rsidRPr="00574CB6">
        <w:rPr>
          <w:rFonts w:asciiTheme="minorHAnsi" w:hAnsiTheme="minorHAnsi"/>
          <w:lang w:eastAsia="en-AU"/>
        </w:rPr>
        <w:t xml:space="preserve">The committee's expectations in this regard are set out in the guideline on incorporation </w:t>
      </w:r>
      <w:r>
        <w:rPr>
          <w:rFonts w:asciiTheme="minorHAnsi" w:hAnsiTheme="minorHAnsi"/>
          <w:lang w:eastAsia="en-AU"/>
        </w:rPr>
        <w:t>of documents published on the committee's website</w:t>
      </w:r>
      <w:r w:rsidRPr="00574CB6">
        <w:rPr>
          <w:rFonts w:asciiTheme="minorHAnsi" w:hAnsiTheme="minorHAnsi"/>
          <w:lang w:eastAsia="en-AU"/>
        </w:rPr>
        <w:t>.</w:t>
      </w:r>
      <w:r>
        <w:rPr>
          <w:rStyle w:val="FootnoteReference"/>
          <w:rFonts w:asciiTheme="minorHAnsi" w:hAnsiTheme="minorHAnsi"/>
          <w:lang w:eastAsia="en-AU"/>
        </w:rPr>
        <w:footnoteReference w:id="45"/>
      </w:r>
      <w:r w:rsidRPr="001B5C80">
        <w:rPr>
          <w:rFonts w:asciiTheme="minorHAnsi" w:hAnsiTheme="minorHAnsi"/>
          <w:lang w:eastAsia="en-AU"/>
        </w:rPr>
        <w:t xml:space="preserve"> </w:t>
      </w:r>
    </w:p>
    <w:p w:rsidR="009A39A3" w:rsidRPr="009A39A3" w:rsidRDefault="00904536" w:rsidP="009A39A3">
      <w:pPr>
        <w:spacing w:after="0"/>
        <w:rPr>
          <w:noProof/>
        </w:rPr>
      </w:pPr>
      <w:r>
        <w:rPr>
          <w:noProof/>
        </w:rPr>
        <w:t>The committee requested</w:t>
      </w:r>
      <w:r w:rsidR="009A39A3" w:rsidRPr="009A39A3">
        <w:rPr>
          <w:noProof/>
        </w:rPr>
        <w:t xml:space="preserve"> the advice of the minister in relation to the above.</w:t>
      </w:r>
    </w:p>
    <w:p w:rsidR="008A71E2" w:rsidRDefault="008A71E2">
      <w:pPr>
        <w:spacing w:before="0" w:after="0"/>
        <w:jc w:val="left"/>
        <w:rPr>
          <w:b/>
          <w:noProof/>
        </w:rPr>
      </w:pPr>
      <w:r>
        <w:rPr>
          <w:b/>
          <w:noProof/>
        </w:rPr>
        <w:br w:type="page"/>
      </w:r>
    </w:p>
    <w:p w:rsidR="009A39A3" w:rsidRPr="00556E96" w:rsidRDefault="009A39A3" w:rsidP="009A39A3">
      <w:pPr>
        <w:tabs>
          <w:tab w:val="left" w:pos="2268"/>
        </w:tabs>
        <w:rPr>
          <w:b/>
          <w:noProof/>
        </w:rPr>
      </w:pPr>
      <w:r w:rsidRPr="00556E96">
        <w:rPr>
          <w:b/>
          <w:noProof/>
        </w:rPr>
        <w:lastRenderedPageBreak/>
        <w:t>Minister's response</w:t>
      </w:r>
    </w:p>
    <w:p w:rsidR="009A39A3" w:rsidRDefault="009A39A3" w:rsidP="009A39A3">
      <w:pPr>
        <w:rPr>
          <w:noProof/>
        </w:rPr>
      </w:pPr>
      <w:r w:rsidRPr="00556E96">
        <w:rPr>
          <w:noProof/>
        </w:rPr>
        <w:t xml:space="preserve">The </w:t>
      </w:r>
      <w:r>
        <w:rPr>
          <w:noProof/>
        </w:rPr>
        <w:t>Minister for Employment</w:t>
      </w:r>
      <w:r w:rsidRPr="00F45435">
        <w:t xml:space="preserve"> </w:t>
      </w:r>
      <w:r w:rsidRPr="00556E96">
        <w:rPr>
          <w:noProof/>
        </w:rPr>
        <w:t>advised:</w:t>
      </w:r>
    </w:p>
    <w:p w:rsidR="009A39A3" w:rsidRDefault="009A39A3" w:rsidP="009A39A3">
      <w:pPr>
        <w:pStyle w:val="Quote"/>
        <w:rPr>
          <w:noProof/>
        </w:rPr>
      </w:pPr>
      <w:r>
        <w:rPr>
          <w:noProof/>
        </w:rPr>
        <w:t xml:space="preserve">The General Directions are made by the Federal Safety Commissioner under subsection 68(5) of the </w:t>
      </w:r>
      <w:r w:rsidRPr="009A39A3">
        <w:rPr>
          <w:i/>
          <w:noProof/>
        </w:rPr>
        <w:t>Building and Construction Industry (Improving Productivity) Act 2016</w:t>
      </w:r>
      <w:r>
        <w:rPr>
          <w:noProof/>
        </w:rPr>
        <w:t xml:space="preserve"> (the BCI Act). The General Directions direct Federal Safety Officers on how to conduct themselves when exercising powers and performing functions under the BCI Act.</w:t>
      </w:r>
    </w:p>
    <w:p w:rsidR="009A39A3" w:rsidRDefault="009A39A3" w:rsidP="009A39A3">
      <w:pPr>
        <w:pStyle w:val="Quote"/>
        <w:rPr>
          <w:noProof/>
        </w:rPr>
      </w:pPr>
      <w:r>
        <w:rPr>
          <w:noProof/>
        </w:rPr>
        <w:t xml:space="preserve">In accordance with section 14 of the </w:t>
      </w:r>
      <w:r w:rsidRPr="009A39A3">
        <w:rPr>
          <w:i/>
          <w:noProof/>
        </w:rPr>
        <w:t>Legislation Act 2003</w:t>
      </w:r>
      <w:r>
        <w:rPr>
          <w:noProof/>
        </w:rPr>
        <w:t>, the FSO Code of Conduct is incorporated into the General Directions as in force or existing at the time when the General Directions commenced. However, the Committee notes that neither the text of the General Directions nor the explanatory statement expressly states that this is the manner in which the FSO Code of Conduct is incorporated into the General Directions.</w:t>
      </w:r>
    </w:p>
    <w:p w:rsidR="009A39A3" w:rsidRDefault="009A39A3" w:rsidP="009A39A3">
      <w:pPr>
        <w:pStyle w:val="Quote"/>
        <w:rPr>
          <w:noProof/>
        </w:rPr>
      </w:pPr>
      <w:r>
        <w:rPr>
          <w:noProof/>
        </w:rPr>
        <w:t>The Committee also notes that neither the General Directions nor the explanatory statement provides a description of the FSO Code of Conduct or indicates where it can be freely accessed. Section 4 of the General Directions defines 'FSO Code of Conduct' to mean 'the Federal Safety Officer Code of Conduct, dated 1 January 2015, issued by the Federal Safety Commissioner'. The FSO Code of Conduct is made available to Federal Safety Officers during an induction at the commencement of their engagement and is also available on the Federal Safety Commissioner's website (</w:t>
      </w:r>
      <w:hyperlink r:id="rId29" w:history="1">
        <w:r w:rsidR="00594D6F" w:rsidRPr="0086027C">
          <w:rPr>
            <w:rStyle w:val="Hyperlink"/>
            <w:noProof/>
          </w:rPr>
          <w:t>www.fsc.gov.au/sites/FSC/Resources/AZ/Documents/Federal_</w:t>
        </w:r>
        <w:r w:rsidR="00594D6F" w:rsidRPr="0086027C">
          <w:rPr>
            <w:rStyle w:val="Hyperlink"/>
            <w:noProof/>
          </w:rPr>
          <w:br/>
          <w:t>Safety_Officer_Code_of_Conduct.pdf</w:t>
        </w:r>
      </w:hyperlink>
      <w:r w:rsidR="00594D6F">
        <w:rPr>
          <w:noProof/>
        </w:rPr>
        <w:t>)</w:t>
      </w:r>
      <w:r>
        <w:rPr>
          <w:noProof/>
        </w:rPr>
        <w:t>.</w:t>
      </w:r>
    </w:p>
    <w:p w:rsidR="009A39A3" w:rsidRDefault="009A39A3" w:rsidP="009A39A3">
      <w:pPr>
        <w:pStyle w:val="Quote"/>
        <w:rPr>
          <w:noProof/>
        </w:rPr>
      </w:pPr>
      <w:r>
        <w:rPr>
          <w:noProof/>
        </w:rPr>
        <w:t>To address the Committee's expectations regarding the incorporation of material in legislative instruments, the Federal Safety Commissioner will issue a replacement explanatory statement to the General Directions clarifying the manner in which the FSO Code of Conduct is incorporated into the General Directions and detailing where the document can be freely accessed.</w:t>
      </w:r>
    </w:p>
    <w:p w:rsidR="009A39A3" w:rsidRPr="00301FAD" w:rsidRDefault="009A39A3" w:rsidP="009A39A3">
      <w:pPr>
        <w:pStyle w:val="Quote"/>
        <w:spacing w:before="240"/>
        <w:ind w:left="0"/>
        <w:rPr>
          <w:b/>
          <w:noProof/>
          <w:sz w:val="26"/>
        </w:rPr>
      </w:pPr>
      <w:r w:rsidRPr="00301FAD">
        <w:rPr>
          <w:b/>
          <w:noProof/>
          <w:sz w:val="26"/>
        </w:rPr>
        <w:t>Committee's response</w:t>
      </w:r>
    </w:p>
    <w:p w:rsidR="009A39A3" w:rsidRDefault="009A39A3" w:rsidP="009A39A3">
      <w:pPr>
        <w:rPr>
          <w:b/>
          <w:szCs w:val="26"/>
        </w:rPr>
      </w:pPr>
      <w:r w:rsidRPr="00556E96">
        <w:rPr>
          <w:b/>
          <w:szCs w:val="26"/>
        </w:rPr>
        <w:t>T</w:t>
      </w:r>
      <w:r>
        <w:rPr>
          <w:b/>
          <w:szCs w:val="26"/>
        </w:rPr>
        <w:t xml:space="preserve">he committee thanks </w:t>
      </w:r>
      <w:r w:rsidRPr="004A7CC9">
        <w:rPr>
          <w:b/>
          <w:szCs w:val="26"/>
        </w:rPr>
        <w:t xml:space="preserve">the </w:t>
      </w:r>
      <w:r>
        <w:rPr>
          <w:b/>
          <w:noProof/>
        </w:rPr>
        <w:t>m</w:t>
      </w:r>
      <w:r w:rsidRPr="004A7CC9">
        <w:rPr>
          <w:b/>
          <w:noProof/>
        </w:rPr>
        <w:t>inister</w:t>
      </w:r>
      <w:r w:rsidRPr="004A7CC9">
        <w:rPr>
          <w:b/>
          <w:szCs w:val="26"/>
        </w:rPr>
        <w:t xml:space="preserve"> f</w:t>
      </w:r>
      <w:r>
        <w:rPr>
          <w:b/>
          <w:szCs w:val="26"/>
        </w:rPr>
        <w:t>or her</w:t>
      </w:r>
      <w:r w:rsidRPr="00556E96">
        <w:rPr>
          <w:b/>
          <w:szCs w:val="26"/>
        </w:rPr>
        <w:t xml:space="preserve"> response and has concluded its examination of the above. </w:t>
      </w:r>
    </w:p>
    <w:p w:rsidR="0033254C" w:rsidRDefault="009A39A3" w:rsidP="00F66DFE">
      <w:pPr>
        <w:spacing w:before="0" w:after="0"/>
      </w:pPr>
      <w:r w:rsidRPr="009A39A3">
        <w:rPr>
          <w:noProof/>
        </w:rPr>
        <w:t xml:space="preserve">The committee notes the minister's undertaking to </w:t>
      </w:r>
      <w:r>
        <w:rPr>
          <w:noProof/>
        </w:rPr>
        <w:t xml:space="preserve">issue a replacement ES </w:t>
      </w:r>
      <w:r w:rsidRPr="009A39A3">
        <w:rPr>
          <w:noProof/>
        </w:rPr>
        <w:t>clarifying the manner in which the FSO Code of Conduct is incorporated into the General Directions and detailing where the document can be freely accessed</w:t>
      </w:r>
      <w:r>
        <w:rPr>
          <w:noProof/>
        </w:rPr>
        <w:t>.</w:t>
      </w:r>
    </w:p>
    <w:p w:rsidR="00213021" w:rsidRDefault="00213021">
      <w:pPr>
        <w:spacing w:before="0" w:after="0"/>
        <w:jc w:val="left"/>
      </w:pPr>
      <w:r>
        <w:br w:type="page"/>
      </w:r>
    </w:p>
    <w:tbl>
      <w:tblPr>
        <w:tblW w:w="0" w:type="auto"/>
        <w:tblInd w:w="108" w:type="dxa"/>
        <w:tblLook w:val="04A0" w:firstRow="1" w:lastRow="0" w:firstColumn="1" w:lastColumn="0" w:noHBand="0" w:noVBand="1"/>
      </w:tblPr>
      <w:tblGrid>
        <w:gridCol w:w="2694"/>
        <w:gridCol w:w="6378"/>
      </w:tblGrid>
      <w:tr w:rsidR="00213021" w:rsidRPr="008E6F03" w:rsidTr="002B2721">
        <w:tc>
          <w:tcPr>
            <w:tcW w:w="2694" w:type="dxa"/>
            <w:tcBorders>
              <w:top w:val="single" w:sz="12" w:space="0" w:color="auto"/>
              <w:right w:val="single" w:sz="12" w:space="0" w:color="auto"/>
            </w:tcBorders>
          </w:tcPr>
          <w:p w:rsidR="00213021" w:rsidRPr="008E6F03" w:rsidRDefault="00213021" w:rsidP="002B2721">
            <w:pPr>
              <w:rPr>
                <w:b/>
                <w:sz w:val="24"/>
                <w:szCs w:val="24"/>
              </w:rPr>
            </w:pPr>
            <w:r w:rsidRPr="008E6F03">
              <w:rPr>
                <w:b/>
                <w:sz w:val="24"/>
                <w:szCs w:val="24"/>
              </w:rPr>
              <w:lastRenderedPageBreak/>
              <w:t>Instrument</w:t>
            </w:r>
          </w:p>
        </w:tc>
        <w:tc>
          <w:tcPr>
            <w:tcW w:w="6378" w:type="dxa"/>
            <w:tcBorders>
              <w:top w:val="single" w:sz="12" w:space="0" w:color="auto"/>
              <w:left w:val="single" w:sz="12" w:space="0" w:color="auto"/>
            </w:tcBorders>
          </w:tcPr>
          <w:p w:rsidR="00213021" w:rsidRPr="008E6F03" w:rsidRDefault="00213021" w:rsidP="002B2721">
            <w:pPr>
              <w:pStyle w:val="Heading3"/>
              <w:rPr>
                <w:sz w:val="24"/>
                <w:szCs w:val="24"/>
              </w:rPr>
            </w:pPr>
            <w:r w:rsidRPr="008E6F03">
              <w:rPr>
                <w:noProof/>
                <w:sz w:val="24"/>
                <w:szCs w:val="24"/>
              </w:rPr>
              <w:t>Civil Aviation Order 95.10 Instrument 2017 [F2017L00480]</w:t>
            </w:r>
          </w:p>
        </w:tc>
      </w:tr>
      <w:tr w:rsidR="00213021" w:rsidRPr="008E6F03" w:rsidTr="002B2721">
        <w:tc>
          <w:tcPr>
            <w:tcW w:w="2694" w:type="dxa"/>
            <w:tcBorders>
              <w:right w:val="single" w:sz="12" w:space="0" w:color="auto"/>
            </w:tcBorders>
          </w:tcPr>
          <w:p w:rsidR="00213021" w:rsidRPr="008E6F03" w:rsidRDefault="00213021" w:rsidP="002B2721">
            <w:pPr>
              <w:rPr>
                <w:b/>
                <w:sz w:val="24"/>
                <w:szCs w:val="24"/>
              </w:rPr>
            </w:pPr>
            <w:r w:rsidRPr="008E6F03">
              <w:rPr>
                <w:b/>
                <w:sz w:val="24"/>
                <w:szCs w:val="24"/>
              </w:rPr>
              <w:t>Purpose</w:t>
            </w:r>
          </w:p>
        </w:tc>
        <w:tc>
          <w:tcPr>
            <w:tcW w:w="6378" w:type="dxa"/>
            <w:tcBorders>
              <w:left w:val="single" w:sz="12" w:space="0" w:color="auto"/>
            </w:tcBorders>
          </w:tcPr>
          <w:p w:rsidR="00213021" w:rsidRPr="008E6F03" w:rsidRDefault="00213021" w:rsidP="002B2721">
            <w:pPr>
              <w:rPr>
                <w:sz w:val="24"/>
                <w:szCs w:val="24"/>
              </w:rPr>
            </w:pPr>
            <w:r w:rsidRPr="008E6F03">
              <w:rPr>
                <w:noProof/>
                <w:sz w:val="24"/>
                <w:szCs w:val="24"/>
              </w:rPr>
              <w:t>Exempts operators of low-momentum ultralight aeroplanes from particular requirements of the Civil Aviation Regulations 1988 and Civil Aviation Safety Regulations 1998</w:t>
            </w:r>
          </w:p>
        </w:tc>
      </w:tr>
      <w:tr w:rsidR="00213021" w:rsidRPr="008E6F03" w:rsidTr="002B2721">
        <w:tc>
          <w:tcPr>
            <w:tcW w:w="2694" w:type="dxa"/>
            <w:tcBorders>
              <w:right w:val="single" w:sz="12" w:space="0" w:color="auto"/>
            </w:tcBorders>
          </w:tcPr>
          <w:p w:rsidR="00213021" w:rsidRPr="008E6F03" w:rsidRDefault="00213021" w:rsidP="002B2721">
            <w:pPr>
              <w:rPr>
                <w:b/>
                <w:sz w:val="24"/>
                <w:szCs w:val="24"/>
              </w:rPr>
            </w:pPr>
            <w:r w:rsidRPr="008E6F03">
              <w:rPr>
                <w:b/>
                <w:sz w:val="24"/>
                <w:szCs w:val="24"/>
              </w:rPr>
              <w:t>Authorising legislation</w:t>
            </w:r>
          </w:p>
        </w:tc>
        <w:tc>
          <w:tcPr>
            <w:tcW w:w="6378" w:type="dxa"/>
            <w:tcBorders>
              <w:left w:val="single" w:sz="12" w:space="0" w:color="auto"/>
            </w:tcBorders>
          </w:tcPr>
          <w:p w:rsidR="00213021" w:rsidRPr="008E6F03" w:rsidRDefault="00213021" w:rsidP="002B2721">
            <w:pPr>
              <w:rPr>
                <w:sz w:val="24"/>
                <w:szCs w:val="24"/>
              </w:rPr>
            </w:pPr>
            <w:r w:rsidRPr="008E6F03">
              <w:rPr>
                <w:noProof/>
                <w:sz w:val="24"/>
                <w:szCs w:val="24"/>
              </w:rPr>
              <w:t>Civil Aviation Regulations 1988; Civil Aviation Safety Regulations 1998</w:t>
            </w:r>
          </w:p>
        </w:tc>
      </w:tr>
      <w:tr w:rsidR="00213021" w:rsidRPr="008E6F03" w:rsidTr="002B2721">
        <w:tc>
          <w:tcPr>
            <w:tcW w:w="2694" w:type="dxa"/>
            <w:tcBorders>
              <w:right w:val="single" w:sz="12" w:space="0" w:color="auto"/>
            </w:tcBorders>
          </w:tcPr>
          <w:p w:rsidR="00213021" w:rsidRPr="008E6F03" w:rsidRDefault="00213021" w:rsidP="002B2721">
            <w:pPr>
              <w:rPr>
                <w:b/>
                <w:sz w:val="24"/>
                <w:szCs w:val="24"/>
              </w:rPr>
            </w:pPr>
            <w:r w:rsidRPr="008E6F03">
              <w:rPr>
                <w:b/>
                <w:sz w:val="24"/>
                <w:szCs w:val="24"/>
              </w:rPr>
              <w:t>Department</w:t>
            </w:r>
          </w:p>
        </w:tc>
        <w:tc>
          <w:tcPr>
            <w:tcW w:w="6378" w:type="dxa"/>
            <w:tcBorders>
              <w:left w:val="single" w:sz="12" w:space="0" w:color="auto"/>
            </w:tcBorders>
          </w:tcPr>
          <w:p w:rsidR="00213021" w:rsidRPr="008E6F03" w:rsidRDefault="00213021" w:rsidP="002B2721">
            <w:pPr>
              <w:rPr>
                <w:sz w:val="24"/>
                <w:szCs w:val="24"/>
              </w:rPr>
            </w:pPr>
            <w:r w:rsidRPr="008E6F03">
              <w:rPr>
                <w:noProof/>
                <w:sz w:val="24"/>
                <w:szCs w:val="24"/>
              </w:rPr>
              <w:t>Infrastructure and Regional Development</w:t>
            </w:r>
          </w:p>
        </w:tc>
      </w:tr>
      <w:tr w:rsidR="00213021" w:rsidRPr="008E6F03" w:rsidTr="002B2721">
        <w:tc>
          <w:tcPr>
            <w:tcW w:w="2694" w:type="dxa"/>
            <w:tcBorders>
              <w:right w:val="single" w:sz="12" w:space="0" w:color="auto"/>
            </w:tcBorders>
          </w:tcPr>
          <w:p w:rsidR="00213021" w:rsidRPr="008E6F03" w:rsidRDefault="00213021" w:rsidP="002B2721">
            <w:pPr>
              <w:rPr>
                <w:b/>
                <w:sz w:val="24"/>
                <w:szCs w:val="24"/>
              </w:rPr>
            </w:pPr>
            <w:r w:rsidRPr="008E6F03">
              <w:rPr>
                <w:b/>
                <w:sz w:val="24"/>
                <w:szCs w:val="24"/>
              </w:rPr>
              <w:t>Disallowance</w:t>
            </w:r>
          </w:p>
        </w:tc>
        <w:tc>
          <w:tcPr>
            <w:tcW w:w="6378" w:type="dxa"/>
            <w:tcBorders>
              <w:left w:val="single" w:sz="12" w:space="0" w:color="auto"/>
            </w:tcBorders>
          </w:tcPr>
          <w:p w:rsidR="00213021" w:rsidRPr="008E6F03" w:rsidRDefault="00213021" w:rsidP="002B2721">
            <w:pPr>
              <w:rPr>
                <w:sz w:val="24"/>
                <w:szCs w:val="24"/>
              </w:rPr>
            </w:pPr>
            <w:r w:rsidRPr="008E6F03">
              <w:rPr>
                <w:sz w:val="24"/>
                <w:szCs w:val="24"/>
              </w:rPr>
              <w:t xml:space="preserve">15 sitting days after tabling (tabled Senate </w:t>
            </w:r>
            <w:r w:rsidRPr="008E6F03">
              <w:rPr>
                <w:noProof/>
                <w:sz w:val="24"/>
                <w:szCs w:val="24"/>
              </w:rPr>
              <w:t>9 May</w:t>
            </w:r>
            <w:r w:rsidRPr="008E6F03">
              <w:rPr>
                <w:sz w:val="24"/>
                <w:szCs w:val="24"/>
              </w:rPr>
              <w:t xml:space="preserve"> 2017)</w:t>
            </w:r>
            <w:r w:rsidRPr="008E6F03">
              <w:rPr>
                <w:sz w:val="24"/>
                <w:szCs w:val="24"/>
              </w:rPr>
              <w:br/>
              <w:t>Notice of motion to disallow currently must be given by</w:t>
            </w:r>
            <w:r w:rsidRPr="008E6F03">
              <w:rPr>
                <w:sz w:val="24"/>
                <w:szCs w:val="24"/>
              </w:rPr>
              <w:br/>
            </w:r>
            <w:r w:rsidRPr="008E6F03">
              <w:rPr>
                <w:noProof/>
                <w:sz w:val="24"/>
                <w:szCs w:val="24"/>
              </w:rPr>
              <w:t>16 August</w:t>
            </w:r>
            <w:r w:rsidRPr="008E6F03">
              <w:rPr>
                <w:sz w:val="24"/>
                <w:szCs w:val="24"/>
              </w:rPr>
              <w:t xml:space="preserve"> 2017</w:t>
            </w:r>
          </w:p>
        </w:tc>
      </w:tr>
      <w:tr w:rsidR="00213021" w:rsidRPr="008E6F03" w:rsidTr="002B2721">
        <w:tc>
          <w:tcPr>
            <w:tcW w:w="2694" w:type="dxa"/>
            <w:tcBorders>
              <w:right w:val="single" w:sz="12" w:space="0" w:color="auto"/>
            </w:tcBorders>
          </w:tcPr>
          <w:p w:rsidR="00213021" w:rsidRPr="008E6F03" w:rsidRDefault="00213021" w:rsidP="002B2721">
            <w:pPr>
              <w:rPr>
                <w:b/>
                <w:sz w:val="24"/>
                <w:szCs w:val="24"/>
              </w:rPr>
            </w:pPr>
            <w:r w:rsidRPr="008E6F03">
              <w:rPr>
                <w:b/>
                <w:sz w:val="24"/>
                <w:szCs w:val="24"/>
              </w:rPr>
              <w:t>Scrutiny principle</w:t>
            </w:r>
          </w:p>
        </w:tc>
        <w:tc>
          <w:tcPr>
            <w:tcW w:w="6378" w:type="dxa"/>
            <w:tcBorders>
              <w:left w:val="single" w:sz="12" w:space="0" w:color="auto"/>
            </w:tcBorders>
          </w:tcPr>
          <w:p w:rsidR="00213021" w:rsidRPr="008E6F03" w:rsidRDefault="00213021" w:rsidP="002B2721">
            <w:pPr>
              <w:rPr>
                <w:sz w:val="24"/>
                <w:szCs w:val="24"/>
              </w:rPr>
            </w:pPr>
            <w:r w:rsidRPr="008E6F03">
              <w:rPr>
                <w:sz w:val="24"/>
                <w:szCs w:val="24"/>
              </w:rPr>
              <w:t>Standing Order 23(3)</w:t>
            </w:r>
            <w:r w:rsidRPr="008E6F03">
              <w:rPr>
                <w:noProof/>
                <w:sz w:val="24"/>
                <w:szCs w:val="24"/>
              </w:rPr>
              <w:t>(a)</w:t>
            </w:r>
          </w:p>
        </w:tc>
      </w:tr>
      <w:tr w:rsidR="00213021" w:rsidRPr="008E6F03" w:rsidTr="002B2721">
        <w:tc>
          <w:tcPr>
            <w:tcW w:w="2694" w:type="dxa"/>
            <w:tcBorders>
              <w:bottom w:val="single" w:sz="12" w:space="0" w:color="auto"/>
              <w:right w:val="single" w:sz="12" w:space="0" w:color="auto"/>
            </w:tcBorders>
          </w:tcPr>
          <w:p w:rsidR="00213021" w:rsidRPr="008E6F03" w:rsidRDefault="00213021" w:rsidP="002B2721">
            <w:pPr>
              <w:rPr>
                <w:b/>
                <w:sz w:val="24"/>
                <w:szCs w:val="24"/>
              </w:rPr>
            </w:pPr>
            <w:r w:rsidRPr="008E6F03">
              <w:rPr>
                <w:b/>
                <w:sz w:val="24"/>
                <w:szCs w:val="24"/>
              </w:rPr>
              <w:t>Previously reported in</w:t>
            </w:r>
          </w:p>
        </w:tc>
        <w:tc>
          <w:tcPr>
            <w:tcW w:w="6378" w:type="dxa"/>
            <w:tcBorders>
              <w:left w:val="single" w:sz="12" w:space="0" w:color="auto"/>
              <w:bottom w:val="single" w:sz="12" w:space="0" w:color="auto"/>
            </w:tcBorders>
          </w:tcPr>
          <w:p w:rsidR="00213021" w:rsidRPr="008E6F03" w:rsidRDefault="00213021" w:rsidP="002B2721">
            <w:pPr>
              <w:rPr>
                <w:sz w:val="24"/>
                <w:szCs w:val="24"/>
              </w:rPr>
            </w:pPr>
            <w:r w:rsidRPr="008E6F03">
              <w:rPr>
                <w:i/>
                <w:noProof/>
                <w:sz w:val="24"/>
                <w:szCs w:val="24"/>
              </w:rPr>
              <w:t>Delegated legislation monitor</w:t>
            </w:r>
            <w:r>
              <w:rPr>
                <w:i/>
                <w:noProof/>
                <w:sz w:val="24"/>
                <w:szCs w:val="24"/>
              </w:rPr>
              <w:t>s</w:t>
            </w:r>
            <w:r w:rsidRPr="008E6F03">
              <w:rPr>
                <w:noProof/>
                <w:sz w:val="24"/>
                <w:szCs w:val="24"/>
              </w:rPr>
              <w:t xml:space="preserve"> 6 </w:t>
            </w:r>
            <w:r>
              <w:rPr>
                <w:noProof/>
                <w:sz w:val="24"/>
                <w:szCs w:val="24"/>
              </w:rPr>
              <w:t xml:space="preserve">and 8 </w:t>
            </w:r>
            <w:r w:rsidRPr="008E6F03">
              <w:rPr>
                <w:noProof/>
                <w:sz w:val="24"/>
                <w:szCs w:val="24"/>
              </w:rPr>
              <w:t>of 2017</w:t>
            </w:r>
          </w:p>
        </w:tc>
      </w:tr>
    </w:tbl>
    <w:p w:rsidR="00213021" w:rsidRPr="008E6F03" w:rsidRDefault="00213021" w:rsidP="00213021">
      <w:pPr>
        <w:spacing w:before="0" w:after="0"/>
      </w:pPr>
    </w:p>
    <w:p w:rsidR="00213021" w:rsidRPr="008E6F03" w:rsidRDefault="00213021" w:rsidP="00213021">
      <w:pPr>
        <w:rPr>
          <w:b/>
          <w:noProof/>
        </w:rPr>
      </w:pPr>
      <w:r w:rsidRPr="008E6F03">
        <w:rPr>
          <w:b/>
          <w:noProof/>
        </w:rPr>
        <w:t>Manner of incorporation</w:t>
      </w:r>
    </w:p>
    <w:p w:rsidR="00213021" w:rsidRPr="008E6F03" w:rsidRDefault="00213021" w:rsidP="00213021">
      <w:pPr>
        <w:rPr>
          <w:noProof/>
        </w:rPr>
      </w:pPr>
      <w:r w:rsidRPr="008E6F03">
        <w:rPr>
          <w:noProof/>
        </w:rPr>
        <w:t>The committee previously commented as follows:</w:t>
      </w:r>
    </w:p>
    <w:p w:rsidR="00213021" w:rsidRPr="008E6F03" w:rsidRDefault="00213021" w:rsidP="00213021">
      <w:pPr>
        <w:rPr>
          <w:rFonts w:asciiTheme="minorHAnsi" w:hAnsiTheme="minorHAnsi"/>
          <w:lang w:eastAsia="en-AU"/>
        </w:rPr>
      </w:pPr>
      <w:r w:rsidRPr="008E6F03">
        <w:rPr>
          <w:rFonts w:asciiTheme="minorHAnsi" w:hAnsiTheme="minorHAnsi"/>
          <w:lang w:eastAsia="en-AU"/>
        </w:rPr>
        <w:t xml:space="preserve">Section 14 of the </w:t>
      </w:r>
      <w:r w:rsidRPr="008E6F03">
        <w:rPr>
          <w:rFonts w:asciiTheme="minorHAnsi" w:hAnsiTheme="minorHAnsi"/>
          <w:i/>
          <w:lang w:eastAsia="en-AU"/>
        </w:rPr>
        <w:t>Legislation Act 2003</w:t>
      </w:r>
      <w:r w:rsidRPr="008E6F03">
        <w:rPr>
          <w:rFonts w:asciiTheme="minorHAnsi" w:hAnsiTheme="minorHAnsi"/>
          <w:lang w:eastAsia="en-AU"/>
        </w:rPr>
        <w:t xml:space="preserve"> allows legislative instruments to make provision in relation to matters by incorporating Acts and disallowable legislative instruments, either as in force at a particular time or as in force from time to time. Other documents may only be incorporated as in force at the commencement of the legislative instrument, unless authorising or other legislation alters the operation of section 14.</w:t>
      </w:r>
    </w:p>
    <w:p w:rsidR="00213021" w:rsidRPr="008E6F03" w:rsidRDefault="00213021" w:rsidP="00213021">
      <w:pPr>
        <w:rPr>
          <w:rFonts w:asciiTheme="minorHAnsi" w:hAnsiTheme="minorHAnsi"/>
          <w:lang w:eastAsia="en-AU"/>
        </w:rPr>
      </w:pPr>
      <w:r w:rsidRPr="008E6F03">
        <w:rPr>
          <w:rFonts w:asciiTheme="minorHAnsi" w:hAnsiTheme="minorHAnsi"/>
          <w:lang w:eastAsia="en-AU"/>
        </w:rPr>
        <w:t>With reference to the above, the committee notes that subsection 6.1(c) of the Civil Aviation Order 95.10 Instrument 2017 [F2017L00480] (the order) provides that an aeroplane to which the order applies must be flown in specified classes of airspace; and that the definition of those classes of airspace in the note to subsection 6.1(c) incorporates the Australian Airspace Policy Statement.</w:t>
      </w:r>
      <w:r w:rsidRPr="008E6F03">
        <w:rPr>
          <w:rStyle w:val="FootnoteReference"/>
          <w:rFonts w:asciiTheme="minorHAnsi" w:hAnsiTheme="minorHAnsi"/>
          <w:lang w:eastAsia="en-AU"/>
        </w:rPr>
        <w:footnoteReference w:id="46"/>
      </w:r>
      <w:r w:rsidRPr="008E6F03">
        <w:rPr>
          <w:rFonts w:asciiTheme="minorHAnsi" w:hAnsiTheme="minorHAnsi"/>
          <w:lang w:eastAsia="en-AU"/>
        </w:rPr>
        <w:t xml:space="preserve"> However, neither the order nor the ES expressly states the manner in which the Australian Airspace Policy Statement is incorporated.</w:t>
      </w:r>
    </w:p>
    <w:p w:rsidR="00213021" w:rsidRPr="008E6F03" w:rsidRDefault="00213021" w:rsidP="00213021">
      <w:pPr>
        <w:rPr>
          <w:rFonts w:asciiTheme="minorHAnsi" w:hAnsiTheme="minorHAnsi"/>
          <w:lang w:eastAsia="en-AU"/>
        </w:rPr>
      </w:pPr>
      <w:r w:rsidRPr="008E6F03">
        <w:rPr>
          <w:rFonts w:asciiTheme="minorHAnsi" w:hAnsiTheme="minorHAnsi"/>
          <w:lang w:eastAsia="en-AU"/>
        </w:rPr>
        <w:t>The committee expects instruments (and ideally their accompanying ESs) to clearly state the manner in which documents are incorporated (that is, either as in force from time to time or as in force at a particular time). This enables persons interested in or affected by the instrument to understand its operation without the need to rely on specialist legal knowledge or advice, or consult extrinsic material.</w:t>
      </w:r>
    </w:p>
    <w:p w:rsidR="00213021" w:rsidRPr="0010765E" w:rsidRDefault="00213021" w:rsidP="00213021">
      <w:pPr>
        <w:rPr>
          <w:rFonts w:asciiTheme="minorHAnsi" w:hAnsiTheme="minorHAnsi"/>
          <w:lang w:eastAsia="en-AU"/>
        </w:rPr>
      </w:pPr>
      <w:r w:rsidRPr="00574CB6">
        <w:rPr>
          <w:rFonts w:asciiTheme="minorHAnsi" w:hAnsiTheme="minorHAnsi"/>
          <w:lang w:eastAsia="en-AU"/>
        </w:rPr>
        <w:lastRenderedPageBreak/>
        <w:t xml:space="preserve">The committee's expectations in this regard are set out in the guideline on incorporation </w:t>
      </w:r>
      <w:r>
        <w:rPr>
          <w:rFonts w:asciiTheme="minorHAnsi" w:hAnsiTheme="minorHAnsi"/>
          <w:lang w:eastAsia="en-AU"/>
        </w:rPr>
        <w:t>of documents published on the committee's website</w:t>
      </w:r>
      <w:r w:rsidRPr="00574CB6">
        <w:rPr>
          <w:rFonts w:asciiTheme="minorHAnsi" w:hAnsiTheme="minorHAnsi"/>
          <w:lang w:eastAsia="en-AU"/>
        </w:rPr>
        <w:t>.</w:t>
      </w:r>
      <w:r>
        <w:rPr>
          <w:rStyle w:val="FootnoteReference"/>
          <w:rFonts w:asciiTheme="minorHAnsi" w:hAnsiTheme="minorHAnsi"/>
          <w:lang w:eastAsia="en-AU"/>
        </w:rPr>
        <w:footnoteReference w:id="47"/>
      </w:r>
      <w:r w:rsidRPr="001B5C80">
        <w:rPr>
          <w:rFonts w:asciiTheme="minorHAnsi" w:hAnsiTheme="minorHAnsi"/>
          <w:lang w:eastAsia="en-AU"/>
        </w:rPr>
        <w:t xml:space="preserve"> </w:t>
      </w:r>
    </w:p>
    <w:p w:rsidR="00213021" w:rsidRPr="00C92C2F" w:rsidRDefault="00213021" w:rsidP="00213021">
      <w:pPr>
        <w:rPr>
          <w:noProof/>
        </w:rPr>
      </w:pPr>
      <w:r w:rsidRPr="00C92C2F">
        <w:rPr>
          <w:noProof/>
        </w:rPr>
        <w:t>The committee request</w:t>
      </w:r>
      <w:r>
        <w:rPr>
          <w:noProof/>
        </w:rPr>
        <w:t>ed</w:t>
      </w:r>
      <w:r w:rsidRPr="00C92C2F">
        <w:rPr>
          <w:noProof/>
        </w:rPr>
        <w:t xml:space="preserve"> the advice of the minister in relation to the above.</w:t>
      </w:r>
    </w:p>
    <w:p w:rsidR="00213021" w:rsidRPr="008E6F03" w:rsidRDefault="00213021" w:rsidP="00213021">
      <w:pPr>
        <w:rPr>
          <w:b/>
          <w:noProof/>
        </w:rPr>
      </w:pPr>
      <w:r w:rsidRPr="008E6F03">
        <w:rPr>
          <w:b/>
          <w:noProof/>
        </w:rPr>
        <w:t xml:space="preserve">Minister's </w:t>
      </w:r>
      <w:r>
        <w:rPr>
          <w:b/>
          <w:noProof/>
        </w:rPr>
        <w:t xml:space="preserve">first </w:t>
      </w:r>
      <w:r w:rsidRPr="008E6F03">
        <w:rPr>
          <w:b/>
          <w:noProof/>
        </w:rPr>
        <w:t>response</w:t>
      </w:r>
    </w:p>
    <w:p w:rsidR="00213021" w:rsidRPr="008E6F03" w:rsidRDefault="00213021" w:rsidP="00213021">
      <w:pPr>
        <w:rPr>
          <w:noProof/>
        </w:rPr>
      </w:pPr>
      <w:r w:rsidRPr="008E6F03">
        <w:rPr>
          <w:noProof/>
        </w:rPr>
        <w:t>The Minister for</w:t>
      </w:r>
      <w:r w:rsidRPr="008E6F03">
        <w:t xml:space="preserve"> Infrastructure and Transport</w:t>
      </w:r>
      <w:r w:rsidRPr="008E6F03">
        <w:rPr>
          <w:noProof/>
        </w:rPr>
        <w:t xml:space="preserve"> advised:</w:t>
      </w:r>
    </w:p>
    <w:p w:rsidR="00213021" w:rsidRPr="008E6F03" w:rsidRDefault="00213021" w:rsidP="00213021">
      <w:pPr>
        <w:pStyle w:val="Quote"/>
        <w:rPr>
          <w:noProof/>
        </w:rPr>
      </w:pPr>
      <w:r w:rsidRPr="008E6F03">
        <w:rPr>
          <w:noProof/>
        </w:rPr>
        <w:t xml:space="preserve">The Civil Aviation Safety Authority (CASA) has pointed to the reference to the Australian Airspace Policy Statement being included in a note to paragraph 6.1(d) of Civil Aviation Order 95.10. The note states </w:t>
      </w:r>
      <w:r w:rsidRPr="008E6F03">
        <w:rPr>
          <w:i/>
          <w:noProof/>
        </w:rPr>
        <w:t>Classes of airspace are defined in the Australian Airspace Policy Statement</w:t>
      </w:r>
      <w:r w:rsidRPr="008E6F03">
        <w:rPr>
          <w:noProof/>
        </w:rPr>
        <w:t>, clarifying the requirement for the aircraft to be flown in class A, B, C, or D airspace</w:t>
      </w:r>
      <w:r w:rsidRPr="008E6F03">
        <w:rPr>
          <w:noProof/>
        </w:rPr>
        <w:br/>
        <w:t>in accordance with the requirements of paragraph 6.4. There is no entry</w:t>
      </w:r>
      <w:r w:rsidRPr="008E6F03">
        <w:rPr>
          <w:noProof/>
        </w:rPr>
        <w:br/>
        <w:t>in the Explanatory Statement relating to the content of the note.</w:t>
      </w:r>
    </w:p>
    <w:p w:rsidR="00213021" w:rsidRPr="008E6F03" w:rsidRDefault="00213021" w:rsidP="00213021">
      <w:pPr>
        <w:pStyle w:val="Quote"/>
        <w:rPr>
          <w:noProof/>
        </w:rPr>
      </w:pPr>
      <w:r w:rsidRPr="008E6F03">
        <w:rPr>
          <w:noProof/>
        </w:rPr>
        <w:t>CASA has advised that in its view, mention of the Australian Airspace Policy Statement in this way is not an incorporation by reference, but simply</w:t>
      </w:r>
      <w:r w:rsidRPr="008E6F03">
        <w:rPr>
          <w:noProof/>
        </w:rPr>
        <w:br/>
        <w:t>a guidance note for where a person can ascertain the scope of the classes of airspace.</w:t>
      </w:r>
    </w:p>
    <w:p w:rsidR="00213021" w:rsidRPr="008E6F03" w:rsidRDefault="00213021" w:rsidP="00213021">
      <w:pPr>
        <w:rPr>
          <w:b/>
          <w:noProof/>
        </w:rPr>
      </w:pPr>
      <w:r w:rsidRPr="008E6F03">
        <w:rPr>
          <w:b/>
          <w:noProof/>
        </w:rPr>
        <w:t>Committee's response</w:t>
      </w:r>
    </w:p>
    <w:p w:rsidR="00213021" w:rsidRDefault="00213021" w:rsidP="00213021">
      <w:pPr>
        <w:rPr>
          <w:b/>
          <w:szCs w:val="26"/>
        </w:rPr>
      </w:pPr>
      <w:r w:rsidRPr="008E6F03">
        <w:rPr>
          <w:b/>
          <w:szCs w:val="26"/>
        </w:rPr>
        <w:t>The committee thank</w:t>
      </w:r>
      <w:r>
        <w:rPr>
          <w:b/>
          <w:szCs w:val="26"/>
        </w:rPr>
        <w:t>ed</w:t>
      </w:r>
      <w:r w:rsidRPr="008E6F03">
        <w:rPr>
          <w:b/>
          <w:szCs w:val="26"/>
        </w:rPr>
        <w:t xml:space="preserve"> the minister for his response</w:t>
      </w:r>
      <w:r>
        <w:rPr>
          <w:b/>
          <w:szCs w:val="26"/>
        </w:rPr>
        <w:t>.</w:t>
      </w:r>
    </w:p>
    <w:p w:rsidR="00213021" w:rsidRDefault="00213021" w:rsidP="00213021">
      <w:pPr>
        <w:rPr>
          <w:szCs w:val="26"/>
        </w:rPr>
      </w:pPr>
      <w:r>
        <w:rPr>
          <w:szCs w:val="26"/>
        </w:rPr>
        <w:t>The committee noted the minister's advice that, in CASA's view the Australian Airspace Policy Statement is not incorporated into the order.</w:t>
      </w:r>
    </w:p>
    <w:p w:rsidR="00213021" w:rsidRDefault="00213021" w:rsidP="00213021">
      <w:r>
        <w:t>However, the committee notes that the definitions of classes A, B, C, or D airspace (as set out in the Australian Airspace Policy Statement) could be said to affect the operation of the instrument, because these definitions determine the classes of airspace in which aircraft subject to the order are permitted to fly. It is therefore unclear to the committee how the Australian Airspace Policy Statement is not incorporated into the order.</w:t>
      </w:r>
    </w:p>
    <w:p w:rsidR="00213021" w:rsidRPr="00FF0D98" w:rsidRDefault="00213021" w:rsidP="00213021">
      <w:pPr>
        <w:spacing w:after="0"/>
        <w:jc w:val="left"/>
        <w:rPr>
          <w:szCs w:val="26"/>
        </w:rPr>
      </w:pPr>
      <w:r w:rsidRPr="00FF0D98">
        <w:rPr>
          <w:szCs w:val="26"/>
        </w:rPr>
        <w:t>The committee request</w:t>
      </w:r>
      <w:r>
        <w:rPr>
          <w:szCs w:val="26"/>
        </w:rPr>
        <w:t>ed</w:t>
      </w:r>
      <w:r w:rsidRPr="00FF0D98">
        <w:rPr>
          <w:szCs w:val="26"/>
        </w:rPr>
        <w:t xml:space="preserve"> the further advice of the minister in relation to the above.</w:t>
      </w:r>
    </w:p>
    <w:p w:rsidR="00213021" w:rsidRPr="008E6F03" w:rsidRDefault="00213021" w:rsidP="00213021">
      <w:pPr>
        <w:rPr>
          <w:b/>
          <w:noProof/>
        </w:rPr>
      </w:pPr>
      <w:r w:rsidRPr="008E6F03">
        <w:rPr>
          <w:b/>
          <w:noProof/>
        </w:rPr>
        <w:t>Minister's</w:t>
      </w:r>
      <w:r>
        <w:rPr>
          <w:b/>
          <w:noProof/>
        </w:rPr>
        <w:t xml:space="preserve"> second</w:t>
      </w:r>
      <w:r w:rsidRPr="008E6F03">
        <w:rPr>
          <w:b/>
          <w:noProof/>
        </w:rPr>
        <w:t xml:space="preserve"> response</w:t>
      </w:r>
    </w:p>
    <w:p w:rsidR="00213021" w:rsidRDefault="00213021" w:rsidP="00213021">
      <w:pPr>
        <w:rPr>
          <w:noProof/>
        </w:rPr>
      </w:pPr>
      <w:r w:rsidRPr="008E6F03">
        <w:rPr>
          <w:noProof/>
        </w:rPr>
        <w:t>The Minister for</w:t>
      </w:r>
      <w:r w:rsidRPr="008E6F03">
        <w:t xml:space="preserve"> Infrastructure and Transport</w:t>
      </w:r>
      <w:r w:rsidRPr="008E6F03">
        <w:rPr>
          <w:noProof/>
        </w:rPr>
        <w:t xml:space="preserve"> advised:</w:t>
      </w:r>
    </w:p>
    <w:p w:rsidR="00213021" w:rsidRDefault="00213021" w:rsidP="00213021">
      <w:pPr>
        <w:pStyle w:val="Quote"/>
        <w:rPr>
          <w:noProof/>
        </w:rPr>
      </w:pPr>
      <w:r>
        <w:rPr>
          <w:noProof/>
        </w:rPr>
        <w:t>After further consideration, the Civil Aviation Safety Authority (CASA) advises that the Instrument should be remade to clarify the role of</w:t>
      </w:r>
      <w:r>
        <w:rPr>
          <w:noProof/>
        </w:rPr>
        <w:br/>
        <w:t>the 'classes' of airspace by reference to the "Determination of airspace</w:t>
      </w:r>
      <w:r>
        <w:rPr>
          <w:noProof/>
        </w:rPr>
        <w:br/>
        <w:t>and controlled aerodromes etc" made under Regulation 5 of the</w:t>
      </w:r>
      <w:r>
        <w:rPr>
          <w:noProof/>
        </w:rPr>
        <w:br/>
        <w:t>Airspace Regulations 2007, rather than by reference to the AAPS.</w:t>
      </w:r>
      <w:r>
        <w:rPr>
          <w:noProof/>
        </w:rPr>
        <w:br/>
        <w:t xml:space="preserve">The Determination is a legislative instrument and would be incorporated </w:t>
      </w:r>
      <w:r>
        <w:rPr>
          <w:noProof/>
        </w:rPr>
        <w:lastRenderedPageBreak/>
        <w:t xml:space="preserve">as in force from time to time, consistent with Section 14 of the </w:t>
      </w:r>
      <w:r w:rsidRPr="00FF0D98">
        <w:rPr>
          <w:i/>
          <w:noProof/>
        </w:rPr>
        <w:t>Legislation Act 2003</w:t>
      </w:r>
      <w:r>
        <w:rPr>
          <w:noProof/>
        </w:rPr>
        <w:t>.</w:t>
      </w:r>
    </w:p>
    <w:p w:rsidR="00213021" w:rsidRPr="008E6F03" w:rsidRDefault="00213021" w:rsidP="00213021">
      <w:pPr>
        <w:pStyle w:val="Quote"/>
        <w:rPr>
          <w:noProof/>
        </w:rPr>
      </w:pPr>
      <w:r>
        <w:rPr>
          <w:noProof/>
        </w:rPr>
        <w:t>On this basis, I am advised that CASA proposes to remake the Instrument, with a revised Explanatory Statement that adequately explains the manner of incorporation of the Determination. However, I note that the Instrument may not be remade until the current notice of motion to disallow has been resolved.</w:t>
      </w:r>
    </w:p>
    <w:p w:rsidR="00213021" w:rsidRPr="008E6F03" w:rsidRDefault="00213021" w:rsidP="00213021">
      <w:pPr>
        <w:rPr>
          <w:b/>
          <w:noProof/>
        </w:rPr>
      </w:pPr>
      <w:r w:rsidRPr="008E6F03">
        <w:rPr>
          <w:b/>
          <w:noProof/>
        </w:rPr>
        <w:t>Committee's response</w:t>
      </w:r>
    </w:p>
    <w:p w:rsidR="00213021" w:rsidRDefault="00213021" w:rsidP="00213021">
      <w:pPr>
        <w:rPr>
          <w:b/>
          <w:szCs w:val="26"/>
        </w:rPr>
      </w:pPr>
      <w:r w:rsidRPr="008E6F03">
        <w:rPr>
          <w:b/>
          <w:szCs w:val="26"/>
        </w:rPr>
        <w:t>The committee thanks the minister for his response</w:t>
      </w:r>
      <w:r w:rsidRPr="00D5335E">
        <w:rPr>
          <w:b/>
          <w:szCs w:val="26"/>
        </w:rPr>
        <w:t xml:space="preserve"> </w:t>
      </w:r>
      <w:r w:rsidRPr="00556E96">
        <w:rPr>
          <w:b/>
          <w:szCs w:val="26"/>
        </w:rPr>
        <w:t>and has conclud</w:t>
      </w:r>
      <w:r>
        <w:rPr>
          <w:b/>
          <w:szCs w:val="26"/>
        </w:rPr>
        <w:t>ed its examination of the above.</w:t>
      </w:r>
    </w:p>
    <w:p w:rsidR="00213021" w:rsidRDefault="00213021" w:rsidP="00213021">
      <w:pPr>
        <w:rPr>
          <w:szCs w:val="26"/>
        </w:rPr>
      </w:pPr>
      <w:r w:rsidRPr="005F7339">
        <w:rPr>
          <w:szCs w:val="26"/>
        </w:rPr>
        <w:t xml:space="preserve">The committee notes the minister's advice that </w:t>
      </w:r>
      <w:r>
        <w:rPr>
          <w:szCs w:val="26"/>
        </w:rPr>
        <w:t xml:space="preserve">CASA will remake the instrument, incorporating the 'Determination of airspace and controlled aerodromes etc' rather than the Australian Airspace Policy Statement, and that the new instrument will be accompanied by a </w:t>
      </w:r>
      <w:r w:rsidRPr="00F87025">
        <w:rPr>
          <w:szCs w:val="26"/>
        </w:rPr>
        <w:t>revised Explanatory Statement that explains the manner of incor</w:t>
      </w:r>
      <w:r>
        <w:rPr>
          <w:szCs w:val="26"/>
        </w:rPr>
        <w:t>poration of the d</w:t>
      </w:r>
      <w:r w:rsidRPr="00F87025">
        <w:rPr>
          <w:szCs w:val="26"/>
        </w:rPr>
        <w:t>etermination</w:t>
      </w:r>
      <w:r>
        <w:rPr>
          <w:szCs w:val="26"/>
        </w:rPr>
        <w:t xml:space="preserve">. </w:t>
      </w:r>
    </w:p>
    <w:p w:rsidR="00213021" w:rsidRDefault="00213021" w:rsidP="00213021">
      <w:pPr>
        <w:rPr>
          <w:szCs w:val="26"/>
        </w:rPr>
      </w:pPr>
      <w:r>
        <w:rPr>
          <w:szCs w:val="26"/>
        </w:rPr>
        <w:t xml:space="preserve">The committee notes that the determination is </w:t>
      </w:r>
      <w:r w:rsidRPr="00F87025">
        <w:rPr>
          <w:szCs w:val="26"/>
        </w:rPr>
        <w:t xml:space="preserve">made under </w:t>
      </w:r>
      <w:r>
        <w:rPr>
          <w:szCs w:val="26"/>
        </w:rPr>
        <w:t>r</w:t>
      </w:r>
      <w:r w:rsidRPr="00F87025">
        <w:rPr>
          <w:szCs w:val="26"/>
        </w:rPr>
        <w:t>egulation 5 of the</w:t>
      </w:r>
      <w:r>
        <w:rPr>
          <w:szCs w:val="26"/>
        </w:rPr>
        <w:t xml:space="preserve"> </w:t>
      </w:r>
      <w:r w:rsidRPr="00F87025">
        <w:rPr>
          <w:szCs w:val="26"/>
        </w:rPr>
        <w:t>Airspace Regulations 2007</w:t>
      </w:r>
      <w:r>
        <w:rPr>
          <w:szCs w:val="26"/>
        </w:rPr>
        <w:t xml:space="preserve">, and that a determination made under that regulation is not subject to disallowance, by virtue of table item 3 of section 10 of the </w:t>
      </w:r>
      <w:r w:rsidRPr="00D5335E">
        <w:rPr>
          <w:szCs w:val="26"/>
        </w:rPr>
        <w:t>Legislation (Exemptions and Other Matters) Regulation 2015</w:t>
      </w:r>
      <w:r>
        <w:rPr>
          <w:szCs w:val="26"/>
        </w:rPr>
        <w:t xml:space="preserve"> [</w:t>
      </w:r>
      <w:r w:rsidRPr="00D5335E">
        <w:rPr>
          <w:szCs w:val="26"/>
        </w:rPr>
        <w:t>F2016C01049</w:t>
      </w:r>
      <w:r>
        <w:rPr>
          <w:szCs w:val="26"/>
        </w:rPr>
        <w:t xml:space="preserve">]. </w:t>
      </w:r>
      <w:r w:rsidRPr="00D5335E">
        <w:rPr>
          <w:szCs w:val="26"/>
        </w:rPr>
        <w:t xml:space="preserve">Section 14 of the </w:t>
      </w:r>
      <w:r w:rsidRPr="00D5335E">
        <w:rPr>
          <w:i/>
          <w:szCs w:val="26"/>
        </w:rPr>
        <w:t>Legislation Act 2003</w:t>
      </w:r>
      <w:r w:rsidRPr="00D5335E">
        <w:rPr>
          <w:szCs w:val="26"/>
        </w:rPr>
        <w:t xml:space="preserve"> allows legislative instruments to make provision in relation to matters by incorporating Acts and </w:t>
      </w:r>
      <w:r w:rsidRPr="00D5335E">
        <w:rPr>
          <w:i/>
          <w:szCs w:val="26"/>
        </w:rPr>
        <w:t>disallowable</w:t>
      </w:r>
      <w:r w:rsidRPr="00D5335E">
        <w:rPr>
          <w:szCs w:val="26"/>
        </w:rPr>
        <w:t xml:space="preserve"> legislative instruments, either as in force at a particular time or as in force from time to time. </w:t>
      </w:r>
      <w:r>
        <w:rPr>
          <w:szCs w:val="26"/>
        </w:rPr>
        <w:t xml:space="preserve"> </w:t>
      </w:r>
    </w:p>
    <w:p w:rsidR="00213021" w:rsidRPr="00F87025" w:rsidRDefault="00213021" w:rsidP="00213021">
      <w:pPr>
        <w:rPr>
          <w:szCs w:val="26"/>
        </w:rPr>
      </w:pPr>
      <w:r>
        <w:rPr>
          <w:szCs w:val="26"/>
        </w:rPr>
        <w:t xml:space="preserve">However, the committee notes that the operation of section 14 may be altered by authorising and other legislation. In this instance, subsection 98(5D) of the </w:t>
      </w:r>
      <w:r>
        <w:rPr>
          <w:i/>
          <w:szCs w:val="26"/>
        </w:rPr>
        <w:t>Civil Aviation Act 1988</w:t>
      </w:r>
      <w:r>
        <w:rPr>
          <w:szCs w:val="26"/>
        </w:rPr>
        <w:t xml:space="preserve"> provides that, d</w:t>
      </w:r>
      <w:r w:rsidRPr="00F87025">
        <w:rPr>
          <w:szCs w:val="26"/>
        </w:rPr>
        <w:t xml:space="preserve">espite section 14 of the </w:t>
      </w:r>
      <w:r w:rsidRPr="00F87025">
        <w:rPr>
          <w:i/>
          <w:szCs w:val="26"/>
        </w:rPr>
        <w:t>Legislation Act 2003</w:t>
      </w:r>
      <w:r>
        <w:rPr>
          <w:szCs w:val="26"/>
        </w:rPr>
        <w:t>,</w:t>
      </w:r>
      <w:r>
        <w:rPr>
          <w:szCs w:val="26"/>
        </w:rPr>
        <w:br/>
      </w:r>
      <w:r w:rsidRPr="00F87025">
        <w:rPr>
          <w:szCs w:val="26"/>
        </w:rPr>
        <w:t>a legislative instrument made under th</w:t>
      </w:r>
      <w:r>
        <w:rPr>
          <w:szCs w:val="26"/>
        </w:rPr>
        <w:t>at</w:t>
      </w:r>
      <w:r w:rsidRPr="00F87025">
        <w:rPr>
          <w:szCs w:val="26"/>
        </w:rPr>
        <w:t xml:space="preserve"> Act or the regulations </w:t>
      </w:r>
      <w:r>
        <w:rPr>
          <w:szCs w:val="26"/>
        </w:rPr>
        <w:t xml:space="preserve">(including the </w:t>
      </w:r>
      <w:r w:rsidRPr="00F87025">
        <w:rPr>
          <w:szCs w:val="26"/>
        </w:rPr>
        <w:t>Civil Aviation Regulations 1988 and Civil Aviation Safety Regulations 1998</w:t>
      </w:r>
      <w:r>
        <w:rPr>
          <w:szCs w:val="26"/>
        </w:rPr>
        <w:t xml:space="preserve">) </w:t>
      </w:r>
      <w:r w:rsidRPr="00F87025">
        <w:rPr>
          <w:szCs w:val="26"/>
        </w:rPr>
        <w:t>may apply, adopt or incorporate any matter contained in any instrument or other writing as in force or existing at a particular time or as in force or existing from time to time</w:t>
      </w:r>
      <w:r>
        <w:rPr>
          <w:szCs w:val="26"/>
        </w:rPr>
        <w:t>.</w:t>
      </w:r>
    </w:p>
    <w:p w:rsidR="00804C7B" w:rsidRDefault="00804C7B">
      <w:pPr>
        <w:spacing w:before="0" w:after="0"/>
        <w:jc w:val="left"/>
      </w:pPr>
      <w:r>
        <w:br w:type="page"/>
      </w:r>
    </w:p>
    <w:tbl>
      <w:tblPr>
        <w:tblW w:w="0" w:type="auto"/>
        <w:tblInd w:w="108" w:type="dxa"/>
        <w:tblLook w:val="04A0" w:firstRow="1" w:lastRow="0" w:firstColumn="1" w:lastColumn="0" w:noHBand="0" w:noVBand="1"/>
      </w:tblPr>
      <w:tblGrid>
        <w:gridCol w:w="2694"/>
        <w:gridCol w:w="6378"/>
      </w:tblGrid>
      <w:tr w:rsidR="00C70A30" w:rsidRPr="008B0EEC" w:rsidTr="00841609">
        <w:tc>
          <w:tcPr>
            <w:tcW w:w="2694" w:type="dxa"/>
            <w:tcBorders>
              <w:top w:val="single" w:sz="12" w:space="0" w:color="auto"/>
              <w:right w:val="single" w:sz="12" w:space="0" w:color="auto"/>
            </w:tcBorders>
          </w:tcPr>
          <w:p w:rsidR="00C70A30" w:rsidRPr="008B0EEC" w:rsidRDefault="00C70A30" w:rsidP="00841609">
            <w:pPr>
              <w:rPr>
                <w:b/>
                <w:sz w:val="24"/>
                <w:szCs w:val="24"/>
              </w:rPr>
            </w:pPr>
            <w:r w:rsidRPr="008B0EEC">
              <w:rPr>
                <w:noProof/>
                <w:lang w:eastAsia="en-AU"/>
              </w:rPr>
              <w:lastRenderedPageBreak/>
              <w:br w:type="page"/>
            </w:r>
            <w:r w:rsidRPr="008B0EEC">
              <w:rPr>
                <w:rFonts w:asciiTheme="minorHAnsi" w:hAnsiTheme="minorHAnsi"/>
                <w:b/>
                <w:noProof/>
                <w:lang w:eastAsia="en-AU"/>
              </w:rPr>
              <w:br w:type="page"/>
            </w:r>
            <w:r w:rsidRPr="008B0EEC">
              <w:rPr>
                <w:b/>
                <w:sz w:val="24"/>
                <w:szCs w:val="24"/>
              </w:rPr>
              <w:t>Instrument</w:t>
            </w:r>
          </w:p>
        </w:tc>
        <w:tc>
          <w:tcPr>
            <w:tcW w:w="6378" w:type="dxa"/>
            <w:tcBorders>
              <w:top w:val="single" w:sz="12" w:space="0" w:color="auto"/>
              <w:left w:val="single" w:sz="12" w:space="0" w:color="auto"/>
            </w:tcBorders>
          </w:tcPr>
          <w:p w:rsidR="00C70A30" w:rsidRPr="008B0EEC" w:rsidRDefault="00C70A30" w:rsidP="00841609">
            <w:pPr>
              <w:pStyle w:val="Heading3"/>
              <w:rPr>
                <w:sz w:val="24"/>
                <w:szCs w:val="24"/>
              </w:rPr>
            </w:pPr>
            <w:r w:rsidRPr="008B0EEC">
              <w:rPr>
                <w:noProof/>
                <w:sz w:val="24"/>
                <w:szCs w:val="24"/>
              </w:rPr>
              <w:t>Competition and Consumer (Industry Code—Sugar) Regulations 2017 [F2017L00387]</w:t>
            </w:r>
          </w:p>
        </w:tc>
      </w:tr>
      <w:tr w:rsidR="00C70A30" w:rsidRPr="008B0EEC" w:rsidTr="00841609">
        <w:tc>
          <w:tcPr>
            <w:tcW w:w="2694" w:type="dxa"/>
            <w:tcBorders>
              <w:right w:val="single" w:sz="12" w:space="0" w:color="auto"/>
            </w:tcBorders>
          </w:tcPr>
          <w:p w:rsidR="00C70A30" w:rsidRPr="008B0EEC" w:rsidRDefault="00C70A30" w:rsidP="00841609">
            <w:pPr>
              <w:rPr>
                <w:b/>
                <w:sz w:val="24"/>
                <w:szCs w:val="24"/>
              </w:rPr>
            </w:pPr>
            <w:r w:rsidRPr="008B0EEC">
              <w:rPr>
                <w:b/>
                <w:sz w:val="24"/>
                <w:szCs w:val="24"/>
              </w:rPr>
              <w:t>Purpose</w:t>
            </w:r>
          </w:p>
        </w:tc>
        <w:tc>
          <w:tcPr>
            <w:tcW w:w="6378" w:type="dxa"/>
            <w:tcBorders>
              <w:left w:val="single" w:sz="12" w:space="0" w:color="auto"/>
            </w:tcBorders>
          </w:tcPr>
          <w:p w:rsidR="00C70A30" w:rsidRPr="008B0EEC" w:rsidRDefault="00C70A30" w:rsidP="00841609">
            <w:pPr>
              <w:rPr>
                <w:sz w:val="24"/>
                <w:szCs w:val="24"/>
              </w:rPr>
            </w:pPr>
            <w:r w:rsidRPr="008B0EEC">
              <w:rPr>
                <w:noProof/>
                <w:sz w:val="24"/>
                <w:szCs w:val="24"/>
              </w:rPr>
              <w:t>Prescribes a new mandatory Sugar Code of Conduct which regulates the conduct of growers, mill owners and marketers in relation to the supply of cane or the on-supply of sugar</w:t>
            </w:r>
          </w:p>
        </w:tc>
      </w:tr>
      <w:tr w:rsidR="00C70A30" w:rsidRPr="008B0EEC" w:rsidTr="00841609">
        <w:tc>
          <w:tcPr>
            <w:tcW w:w="2694" w:type="dxa"/>
            <w:tcBorders>
              <w:right w:val="single" w:sz="12" w:space="0" w:color="auto"/>
            </w:tcBorders>
          </w:tcPr>
          <w:p w:rsidR="00C70A30" w:rsidRPr="008B0EEC" w:rsidRDefault="00C70A30" w:rsidP="00841609">
            <w:pPr>
              <w:rPr>
                <w:b/>
                <w:sz w:val="24"/>
                <w:szCs w:val="24"/>
              </w:rPr>
            </w:pPr>
            <w:r w:rsidRPr="008B0EEC">
              <w:rPr>
                <w:b/>
                <w:sz w:val="24"/>
                <w:szCs w:val="24"/>
              </w:rPr>
              <w:t>Authorising legislation</w:t>
            </w:r>
          </w:p>
        </w:tc>
        <w:tc>
          <w:tcPr>
            <w:tcW w:w="6378" w:type="dxa"/>
            <w:tcBorders>
              <w:left w:val="single" w:sz="12" w:space="0" w:color="auto"/>
            </w:tcBorders>
          </w:tcPr>
          <w:p w:rsidR="00C70A30" w:rsidRPr="008B0EEC" w:rsidRDefault="00C70A30" w:rsidP="00841609">
            <w:pPr>
              <w:rPr>
                <w:i/>
                <w:sz w:val="24"/>
                <w:szCs w:val="24"/>
              </w:rPr>
            </w:pPr>
            <w:r w:rsidRPr="008B0EEC">
              <w:rPr>
                <w:i/>
                <w:noProof/>
                <w:sz w:val="24"/>
                <w:szCs w:val="24"/>
              </w:rPr>
              <w:t>Competition and Consumer Act 2010</w:t>
            </w:r>
          </w:p>
        </w:tc>
      </w:tr>
      <w:tr w:rsidR="00C70A30" w:rsidRPr="008B0EEC" w:rsidTr="00841609">
        <w:tc>
          <w:tcPr>
            <w:tcW w:w="2694" w:type="dxa"/>
            <w:tcBorders>
              <w:right w:val="single" w:sz="12" w:space="0" w:color="auto"/>
            </w:tcBorders>
          </w:tcPr>
          <w:p w:rsidR="00C70A30" w:rsidRPr="008B0EEC" w:rsidRDefault="00C70A30" w:rsidP="00841609">
            <w:pPr>
              <w:rPr>
                <w:b/>
                <w:sz w:val="24"/>
                <w:szCs w:val="24"/>
              </w:rPr>
            </w:pPr>
            <w:r w:rsidRPr="008B0EEC">
              <w:rPr>
                <w:b/>
                <w:sz w:val="24"/>
                <w:szCs w:val="24"/>
              </w:rPr>
              <w:t>Department</w:t>
            </w:r>
          </w:p>
        </w:tc>
        <w:tc>
          <w:tcPr>
            <w:tcW w:w="6378" w:type="dxa"/>
            <w:tcBorders>
              <w:left w:val="single" w:sz="12" w:space="0" w:color="auto"/>
            </w:tcBorders>
          </w:tcPr>
          <w:p w:rsidR="00C70A30" w:rsidRPr="008B0EEC" w:rsidRDefault="00C70A30" w:rsidP="00841609">
            <w:pPr>
              <w:rPr>
                <w:sz w:val="24"/>
                <w:szCs w:val="24"/>
              </w:rPr>
            </w:pPr>
            <w:r w:rsidRPr="008B0EEC">
              <w:rPr>
                <w:noProof/>
                <w:sz w:val="24"/>
                <w:szCs w:val="24"/>
              </w:rPr>
              <w:t>Treasury</w:t>
            </w:r>
          </w:p>
        </w:tc>
      </w:tr>
      <w:tr w:rsidR="00C70A30" w:rsidRPr="008B0EEC" w:rsidTr="00841609">
        <w:tc>
          <w:tcPr>
            <w:tcW w:w="2694" w:type="dxa"/>
            <w:tcBorders>
              <w:right w:val="single" w:sz="12" w:space="0" w:color="auto"/>
            </w:tcBorders>
          </w:tcPr>
          <w:p w:rsidR="00C70A30" w:rsidRPr="008B0EEC" w:rsidRDefault="00C70A30" w:rsidP="00841609">
            <w:pPr>
              <w:rPr>
                <w:b/>
                <w:sz w:val="24"/>
                <w:szCs w:val="24"/>
              </w:rPr>
            </w:pPr>
            <w:r w:rsidRPr="008B0EEC">
              <w:rPr>
                <w:b/>
                <w:sz w:val="24"/>
                <w:szCs w:val="24"/>
              </w:rPr>
              <w:t>Disallowance</w:t>
            </w:r>
          </w:p>
        </w:tc>
        <w:tc>
          <w:tcPr>
            <w:tcW w:w="6378" w:type="dxa"/>
            <w:tcBorders>
              <w:left w:val="single" w:sz="12" w:space="0" w:color="auto"/>
            </w:tcBorders>
          </w:tcPr>
          <w:p w:rsidR="00C70A30" w:rsidRPr="001F18BE" w:rsidRDefault="00C70A30" w:rsidP="00841609">
            <w:pPr>
              <w:rPr>
                <w:sz w:val="24"/>
                <w:szCs w:val="24"/>
              </w:rPr>
            </w:pPr>
            <w:r w:rsidRPr="001F18BE">
              <w:rPr>
                <w:sz w:val="24"/>
                <w:szCs w:val="24"/>
              </w:rPr>
              <w:t xml:space="preserve">15 sitting days after tabling (tabled Senate </w:t>
            </w:r>
            <w:r w:rsidRPr="001F18BE">
              <w:rPr>
                <w:noProof/>
                <w:sz w:val="24"/>
                <w:szCs w:val="24"/>
              </w:rPr>
              <w:t>9 May</w:t>
            </w:r>
            <w:r w:rsidRPr="001F18BE">
              <w:rPr>
                <w:sz w:val="24"/>
                <w:szCs w:val="24"/>
              </w:rPr>
              <w:t xml:space="preserve"> 2017)</w:t>
            </w:r>
            <w:r w:rsidRPr="001F18BE">
              <w:rPr>
                <w:sz w:val="24"/>
                <w:szCs w:val="24"/>
              </w:rPr>
              <w:br/>
            </w:r>
            <w:r w:rsidR="00877EB2" w:rsidRPr="001F18BE">
              <w:rPr>
                <w:sz w:val="24"/>
                <w:szCs w:val="24"/>
              </w:rPr>
              <w:t>The time to give a notice of motion to disallow expired on</w:t>
            </w:r>
            <w:r w:rsidRPr="001F18BE">
              <w:rPr>
                <w:sz w:val="24"/>
                <w:szCs w:val="24"/>
              </w:rPr>
              <w:t xml:space="preserve"> </w:t>
            </w:r>
            <w:r w:rsidRPr="001F18BE">
              <w:rPr>
                <w:sz w:val="24"/>
                <w:szCs w:val="24"/>
              </w:rPr>
              <w:br/>
            </w:r>
            <w:r w:rsidRPr="001F18BE">
              <w:rPr>
                <w:noProof/>
                <w:sz w:val="24"/>
                <w:szCs w:val="24"/>
              </w:rPr>
              <w:t>16 August</w:t>
            </w:r>
            <w:r w:rsidRPr="001F18BE">
              <w:rPr>
                <w:sz w:val="24"/>
                <w:szCs w:val="24"/>
              </w:rPr>
              <w:t> 2017</w:t>
            </w:r>
            <w:r w:rsidRPr="001F18BE">
              <w:rPr>
                <w:rStyle w:val="FootnoteReference"/>
                <w:sz w:val="24"/>
                <w:szCs w:val="24"/>
              </w:rPr>
              <w:footnoteReference w:id="48"/>
            </w:r>
          </w:p>
          <w:p w:rsidR="00877EB2" w:rsidRPr="008B0EEC" w:rsidRDefault="00877EB2" w:rsidP="00877EB2">
            <w:pPr>
              <w:jc w:val="left"/>
              <w:rPr>
                <w:sz w:val="24"/>
                <w:szCs w:val="24"/>
              </w:rPr>
            </w:pPr>
            <w:r w:rsidRPr="001F18BE">
              <w:rPr>
                <w:sz w:val="24"/>
                <w:szCs w:val="24"/>
              </w:rPr>
              <w:t>Notice given on 16 August 2017</w:t>
            </w:r>
            <w:r w:rsidRPr="001F18BE">
              <w:rPr>
                <w:rStyle w:val="FootnoteReference"/>
                <w:sz w:val="24"/>
                <w:szCs w:val="24"/>
              </w:rPr>
              <w:footnoteReference w:id="49"/>
            </w:r>
            <w:r w:rsidRPr="001F18BE">
              <w:rPr>
                <w:sz w:val="24"/>
                <w:szCs w:val="24"/>
              </w:rPr>
              <w:br/>
              <w:t xml:space="preserve">Motion currently </w:t>
            </w:r>
            <w:r w:rsidR="00F267EB" w:rsidRPr="001F18BE">
              <w:rPr>
                <w:sz w:val="24"/>
                <w:szCs w:val="24"/>
              </w:rPr>
              <w:t>must be resolved by 14 November</w:t>
            </w:r>
            <w:r w:rsidRPr="001F18BE">
              <w:rPr>
                <w:sz w:val="24"/>
                <w:szCs w:val="24"/>
              </w:rPr>
              <w:t xml:space="preserve"> 2017</w:t>
            </w:r>
          </w:p>
        </w:tc>
      </w:tr>
      <w:tr w:rsidR="00C70A30" w:rsidRPr="008B0EEC" w:rsidTr="00841609">
        <w:tc>
          <w:tcPr>
            <w:tcW w:w="2694" w:type="dxa"/>
            <w:tcBorders>
              <w:right w:val="single" w:sz="12" w:space="0" w:color="auto"/>
            </w:tcBorders>
          </w:tcPr>
          <w:p w:rsidR="00C70A30" w:rsidRPr="008B0EEC" w:rsidRDefault="00C70A30" w:rsidP="00841609">
            <w:pPr>
              <w:rPr>
                <w:b/>
                <w:sz w:val="24"/>
                <w:szCs w:val="24"/>
              </w:rPr>
            </w:pPr>
            <w:r w:rsidRPr="008B0EEC">
              <w:rPr>
                <w:b/>
                <w:sz w:val="24"/>
                <w:szCs w:val="24"/>
              </w:rPr>
              <w:t>Scrutiny principle</w:t>
            </w:r>
          </w:p>
        </w:tc>
        <w:tc>
          <w:tcPr>
            <w:tcW w:w="6378" w:type="dxa"/>
            <w:tcBorders>
              <w:left w:val="single" w:sz="12" w:space="0" w:color="auto"/>
            </w:tcBorders>
          </w:tcPr>
          <w:p w:rsidR="00C70A30" w:rsidRPr="008B0EEC" w:rsidRDefault="00C70A30" w:rsidP="00841609">
            <w:pPr>
              <w:rPr>
                <w:sz w:val="24"/>
                <w:szCs w:val="24"/>
              </w:rPr>
            </w:pPr>
            <w:r w:rsidRPr="008B0EEC">
              <w:rPr>
                <w:sz w:val="24"/>
                <w:szCs w:val="24"/>
              </w:rPr>
              <w:t>Standing Order 23(3)</w:t>
            </w:r>
            <w:r w:rsidRPr="008B0EEC">
              <w:rPr>
                <w:noProof/>
                <w:sz w:val="24"/>
                <w:szCs w:val="24"/>
              </w:rPr>
              <w:t>(a)</w:t>
            </w:r>
          </w:p>
        </w:tc>
      </w:tr>
      <w:tr w:rsidR="00C70A30" w:rsidRPr="008B0EEC" w:rsidTr="00841609">
        <w:tc>
          <w:tcPr>
            <w:tcW w:w="2694" w:type="dxa"/>
            <w:tcBorders>
              <w:bottom w:val="single" w:sz="12" w:space="0" w:color="auto"/>
              <w:right w:val="single" w:sz="12" w:space="0" w:color="auto"/>
            </w:tcBorders>
          </w:tcPr>
          <w:p w:rsidR="00C70A30" w:rsidRPr="008B0EEC" w:rsidRDefault="00C70A30" w:rsidP="00841609">
            <w:pPr>
              <w:rPr>
                <w:b/>
                <w:sz w:val="24"/>
                <w:szCs w:val="24"/>
              </w:rPr>
            </w:pPr>
            <w:r w:rsidRPr="008B0EEC">
              <w:rPr>
                <w:b/>
                <w:sz w:val="24"/>
                <w:szCs w:val="24"/>
              </w:rPr>
              <w:t>Previously reported in</w:t>
            </w:r>
          </w:p>
        </w:tc>
        <w:tc>
          <w:tcPr>
            <w:tcW w:w="6378" w:type="dxa"/>
            <w:tcBorders>
              <w:left w:val="single" w:sz="12" w:space="0" w:color="auto"/>
              <w:bottom w:val="single" w:sz="12" w:space="0" w:color="auto"/>
            </w:tcBorders>
          </w:tcPr>
          <w:p w:rsidR="00C70A30" w:rsidRPr="008B0EEC" w:rsidRDefault="00C70A30" w:rsidP="00841609">
            <w:pPr>
              <w:rPr>
                <w:sz w:val="24"/>
                <w:szCs w:val="24"/>
              </w:rPr>
            </w:pPr>
            <w:r w:rsidRPr="008B0EEC">
              <w:rPr>
                <w:i/>
                <w:noProof/>
                <w:sz w:val="24"/>
                <w:szCs w:val="24"/>
              </w:rPr>
              <w:t>Delegated legislation monitors</w:t>
            </w:r>
            <w:r>
              <w:rPr>
                <w:noProof/>
                <w:sz w:val="24"/>
                <w:szCs w:val="24"/>
              </w:rPr>
              <w:t xml:space="preserve"> 5,</w:t>
            </w:r>
            <w:r w:rsidRPr="008B0EEC">
              <w:rPr>
                <w:noProof/>
                <w:sz w:val="24"/>
                <w:szCs w:val="24"/>
              </w:rPr>
              <w:t xml:space="preserve"> 6</w:t>
            </w:r>
            <w:r>
              <w:rPr>
                <w:noProof/>
                <w:sz w:val="24"/>
                <w:szCs w:val="24"/>
              </w:rPr>
              <w:t xml:space="preserve"> and 10</w:t>
            </w:r>
            <w:r w:rsidRPr="008B0EEC">
              <w:rPr>
                <w:noProof/>
                <w:sz w:val="24"/>
                <w:szCs w:val="24"/>
              </w:rPr>
              <w:t xml:space="preserve"> of 2017</w:t>
            </w:r>
          </w:p>
        </w:tc>
      </w:tr>
    </w:tbl>
    <w:p w:rsidR="00C70A30" w:rsidRPr="008B0EEC" w:rsidRDefault="00C70A30" w:rsidP="00C70A30">
      <w:pPr>
        <w:spacing w:before="0" w:after="0"/>
      </w:pPr>
    </w:p>
    <w:p w:rsidR="00C70A30" w:rsidRPr="008B0EEC" w:rsidRDefault="00C70A30" w:rsidP="00C70A30">
      <w:pPr>
        <w:rPr>
          <w:b/>
          <w:noProof/>
        </w:rPr>
      </w:pPr>
      <w:r w:rsidRPr="008B0EEC">
        <w:rPr>
          <w:b/>
          <w:noProof/>
        </w:rPr>
        <w:t>Consultation</w:t>
      </w:r>
    </w:p>
    <w:p w:rsidR="00C70A30" w:rsidRPr="008B0EEC" w:rsidRDefault="00C70A30" w:rsidP="00C70A30">
      <w:pPr>
        <w:rPr>
          <w:rFonts w:asciiTheme="minorHAnsi" w:hAnsiTheme="minorHAnsi"/>
          <w:lang w:eastAsia="en-AU"/>
        </w:rPr>
      </w:pPr>
      <w:r w:rsidRPr="008B0EEC">
        <w:rPr>
          <w:rFonts w:asciiTheme="minorHAnsi" w:hAnsiTheme="minorHAnsi"/>
          <w:lang w:eastAsia="en-AU"/>
        </w:rPr>
        <w:t>The committee previously commented as follows:</w:t>
      </w:r>
    </w:p>
    <w:p w:rsidR="00C70A30" w:rsidRPr="008B0EEC" w:rsidRDefault="00C70A30" w:rsidP="00C70A30">
      <w:pPr>
        <w:rPr>
          <w:noProof/>
        </w:rPr>
      </w:pPr>
      <w:r w:rsidRPr="008B0EEC">
        <w:rPr>
          <w:noProof/>
        </w:rPr>
        <w:t xml:space="preserve">Section 17 of the </w:t>
      </w:r>
      <w:r w:rsidRPr="008B0EEC">
        <w:rPr>
          <w:i/>
          <w:noProof/>
        </w:rPr>
        <w:t>Legislation Act 2003</w:t>
      </w:r>
      <w:r w:rsidRPr="008B0EEC">
        <w:rPr>
          <w:noProof/>
        </w:rPr>
        <w:t xml:space="preserve"> directs a rule-maker to be satisfied that appropriate consultation, as is reasonably practicable, has been undertaken in relation to a proposed instrument. The ES which must accompany an instrument is required to describe the nature of any consultation that has been carried out or,</w:t>
      </w:r>
      <w:r w:rsidRPr="008B0EEC">
        <w:rPr>
          <w:noProof/>
        </w:rPr>
        <w:br/>
        <w:t>if there has been no consultation, to explain why none was undertaken (paragraphs 15J(2)(d) and (e)).</w:t>
      </w:r>
    </w:p>
    <w:p w:rsidR="00C70A30" w:rsidRPr="008B0EEC" w:rsidRDefault="00C70A30" w:rsidP="00C70A30">
      <w:pPr>
        <w:rPr>
          <w:noProof/>
        </w:rPr>
      </w:pPr>
      <w:r w:rsidRPr="008B0EEC">
        <w:rPr>
          <w:noProof/>
        </w:rPr>
        <w:t xml:space="preserve">With reference to these requirements, the committee notes that the ES for the Competition and Consumer (Industry Code—Sugar) Regulations 2017 [F2017L00387] (the sugar code) provides no information regarding consultation. </w:t>
      </w:r>
    </w:p>
    <w:p w:rsidR="00C70A30" w:rsidRPr="008B0EEC" w:rsidRDefault="00C70A30" w:rsidP="00C70A30">
      <w:pPr>
        <w:rPr>
          <w:noProof/>
        </w:rPr>
      </w:pPr>
      <w:r w:rsidRPr="008B0EEC">
        <w:rPr>
          <w:noProof/>
        </w:rPr>
        <w:t xml:space="preserve">The committee's expectations in this regard are set out in the guideline on consultation contained in Appendix 1. </w:t>
      </w:r>
    </w:p>
    <w:p w:rsidR="00C70A30" w:rsidRPr="008B0EEC" w:rsidRDefault="00C70A30" w:rsidP="00C70A30">
      <w:pPr>
        <w:rPr>
          <w:noProof/>
        </w:rPr>
      </w:pPr>
      <w:r w:rsidRPr="008B0EEC">
        <w:rPr>
          <w:noProof/>
        </w:rPr>
        <w:lastRenderedPageBreak/>
        <w:t>The committee further notes that the Prime Minister granted an exemption from the regulation impact statement (RIS) requirements for the sugar code 'because urgent and unforseen events arose requiring a decision before a RIS could be prepared.'</w:t>
      </w:r>
      <w:bookmarkStart w:id="23" w:name="book1"/>
      <w:r w:rsidRPr="008B0EEC">
        <w:rPr>
          <w:rStyle w:val="FootnoteReference"/>
          <w:noProof/>
        </w:rPr>
        <w:footnoteReference w:id="50"/>
      </w:r>
      <w:bookmarkEnd w:id="23"/>
      <w:r w:rsidRPr="008B0EEC">
        <w:rPr>
          <w:noProof/>
        </w:rPr>
        <w:t xml:space="preserve"> The ES to the sugar code states:</w:t>
      </w:r>
    </w:p>
    <w:p w:rsidR="00C70A30" w:rsidRPr="008B0EEC" w:rsidRDefault="00C70A30" w:rsidP="00C70A30">
      <w:pPr>
        <w:pStyle w:val="Quote"/>
        <w:rPr>
          <w:noProof/>
        </w:rPr>
      </w:pPr>
      <w:r w:rsidRPr="008B0EEC">
        <w:rPr>
          <w:noProof/>
        </w:rPr>
        <w:t>The Prime Minister has granted an exemption from the need to complete a Regulation Impact Statement due to special circumstances. Urgent and unforeseen events have occurred in the export sugar industry. The stalemate in commercial negotiations between the parties has created significant uncertainty for regional families and the export sugar industry. The Government is taking immediate action in order to provide certainty regarding regulatory arrangements in the industry.</w:t>
      </w:r>
    </w:p>
    <w:p w:rsidR="00C70A30" w:rsidRPr="008B0EEC" w:rsidRDefault="00C70A30" w:rsidP="00C70A30">
      <w:pPr>
        <w:pStyle w:val="Quote"/>
        <w:rPr>
          <w:noProof/>
        </w:rPr>
      </w:pPr>
      <w:r w:rsidRPr="008B0EEC">
        <w:rPr>
          <w:noProof/>
        </w:rPr>
        <w:t>To ensure the Sugar Code of Conduct (the Code) operates efficiently and effectively as intended, the Regulations also require a review of the Code to take place within 18 months after its commencement.</w:t>
      </w:r>
    </w:p>
    <w:p w:rsidR="00C70A30" w:rsidRPr="008B0EEC" w:rsidRDefault="00C70A30" w:rsidP="00C70A30">
      <w:pPr>
        <w:rPr>
          <w:noProof/>
        </w:rPr>
      </w:pPr>
      <w:r w:rsidRPr="008B0EEC">
        <w:rPr>
          <w:noProof/>
        </w:rPr>
        <w:t>The committee's guideline on consultation states:</w:t>
      </w:r>
    </w:p>
    <w:p w:rsidR="00C70A30" w:rsidRPr="008B0EEC" w:rsidRDefault="00C70A30" w:rsidP="00C70A30">
      <w:pPr>
        <w:pStyle w:val="Quote"/>
        <w:rPr>
          <w:noProof/>
        </w:rPr>
      </w:pPr>
      <w:r w:rsidRPr="008B0EEC">
        <w:rPr>
          <w:noProof/>
        </w:rPr>
        <w:t>It is also important to note that requirements regarding the preparation of a Regulation Impact Statement (RIS) are separate to the requirements of the Act in relation to consultation. This means that, although a RIS may not be required in relation to a certain instrument, the requirements of the Act regarding a description of the nature of consultation undertaken, or an explanation of why consultation has not occurred, must still be met.</w:t>
      </w:r>
    </w:p>
    <w:p w:rsidR="00C70A30" w:rsidRPr="008B0EEC" w:rsidRDefault="00C70A30" w:rsidP="00C70A30">
      <w:pPr>
        <w:rPr>
          <w:noProof/>
        </w:rPr>
      </w:pPr>
      <w:r w:rsidRPr="008B0EEC">
        <w:rPr>
          <w:noProof/>
        </w:rPr>
        <w:t>The committee request</w:t>
      </w:r>
      <w:r w:rsidR="00487E84">
        <w:rPr>
          <w:noProof/>
        </w:rPr>
        <w:t>ed</w:t>
      </w:r>
      <w:r w:rsidRPr="008B0EEC">
        <w:rPr>
          <w:noProof/>
        </w:rPr>
        <w:t xml:space="preserve"> the advice of the minister in relation to this matter; and request</w:t>
      </w:r>
      <w:r w:rsidR="00487E84">
        <w:rPr>
          <w:noProof/>
        </w:rPr>
        <w:t>ed</w:t>
      </w:r>
      <w:r w:rsidRPr="008B0EEC">
        <w:rPr>
          <w:noProof/>
        </w:rPr>
        <w:t xml:space="preserve"> that the ES be updated in accordance with the requirements of the </w:t>
      </w:r>
      <w:r w:rsidRPr="008B0EEC">
        <w:rPr>
          <w:i/>
          <w:noProof/>
        </w:rPr>
        <w:t>Legislation Act 2003</w:t>
      </w:r>
      <w:r w:rsidRPr="008B0EEC">
        <w:rPr>
          <w:noProof/>
        </w:rPr>
        <w:t>.</w:t>
      </w:r>
    </w:p>
    <w:p w:rsidR="00C70A30" w:rsidRPr="008B0EEC" w:rsidRDefault="00C70A30" w:rsidP="00C70A30">
      <w:pPr>
        <w:spacing w:after="0"/>
        <w:rPr>
          <w:b/>
          <w:noProof/>
        </w:rPr>
      </w:pPr>
      <w:r w:rsidRPr="008B0EEC">
        <w:rPr>
          <w:b/>
          <w:noProof/>
        </w:rPr>
        <w:t>Minister's first response</w:t>
      </w:r>
    </w:p>
    <w:p w:rsidR="00C70A30" w:rsidRPr="008B0EEC" w:rsidRDefault="00C70A30" w:rsidP="00C70A30">
      <w:pPr>
        <w:rPr>
          <w:noProof/>
        </w:rPr>
      </w:pPr>
      <w:r w:rsidRPr="008B0EEC">
        <w:rPr>
          <w:noProof/>
        </w:rPr>
        <w:t>The Treasurer advised:</w:t>
      </w:r>
    </w:p>
    <w:p w:rsidR="00C70A30" w:rsidRPr="008B0EEC" w:rsidRDefault="00C70A30" w:rsidP="00C70A30">
      <w:pPr>
        <w:pStyle w:val="Quote"/>
        <w:rPr>
          <w:noProof/>
        </w:rPr>
      </w:pPr>
      <w:r w:rsidRPr="008B0EEC">
        <w:rPr>
          <w:lang w:eastAsia="en-AU"/>
        </w:rPr>
        <w:t>With regards to consultation, unfortunately due to the events that warranted the Government's intervention in the raw sugar export industry, it was not reasonably practical for the Government to consult on the regulation. The Government started developing the regulations in February as a contingency should commercial negotiations fail; however consulting at that time was not appropriate as it would have undermined those negotiations. When it became clear that a commercial outcome was no longer a reasonable possibility, the Government considered the benefits of acting quickly to provide certainty for the industry outweighed the benefits of taking further time to consult before making the regulation.</w:t>
      </w:r>
    </w:p>
    <w:p w:rsidR="006C6921" w:rsidRDefault="006C6921">
      <w:pPr>
        <w:spacing w:before="0" w:after="0"/>
        <w:jc w:val="left"/>
        <w:rPr>
          <w:b/>
          <w:noProof/>
        </w:rPr>
      </w:pPr>
      <w:r>
        <w:rPr>
          <w:b/>
          <w:noProof/>
        </w:rPr>
        <w:br w:type="page"/>
      </w:r>
    </w:p>
    <w:p w:rsidR="00C70A30" w:rsidRPr="008B0EEC" w:rsidRDefault="00C70A30" w:rsidP="00C70A30">
      <w:pPr>
        <w:rPr>
          <w:b/>
          <w:noProof/>
        </w:rPr>
      </w:pPr>
      <w:bookmarkStart w:id="24" w:name="_GoBack"/>
      <w:bookmarkEnd w:id="24"/>
      <w:r w:rsidRPr="008B0EEC">
        <w:rPr>
          <w:b/>
          <w:noProof/>
        </w:rPr>
        <w:lastRenderedPageBreak/>
        <w:t>Committee's first response</w:t>
      </w:r>
    </w:p>
    <w:p w:rsidR="00C70A30" w:rsidRPr="00C70A30" w:rsidRDefault="00487E84" w:rsidP="00C70A30">
      <w:pPr>
        <w:rPr>
          <w:szCs w:val="26"/>
        </w:rPr>
      </w:pPr>
      <w:r>
        <w:rPr>
          <w:szCs w:val="26"/>
        </w:rPr>
        <w:t>The committee thanked</w:t>
      </w:r>
      <w:r w:rsidR="00C70A30" w:rsidRPr="00C70A30">
        <w:rPr>
          <w:szCs w:val="26"/>
        </w:rPr>
        <w:t xml:space="preserve"> the Treasurer for his response.</w:t>
      </w:r>
    </w:p>
    <w:p w:rsidR="00C70A30" w:rsidRPr="008B0EEC" w:rsidRDefault="00487E84" w:rsidP="00C70A30">
      <w:pPr>
        <w:rPr>
          <w:szCs w:val="26"/>
        </w:rPr>
      </w:pPr>
      <w:r>
        <w:rPr>
          <w:szCs w:val="26"/>
        </w:rPr>
        <w:t>The committee noted</w:t>
      </w:r>
      <w:r w:rsidR="00C70A30" w:rsidRPr="008B0EEC">
        <w:rPr>
          <w:szCs w:val="26"/>
        </w:rPr>
        <w:t xml:space="preserve"> the Treasurer's advice that consultation was not undertaken for the sugar code.</w:t>
      </w:r>
    </w:p>
    <w:p w:rsidR="00C70A30" w:rsidRPr="008B0EEC" w:rsidRDefault="00C70A30" w:rsidP="00C70A30">
      <w:pPr>
        <w:rPr>
          <w:szCs w:val="26"/>
        </w:rPr>
      </w:pPr>
      <w:r w:rsidRPr="008B0EEC">
        <w:rPr>
          <w:szCs w:val="26"/>
        </w:rPr>
        <w:t xml:space="preserve">However, the committee's concern with consultation is to ensure that an ES is technically compliant with the requirements of the </w:t>
      </w:r>
      <w:r w:rsidRPr="008B0EEC">
        <w:rPr>
          <w:i/>
          <w:szCs w:val="26"/>
        </w:rPr>
        <w:t>Legislation Act 2003</w:t>
      </w:r>
      <w:r w:rsidRPr="008B0EEC">
        <w:rPr>
          <w:szCs w:val="26"/>
        </w:rPr>
        <w:t>, and thus in accordance with statute (scrutiny principle 23(3)(a)). The committee considers that an ES that does not contain a description of consultation (including in appropriate instances a description stating that consultation was not considered necessary) falls short of these requirements.</w:t>
      </w:r>
    </w:p>
    <w:p w:rsidR="00C70A30" w:rsidRPr="008B0EEC" w:rsidRDefault="00487E84" w:rsidP="00C70A30">
      <w:pPr>
        <w:rPr>
          <w:szCs w:val="26"/>
        </w:rPr>
      </w:pPr>
      <w:r>
        <w:rPr>
          <w:szCs w:val="26"/>
        </w:rPr>
        <w:t>The committee requested</w:t>
      </w:r>
      <w:r w:rsidR="00C70A30" w:rsidRPr="008B0EEC">
        <w:rPr>
          <w:szCs w:val="26"/>
        </w:rPr>
        <w:t xml:space="preserve"> the further advice of the Treasurer in relation to this matter; </w:t>
      </w:r>
      <w:r>
        <w:rPr>
          <w:szCs w:val="26"/>
        </w:rPr>
        <w:t>and reiterated</w:t>
      </w:r>
      <w:r w:rsidR="00C70A30" w:rsidRPr="008B0EEC">
        <w:rPr>
          <w:szCs w:val="26"/>
        </w:rPr>
        <w:t xml:space="preserve"> its request that the ES be updated in accordance with the requirements of the </w:t>
      </w:r>
      <w:r w:rsidR="00C70A30" w:rsidRPr="008B0EEC">
        <w:rPr>
          <w:i/>
          <w:szCs w:val="26"/>
        </w:rPr>
        <w:t>Legislation Act 2003</w:t>
      </w:r>
      <w:r w:rsidR="00C70A30" w:rsidRPr="008B0EEC">
        <w:rPr>
          <w:szCs w:val="26"/>
        </w:rPr>
        <w:t>.</w:t>
      </w:r>
    </w:p>
    <w:p w:rsidR="00C70A30" w:rsidRPr="008B0EEC" w:rsidRDefault="00C70A30" w:rsidP="00C70A30">
      <w:pPr>
        <w:rPr>
          <w:b/>
          <w:noProof/>
        </w:rPr>
      </w:pPr>
      <w:r w:rsidRPr="008B0EEC">
        <w:rPr>
          <w:b/>
          <w:noProof/>
        </w:rPr>
        <w:t>Minister's second response</w:t>
      </w:r>
    </w:p>
    <w:p w:rsidR="00C70A30" w:rsidRPr="008B0EEC" w:rsidRDefault="00C70A30" w:rsidP="00C70A30">
      <w:pPr>
        <w:rPr>
          <w:noProof/>
        </w:rPr>
      </w:pPr>
      <w:r w:rsidRPr="008B0EEC">
        <w:rPr>
          <w:noProof/>
        </w:rPr>
        <w:t>The Treasurer advised:</w:t>
      </w:r>
    </w:p>
    <w:p w:rsidR="00C70A30" w:rsidRPr="008B0EEC" w:rsidRDefault="00C70A30" w:rsidP="00C70A30">
      <w:pPr>
        <w:pStyle w:val="Quote"/>
      </w:pPr>
      <w:r w:rsidRPr="008B0EEC">
        <w:t xml:space="preserve">The Committee notes that while the ES refers to an exemption from the Regulatory Impact Statement process, it does not explicitly state that no consultation was undertaken for the Sugar Code. The Committee has requested that the ES be updated to reflect this in order to be technically compliant with the requirements of the </w:t>
      </w:r>
      <w:r w:rsidRPr="008B0EEC">
        <w:rPr>
          <w:i/>
        </w:rPr>
        <w:t>Legislation Act 2003</w:t>
      </w:r>
      <w:r w:rsidRPr="008B0EEC">
        <w:t>.</w:t>
      </w:r>
    </w:p>
    <w:p w:rsidR="00C70A30" w:rsidRPr="008B0EEC" w:rsidRDefault="00C70A30" w:rsidP="00C70A30">
      <w:pPr>
        <w:pStyle w:val="Quote"/>
      </w:pPr>
      <w:r w:rsidRPr="008B0EEC">
        <w:t>In my previous response to the Committee, I explained that no consultation was undertaken by the Government due to the events within the raw sugar export industry at the time. Given that this information is now on the public record and outlined in the Committee's report, I do not believe updating the ES will provide any additional benefit to stakeholders or interested persons in explaining the operation of the Regulations.</w:t>
      </w:r>
      <w:r w:rsidRPr="008B0EEC">
        <w:br/>
        <w:t>I therefore respectfully decline the Committee's request for the ES to be updated.</w:t>
      </w:r>
    </w:p>
    <w:p w:rsidR="00C70A30" w:rsidRPr="008B0EEC" w:rsidRDefault="00C70A30" w:rsidP="00C70A30">
      <w:pPr>
        <w:rPr>
          <w:b/>
          <w:noProof/>
        </w:rPr>
      </w:pPr>
      <w:r w:rsidRPr="008B0EEC">
        <w:rPr>
          <w:b/>
          <w:noProof/>
        </w:rPr>
        <w:t>Committee's second response</w:t>
      </w:r>
    </w:p>
    <w:p w:rsidR="00C70A30" w:rsidRPr="00C70A30" w:rsidRDefault="00487E84" w:rsidP="00C70A30">
      <w:pPr>
        <w:rPr>
          <w:szCs w:val="26"/>
        </w:rPr>
      </w:pPr>
      <w:r>
        <w:rPr>
          <w:szCs w:val="26"/>
        </w:rPr>
        <w:t>The committee thanked</w:t>
      </w:r>
      <w:r w:rsidR="00C70A30" w:rsidRPr="00C70A30">
        <w:rPr>
          <w:szCs w:val="26"/>
        </w:rPr>
        <w:t xml:space="preserve"> the Treasurer for his response.</w:t>
      </w:r>
    </w:p>
    <w:p w:rsidR="00C70A30" w:rsidRPr="008B0EEC" w:rsidRDefault="00487E84" w:rsidP="00C70A30">
      <w:pPr>
        <w:rPr>
          <w:szCs w:val="26"/>
        </w:rPr>
      </w:pPr>
      <w:r>
        <w:rPr>
          <w:szCs w:val="26"/>
        </w:rPr>
        <w:t>The committee noted</w:t>
      </w:r>
      <w:r w:rsidR="00C70A30" w:rsidRPr="008B0EEC">
        <w:rPr>
          <w:szCs w:val="26"/>
        </w:rPr>
        <w:t xml:space="preserve"> the Treasurer’s advice that he does ‘not believe updating the ES will provide any additional benefit to stakeholders or interested persons in explaining the operation of the Regulations’ and that he ‘therefore respectfully decline[s] the Committee's request for the ES to be updated’. </w:t>
      </w:r>
    </w:p>
    <w:p w:rsidR="00C70A30" w:rsidRPr="008B0EEC" w:rsidRDefault="00C70A30" w:rsidP="00C70A30">
      <w:pPr>
        <w:rPr>
          <w:szCs w:val="26"/>
        </w:rPr>
      </w:pPr>
      <w:r w:rsidRPr="008B0EEC">
        <w:rPr>
          <w:szCs w:val="26"/>
        </w:rPr>
        <w:t xml:space="preserve">The committee's concern with respect to consultation is to ensure that an ES is compliant with the descriptive requirements of the </w:t>
      </w:r>
      <w:r w:rsidRPr="008B0EEC">
        <w:rPr>
          <w:i/>
          <w:szCs w:val="26"/>
        </w:rPr>
        <w:t>Legislation Act 2003</w:t>
      </w:r>
      <w:r w:rsidRPr="008B0EEC">
        <w:rPr>
          <w:szCs w:val="26"/>
        </w:rPr>
        <w:t>, and thus in accordance with statute (scrutiny principle 23(3)(a)). The absence of a description of consultation in an ES (including that no consultation was required) also falls short of the committee’s longstanding requirements in relation to the content of ESs.</w:t>
      </w:r>
    </w:p>
    <w:p w:rsidR="00C70A30" w:rsidRPr="008B0EEC" w:rsidRDefault="00C70A30" w:rsidP="00C70A30">
      <w:pPr>
        <w:rPr>
          <w:szCs w:val="26"/>
        </w:rPr>
      </w:pPr>
      <w:r w:rsidRPr="008B0EEC">
        <w:rPr>
          <w:szCs w:val="26"/>
        </w:rPr>
        <w:lastRenderedPageBreak/>
        <w:t xml:space="preserve">The expectation that ESs address the matter of consultation predates the enactment of the </w:t>
      </w:r>
      <w:r w:rsidRPr="008B0EEC">
        <w:rPr>
          <w:i/>
          <w:szCs w:val="26"/>
        </w:rPr>
        <w:t xml:space="preserve">Legislation Act 2003 </w:t>
      </w:r>
      <w:r w:rsidRPr="008B0EEC">
        <w:rPr>
          <w:szCs w:val="26"/>
        </w:rPr>
        <w:t xml:space="preserve">(previously the </w:t>
      </w:r>
      <w:r w:rsidRPr="008B0EEC">
        <w:rPr>
          <w:i/>
          <w:szCs w:val="26"/>
        </w:rPr>
        <w:t>Legislative Instruments Act 2003</w:t>
      </w:r>
      <w:r w:rsidRPr="008B0EEC">
        <w:rPr>
          <w:szCs w:val="26"/>
        </w:rPr>
        <w:t>), which placed a number of the committee's longstanding requirements in relation to the making of delegated legislation and ESs on a statutory basis. The committee regards the extent and nature of consultation in relation to the making of an instrument as a critical aspect of the exercise of the parliament's delegated powers and, accordingly, information regarding consultation as a critical inclusion for ESs.</w:t>
      </w:r>
    </w:p>
    <w:p w:rsidR="00C70A30" w:rsidRPr="008B0EEC" w:rsidRDefault="00C70A30" w:rsidP="00C70A30">
      <w:pPr>
        <w:rPr>
          <w:szCs w:val="26"/>
        </w:rPr>
      </w:pPr>
      <w:r w:rsidRPr="008B0EEC">
        <w:rPr>
          <w:szCs w:val="26"/>
        </w:rPr>
        <w:t xml:space="preserve">On this basis, the committee considers that the fact that the information that no consultation was undertaken in relation to the sugar code is now on the public record does not satisfy the committee’s request that the ES be updated with the relevant information. </w:t>
      </w:r>
    </w:p>
    <w:p w:rsidR="00C70A30" w:rsidRPr="00C70A30" w:rsidRDefault="00487E84" w:rsidP="00C70A30">
      <w:pPr>
        <w:rPr>
          <w:szCs w:val="26"/>
        </w:rPr>
      </w:pPr>
      <w:r>
        <w:rPr>
          <w:szCs w:val="26"/>
        </w:rPr>
        <w:t>The committee therefore requested</w:t>
      </w:r>
      <w:r w:rsidR="00C70A30" w:rsidRPr="00C70A30">
        <w:rPr>
          <w:szCs w:val="26"/>
        </w:rPr>
        <w:t xml:space="preserve"> the further advice</w:t>
      </w:r>
      <w:r>
        <w:rPr>
          <w:szCs w:val="26"/>
        </w:rPr>
        <w:t xml:space="preserve"> of the Treasurer and reiterated</w:t>
      </w:r>
      <w:r w:rsidR="00C70A30" w:rsidRPr="00C70A30">
        <w:rPr>
          <w:szCs w:val="26"/>
        </w:rPr>
        <w:t xml:space="preserve"> its request that the ES be updated in accordance with the requirements of the </w:t>
      </w:r>
      <w:r w:rsidR="00C70A30" w:rsidRPr="00C70A30">
        <w:rPr>
          <w:i/>
          <w:szCs w:val="26"/>
        </w:rPr>
        <w:t>Legislation Act 2003</w:t>
      </w:r>
      <w:r w:rsidR="00C70A30" w:rsidRPr="00C70A30">
        <w:rPr>
          <w:szCs w:val="26"/>
        </w:rPr>
        <w:t>.</w:t>
      </w:r>
    </w:p>
    <w:p w:rsidR="00C70A30" w:rsidRPr="008B0EEC" w:rsidRDefault="00C70A30" w:rsidP="00C70A30">
      <w:pPr>
        <w:spacing w:after="0"/>
        <w:rPr>
          <w:b/>
          <w:noProof/>
        </w:rPr>
      </w:pPr>
      <w:r w:rsidRPr="008B0EEC">
        <w:rPr>
          <w:b/>
          <w:noProof/>
        </w:rPr>
        <w:t xml:space="preserve">Minister's </w:t>
      </w:r>
      <w:r>
        <w:rPr>
          <w:b/>
          <w:noProof/>
        </w:rPr>
        <w:t>third</w:t>
      </w:r>
      <w:r w:rsidRPr="008B0EEC">
        <w:rPr>
          <w:b/>
          <w:noProof/>
        </w:rPr>
        <w:t xml:space="preserve"> response</w:t>
      </w:r>
    </w:p>
    <w:p w:rsidR="00C70A30" w:rsidRDefault="00C70A30" w:rsidP="00C70A30">
      <w:pPr>
        <w:rPr>
          <w:noProof/>
        </w:rPr>
      </w:pPr>
      <w:r w:rsidRPr="008B0EEC">
        <w:rPr>
          <w:noProof/>
        </w:rPr>
        <w:t>The Treasurer advised:</w:t>
      </w:r>
    </w:p>
    <w:p w:rsidR="00004825" w:rsidRDefault="00004825" w:rsidP="00004825">
      <w:pPr>
        <w:pStyle w:val="Quote"/>
        <w:rPr>
          <w:noProof/>
        </w:rPr>
      </w:pPr>
      <w:r>
        <w:rPr>
          <w:noProof/>
        </w:rPr>
        <w:t>I would like to inform the Committee that I have agreed to update the ES to explicitly state that no consultation was undertaken for the Regulations. I note that the explanation as to why no consultation occurred at the time is already set out in the ES. Please see attached for an excerpt of the updated ES, which includes the additional text.</w:t>
      </w:r>
    </w:p>
    <w:p w:rsidR="00004825" w:rsidRDefault="00004825" w:rsidP="00004825">
      <w:pPr>
        <w:pStyle w:val="Quote"/>
        <w:rPr>
          <w:noProof/>
        </w:rPr>
      </w:pPr>
      <w:r>
        <w:rPr>
          <w:noProof/>
        </w:rPr>
        <w:t xml:space="preserve">I trust this change will ensure that the ES is technically compliant with the requirements of the </w:t>
      </w:r>
      <w:r w:rsidRPr="00004825">
        <w:rPr>
          <w:i/>
          <w:noProof/>
        </w:rPr>
        <w:t>Legislation Act 2003</w:t>
      </w:r>
      <w:r>
        <w:rPr>
          <w:noProof/>
        </w:rPr>
        <w:t>.</w:t>
      </w:r>
    </w:p>
    <w:p w:rsidR="00C70A30" w:rsidRDefault="00004825" w:rsidP="00004825">
      <w:pPr>
        <w:pStyle w:val="Quote"/>
        <w:rPr>
          <w:noProof/>
        </w:rPr>
      </w:pPr>
      <w:r>
        <w:rPr>
          <w:noProof/>
        </w:rPr>
        <w:t>The updated ES will be lodged on the Federal Register of Legislation and tabled in accordance with standard procedures.</w:t>
      </w:r>
    </w:p>
    <w:p w:rsidR="00004825" w:rsidRPr="00004825" w:rsidRDefault="00004825" w:rsidP="00004825">
      <w:pPr>
        <w:pStyle w:val="Quote"/>
        <w:rPr>
          <w:noProof/>
          <w:u w:val="single"/>
        </w:rPr>
      </w:pPr>
      <w:r w:rsidRPr="00004825">
        <w:rPr>
          <w:noProof/>
          <w:u w:val="single"/>
        </w:rPr>
        <w:t>Relevant excerpt from the ES:</w:t>
      </w:r>
    </w:p>
    <w:p w:rsidR="00004825" w:rsidRDefault="00004825" w:rsidP="00004825">
      <w:pPr>
        <w:pStyle w:val="Quote"/>
        <w:rPr>
          <w:noProof/>
        </w:rPr>
      </w:pPr>
      <w:r>
        <w:rPr>
          <w:noProof/>
        </w:rPr>
        <w:t>The Prime Minister has granted an exemption from the need to complete a Regulation Impact Statement due to special circumstances. Urgent and unforeseen events have occurred in the export sugar industry. The stalemate in commercial negotiations between the parties has created significant uncertainty for regional families and the export sugar industry. The Government is taking immediate action in order to provide certainty regarding regulatory arrangements in the industry.</w:t>
      </w:r>
    </w:p>
    <w:p w:rsidR="00004825" w:rsidRPr="008B0EEC" w:rsidRDefault="00004825" w:rsidP="00004825">
      <w:pPr>
        <w:pStyle w:val="Quote"/>
        <w:rPr>
          <w:noProof/>
        </w:rPr>
      </w:pPr>
      <w:r>
        <w:rPr>
          <w:noProof/>
        </w:rPr>
        <w:t>Due to these circumstances and the urgent need for Government intervention, no consultation was undertaken on the Regulations.</w:t>
      </w:r>
    </w:p>
    <w:p w:rsidR="00C70A30" w:rsidRPr="008B0EEC" w:rsidRDefault="00C70A30" w:rsidP="00C70A30">
      <w:pPr>
        <w:rPr>
          <w:b/>
          <w:noProof/>
        </w:rPr>
      </w:pPr>
      <w:r>
        <w:rPr>
          <w:b/>
          <w:noProof/>
        </w:rPr>
        <w:t>Committee's third</w:t>
      </w:r>
      <w:r w:rsidRPr="008B0EEC">
        <w:rPr>
          <w:b/>
          <w:noProof/>
        </w:rPr>
        <w:t xml:space="preserve"> response</w:t>
      </w:r>
    </w:p>
    <w:p w:rsidR="00C70A30" w:rsidRDefault="00C70A30" w:rsidP="00C70A30">
      <w:pPr>
        <w:rPr>
          <w:b/>
          <w:szCs w:val="26"/>
        </w:rPr>
      </w:pPr>
      <w:r w:rsidRPr="008B0EEC">
        <w:rPr>
          <w:b/>
          <w:szCs w:val="26"/>
        </w:rPr>
        <w:t>The committee thanks the Treasurer for his response</w:t>
      </w:r>
      <w:r>
        <w:rPr>
          <w:b/>
          <w:szCs w:val="26"/>
        </w:rPr>
        <w:t xml:space="preserve"> and has concluded its </w:t>
      </w:r>
      <w:r w:rsidRPr="00556E96">
        <w:rPr>
          <w:b/>
          <w:szCs w:val="26"/>
        </w:rPr>
        <w:t>examination of the above</w:t>
      </w:r>
      <w:r w:rsidRPr="008B0EEC">
        <w:rPr>
          <w:b/>
          <w:szCs w:val="26"/>
        </w:rPr>
        <w:t>.</w:t>
      </w:r>
    </w:p>
    <w:p w:rsidR="00004825" w:rsidRPr="00004825" w:rsidRDefault="00004825" w:rsidP="00C70A30">
      <w:pPr>
        <w:rPr>
          <w:szCs w:val="26"/>
        </w:rPr>
      </w:pPr>
      <w:r w:rsidRPr="00004825">
        <w:rPr>
          <w:szCs w:val="26"/>
        </w:rPr>
        <w:lastRenderedPageBreak/>
        <w:t xml:space="preserve">The committee </w:t>
      </w:r>
      <w:r>
        <w:rPr>
          <w:szCs w:val="26"/>
        </w:rPr>
        <w:t xml:space="preserve">notes the Treasurer's advice that no consultation was undertaken in making the regulations and </w:t>
      </w:r>
      <w:r w:rsidR="00284F5D">
        <w:rPr>
          <w:szCs w:val="26"/>
        </w:rPr>
        <w:t>notes that the replacement ES containing the above relevant excerpt has now been registered</w:t>
      </w:r>
      <w:r>
        <w:rPr>
          <w:szCs w:val="26"/>
        </w:rPr>
        <w:t xml:space="preserve"> on the Federal Register of Legislation.</w:t>
      </w:r>
    </w:p>
    <w:p w:rsidR="00C70A30" w:rsidRPr="009A39A3" w:rsidRDefault="00C70A30" w:rsidP="009A39A3">
      <w:pPr>
        <w:jc w:val="left"/>
      </w:pPr>
    </w:p>
    <w:tbl>
      <w:tblPr>
        <w:tblW w:w="0" w:type="auto"/>
        <w:tblInd w:w="108" w:type="dxa"/>
        <w:tblLook w:val="04A0" w:firstRow="1" w:lastRow="0" w:firstColumn="1" w:lastColumn="0" w:noHBand="0" w:noVBand="1"/>
      </w:tblPr>
      <w:tblGrid>
        <w:gridCol w:w="2694"/>
        <w:gridCol w:w="6378"/>
      </w:tblGrid>
      <w:tr w:rsidR="00DB4521" w:rsidRPr="00322850" w:rsidTr="00C25B02">
        <w:tc>
          <w:tcPr>
            <w:tcW w:w="2694" w:type="dxa"/>
            <w:tcBorders>
              <w:top w:val="single" w:sz="12" w:space="0" w:color="auto"/>
              <w:right w:val="single" w:sz="12" w:space="0" w:color="auto"/>
            </w:tcBorders>
          </w:tcPr>
          <w:p w:rsidR="00DB4521" w:rsidRPr="00322850" w:rsidRDefault="00DB4521" w:rsidP="00C25B02">
            <w:pPr>
              <w:rPr>
                <w:b/>
                <w:sz w:val="24"/>
                <w:szCs w:val="24"/>
              </w:rPr>
            </w:pPr>
            <w:r>
              <w:br w:type="page"/>
            </w:r>
            <w:r w:rsidRPr="00322850">
              <w:rPr>
                <w:b/>
                <w:sz w:val="24"/>
                <w:szCs w:val="24"/>
              </w:rPr>
              <w:t>Instrument</w:t>
            </w:r>
          </w:p>
        </w:tc>
        <w:tc>
          <w:tcPr>
            <w:tcW w:w="6378" w:type="dxa"/>
            <w:tcBorders>
              <w:top w:val="single" w:sz="12" w:space="0" w:color="auto"/>
              <w:left w:val="single" w:sz="12" w:space="0" w:color="auto"/>
            </w:tcBorders>
          </w:tcPr>
          <w:p w:rsidR="00DB4521" w:rsidRPr="00BB748A" w:rsidRDefault="00DB4521" w:rsidP="00C25B02">
            <w:pPr>
              <w:pStyle w:val="Heading3"/>
              <w:rPr>
                <w:noProof/>
                <w:sz w:val="24"/>
                <w:szCs w:val="24"/>
              </w:rPr>
            </w:pPr>
            <w:r w:rsidRPr="00BB748A">
              <w:rPr>
                <w:noProof/>
                <w:sz w:val="24"/>
                <w:szCs w:val="24"/>
              </w:rPr>
              <w:t>Consumer Goods (Babies’ Dummies and Dummy Chains) Safety Standard 2017 [F2017L00516]</w:t>
            </w:r>
          </w:p>
          <w:p w:rsidR="00DB4521" w:rsidRPr="00BB748A" w:rsidRDefault="00DB4521" w:rsidP="00C25B02">
            <w:pPr>
              <w:pStyle w:val="Heading3"/>
              <w:rPr>
                <w:noProof/>
                <w:sz w:val="24"/>
                <w:szCs w:val="24"/>
              </w:rPr>
            </w:pPr>
            <w:r w:rsidRPr="00BB748A">
              <w:rPr>
                <w:noProof/>
                <w:sz w:val="24"/>
                <w:szCs w:val="24"/>
              </w:rPr>
              <w:t>Consumer Goods (Children’s Nightwear and Limited Daywear and Paper Patterns for Children’s Nightwear) Safety Standard 2017 [F2017L00452]</w:t>
            </w:r>
          </w:p>
          <w:p w:rsidR="00DB4521" w:rsidRPr="00322850" w:rsidRDefault="00DB4521" w:rsidP="00C25B02">
            <w:pPr>
              <w:pStyle w:val="Heading3"/>
              <w:rPr>
                <w:sz w:val="24"/>
                <w:szCs w:val="24"/>
              </w:rPr>
            </w:pPr>
            <w:r w:rsidRPr="00BB748A">
              <w:rPr>
                <w:noProof/>
                <w:sz w:val="24"/>
                <w:szCs w:val="24"/>
              </w:rPr>
              <w:t>Extension of the Ban Period for the Interim Ban on Certain Decorative Alcohol Fuelled Devices [F2017L00518]</w:t>
            </w:r>
          </w:p>
        </w:tc>
      </w:tr>
      <w:tr w:rsidR="00DB4521" w:rsidRPr="00322850" w:rsidTr="00C25B02">
        <w:tc>
          <w:tcPr>
            <w:tcW w:w="2694" w:type="dxa"/>
            <w:tcBorders>
              <w:right w:val="single" w:sz="12" w:space="0" w:color="auto"/>
            </w:tcBorders>
          </w:tcPr>
          <w:p w:rsidR="00DB4521" w:rsidRPr="00322850" w:rsidRDefault="00DB4521" w:rsidP="00C25B02">
            <w:pPr>
              <w:rPr>
                <w:b/>
                <w:sz w:val="24"/>
                <w:szCs w:val="24"/>
              </w:rPr>
            </w:pPr>
            <w:r w:rsidRPr="00322850">
              <w:rPr>
                <w:b/>
                <w:sz w:val="24"/>
                <w:szCs w:val="24"/>
              </w:rPr>
              <w:t>Purpose</w:t>
            </w:r>
          </w:p>
        </w:tc>
        <w:tc>
          <w:tcPr>
            <w:tcW w:w="6378" w:type="dxa"/>
            <w:tcBorders>
              <w:left w:val="single" w:sz="12" w:space="0" w:color="auto"/>
            </w:tcBorders>
          </w:tcPr>
          <w:p w:rsidR="00DB4521" w:rsidRPr="00322850" w:rsidRDefault="00DB4521" w:rsidP="00C25B02">
            <w:pPr>
              <w:jc w:val="left"/>
              <w:rPr>
                <w:noProof/>
                <w:sz w:val="24"/>
                <w:szCs w:val="24"/>
              </w:rPr>
            </w:pPr>
            <w:r>
              <w:rPr>
                <w:noProof/>
                <w:sz w:val="24"/>
                <w:szCs w:val="24"/>
              </w:rPr>
              <w:t>S</w:t>
            </w:r>
            <w:r w:rsidRPr="00BB748A">
              <w:rPr>
                <w:noProof/>
                <w:sz w:val="24"/>
                <w:szCs w:val="24"/>
              </w:rPr>
              <w:t>pecifi</w:t>
            </w:r>
            <w:r>
              <w:rPr>
                <w:noProof/>
                <w:sz w:val="24"/>
                <w:szCs w:val="24"/>
              </w:rPr>
              <w:t>es</w:t>
            </w:r>
            <w:r w:rsidRPr="00BB748A">
              <w:rPr>
                <w:noProof/>
                <w:sz w:val="24"/>
                <w:szCs w:val="24"/>
              </w:rPr>
              <w:t xml:space="preserve"> construction, design, performance and labelling requirements for babies' dummies;</w:t>
            </w:r>
            <w:r>
              <w:rPr>
                <w:noProof/>
                <w:sz w:val="24"/>
                <w:szCs w:val="24"/>
              </w:rPr>
              <w:br/>
            </w:r>
            <w:r>
              <w:rPr>
                <w:noProof/>
                <w:sz w:val="24"/>
                <w:szCs w:val="24"/>
              </w:rPr>
              <w:br/>
              <w:t>P</w:t>
            </w:r>
            <w:r w:rsidRPr="00BB748A">
              <w:rPr>
                <w:noProof/>
                <w:sz w:val="24"/>
                <w:szCs w:val="24"/>
              </w:rPr>
              <w:t>rescribes requirements for the supply of children's nightwear and limited daywear and paper patterns for children's nightwear;</w:t>
            </w:r>
            <w:r>
              <w:rPr>
                <w:noProof/>
                <w:sz w:val="24"/>
                <w:szCs w:val="24"/>
              </w:rPr>
              <w:t xml:space="preserve"> and </w:t>
            </w:r>
            <w:r>
              <w:rPr>
                <w:noProof/>
                <w:sz w:val="24"/>
                <w:szCs w:val="24"/>
              </w:rPr>
              <w:br/>
            </w:r>
            <w:r>
              <w:rPr>
                <w:noProof/>
                <w:sz w:val="24"/>
                <w:szCs w:val="24"/>
              </w:rPr>
              <w:br/>
              <w:t>E</w:t>
            </w:r>
            <w:r w:rsidRPr="00BB748A">
              <w:rPr>
                <w:noProof/>
                <w:sz w:val="24"/>
                <w:szCs w:val="24"/>
              </w:rPr>
              <w:t>xtends the interim ban on certain decorative alcohol fuelled devices by a period of 30 days from 16 May 2017</w:t>
            </w:r>
          </w:p>
        </w:tc>
      </w:tr>
      <w:tr w:rsidR="00DB4521" w:rsidRPr="00322850" w:rsidTr="00C25B02">
        <w:tc>
          <w:tcPr>
            <w:tcW w:w="2694" w:type="dxa"/>
            <w:tcBorders>
              <w:right w:val="single" w:sz="12" w:space="0" w:color="auto"/>
            </w:tcBorders>
          </w:tcPr>
          <w:p w:rsidR="00DB4521" w:rsidRPr="00322850" w:rsidRDefault="00DB4521" w:rsidP="00C25B02">
            <w:pPr>
              <w:rPr>
                <w:b/>
                <w:sz w:val="24"/>
                <w:szCs w:val="24"/>
              </w:rPr>
            </w:pPr>
            <w:r w:rsidRPr="00322850">
              <w:rPr>
                <w:b/>
                <w:sz w:val="24"/>
                <w:szCs w:val="24"/>
              </w:rPr>
              <w:t>Authorising legislation</w:t>
            </w:r>
          </w:p>
        </w:tc>
        <w:tc>
          <w:tcPr>
            <w:tcW w:w="6378" w:type="dxa"/>
            <w:tcBorders>
              <w:left w:val="single" w:sz="12" w:space="0" w:color="auto"/>
            </w:tcBorders>
          </w:tcPr>
          <w:p w:rsidR="00DB4521" w:rsidRPr="00322850" w:rsidRDefault="00DB4521" w:rsidP="00C25B02">
            <w:pPr>
              <w:rPr>
                <w:i/>
                <w:sz w:val="24"/>
                <w:szCs w:val="24"/>
              </w:rPr>
            </w:pPr>
            <w:r w:rsidRPr="00BB748A">
              <w:rPr>
                <w:i/>
                <w:noProof/>
                <w:sz w:val="24"/>
                <w:szCs w:val="24"/>
              </w:rPr>
              <w:t>Competition and Consumer Act 2010</w:t>
            </w:r>
          </w:p>
        </w:tc>
      </w:tr>
      <w:tr w:rsidR="00DB4521" w:rsidRPr="00322850" w:rsidTr="00C25B02">
        <w:tc>
          <w:tcPr>
            <w:tcW w:w="2694" w:type="dxa"/>
            <w:tcBorders>
              <w:right w:val="single" w:sz="12" w:space="0" w:color="auto"/>
            </w:tcBorders>
          </w:tcPr>
          <w:p w:rsidR="00DB4521" w:rsidRPr="00322850" w:rsidRDefault="00DB4521" w:rsidP="00C25B02">
            <w:pPr>
              <w:rPr>
                <w:b/>
                <w:sz w:val="24"/>
                <w:szCs w:val="24"/>
              </w:rPr>
            </w:pPr>
            <w:r w:rsidRPr="00322850">
              <w:rPr>
                <w:b/>
                <w:sz w:val="24"/>
                <w:szCs w:val="24"/>
              </w:rPr>
              <w:t>Department</w:t>
            </w:r>
          </w:p>
        </w:tc>
        <w:tc>
          <w:tcPr>
            <w:tcW w:w="6378" w:type="dxa"/>
            <w:tcBorders>
              <w:left w:val="single" w:sz="12" w:space="0" w:color="auto"/>
            </w:tcBorders>
          </w:tcPr>
          <w:p w:rsidR="00DB4521" w:rsidRPr="00322850" w:rsidRDefault="00DB4521" w:rsidP="00C25B02">
            <w:pPr>
              <w:rPr>
                <w:sz w:val="24"/>
                <w:szCs w:val="24"/>
              </w:rPr>
            </w:pPr>
            <w:r w:rsidRPr="00BB748A">
              <w:rPr>
                <w:noProof/>
                <w:sz w:val="24"/>
                <w:szCs w:val="24"/>
              </w:rPr>
              <w:t>Treasury</w:t>
            </w:r>
          </w:p>
        </w:tc>
      </w:tr>
      <w:tr w:rsidR="00DB4521" w:rsidRPr="00322850" w:rsidTr="00C25B02">
        <w:tc>
          <w:tcPr>
            <w:tcW w:w="2694" w:type="dxa"/>
            <w:tcBorders>
              <w:right w:val="single" w:sz="12" w:space="0" w:color="auto"/>
            </w:tcBorders>
          </w:tcPr>
          <w:p w:rsidR="00DB4521" w:rsidRPr="00322850" w:rsidRDefault="00DB4521" w:rsidP="00C25B02">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DB4521" w:rsidRDefault="000470C0" w:rsidP="00C25B02">
            <w:pPr>
              <w:rPr>
                <w:sz w:val="24"/>
                <w:szCs w:val="24"/>
              </w:rPr>
            </w:pPr>
            <w:r>
              <w:rPr>
                <w:sz w:val="24"/>
                <w:szCs w:val="24"/>
              </w:rPr>
              <w:t>Exempt</w:t>
            </w:r>
          </w:p>
          <w:p w:rsidR="00DB4521" w:rsidRDefault="00DB4521" w:rsidP="00C25B02">
            <w:pPr>
              <w:spacing w:after="0"/>
              <w:jc w:val="left"/>
              <w:rPr>
                <w:sz w:val="24"/>
                <w:szCs w:val="24"/>
              </w:rPr>
            </w:pPr>
            <w:r w:rsidRPr="00BB748A">
              <w:rPr>
                <w:noProof/>
                <w:sz w:val="24"/>
                <w:szCs w:val="24"/>
              </w:rPr>
              <w:t>[F2017L00452]</w:t>
            </w:r>
            <w:r>
              <w:rPr>
                <w:noProof/>
                <w:sz w:val="24"/>
                <w:szCs w:val="24"/>
              </w:rPr>
              <w:t xml:space="preserve"> </w:t>
            </w:r>
            <w:r>
              <w:rPr>
                <w:sz w:val="24"/>
                <w:szCs w:val="24"/>
              </w:rPr>
              <w:t xml:space="preserve">tabled Senate </w:t>
            </w:r>
            <w:r w:rsidRPr="00BB748A">
              <w:rPr>
                <w:noProof/>
                <w:sz w:val="24"/>
                <w:szCs w:val="24"/>
              </w:rPr>
              <w:t>9 May</w:t>
            </w:r>
            <w:r w:rsidR="000470C0">
              <w:rPr>
                <w:noProof/>
                <w:sz w:val="24"/>
                <w:szCs w:val="24"/>
              </w:rPr>
              <w:t xml:space="preserve"> 2017</w:t>
            </w:r>
          </w:p>
          <w:p w:rsidR="00DB4521" w:rsidRPr="00322850" w:rsidRDefault="00DB4521" w:rsidP="000470C0">
            <w:pPr>
              <w:rPr>
                <w:sz w:val="24"/>
                <w:szCs w:val="24"/>
              </w:rPr>
            </w:pPr>
            <w:r w:rsidRPr="00BB748A">
              <w:rPr>
                <w:noProof/>
                <w:sz w:val="24"/>
                <w:szCs w:val="24"/>
              </w:rPr>
              <w:t>[F2017L00516]</w:t>
            </w:r>
            <w:r w:rsidR="000470C0">
              <w:rPr>
                <w:noProof/>
                <w:sz w:val="24"/>
                <w:szCs w:val="24"/>
              </w:rPr>
              <w:t xml:space="preserve"> and</w:t>
            </w:r>
            <w:r>
              <w:rPr>
                <w:noProof/>
                <w:sz w:val="24"/>
                <w:szCs w:val="24"/>
              </w:rPr>
              <w:t xml:space="preserve"> </w:t>
            </w:r>
            <w:r w:rsidRPr="00BB748A">
              <w:rPr>
                <w:noProof/>
                <w:sz w:val="24"/>
                <w:szCs w:val="24"/>
              </w:rPr>
              <w:t>[F2017L00518]</w:t>
            </w:r>
            <w:r w:rsidR="000470C0">
              <w:rPr>
                <w:sz w:val="24"/>
                <w:szCs w:val="24"/>
              </w:rPr>
              <w:t xml:space="preserve"> tabled Senate 13 June 2017</w:t>
            </w:r>
          </w:p>
        </w:tc>
      </w:tr>
      <w:tr w:rsidR="00DB4521" w:rsidRPr="00322850" w:rsidTr="00C25B02">
        <w:tc>
          <w:tcPr>
            <w:tcW w:w="2694" w:type="dxa"/>
            <w:tcBorders>
              <w:right w:val="single" w:sz="12" w:space="0" w:color="auto"/>
            </w:tcBorders>
          </w:tcPr>
          <w:p w:rsidR="00DB4521" w:rsidRPr="00322850" w:rsidRDefault="00DB4521" w:rsidP="00C25B02">
            <w:pPr>
              <w:rPr>
                <w:b/>
                <w:sz w:val="24"/>
                <w:szCs w:val="24"/>
              </w:rPr>
            </w:pPr>
            <w:r w:rsidRPr="00322850">
              <w:rPr>
                <w:b/>
                <w:sz w:val="24"/>
                <w:szCs w:val="24"/>
              </w:rPr>
              <w:t>Scrutiny principle</w:t>
            </w:r>
          </w:p>
        </w:tc>
        <w:tc>
          <w:tcPr>
            <w:tcW w:w="6378" w:type="dxa"/>
            <w:tcBorders>
              <w:left w:val="single" w:sz="12" w:space="0" w:color="auto"/>
            </w:tcBorders>
          </w:tcPr>
          <w:p w:rsidR="00DB4521" w:rsidRPr="00322850" w:rsidRDefault="00DB4521" w:rsidP="00C25B02">
            <w:pPr>
              <w:rPr>
                <w:sz w:val="24"/>
                <w:szCs w:val="24"/>
              </w:rPr>
            </w:pPr>
            <w:r w:rsidRPr="00322850">
              <w:rPr>
                <w:sz w:val="24"/>
                <w:szCs w:val="24"/>
              </w:rPr>
              <w:t>Standing Order 23(3)</w:t>
            </w:r>
            <w:r w:rsidRPr="00BB748A">
              <w:rPr>
                <w:noProof/>
                <w:sz w:val="24"/>
                <w:szCs w:val="24"/>
              </w:rPr>
              <w:t>(a)</w:t>
            </w:r>
          </w:p>
        </w:tc>
      </w:tr>
      <w:tr w:rsidR="00DB4521" w:rsidRPr="00322850" w:rsidTr="00C25B02">
        <w:tc>
          <w:tcPr>
            <w:tcW w:w="2694" w:type="dxa"/>
            <w:tcBorders>
              <w:bottom w:val="single" w:sz="12" w:space="0" w:color="auto"/>
              <w:right w:val="single" w:sz="12" w:space="0" w:color="auto"/>
            </w:tcBorders>
          </w:tcPr>
          <w:p w:rsidR="00DB4521" w:rsidRPr="005F12EB" w:rsidRDefault="00DB4521" w:rsidP="00C25B02">
            <w:pPr>
              <w:rPr>
                <w:b/>
                <w:sz w:val="24"/>
                <w:szCs w:val="24"/>
              </w:rPr>
            </w:pPr>
            <w:r w:rsidRPr="005F12EB">
              <w:rPr>
                <w:b/>
                <w:sz w:val="24"/>
                <w:szCs w:val="24"/>
              </w:rPr>
              <w:t>Previously reported in</w:t>
            </w:r>
          </w:p>
        </w:tc>
        <w:tc>
          <w:tcPr>
            <w:tcW w:w="6378" w:type="dxa"/>
            <w:tcBorders>
              <w:left w:val="single" w:sz="12" w:space="0" w:color="auto"/>
              <w:bottom w:val="single" w:sz="12" w:space="0" w:color="auto"/>
            </w:tcBorders>
          </w:tcPr>
          <w:p w:rsidR="00DB4521" w:rsidRPr="005F12EB" w:rsidRDefault="00DB4521" w:rsidP="00C25B02">
            <w:pPr>
              <w:rPr>
                <w:sz w:val="24"/>
                <w:szCs w:val="24"/>
              </w:rPr>
            </w:pPr>
            <w:r w:rsidRPr="005F12EB">
              <w:rPr>
                <w:i/>
                <w:noProof/>
                <w:sz w:val="24"/>
                <w:szCs w:val="24"/>
              </w:rPr>
              <w:t>Delegated legislation monitor</w:t>
            </w:r>
            <w:r w:rsidR="00CA7234">
              <w:rPr>
                <w:i/>
                <w:noProof/>
                <w:sz w:val="24"/>
                <w:szCs w:val="24"/>
              </w:rPr>
              <w:t>s</w:t>
            </w:r>
            <w:r>
              <w:rPr>
                <w:noProof/>
                <w:sz w:val="24"/>
                <w:szCs w:val="24"/>
              </w:rPr>
              <w:t xml:space="preserve"> 6</w:t>
            </w:r>
            <w:r w:rsidR="00CA7234">
              <w:rPr>
                <w:noProof/>
                <w:sz w:val="24"/>
                <w:szCs w:val="24"/>
              </w:rPr>
              <w:t xml:space="preserve"> and 8</w:t>
            </w:r>
            <w:r w:rsidRPr="005F12EB">
              <w:rPr>
                <w:noProof/>
                <w:sz w:val="24"/>
                <w:szCs w:val="24"/>
              </w:rPr>
              <w:t xml:space="preserve"> of 2017</w:t>
            </w:r>
          </w:p>
        </w:tc>
      </w:tr>
    </w:tbl>
    <w:p w:rsidR="000B5953" w:rsidRDefault="000B5953" w:rsidP="000B5953">
      <w:pPr>
        <w:spacing w:before="0"/>
        <w:rPr>
          <w:noProof/>
        </w:rPr>
      </w:pPr>
    </w:p>
    <w:p w:rsidR="00DB4521" w:rsidRPr="00775E37" w:rsidRDefault="00DB4521" w:rsidP="00DB4521">
      <w:pPr>
        <w:rPr>
          <w:noProof/>
        </w:rPr>
      </w:pPr>
      <w:r>
        <w:rPr>
          <w:noProof/>
        </w:rPr>
        <w:t>The committee previously commented as follows:</w:t>
      </w:r>
    </w:p>
    <w:p w:rsidR="00DB4521" w:rsidRDefault="00DB4521" w:rsidP="00DB4521">
      <w:pPr>
        <w:rPr>
          <w:b/>
          <w:noProof/>
        </w:rPr>
      </w:pPr>
      <w:r>
        <w:rPr>
          <w:b/>
          <w:noProof/>
        </w:rPr>
        <w:t>Background</w:t>
      </w:r>
    </w:p>
    <w:p w:rsidR="00DB4521" w:rsidRDefault="00DB4521" w:rsidP="00DB4521">
      <w:pPr>
        <w:rPr>
          <w:noProof/>
        </w:rPr>
      </w:pPr>
      <w:r>
        <w:rPr>
          <w:noProof/>
        </w:rPr>
        <w:t xml:space="preserve">Subsection 44(1) of the </w:t>
      </w:r>
      <w:r w:rsidRPr="007626F2">
        <w:rPr>
          <w:i/>
          <w:noProof/>
        </w:rPr>
        <w:t xml:space="preserve">Legislation Act 2003 </w:t>
      </w:r>
      <w:r>
        <w:rPr>
          <w:noProof/>
        </w:rPr>
        <w:t xml:space="preserve">(LA) provides: </w:t>
      </w:r>
    </w:p>
    <w:p w:rsidR="00DB4521" w:rsidRDefault="00DB4521" w:rsidP="00DB4521">
      <w:pPr>
        <w:pStyle w:val="Quote"/>
        <w:rPr>
          <w:noProof/>
        </w:rPr>
      </w:pPr>
      <w:r>
        <w:rPr>
          <w:noProof/>
        </w:rPr>
        <w:t xml:space="preserve">Section 42 [disallowance of legislative instruments] does not apply in relation to a legislative instrument, or a provision of a legislative instrument if the enabling legislation for the instrument (not being the </w:t>
      </w:r>
      <w:r w:rsidRPr="007626F2">
        <w:rPr>
          <w:i/>
          <w:noProof/>
        </w:rPr>
        <w:t>Corporations Act 2001</w:t>
      </w:r>
      <w:r>
        <w:rPr>
          <w:noProof/>
        </w:rPr>
        <w:t>):</w:t>
      </w:r>
    </w:p>
    <w:p w:rsidR="00DB4521" w:rsidRDefault="00DB4521" w:rsidP="00DB4521">
      <w:pPr>
        <w:pStyle w:val="Quote"/>
        <w:rPr>
          <w:noProof/>
        </w:rPr>
      </w:pPr>
      <w:r>
        <w:rPr>
          <w:noProof/>
        </w:rPr>
        <w:lastRenderedPageBreak/>
        <w:t>(a) facilitates the establishment or operation of an intergovernmental</w:t>
      </w:r>
      <w:r w:rsidR="008A4617">
        <w:rPr>
          <w:noProof/>
        </w:rPr>
        <w:t xml:space="preserve">   </w:t>
      </w:r>
      <w:r>
        <w:rPr>
          <w:noProof/>
        </w:rPr>
        <w:t>body or scheme involving the Commonwealth and one or more States; and</w:t>
      </w:r>
    </w:p>
    <w:p w:rsidR="00DB4521" w:rsidRDefault="00DB4521" w:rsidP="00DB4521">
      <w:pPr>
        <w:pStyle w:val="Quote"/>
        <w:rPr>
          <w:noProof/>
        </w:rPr>
      </w:pPr>
      <w:r>
        <w:rPr>
          <w:noProof/>
        </w:rPr>
        <w:t>(b) authorises the instrument to be made by the body or for the purposes of the body or scheme;</w:t>
      </w:r>
    </w:p>
    <w:p w:rsidR="00DB4521" w:rsidRDefault="00DB4521" w:rsidP="00DB4521">
      <w:pPr>
        <w:pStyle w:val="Quote"/>
        <w:rPr>
          <w:noProof/>
        </w:rPr>
      </w:pPr>
      <w:r>
        <w:rPr>
          <w:noProof/>
        </w:rPr>
        <w:t>unless the instrument is a regulation, or the enabling legislation or some other Act has the effect that the instrument is disallowable.</w:t>
      </w:r>
    </w:p>
    <w:p w:rsidR="00DB4521" w:rsidRDefault="00DB4521" w:rsidP="00DB4521">
      <w:pPr>
        <w:rPr>
          <w:noProof/>
        </w:rPr>
      </w:pPr>
      <w:r>
        <w:rPr>
          <w:noProof/>
        </w:rPr>
        <w:t xml:space="preserve">The explanatory memorandum to the </w:t>
      </w:r>
      <w:r>
        <w:rPr>
          <w:i/>
          <w:noProof/>
        </w:rPr>
        <w:t>Legislative Instruments Act 2003</w:t>
      </w:r>
      <w:r w:rsidRPr="00EA259F">
        <w:rPr>
          <w:rStyle w:val="FootnoteReference"/>
          <w:noProof/>
        </w:rPr>
        <w:footnoteReference w:id="51"/>
      </w:r>
      <w:r>
        <w:rPr>
          <w:i/>
          <w:noProof/>
        </w:rPr>
        <w:t xml:space="preserve"> </w:t>
      </w:r>
      <w:r>
        <w:rPr>
          <w:noProof/>
        </w:rPr>
        <w:t>explains:</w:t>
      </w:r>
    </w:p>
    <w:p w:rsidR="00DB4521" w:rsidRDefault="00DB4521" w:rsidP="00DB4521">
      <w:pPr>
        <w:pStyle w:val="Quote"/>
        <w:rPr>
          <w:noProof/>
        </w:rPr>
      </w:pPr>
      <w:r w:rsidRPr="00243D5C">
        <w:rPr>
          <w:noProof/>
        </w:rPr>
        <w:t>Subclause 44(1) provides that instruments made under enabling legislation that facilitates an intergovernmental body or scheme involving the Commonwealth and one or more States are not subject to the disallowance provisions of this Act, unless the enabling legislation has the effect that the instrument is disallowable. This is because there is an argument that the Commonwealth Parliament should not, as part of a legislative instruments regime, unilaterally disallow instruments that are part of a multilateral scheme. However, the Parliament, in creating the relevant enabling legislation, would be in a position to determine that such instruments should be disallowable.</w:t>
      </w:r>
    </w:p>
    <w:p w:rsidR="00DB4521" w:rsidRDefault="00DB4521" w:rsidP="00DB4521">
      <w:pPr>
        <w:rPr>
          <w:noProof/>
        </w:rPr>
      </w:pPr>
      <w:r>
        <w:rPr>
          <w:noProof/>
        </w:rPr>
        <w:t xml:space="preserve">In 2010 the </w:t>
      </w:r>
      <w:r w:rsidRPr="00EA259F">
        <w:rPr>
          <w:i/>
          <w:noProof/>
        </w:rPr>
        <w:t>Trade Practices Act 1974</w:t>
      </w:r>
      <w:r>
        <w:rPr>
          <w:i/>
          <w:noProof/>
        </w:rPr>
        <w:t xml:space="preserve"> </w:t>
      </w:r>
      <w:r w:rsidRPr="00EA259F">
        <w:rPr>
          <w:noProof/>
        </w:rPr>
        <w:t xml:space="preserve">was amended </w:t>
      </w:r>
      <w:r>
        <w:rPr>
          <w:noProof/>
        </w:rPr>
        <w:t xml:space="preserve">to be named the </w:t>
      </w:r>
      <w:r w:rsidRPr="00EA259F">
        <w:rPr>
          <w:i/>
          <w:noProof/>
        </w:rPr>
        <w:t>Competition and Consumer Act 2010</w:t>
      </w:r>
      <w:r>
        <w:rPr>
          <w:noProof/>
        </w:rPr>
        <w:t xml:space="preserve"> (CCA) and to establish the</w:t>
      </w:r>
      <w:r w:rsidRPr="000173A7">
        <w:rPr>
          <w:noProof/>
        </w:rPr>
        <w:t xml:space="preserve"> </w:t>
      </w:r>
      <w:r>
        <w:rPr>
          <w:noProof/>
        </w:rPr>
        <w:t>Australian Consumer Law (ACL).</w:t>
      </w:r>
      <w:r>
        <w:rPr>
          <w:noProof/>
        </w:rPr>
        <w:br/>
        <w:t xml:space="preserve">The amendments were made pursuant to the agreements of the Council of Australian Governments (COAG) made on July and October 2008, to create a </w:t>
      </w:r>
      <w:r w:rsidRPr="000173A7">
        <w:rPr>
          <w:noProof/>
        </w:rPr>
        <w:t>single national consumer law for Australia, including a national product safety law</w:t>
      </w:r>
      <w:r>
        <w:rPr>
          <w:noProof/>
        </w:rPr>
        <w:t xml:space="preserve">, and the </w:t>
      </w:r>
      <w:r w:rsidRPr="00EA259F">
        <w:rPr>
          <w:i/>
          <w:noProof/>
        </w:rPr>
        <w:t>Intergovernmental Agreement for the Australian Consumer Law</w:t>
      </w:r>
      <w:r>
        <w:rPr>
          <w:noProof/>
        </w:rPr>
        <w:t>, signed by COAG</w:t>
      </w:r>
      <w:r>
        <w:rPr>
          <w:noProof/>
        </w:rPr>
        <w:br/>
        <w:t>in July 2009.</w:t>
      </w:r>
    </w:p>
    <w:p w:rsidR="00DB4521" w:rsidRDefault="00DB4521" w:rsidP="00DB4521">
      <w:pPr>
        <w:rPr>
          <w:noProof/>
        </w:rPr>
      </w:pPr>
      <w:r w:rsidRPr="00777F77">
        <w:rPr>
          <w:noProof/>
        </w:rPr>
        <w:t>The ACL</w:t>
      </w:r>
      <w:r>
        <w:rPr>
          <w:noProof/>
        </w:rPr>
        <w:t xml:space="preserve"> therefore appears to </w:t>
      </w:r>
      <w:r w:rsidRPr="00777F77">
        <w:rPr>
          <w:noProof/>
        </w:rPr>
        <w:t>facilitate the establishment or operation of an intergovernmental scheme involving the Commonwealth and one or more States</w:t>
      </w:r>
      <w:r>
        <w:rPr>
          <w:noProof/>
        </w:rPr>
        <w:t xml:space="preserve">. </w:t>
      </w:r>
    </w:p>
    <w:p w:rsidR="00DB4521" w:rsidRDefault="00DB4521" w:rsidP="00DB4521">
      <w:pPr>
        <w:rPr>
          <w:noProof/>
        </w:rPr>
      </w:pPr>
      <w:r>
        <w:rPr>
          <w:noProof/>
        </w:rPr>
        <w:t>Sections 104 and 105 of the ACL authorise safety standards to be made; and section 109 authorises interim bans to be made for the purposes of the ACL scheme. Section 131E of the CCA provides that instruments made under these sections of the ACL are to be made by legislative instrument. Neither the ACL, CCA or another Act appear to otherwise have the effect that legislative instruments made under these sections are disallowable. Therefore, it appears that by virtue of paragraph 44(1)(a) of the LA such legislative instruments would be exempt from disallowance.</w:t>
      </w:r>
    </w:p>
    <w:p w:rsidR="00DB4521" w:rsidRPr="0048126F" w:rsidRDefault="00DB4521" w:rsidP="00DB4521">
      <w:pPr>
        <w:rPr>
          <w:b/>
          <w:noProof/>
        </w:rPr>
      </w:pPr>
      <w:r w:rsidRPr="0048126F">
        <w:rPr>
          <w:b/>
          <w:noProof/>
        </w:rPr>
        <w:t xml:space="preserve">Classification of </w:t>
      </w:r>
      <w:r>
        <w:rPr>
          <w:b/>
          <w:noProof/>
        </w:rPr>
        <w:t>legislative</w:t>
      </w:r>
      <w:r w:rsidRPr="0048126F">
        <w:rPr>
          <w:b/>
          <w:noProof/>
        </w:rPr>
        <w:t xml:space="preserve"> instruments as sub</w:t>
      </w:r>
      <w:r>
        <w:rPr>
          <w:b/>
          <w:noProof/>
        </w:rPr>
        <w:t>j</w:t>
      </w:r>
      <w:r w:rsidRPr="0048126F">
        <w:rPr>
          <w:b/>
          <w:noProof/>
        </w:rPr>
        <w:t>ect to disallowance</w:t>
      </w:r>
    </w:p>
    <w:p w:rsidR="00DB4521" w:rsidRDefault="00DB4521" w:rsidP="00DB4521">
      <w:pPr>
        <w:rPr>
          <w:noProof/>
        </w:rPr>
      </w:pPr>
      <w:r>
        <w:rPr>
          <w:noProof/>
        </w:rPr>
        <w:t>The Consumer Goods (Babies’ Dummies and Dummy Chains) Safety Standard 2017 [F2017L00516] (the dummy standard) is made under section 104 of the ACL.</w:t>
      </w:r>
      <w:r>
        <w:rPr>
          <w:noProof/>
        </w:rPr>
        <w:br/>
      </w:r>
      <w:r>
        <w:rPr>
          <w:noProof/>
        </w:rPr>
        <w:lastRenderedPageBreak/>
        <w:t xml:space="preserve">The purpose of the dummy standard is to ensure babies’ dummies and dummy chains have safety features that reduce the risk of injury. </w:t>
      </w:r>
    </w:p>
    <w:p w:rsidR="00DB4521" w:rsidRDefault="00DB4521" w:rsidP="00DB4521">
      <w:pPr>
        <w:rPr>
          <w:noProof/>
        </w:rPr>
      </w:pPr>
      <w:r>
        <w:rPr>
          <w:noProof/>
        </w:rPr>
        <w:t xml:space="preserve">The Consumer Goods (Children’s Nightwear and Limited Daywear and Paper Patterns for Children’s Nightwear) Safety Standard 2017 [F2017L00452] (the nightwear standard) is made under section 105 of the ACL. The purpose of the nightwear standard is to reduce the risk of child death and injury associated with nightwear catching fire. </w:t>
      </w:r>
    </w:p>
    <w:p w:rsidR="00DB4521" w:rsidRDefault="00DB4521" w:rsidP="00DB4521">
      <w:pPr>
        <w:rPr>
          <w:noProof/>
        </w:rPr>
      </w:pPr>
      <w:r>
        <w:rPr>
          <w:noProof/>
        </w:rPr>
        <w:t>The Extension of the Ban Period for the Interim Ban on Certain Decorative Alcohol Fuelled Devices [F2017L00518] (the interim devices ban) is made under section 109 of the ACL. The purpose of the interim devices ban is to minimise the risk of injury to persons due to uncontrolled fire while refuelling, lighting or being in close proximity to an alcohol fuelled device.</w:t>
      </w:r>
    </w:p>
    <w:p w:rsidR="00DB4521" w:rsidRPr="00FA72BB" w:rsidRDefault="00DB4521" w:rsidP="00DB4521">
      <w:pPr>
        <w:rPr>
          <w:noProof/>
        </w:rPr>
      </w:pPr>
      <w:r>
        <w:rPr>
          <w:noProof/>
        </w:rPr>
        <w:t xml:space="preserve">As set out above, the dummy standard and the nightwear standard are made under sections 104 and 105 </w:t>
      </w:r>
      <w:r w:rsidRPr="00FA72BB">
        <w:rPr>
          <w:noProof/>
        </w:rPr>
        <w:t>of the ACL; and the interim device ban is made under section 109. Therefore, as these standards appear to facilitate the operation of an intergovernmental scheme, are not regulations and do not appear to be disallowable under the CCA, ACL or another Act, the committee understands that these instruments may be exempt from disallowance in accordance with s</w:t>
      </w:r>
      <w:r>
        <w:rPr>
          <w:noProof/>
        </w:rPr>
        <w:t>ubs</w:t>
      </w:r>
      <w:r w:rsidRPr="00FA72BB">
        <w:rPr>
          <w:noProof/>
        </w:rPr>
        <w:t>ection 44(1) of the LA.</w:t>
      </w:r>
    </w:p>
    <w:p w:rsidR="00DB4521" w:rsidRPr="00FA72BB" w:rsidRDefault="00DB4521" w:rsidP="00DB4521">
      <w:pPr>
        <w:rPr>
          <w:noProof/>
        </w:rPr>
      </w:pPr>
      <w:r w:rsidRPr="00FA72BB">
        <w:rPr>
          <w:noProof/>
        </w:rPr>
        <w:t>However, the ESs to the dummy standard, the nightwear standard and the interim devices ban state</w:t>
      </w:r>
      <w:r>
        <w:rPr>
          <w:noProof/>
        </w:rPr>
        <w:t xml:space="preserve"> the following </w:t>
      </w:r>
      <w:r w:rsidRPr="00FA72BB">
        <w:rPr>
          <w:noProof/>
        </w:rPr>
        <w:t>in relation to each</w:t>
      </w:r>
      <w:r>
        <w:rPr>
          <w:noProof/>
        </w:rPr>
        <w:t xml:space="preserve"> instrument</w:t>
      </w:r>
      <w:r w:rsidRPr="00FA72BB">
        <w:rPr>
          <w:noProof/>
        </w:rPr>
        <w:t>:</w:t>
      </w:r>
    </w:p>
    <w:p w:rsidR="00DB4521" w:rsidRPr="00FA72BB" w:rsidRDefault="00DB4521" w:rsidP="00DB4521">
      <w:pPr>
        <w:pStyle w:val="Quote"/>
        <w:rPr>
          <w:noProof/>
        </w:rPr>
      </w:pPr>
      <w:r w:rsidRPr="00FA72BB">
        <w:rPr>
          <w:noProof/>
        </w:rPr>
        <w:t xml:space="preserve">This legislative instrument is subject to disallowance under Chapter 3, Part 2 of the </w:t>
      </w:r>
      <w:r w:rsidRPr="00FA72BB">
        <w:rPr>
          <w:i/>
          <w:noProof/>
        </w:rPr>
        <w:t>Legislation Act 2003</w:t>
      </w:r>
      <w:r w:rsidRPr="00FA72BB">
        <w:rPr>
          <w:noProof/>
        </w:rPr>
        <w:t>.</w:t>
      </w:r>
    </w:p>
    <w:p w:rsidR="00DB4521" w:rsidRPr="00FA72BB" w:rsidRDefault="00DB4521" w:rsidP="00DB4521">
      <w:pPr>
        <w:rPr>
          <w:noProof/>
        </w:rPr>
      </w:pPr>
      <w:r w:rsidRPr="00FA72BB">
        <w:rPr>
          <w:noProof/>
        </w:rPr>
        <w:t>It is therefore unclear to the committee whether these standards have been properly described as subject to disallowance.</w:t>
      </w:r>
    </w:p>
    <w:p w:rsidR="00DB4521" w:rsidRPr="00985F1E" w:rsidRDefault="00DB4521" w:rsidP="00DB4521">
      <w:pPr>
        <w:rPr>
          <w:noProof/>
        </w:rPr>
      </w:pPr>
      <w:r w:rsidRPr="00FA72BB">
        <w:rPr>
          <w:noProof/>
        </w:rPr>
        <w:t xml:space="preserve">The committee is also interested to understand more about the apparent inconsistent approach to the classification of </w:t>
      </w:r>
      <w:r>
        <w:rPr>
          <w:noProof/>
        </w:rPr>
        <w:t>instruments made under the ACL.</w:t>
      </w:r>
      <w:r>
        <w:rPr>
          <w:noProof/>
        </w:rPr>
        <w:br/>
      </w:r>
      <w:r w:rsidRPr="00FA72BB">
        <w:rPr>
          <w:noProof/>
        </w:rPr>
        <w:t>For example, the committee notes that the Australian Consumer Law (Free Range Egg Labelling) Information Standard 2017</w:t>
      </w:r>
      <w:r>
        <w:rPr>
          <w:noProof/>
        </w:rPr>
        <w:t xml:space="preserve"> [</w:t>
      </w:r>
      <w:r w:rsidRPr="00AB6BAB">
        <w:rPr>
          <w:noProof/>
        </w:rPr>
        <w:t>F2017L00474</w:t>
      </w:r>
      <w:r>
        <w:rPr>
          <w:noProof/>
        </w:rPr>
        <w:t>]</w:t>
      </w:r>
      <w:r w:rsidRPr="00FA72BB">
        <w:rPr>
          <w:noProof/>
        </w:rPr>
        <w:t xml:space="preserve"> (the egg standard) also seems to be covered by the operation of section 44(1) of the LA, but it is classified as exempt from disallowance (and thereby removed from the effective oversight of the Parliament).</w:t>
      </w:r>
      <w:r w:rsidRPr="00FA72BB">
        <w:rPr>
          <w:rStyle w:val="FootnoteReference"/>
          <w:noProof/>
        </w:rPr>
        <w:footnoteReference w:id="52"/>
      </w:r>
      <w:r>
        <w:rPr>
          <w:noProof/>
        </w:rPr>
        <w:t xml:space="preserve"> </w:t>
      </w:r>
    </w:p>
    <w:p w:rsidR="00DB4521" w:rsidRPr="00116355" w:rsidRDefault="001F2B7F" w:rsidP="00DB4521">
      <w:pPr>
        <w:rPr>
          <w:noProof/>
        </w:rPr>
      </w:pPr>
      <w:r>
        <w:rPr>
          <w:noProof/>
        </w:rPr>
        <w:t>The committee requested</w:t>
      </w:r>
      <w:r w:rsidR="00DB4521" w:rsidRPr="00116355">
        <w:rPr>
          <w:noProof/>
        </w:rPr>
        <w:t xml:space="preserve"> the advice of the minister in relation to the above.</w:t>
      </w:r>
    </w:p>
    <w:p w:rsidR="00DB4521" w:rsidRPr="005F12EB" w:rsidRDefault="00DB4521" w:rsidP="00DB4521">
      <w:pPr>
        <w:rPr>
          <w:b/>
          <w:noProof/>
        </w:rPr>
      </w:pPr>
      <w:r w:rsidRPr="005F12EB">
        <w:rPr>
          <w:b/>
          <w:noProof/>
        </w:rPr>
        <w:t xml:space="preserve">Minister's </w:t>
      </w:r>
      <w:r w:rsidR="00D303AB">
        <w:rPr>
          <w:b/>
          <w:noProof/>
        </w:rPr>
        <w:t xml:space="preserve">first </w:t>
      </w:r>
      <w:r w:rsidRPr="005F12EB">
        <w:rPr>
          <w:b/>
          <w:noProof/>
        </w:rPr>
        <w:t>response</w:t>
      </w:r>
    </w:p>
    <w:p w:rsidR="009A1299" w:rsidRDefault="00DB4521" w:rsidP="00FC16DE">
      <w:pPr>
        <w:rPr>
          <w:noProof/>
          <w:sz w:val="24"/>
          <w:u w:val="single"/>
        </w:rPr>
      </w:pPr>
      <w:r>
        <w:rPr>
          <w:noProof/>
        </w:rPr>
        <w:lastRenderedPageBreak/>
        <w:t xml:space="preserve">The </w:t>
      </w:r>
      <w:r w:rsidRPr="005F12EB">
        <w:rPr>
          <w:noProof/>
        </w:rPr>
        <w:t>Minister for</w:t>
      </w:r>
      <w:r>
        <w:t xml:space="preserve"> Small Business</w:t>
      </w:r>
      <w:r w:rsidRPr="005F12EB">
        <w:rPr>
          <w:noProof/>
        </w:rPr>
        <w:t xml:space="preserve"> advised:</w:t>
      </w:r>
    </w:p>
    <w:p w:rsidR="00DB4521" w:rsidRPr="00450B69" w:rsidRDefault="00DB4521" w:rsidP="00DB4521">
      <w:pPr>
        <w:pStyle w:val="Quote"/>
        <w:rPr>
          <w:noProof/>
          <w:u w:val="single"/>
        </w:rPr>
      </w:pPr>
      <w:r w:rsidRPr="00450B69">
        <w:rPr>
          <w:noProof/>
          <w:u w:val="single"/>
        </w:rPr>
        <w:t>Classification of legislative instruments as subject to disallowance</w:t>
      </w:r>
    </w:p>
    <w:p w:rsidR="00DB4521" w:rsidRDefault="00DB4521" w:rsidP="00DB4521">
      <w:pPr>
        <w:pStyle w:val="Quote"/>
        <w:rPr>
          <w:noProof/>
        </w:rPr>
      </w:pPr>
      <w:r>
        <w:rPr>
          <w:noProof/>
        </w:rPr>
        <w:t xml:space="preserve">I appreciate the Committee drawing my attention to the explanatory statements to the above legislative instruments which describe the instruments as subject to disallowance under the </w:t>
      </w:r>
      <w:r w:rsidRPr="000B23A8">
        <w:rPr>
          <w:i/>
          <w:noProof/>
        </w:rPr>
        <w:t>Legislation Act 2003</w:t>
      </w:r>
      <w:r>
        <w:rPr>
          <w:noProof/>
        </w:rPr>
        <w:t>.</w:t>
      </w:r>
      <w:r>
        <w:rPr>
          <w:noProof/>
        </w:rPr>
        <w:br/>
        <w:t xml:space="preserve">As the Committee notes, subsection 44(1) of the </w:t>
      </w:r>
      <w:r w:rsidRPr="000B23A8">
        <w:rPr>
          <w:i/>
          <w:noProof/>
        </w:rPr>
        <w:t>Legislation Act 2003</w:t>
      </w:r>
      <w:r>
        <w:rPr>
          <w:noProof/>
        </w:rPr>
        <w:t xml:space="preserve"> provides that legislative instruments are not subject to disallowance if they are made under certain legislation facilitating the operation of an intergovernmental scheme.</w:t>
      </w:r>
    </w:p>
    <w:p w:rsidR="00DB4521" w:rsidRDefault="00DB4521" w:rsidP="00DB4521">
      <w:pPr>
        <w:pStyle w:val="Quote"/>
        <w:rPr>
          <w:noProof/>
        </w:rPr>
      </w:pPr>
      <w:r>
        <w:rPr>
          <w:noProof/>
        </w:rPr>
        <w:t>I can advise the Committee the ACL facilitates the operation of an intergovernmental scheme and the above legislative instruments are not subject to disallowance. The contrary references in the explanatory statements are incorrect and will be rectified shortly.</w:t>
      </w:r>
    </w:p>
    <w:p w:rsidR="00DB4521" w:rsidRPr="005F12EB" w:rsidRDefault="00DB4521" w:rsidP="00DB4521">
      <w:pPr>
        <w:rPr>
          <w:b/>
          <w:noProof/>
        </w:rPr>
      </w:pPr>
      <w:r w:rsidRPr="005F12EB">
        <w:rPr>
          <w:b/>
          <w:noProof/>
        </w:rPr>
        <w:t xml:space="preserve">Committee's </w:t>
      </w:r>
      <w:r w:rsidR="00D303AB">
        <w:rPr>
          <w:b/>
          <w:noProof/>
        </w:rPr>
        <w:t xml:space="preserve">first </w:t>
      </w:r>
      <w:r w:rsidRPr="005F12EB">
        <w:rPr>
          <w:b/>
          <w:noProof/>
        </w:rPr>
        <w:t>response</w:t>
      </w:r>
    </w:p>
    <w:p w:rsidR="00DB4521" w:rsidRPr="00D303AB" w:rsidRDefault="001F2B7F" w:rsidP="00DB4521">
      <w:pPr>
        <w:rPr>
          <w:szCs w:val="26"/>
        </w:rPr>
      </w:pPr>
      <w:r>
        <w:rPr>
          <w:szCs w:val="26"/>
        </w:rPr>
        <w:t>The committee thanked</w:t>
      </w:r>
      <w:r w:rsidR="00DB4521" w:rsidRPr="00D303AB">
        <w:rPr>
          <w:szCs w:val="26"/>
        </w:rPr>
        <w:t xml:space="preserve"> the minister for his response.</w:t>
      </w:r>
    </w:p>
    <w:p w:rsidR="00DB4521" w:rsidRDefault="00DB4521" w:rsidP="00DB4521">
      <w:pPr>
        <w:rPr>
          <w:szCs w:val="26"/>
        </w:rPr>
      </w:pPr>
      <w:r>
        <w:rPr>
          <w:szCs w:val="26"/>
        </w:rPr>
        <w:t>T</w:t>
      </w:r>
      <w:r w:rsidR="001F2B7F">
        <w:rPr>
          <w:szCs w:val="26"/>
        </w:rPr>
        <w:t>he committee noted</w:t>
      </w:r>
      <w:r w:rsidRPr="008C4EC6">
        <w:rPr>
          <w:szCs w:val="26"/>
        </w:rPr>
        <w:t xml:space="preserve"> </w:t>
      </w:r>
      <w:r>
        <w:rPr>
          <w:szCs w:val="26"/>
        </w:rPr>
        <w:t>the minister's advice that these instruments are not disallowable.</w:t>
      </w:r>
    </w:p>
    <w:p w:rsidR="00DB4521" w:rsidRDefault="001F2B7F" w:rsidP="00DB4521">
      <w:pPr>
        <w:rPr>
          <w:szCs w:val="26"/>
        </w:rPr>
      </w:pPr>
      <w:r>
        <w:rPr>
          <w:szCs w:val="26"/>
        </w:rPr>
        <w:t>The committee also noted</w:t>
      </w:r>
      <w:r w:rsidR="00DB4521" w:rsidRPr="000B1E8A">
        <w:rPr>
          <w:szCs w:val="26"/>
        </w:rPr>
        <w:t xml:space="preserve"> the minister's undertaking to correct references in the ESs to the instruments being subject to disallowance.</w:t>
      </w:r>
    </w:p>
    <w:p w:rsidR="00DB4521" w:rsidRPr="006211B1" w:rsidRDefault="00DB4521" w:rsidP="00DB4521">
      <w:pPr>
        <w:rPr>
          <w:szCs w:val="26"/>
        </w:rPr>
      </w:pPr>
      <w:r w:rsidRPr="006211B1">
        <w:rPr>
          <w:szCs w:val="26"/>
        </w:rPr>
        <w:t>However, the committee is concerned that when these instruments were received by both the Parliament and the committee they had been classified as subject to disallowance, and thereby tabled as subject to disallowance. The committee also remains concerned about the classification process generally, and is interested in understanding how these misclassifications occurred and whether there is any further action that needs to be taken to ensure this situation does not occur again in the future.</w:t>
      </w:r>
    </w:p>
    <w:p w:rsidR="00DB4521" w:rsidRPr="006211B1" w:rsidRDefault="00DB4521" w:rsidP="00DB4521">
      <w:pPr>
        <w:rPr>
          <w:szCs w:val="26"/>
        </w:rPr>
      </w:pPr>
      <w:r w:rsidRPr="006211B1">
        <w:rPr>
          <w:szCs w:val="26"/>
        </w:rPr>
        <w:t>The committee also note</w:t>
      </w:r>
      <w:r w:rsidR="001F2B7F">
        <w:rPr>
          <w:szCs w:val="26"/>
        </w:rPr>
        <w:t>d that it had</w:t>
      </w:r>
      <w:r w:rsidRPr="006211B1">
        <w:rPr>
          <w:szCs w:val="26"/>
        </w:rPr>
        <w:t xml:space="preserve"> since received another instrument, Further Extension of the Ban Period for the Interim Ban on Certain Decorative Alcohol Fuelled Devices [F2017L00664], which also appears to have been misclassified a</w:t>
      </w:r>
      <w:r>
        <w:rPr>
          <w:szCs w:val="26"/>
        </w:rPr>
        <w:t>s</w:t>
      </w:r>
      <w:r w:rsidRPr="006211B1">
        <w:rPr>
          <w:szCs w:val="26"/>
        </w:rPr>
        <w:t xml:space="preserve"> subject to disallowance.</w:t>
      </w:r>
    </w:p>
    <w:p w:rsidR="00DB4521" w:rsidRDefault="001F2B7F" w:rsidP="00DB4521">
      <w:pPr>
        <w:spacing w:after="0"/>
        <w:rPr>
          <w:szCs w:val="26"/>
        </w:rPr>
      </w:pPr>
      <w:r>
        <w:rPr>
          <w:szCs w:val="26"/>
        </w:rPr>
        <w:t>The committee requested</w:t>
      </w:r>
      <w:r w:rsidR="00DB4521" w:rsidRPr="00651E15">
        <w:rPr>
          <w:szCs w:val="26"/>
        </w:rPr>
        <w:t xml:space="preserve"> the further advice of the minister in relation to the above.</w:t>
      </w:r>
    </w:p>
    <w:p w:rsidR="00D303AB" w:rsidRPr="005F12EB" w:rsidRDefault="00D303AB" w:rsidP="00D303AB">
      <w:pPr>
        <w:rPr>
          <w:b/>
          <w:noProof/>
        </w:rPr>
      </w:pPr>
      <w:r w:rsidRPr="005F12EB">
        <w:rPr>
          <w:b/>
          <w:noProof/>
        </w:rPr>
        <w:t xml:space="preserve">Minister's </w:t>
      </w:r>
      <w:r>
        <w:rPr>
          <w:b/>
          <w:noProof/>
        </w:rPr>
        <w:t xml:space="preserve">second </w:t>
      </w:r>
      <w:r w:rsidRPr="005F12EB">
        <w:rPr>
          <w:b/>
          <w:noProof/>
        </w:rPr>
        <w:t>response</w:t>
      </w:r>
    </w:p>
    <w:p w:rsidR="00D303AB" w:rsidRDefault="00D303AB" w:rsidP="00D303AB">
      <w:pPr>
        <w:rPr>
          <w:noProof/>
        </w:rPr>
      </w:pPr>
      <w:r>
        <w:rPr>
          <w:noProof/>
        </w:rPr>
        <w:t xml:space="preserve">The </w:t>
      </w:r>
      <w:r w:rsidRPr="005F12EB">
        <w:rPr>
          <w:noProof/>
        </w:rPr>
        <w:t>Minister for</w:t>
      </w:r>
      <w:r>
        <w:t xml:space="preserve"> Small Business</w:t>
      </w:r>
      <w:r w:rsidRPr="005F12EB">
        <w:rPr>
          <w:noProof/>
        </w:rPr>
        <w:t xml:space="preserve"> advised:</w:t>
      </w:r>
    </w:p>
    <w:p w:rsidR="00D303AB" w:rsidRDefault="00D303AB" w:rsidP="00D303AB">
      <w:pPr>
        <w:pStyle w:val="Quote"/>
      </w:pPr>
      <w:r>
        <w:t xml:space="preserve">I have conferred with the Australian Competition and Consumer Commission (ACCC) which is responsible for drafting the explanatory statements for the above instruments. The ACCC has advised me that prior to the Committee bringing this matter to my attention on 15 June 2017 the ACCC had not considered the potential application of section 44 of the </w:t>
      </w:r>
      <w:r w:rsidRPr="00D303AB">
        <w:rPr>
          <w:i/>
        </w:rPr>
        <w:t>Legislation Act 2003</w:t>
      </w:r>
      <w:r>
        <w:t xml:space="preserve"> to instruments of this kind.</w:t>
      </w:r>
    </w:p>
    <w:p w:rsidR="001F2B7F" w:rsidRDefault="00D303AB" w:rsidP="00D303AB">
      <w:pPr>
        <w:pStyle w:val="Quote"/>
      </w:pPr>
      <w:r>
        <w:lastRenderedPageBreak/>
        <w:t xml:space="preserve">I have written to the First Parliamentary Counsel, Mr Peter Quiggin, to request the explanatory statements to the above instruments be rectified on the Federal Register of Legislation. </w:t>
      </w:r>
    </w:p>
    <w:p w:rsidR="00D303AB" w:rsidRDefault="00D303AB" w:rsidP="00D303AB">
      <w:pPr>
        <w:pStyle w:val="Quote"/>
      </w:pPr>
      <w:r>
        <w:t>I have asked the ACCC to implement processes which provide for the correct classification of future instruments made under the ACL. The ACCC has advised me that these processes are in place and instruments prepared following the receipt of the Committee's initial advice on 15 June 2017 are correct.</w:t>
      </w:r>
    </w:p>
    <w:p w:rsidR="00D303AB" w:rsidRDefault="00D303AB" w:rsidP="00D303AB">
      <w:pPr>
        <w:pStyle w:val="Quote"/>
      </w:pPr>
      <w:r>
        <w:t xml:space="preserve">The Committee notes the Australian Consumer Law (Free Range Egg Labelling) Information </w:t>
      </w:r>
      <w:r w:rsidR="00D921B0">
        <w:t>Standard 2017 [</w:t>
      </w:r>
      <w:r>
        <w:t>F2</w:t>
      </w:r>
      <w:r w:rsidR="00D921B0">
        <w:t>017L00474]</w:t>
      </w:r>
      <w:r>
        <w:t xml:space="preserve"> which was registered on 26 April 2017. As the Committee notes, the instrument was correctly classified as being exempt from disallowance. The instrument was prepared by my Department.</w:t>
      </w:r>
    </w:p>
    <w:p w:rsidR="00D303AB" w:rsidRPr="00651E15" w:rsidRDefault="00D303AB" w:rsidP="00D303AB">
      <w:pPr>
        <w:pStyle w:val="Quote"/>
      </w:pPr>
      <w:r>
        <w:t>The Committee also notes the Further Extension of the Ban Period for the Interim Ban on Certain Decorative Alcohol Fuelled Devices</w:t>
      </w:r>
      <w:r w:rsidR="00D921B0">
        <w:t xml:space="preserve"> [F2017L00664]</w:t>
      </w:r>
      <w:r>
        <w:t xml:space="preserve"> which is incorrectly classified as being subject to disallowance. This instrument was made on 1 June 2017 and registered on 14 June 2017, prior to the Committee bringing this matter to my attention on 15 June 2017. The incorrect reference in the explanatory statement to the instrument will be rectified shortly.</w:t>
      </w:r>
    </w:p>
    <w:p w:rsidR="00D303AB" w:rsidRPr="005F12EB" w:rsidRDefault="00D303AB" w:rsidP="00D303AB">
      <w:pPr>
        <w:rPr>
          <w:b/>
          <w:noProof/>
        </w:rPr>
      </w:pPr>
      <w:r w:rsidRPr="005F12EB">
        <w:rPr>
          <w:b/>
          <w:noProof/>
        </w:rPr>
        <w:t xml:space="preserve">Committee's </w:t>
      </w:r>
      <w:r>
        <w:rPr>
          <w:b/>
          <w:noProof/>
        </w:rPr>
        <w:t xml:space="preserve">second </w:t>
      </w:r>
      <w:r w:rsidRPr="005F12EB">
        <w:rPr>
          <w:b/>
          <w:noProof/>
        </w:rPr>
        <w:t>response</w:t>
      </w:r>
    </w:p>
    <w:p w:rsidR="00B21544" w:rsidRDefault="00D303AB" w:rsidP="00D303AB">
      <w:pPr>
        <w:rPr>
          <w:b/>
          <w:szCs w:val="26"/>
        </w:rPr>
      </w:pPr>
      <w:r w:rsidRPr="00556E96">
        <w:rPr>
          <w:b/>
          <w:szCs w:val="26"/>
        </w:rPr>
        <w:t>T</w:t>
      </w:r>
      <w:r>
        <w:rPr>
          <w:b/>
          <w:szCs w:val="26"/>
        </w:rPr>
        <w:t xml:space="preserve">he committee thanks </w:t>
      </w:r>
      <w:r w:rsidRPr="004A7CC9">
        <w:rPr>
          <w:b/>
          <w:szCs w:val="26"/>
        </w:rPr>
        <w:t xml:space="preserve">the </w:t>
      </w:r>
      <w:r>
        <w:rPr>
          <w:b/>
          <w:noProof/>
        </w:rPr>
        <w:t>m</w:t>
      </w:r>
      <w:r w:rsidRPr="004A7CC9">
        <w:rPr>
          <w:b/>
          <w:noProof/>
        </w:rPr>
        <w:t>inister</w:t>
      </w:r>
      <w:r w:rsidRPr="004A7CC9">
        <w:rPr>
          <w:b/>
          <w:szCs w:val="26"/>
        </w:rPr>
        <w:t xml:space="preserve"> f</w:t>
      </w:r>
      <w:r w:rsidRPr="00556E96">
        <w:rPr>
          <w:b/>
          <w:szCs w:val="26"/>
        </w:rPr>
        <w:t xml:space="preserve">or his response and has concluded its examination of the above. </w:t>
      </w:r>
    </w:p>
    <w:p w:rsidR="00B21544" w:rsidRDefault="00B21544" w:rsidP="00D303AB">
      <w:pPr>
        <w:rPr>
          <w:szCs w:val="26"/>
        </w:rPr>
      </w:pPr>
      <w:r>
        <w:rPr>
          <w:rFonts w:asciiTheme="minorHAnsi" w:hAnsiTheme="minorHAnsi"/>
          <w:lang w:eastAsia="en-AU"/>
        </w:rPr>
        <w:t xml:space="preserve">The committee notes the minister's advice that </w:t>
      </w:r>
      <w:r w:rsidR="003A691A">
        <w:rPr>
          <w:rFonts w:asciiTheme="minorHAnsi" w:hAnsiTheme="minorHAnsi"/>
          <w:lang w:eastAsia="en-AU"/>
        </w:rPr>
        <w:t>the ACCC has implemented processes to provide for the correct classification of future instruments made under the ACL</w:t>
      </w:r>
      <w:r>
        <w:rPr>
          <w:rFonts w:asciiTheme="minorHAnsi" w:hAnsiTheme="minorHAnsi"/>
          <w:lang w:eastAsia="en-AU"/>
        </w:rPr>
        <w:t>.</w:t>
      </w:r>
    </w:p>
    <w:p w:rsidR="00B21544" w:rsidRDefault="00B21544" w:rsidP="00D303AB">
      <w:pPr>
        <w:rPr>
          <w:szCs w:val="26"/>
        </w:rPr>
      </w:pPr>
      <w:r w:rsidRPr="00B21544">
        <w:rPr>
          <w:szCs w:val="26"/>
        </w:rPr>
        <w:t xml:space="preserve">The committee </w:t>
      </w:r>
      <w:r w:rsidR="003A691A">
        <w:rPr>
          <w:szCs w:val="26"/>
        </w:rPr>
        <w:t xml:space="preserve">also </w:t>
      </w:r>
      <w:r w:rsidRPr="00B21544">
        <w:rPr>
          <w:szCs w:val="26"/>
        </w:rPr>
        <w:t xml:space="preserve">notes the minister's undertaking to </w:t>
      </w:r>
      <w:r>
        <w:rPr>
          <w:szCs w:val="26"/>
        </w:rPr>
        <w:t xml:space="preserve">amend the ES for the </w:t>
      </w:r>
      <w:r w:rsidRPr="00B21544">
        <w:rPr>
          <w:szCs w:val="26"/>
        </w:rPr>
        <w:t>Further Extension of the Ban Period for the Interim Ban on Certain Decorative Alcohol Fuelled Devices [F2017L00664]</w:t>
      </w:r>
      <w:r>
        <w:rPr>
          <w:szCs w:val="26"/>
        </w:rPr>
        <w:t>.</w:t>
      </w:r>
    </w:p>
    <w:p w:rsidR="008575B2" w:rsidRDefault="008575B2">
      <w:pPr>
        <w:spacing w:before="0" w:after="0"/>
        <w:jc w:val="left"/>
        <w:rPr>
          <w:rFonts w:asciiTheme="minorHAnsi" w:hAnsiTheme="minorHAnsi"/>
          <w:lang w:eastAsia="en-AU"/>
        </w:rPr>
      </w:pPr>
      <w:r>
        <w:rPr>
          <w:rFonts w:asciiTheme="minorHAnsi" w:hAnsiTheme="minorHAnsi"/>
          <w:lang w:eastAsia="en-AU"/>
        </w:rPr>
        <w:br w:type="page"/>
      </w:r>
    </w:p>
    <w:tbl>
      <w:tblPr>
        <w:tblW w:w="0" w:type="auto"/>
        <w:tblInd w:w="108" w:type="dxa"/>
        <w:tblLook w:val="04A0" w:firstRow="1" w:lastRow="0" w:firstColumn="1" w:lastColumn="0" w:noHBand="0" w:noVBand="1"/>
      </w:tblPr>
      <w:tblGrid>
        <w:gridCol w:w="2694"/>
        <w:gridCol w:w="6378"/>
      </w:tblGrid>
      <w:tr w:rsidR="008575B2" w:rsidRPr="00322850" w:rsidTr="00110E6B">
        <w:tc>
          <w:tcPr>
            <w:tcW w:w="2694" w:type="dxa"/>
            <w:tcBorders>
              <w:top w:val="single" w:sz="12" w:space="0" w:color="auto"/>
              <w:right w:val="single" w:sz="12" w:space="0" w:color="auto"/>
            </w:tcBorders>
          </w:tcPr>
          <w:p w:rsidR="008575B2" w:rsidRPr="00322850" w:rsidRDefault="008575B2" w:rsidP="00110E6B">
            <w:pPr>
              <w:rPr>
                <w:b/>
                <w:sz w:val="24"/>
                <w:szCs w:val="24"/>
              </w:rPr>
            </w:pPr>
            <w:r w:rsidRPr="00322850">
              <w:rPr>
                <w:b/>
                <w:sz w:val="24"/>
                <w:szCs w:val="24"/>
              </w:rPr>
              <w:lastRenderedPageBreak/>
              <w:t>Instrument</w:t>
            </w:r>
          </w:p>
        </w:tc>
        <w:tc>
          <w:tcPr>
            <w:tcW w:w="6378" w:type="dxa"/>
            <w:tcBorders>
              <w:top w:val="single" w:sz="12" w:space="0" w:color="auto"/>
              <w:left w:val="single" w:sz="12" w:space="0" w:color="auto"/>
            </w:tcBorders>
          </w:tcPr>
          <w:p w:rsidR="008575B2" w:rsidRPr="00322850" w:rsidRDefault="008575B2" w:rsidP="00110E6B">
            <w:pPr>
              <w:pStyle w:val="Heading3"/>
              <w:rPr>
                <w:sz w:val="24"/>
                <w:szCs w:val="24"/>
              </w:rPr>
            </w:pPr>
            <w:r w:rsidRPr="0012389A">
              <w:rPr>
                <w:noProof/>
                <w:sz w:val="24"/>
                <w:szCs w:val="24"/>
              </w:rPr>
              <w:t>Defence Determination 2017/18, Overseas conditions of service (Budget measure 2017-18 – Overseas allowances) amendment [F2017L00657]</w:t>
            </w:r>
          </w:p>
        </w:tc>
      </w:tr>
      <w:tr w:rsidR="008575B2" w:rsidRPr="00322850" w:rsidTr="00110E6B">
        <w:tc>
          <w:tcPr>
            <w:tcW w:w="2694" w:type="dxa"/>
            <w:tcBorders>
              <w:right w:val="single" w:sz="12" w:space="0" w:color="auto"/>
            </w:tcBorders>
          </w:tcPr>
          <w:p w:rsidR="008575B2" w:rsidRPr="00322850" w:rsidRDefault="008575B2" w:rsidP="00110E6B">
            <w:pPr>
              <w:rPr>
                <w:b/>
                <w:sz w:val="24"/>
                <w:szCs w:val="24"/>
              </w:rPr>
            </w:pPr>
            <w:r w:rsidRPr="00322850">
              <w:rPr>
                <w:b/>
                <w:sz w:val="24"/>
                <w:szCs w:val="24"/>
              </w:rPr>
              <w:t>Purpose</w:t>
            </w:r>
          </w:p>
        </w:tc>
        <w:tc>
          <w:tcPr>
            <w:tcW w:w="6378" w:type="dxa"/>
            <w:tcBorders>
              <w:left w:val="single" w:sz="12" w:space="0" w:color="auto"/>
            </w:tcBorders>
          </w:tcPr>
          <w:p w:rsidR="008575B2" w:rsidRPr="00322850" w:rsidRDefault="008575B2" w:rsidP="00110E6B">
            <w:pPr>
              <w:rPr>
                <w:sz w:val="24"/>
                <w:szCs w:val="24"/>
              </w:rPr>
            </w:pPr>
            <w:r>
              <w:rPr>
                <w:noProof/>
                <w:sz w:val="24"/>
                <w:szCs w:val="24"/>
              </w:rPr>
              <w:t xml:space="preserve">Gives effect to </w:t>
            </w:r>
            <w:r w:rsidRPr="00A324B8">
              <w:rPr>
                <w:noProof/>
                <w:sz w:val="24"/>
                <w:szCs w:val="24"/>
              </w:rPr>
              <w:t xml:space="preserve">the outcome of a </w:t>
            </w:r>
            <w:r>
              <w:rPr>
                <w:noProof/>
                <w:sz w:val="24"/>
                <w:szCs w:val="24"/>
              </w:rPr>
              <w:t>w</w:t>
            </w:r>
            <w:r w:rsidRPr="00A324B8">
              <w:rPr>
                <w:noProof/>
                <w:sz w:val="24"/>
                <w:szCs w:val="24"/>
              </w:rPr>
              <w:t>hole-of-Government review of overseas entitlements, allowances, financial support and conditions of service provided to Australian Government employees stationed overseas</w:t>
            </w:r>
            <w:r>
              <w:rPr>
                <w:noProof/>
                <w:sz w:val="24"/>
                <w:szCs w:val="24"/>
              </w:rPr>
              <w:t xml:space="preserve"> as it applies to the Australian Defence Force</w:t>
            </w:r>
          </w:p>
        </w:tc>
      </w:tr>
      <w:tr w:rsidR="008575B2" w:rsidRPr="00322850" w:rsidTr="00110E6B">
        <w:tc>
          <w:tcPr>
            <w:tcW w:w="2694" w:type="dxa"/>
            <w:tcBorders>
              <w:right w:val="single" w:sz="12" w:space="0" w:color="auto"/>
            </w:tcBorders>
          </w:tcPr>
          <w:p w:rsidR="008575B2" w:rsidRPr="00322850" w:rsidRDefault="008575B2" w:rsidP="00110E6B">
            <w:pPr>
              <w:rPr>
                <w:b/>
                <w:sz w:val="24"/>
                <w:szCs w:val="24"/>
              </w:rPr>
            </w:pPr>
            <w:r w:rsidRPr="00322850">
              <w:rPr>
                <w:b/>
                <w:sz w:val="24"/>
                <w:szCs w:val="24"/>
              </w:rPr>
              <w:t>Authorising legislation</w:t>
            </w:r>
          </w:p>
        </w:tc>
        <w:tc>
          <w:tcPr>
            <w:tcW w:w="6378" w:type="dxa"/>
            <w:tcBorders>
              <w:left w:val="single" w:sz="12" w:space="0" w:color="auto"/>
            </w:tcBorders>
          </w:tcPr>
          <w:p w:rsidR="008575B2" w:rsidRPr="00322850" w:rsidRDefault="008575B2" w:rsidP="00110E6B">
            <w:pPr>
              <w:rPr>
                <w:i/>
                <w:sz w:val="24"/>
                <w:szCs w:val="24"/>
              </w:rPr>
            </w:pPr>
            <w:r w:rsidRPr="0012389A">
              <w:rPr>
                <w:i/>
                <w:noProof/>
                <w:sz w:val="24"/>
                <w:szCs w:val="24"/>
              </w:rPr>
              <w:t>Defence Act 1903</w:t>
            </w:r>
          </w:p>
        </w:tc>
      </w:tr>
      <w:tr w:rsidR="008575B2" w:rsidRPr="00322850" w:rsidTr="00110E6B">
        <w:tc>
          <w:tcPr>
            <w:tcW w:w="2694" w:type="dxa"/>
            <w:tcBorders>
              <w:right w:val="single" w:sz="12" w:space="0" w:color="auto"/>
            </w:tcBorders>
          </w:tcPr>
          <w:p w:rsidR="008575B2" w:rsidRPr="00322850" w:rsidRDefault="008575B2" w:rsidP="00110E6B">
            <w:pPr>
              <w:rPr>
                <w:b/>
                <w:sz w:val="24"/>
                <w:szCs w:val="24"/>
              </w:rPr>
            </w:pPr>
            <w:r w:rsidRPr="00322850">
              <w:rPr>
                <w:b/>
                <w:sz w:val="24"/>
                <w:szCs w:val="24"/>
              </w:rPr>
              <w:t>Department</w:t>
            </w:r>
          </w:p>
        </w:tc>
        <w:tc>
          <w:tcPr>
            <w:tcW w:w="6378" w:type="dxa"/>
            <w:tcBorders>
              <w:left w:val="single" w:sz="12" w:space="0" w:color="auto"/>
            </w:tcBorders>
          </w:tcPr>
          <w:p w:rsidR="008575B2" w:rsidRPr="00322850" w:rsidRDefault="008575B2" w:rsidP="00110E6B">
            <w:pPr>
              <w:rPr>
                <w:sz w:val="24"/>
                <w:szCs w:val="24"/>
              </w:rPr>
            </w:pPr>
            <w:r w:rsidRPr="0012389A">
              <w:rPr>
                <w:noProof/>
                <w:sz w:val="24"/>
                <w:szCs w:val="24"/>
              </w:rPr>
              <w:t>Defence</w:t>
            </w:r>
          </w:p>
        </w:tc>
      </w:tr>
      <w:tr w:rsidR="008575B2" w:rsidRPr="00322850" w:rsidTr="00110E6B">
        <w:tc>
          <w:tcPr>
            <w:tcW w:w="2694" w:type="dxa"/>
            <w:tcBorders>
              <w:right w:val="single" w:sz="12" w:space="0" w:color="auto"/>
            </w:tcBorders>
          </w:tcPr>
          <w:p w:rsidR="008575B2" w:rsidRPr="00322850" w:rsidRDefault="008575B2" w:rsidP="00110E6B">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8575B2" w:rsidRPr="00322850" w:rsidRDefault="008575B2" w:rsidP="00110E6B">
            <w:pPr>
              <w:rPr>
                <w:sz w:val="24"/>
                <w:szCs w:val="24"/>
              </w:rPr>
            </w:pPr>
            <w:r w:rsidRPr="008A71E2">
              <w:rPr>
                <w:sz w:val="24"/>
                <w:szCs w:val="24"/>
              </w:rPr>
              <w:t xml:space="preserve">15 sitting days after tabling (tabled Senate </w:t>
            </w:r>
            <w:r w:rsidRPr="008A71E2">
              <w:rPr>
                <w:noProof/>
                <w:sz w:val="24"/>
                <w:szCs w:val="24"/>
              </w:rPr>
              <w:t>14 June</w:t>
            </w:r>
            <w:r w:rsidRPr="008A71E2">
              <w:rPr>
                <w:sz w:val="24"/>
                <w:szCs w:val="24"/>
              </w:rPr>
              <w:t xml:space="preserve"> 2017)</w:t>
            </w:r>
            <w:r w:rsidRPr="008A71E2">
              <w:rPr>
                <w:sz w:val="24"/>
                <w:szCs w:val="24"/>
              </w:rPr>
              <w:br/>
            </w:r>
            <w:r w:rsidR="008A71E2" w:rsidRPr="008A71E2">
              <w:rPr>
                <w:sz w:val="24"/>
                <w:szCs w:val="24"/>
              </w:rPr>
              <w:t>The time to give a notice of motion to disallow expired on</w:t>
            </w:r>
            <w:r w:rsidRPr="008A71E2">
              <w:rPr>
                <w:sz w:val="24"/>
                <w:szCs w:val="24"/>
              </w:rPr>
              <w:br/>
            </w:r>
            <w:r w:rsidRPr="008A71E2">
              <w:rPr>
                <w:noProof/>
                <w:sz w:val="24"/>
                <w:szCs w:val="24"/>
              </w:rPr>
              <w:t>6 September</w:t>
            </w:r>
            <w:r w:rsidRPr="008A71E2">
              <w:rPr>
                <w:sz w:val="24"/>
                <w:szCs w:val="24"/>
              </w:rPr>
              <w:t xml:space="preserve"> 2017</w:t>
            </w:r>
          </w:p>
        </w:tc>
      </w:tr>
      <w:tr w:rsidR="008575B2" w:rsidRPr="00322850" w:rsidTr="008575B2">
        <w:tc>
          <w:tcPr>
            <w:tcW w:w="2694" w:type="dxa"/>
            <w:tcBorders>
              <w:right w:val="single" w:sz="12" w:space="0" w:color="auto"/>
            </w:tcBorders>
          </w:tcPr>
          <w:p w:rsidR="008575B2" w:rsidRPr="00322850" w:rsidRDefault="008575B2" w:rsidP="00110E6B">
            <w:pPr>
              <w:rPr>
                <w:b/>
                <w:sz w:val="24"/>
                <w:szCs w:val="24"/>
              </w:rPr>
            </w:pPr>
            <w:r w:rsidRPr="00322850">
              <w:rPr>
                <w:b/>
                <w:sz w:val="24"/>
                <w:szCs w:val="24"/>
              </w:rPr>
              <w:t>Scrutiny principle</w:t>
            </w:r>
          </w:p>
        </w:tc>
        <w:tc>
          <w:tcPr>
            <w:tcW w:w="6378" w:type="dxa"/>
            <w:tcBorders>
              <w:left w:val="single" w:sz="12" w:space="0" w:color="auto"/>
            </w:tcBorders>
          </w:tcPr>
          <w:p w:rsidR="008575B2" w:rsidRPr="00322850" w:rsidRDefault="008575B2" w:rsidP="00110E6B">
            <w:pPr>
              <w:rPr>
                <w:sz w:val="24"/>
                <w:szCs w:val="24"/>
              </w:rPr>
            </w:pPr>
            <w:r w:rsidRPr="00322850">
              <w:rPr>
                <w:sz w:val="24"/>
                <w:szCs w:val="24"/>
              </w:rPr>
              <w:t>Standing Order 23(3)</w:t>
            </w:r>
            <w:r w:rsidRPr="0012389A">
              <w:rPr>
                <w:noProof/>
                <w:sz w:val="24"/>
                <w:szCs w:val="24"/>
              </w:rPr>
              <w:t>(a)</w:t>
            </w:r>
          </w:p>
        </w:tc>
      </w:tr>
      <w:tr w:rsidR="008575B2" w:rsidRPr="00322850" w:rsidTr="00110E6B">
        <w:tc>
          <w:tcPr>
            <w:tcW w:w="2694" w:type="dxa"/>
            <w:tcBorders>
              <w:bottom w:val="single" w:sz="12" w:space="0" w:color="auto"/>
              <w:right w:val="single" w:sz="12" w:space="0" w:color="auto"/>
            </w:tcBorders>
          </w:tcPr>
          <w:p w:rsidR="008575B2" w:rsidRPr="00556E96" w:rsidRDefault="008575B2" w:rsidP="00110E6B">
            <w:pPr>
              <w:rPr>
                <w:b/>
                <w:sz w:val="24"/>
                <w:szCs w:val="24"/>
              </w:rPr>
            </w:pPr>
            <w:r w:rsidRPr="00556E96">
              <w:rPr>
                <w:b/>
                <w:sz w:val="24"/>
                <w:szCs w:val="24"/>
              </w:rPr>
              <w:t>Previously reported in</w:t>
            </w:r>
          </w:p>
        </w:tc>
        <w:tc>
          <w:tcPr>
            <w:tcW w:w="6378" w:type="dxa"/>
            <w:tcBorders>
              <w:left w:val="single" w:sz="12" w:space="0" w:color="auto"/>
              <w:bottom w:val="single" w:sz="12" w:space="0" w:color="auto"/>
            </w:tcBorders>
          </w:tcPr>
          <w:p w:rsidR="008575B2" w:rsidRPr="00556E96" w:rsidRDefault="008575B2" w:rsidP="00110E6B">
            <w:pPr>
              <w:rPr>
                <w:sz w:val="24"/>
                <w:szCs w:val="24"/>
              </w:rPr>
            </w:pPr>
            <w:r w:rsidRPr="00556E96">
              <w:rPr>
                <w:i/>
                <w:noProof/>
                <w:sz w:val="24"/>
                <w:szCs w:val="24"/>
              </w:rPr>
              <w:t>Delegated legislation monitor</w:t>
            </w:r>
            <w:r>
              <w:rPr>
                <w:noProof/>
                <w:sz w:val="24"/>
                <w:szCs w:val="24"/>
              </w:rPr>
              <w:t xml:space="preserve"> 8</w:t>
            </w:r>
            <w:r w:rsidRPr="00556E96">
              <w:rPr>
                <w:noProof/>
                <w:sz w:val="24"/>
                <w:szCs w:val="24"/>
              </w:rPr>
              <w:t xml:space="preserve"> of 2017</w:t>
            </w:r>
          </w:p>
        </w:tc>
      </w:tr>
    </w:tbl>
    <w:p w:rsidR="008575B2" w:rsidRPr="00322850" w:rsidRDefault="008575B2" w:rsidP="008575B2">
      <w:pPr>
        <w:spacing w:before="0" w:after="0"/>
      </w:pPr>
    </w:p>
    <w:p w:rsidR="008575B2" w:rsidRPr="0012389A" w:rsidRDefault="008575B2" w:rsidP="008575B2">
      <w:pPr>
        <w:rPr>
          <w:b/>
          <w:noProof/>
        </w:rPr>
      </w:pPr>
      <w:r w:rsidRPr="0012389A">
        <w:rPr>
          <w:b/>
          <w:noProof/>
        </w:rPr>
        <w:t>Manner of incorporation</w:t>
      </w:r>
    </w:p>
    <w:p w:rsidR="000D62E9" w:rsidRPr="00322850" w:rsidRDefault="000D62E9" w:rsidP="000D62E9">
      <w:pPr>
        <w:spacing w:after="0"/>
        <w:rPr>
          <w:b/>
        </w:rPr>
      </w:pPr>
      <w:r w:rsidRPr="00556E96">
        <w:rPr>
          <w:noProof/>
        </w:rPr>
        <w:t>The committee previously commented</w:t>
      </w:r>
      <w:r>
        <w:rPr>
          <w:noProof/>
        </w:rPr>
        <w:t xml:space="preserve"> </w:t>
      </w:r>
      <w:r w:rsidRPr="00556E96">
        <w:rPr>
          <w:noProof/>
        </w:rPr>
        <w:t>as follows:</w:t>
      </w:r>
    </w:p>
    <w:p w:rsidR="008575B2" w:rsidRPr="001B5C80" w:rsidRDefault="008575B2" w:rsidP="008575B2">
      <w:pPr>
        <w:rPr>
          <w:rFonts w:asciiTheme="minorHAnsi" w:hAnsiTheme="minorHAnsi"/>
          <w:lang w:eastAsia="en-AU"/>
        </w:rPr>
      </w:pPr>
      <w:r w:rsidRPr="001B5C80">
        <w:rPr>
          <w:rFonts w:asciiTheme="minorHAnsi" w:hAnsiTheme="minorHAnsi"/>
          <w:lang w:eastAsia="en-AU"/>
        </w:rPr>
        <w:t xml:space="preserve">Section 14 of the </w:t>
      </w:r>
      <w:r w:rsidRPr="001B5C80">
        <w:rPr>
          <w:rFonts w:asciiTheme="minorHAnsi" w:hAnsiTheme="minorHAnsi"/>
          <w:i/>
          <w:lang w:eastAsia="en-AU"/>
        </w:rPr>
        <w:t>Legislation Act 2003</w:t>
      </w:r>
      <w:r w:rsidRPr="001B5C80">
        <w:rPr>
          <w:rFonts w:asciiTheme="minorHAnsi" w:hAnsiTheme="minorHAnsi"/>
          <w:lang w:eastAsia="en-AU"/>
        </w:rPr>
        <w:t xml:space="preserve"> allows legislative instruments to make provision in relation to matters by incorporating Acts and disallowable legislative instruments, either as in force at a particular time or as in force from time to time. Other documents may only be incorporated as in force at the commencement of the legislative instrument, unless authorising or other legislation alters the operation of section 14.</w:t>
      </w:r>
    </w:p>
    <w:p w:rsidR="008575B2" w:rsidRDefault="008575B2" w:rsidP="008575B2">
      <w:pPr>
        <w:rPr>
          <w:noProof/>
        </w:rPr>
      </w:pPr>
      <w:r>
        <w:rPr>
          <w:rFonts w:asciiTheme="minorHAnsi" w:hAnsiTheme="minorHAnsi"/>
          <w:lang w:eastAsia="en-AU"/>
        </w:rPr>
        <w:t xml:space="preserve">Subsection 58B(1A) of the </w:t>
      </w:r>
      <w:r>
        <w:rPr>
          <w:rFonts w:asciiTheme="minorHAnsi" w:hAnsiTheme="minorHAnsi"/>
          <w:i/>
          <w:lang w:eastAsia="en-AU"/>
        </w:rPr>
        <w:t xml:space="preserve">Defence Act 1903 </w:t>
      </w:r>
      <w:r>
        <w:rPr>
          <w:rFonts w:asciiTheme="minorHAnsi" w:hAnsiTheme="minorHAnsi"/>
          <w:lang w:eastAsia="en-AU"/>
        </w:rPr>
        <w:t xml:space="preserve">(Defence Act) </w:t>
      </w:r>
      <w:r>
        <w:t>provides that determinations made by the Defence Force Remuneration Tribunal (DFRT) under section 58H of the Defence Act may be incorporated into defence determinations made under section 58B, either as in force at a particular time or as in force from time to time. T</w:t>
      </w:r>
      <w:r>
        <w:rPr>
          <w:rFonts w:asciiTheme="minorHAnsi" w:hAnsiTheme="minorHAnsi"/>
          <w:lang w:eastAsia="en-AU"/>
        </w:rPr>
        <w:t>he determination</w:t>
      </w:r>
      <w:r>
        <w:rPr>
          <w:noProof/>
        </w:rPr>
        <w:t xml:space="preserve"> is made under section 58B of the Defence Act.</w:t>
      </w:r>
    </w:p>
    <w:p w:rsidR="008575B2" w:rsidRDefault="008575B2" w:rsidP="008575B2">
      <w:pPr>
        <w:rPr>
          <w:noProof/>
        </w:rPr>
      </w:pPr>
      <w:r>
        <w:rPr>
          <w:noProof/>
        </w:rPr>
        <w:t>Schedule 3 of the determination inserts new subsection </w:t>
      </w:r>
      <w:r w:rsidRPr="00013BD1">
        <w:rPr>
          <w:noProof/>
        </w:rPr>
        <w:t>15.2A.15</w:t>
      </w:r>
      <w:r>
        <w:rPr>
          <w:noProof/>
        </w:rPr>
        <w:t>(1)</w:t>
      </w:r>
      <w:r w:rsidRPr="008715CD">
        <w:t xml:space="preserve"> </w:t>
      </w:r>
      <w:r w:rsidRPr="008715CD">
        <w:rPr>
          <w:noProof/>
        </w:rPr>
        <w:t xml:space="preserve">into Defence Determination 2016/19, Conditions of service [F2016L00643] (the </w:t>
      </w:r>
      <w:r>
        <w:rPr>
          <w:noProof/>
        </w:rPr>
        <w:t xml:space="preserve">COS </w:t>
      </w:r>
      <w:r w:rsidRPr="008715CD">
        <w:rPr>
          <w:noProof/>
        </w:rPr>
        <w:t>determination)</w:t>
      </w:r>
      <w:r w:rsidRPr="00013BD1">
        <w:rPr>
          <w:noProof/>
        </w:rPr>
        <w:t xml:space="preserve"> </w:t>
      </w:r>
      <w:r>
        <w:rPr>
          <w:noProof/>
        </w:rPr>
        <w:t xml:space="preserve">which </w:t>
      </w:r>
      <w:r w:rsidRPr="00013BD1">
        <w:rPr>
          <w:noProof/>
        </w:rPr>
        <w:t xml:space="preserve">incorporates DFRT Determination 2 of 2017, </w:t>
      </w:r>
      <w:r w:rsidRPr="00DD6CF5">
        <w:rPr>
          <w:i/>
          <w:noProof/>
        </w:rPr>
        <w:t>Salaries</w:t>
      </w:r>
      <w:r>
        <w:rPr>
          <w:noProof/>
        </w:rPr>
        <w:t>. However, neither the determination</w:t>
      </w:r>
      <w:r w:rsidRPr="00013BD1">
        <w:rPr>
          <w:noProof/>
        </w:rPr>
        <w:t xml:space="preserve"> nor the ES</w:t>
      </w:r>
      <w:r>
        <w:rPr>
          <w:noProof/>
        </w:rPr>
        <w:t xml:space="preserve"> states the manner in which the</w:t>
      </w:r>
      <w:r w:rsidRPr="00013BD1">
        <w:rPr>
          <w:noProof/>
        </w:rPr>
        <w:t xml:space="preserve"> </w:t>
      </w:r>
      <w:r>
        <w:rPr>
          <w:noProof/>
        </w:rPr>
        <w:t xml:space="preserve">DFRT </w:t>
      </w:r>
      <w:r w:rsidRPr="00013BD1">
        <w:rPr>
          <w:noProof/>
        </w:rPr>
        <w:t>determination is incorporated.</w:t>
      </w:r>
    </w:p>
    <w:p w:rsidR="008575B2" w:rsidRDefault="008575B2" w:rsidP="008575B2">
      <w:pPr>
        <w:autoSpaceDE w:val="0"/>
        <w:autoSpaceDN w:val="0"/>
        <w:adjustRightInd w:val="0"/>
        <w:rPr>
          <w:rFonts w:cs="Calibri"/>
          <w:szCs w:val="26"/>
          <w:lang w:eastAsia="en-AU"/>
        </w:rPr>
      </w:pPr>
      <w:r w:rsidRPr="00A324B8">
        <w:rPr>
          <w:rFonts w:cs="Calibri"/>
          <w:szCs w:val="26"/>
          <w:lang w:eastAsia="en-AU"/>
        </w:rPr>
        <w:t>The committee expects instruments (and ideally their accompanying ESs) to clearly</w:t>
      </w:r>
      <w:r>
        <w:rPr>
          <w:rFonts w:cs="Calibri"/>
          <w:szCs w:val="26"/>
          <w:lang w:eastAsia="en-AU"/>
        </w:rPr>
        <w:t xml:space="preserve"> </w:t>
      </w:r>
      <w:r w:rsidRPr="00A324B8">
        <w:rPr>
          <w:rFonts w:cs="Calibri"/>
          <w:szCs w:val="26"/>
          <w:lang w:eastAsia="en-AU"/>
        </w:rPr>
        <w:t>state the manner in which documents are incorporated (that is, either as in force</w:t>
      </w:r>
      <w:r>
        <w:rPr>
          <w:rFonts w:cs="Calibri"/>
          <w:szCs w:val="26"/>
          <w:lang w:eastAsia="en-AU"/>
        </w:rPr>
        <w:t xml:space="preserve"> </w:t>
      </w:r>
      <w:r w:rsidRPr="00A324B8">
        <w:rPr>
          <w:rFonts w:cs="Calibri"/>
          <w:szCs w:val="26"/>
          <w:lang w:eastAsia="en-AU"/>
        </w:rPr>
        <w:t xml:space="preserve">at a particular time or as in force from time to time). This enables persons interested in or </w:t>
      </w:r>
      <w:r w:rsidRPr="00A324B8">
        <w:rPr>
          <w:rFonts w:cs="Calibri"/>
          <w:szCs w:val="26"/>
          <w:lang w:eastAsia="en-AU"/>
        </w:rPr>
        <w:lastRenderedPageBreak/>
        <w:t>affected by the instrument to understand its operation without the need to rely on specialist legal knowledge or advice, or consult extrinsic material.</w:t>
      </w:r>
    </w:p>
    <w:p w:rsidR="008575B2" w:rsidRPr="0010765E" w:rsidRDefault="008575B2" w:rsidP="008575B2">
      <w:pPr>
        <w:rPr>
          <w:rFonts w:asciiTheme="minorHAnsi" w:hAnsiTheme="minorHAnsi"/>
          <w:lang w:eastAsia="en-AU"/>
        </w:rPr>
      </w:pPr>
      <w:r w:rsidRPr="00574CB6">
        <w:rPr>
          <w:rFonts w:asciiTheme="minorHAnsi" w:hAnsiTheme="minorHAnsi"/>
          <w:lang w:eastAsia="en-AU"/>
        </w:rPr>
        <w:t xml:space="preserve">The committee's expectations in this regard are set out in the guideline on incorporation </w:t>
      </w:r>
      <w:r>
        <w:rPr>
          <w:rFonts w:asciiTheme="minorHAnsi" w:hAnsiTheme="minorHAnsi"/>
          <w:lang w:eastAsia="en-AU"/>
        </w:rPr>
        <w:t>of documents published on the committee's website</w:t>
      </w:r>
      <w:r w:rsidRPr="00574CB6">
        <w:rPr>
          <w:rFonts w:asciiTheme="minorHAnsi" w:hAnsiTheme="minorHAnsi"/>
          <w:lang w:eastAsia="en-AU"/>
        </w:rPr>
        <w:t>.</w:t>
      </w:r>
      <w:r>
        <w:rPr>
          <w:rStyle w:val="FootnoteReference"/>
          <w:rFonts w:asciiTheme="minorHAnsi" w:hAnsiTheme="minorHAnsi"/>
          <w:lang w:eastAsia="en-AU"/>
        </w:rPr>
        <w:footnoteReference w:id="53"/>
      </w:r>
      <w:r w:rsidRPr="001B5C80">
        <w:rPr>
          <w:rFonts w:asciiTheme="minorHAnsi" w:hAnsiTheme="minorHAnsi"/>
          <w:lang w:eastAsia="en-AU"/>
        </w:rPr>
        <w:t xml:space="preserve"> </w:t>
      </w:r>
    </w:p>
    <w:p w:rsidR="008575B2" w:rsidRDefault="00AB3DF0" w:rsidP="008575B2">
      <w:pPr>
        <w:spacing w:after="0"/>
        <w:rPr>
          <w:noProof/>
        </w:rPr>
      </w:pPr>
      <w:r>
        <w:rPr>
          <w:noProof/>
        </w:rPr>
        <w:t>The committee requested</w:t>
      </w:r>
      <w:r w:rsidR="008575B2" w:rsidRPr="008575B2">
        <w:rPr>
          <w:noProof/>
        </w:rPr>
        <w:t xml:space="preserve"> the advice of the minister in relation to the above.</w:t>
      </w:r>
    </w:p>
    <w:p w:rsidR="00E84D21" w:rsidRDefault="00E84D21" w:rsidP="00E84D21">
      <w:pPr>
        <w:rPr>
          <w:rFonts w:asciiTheme="minorHAnsi" w:hAnsiTheme="minorHAnsi"/>
          <w:b/>
          <w:lang w:eastAsia="en-AU"/>
        </w:rPr>
      </w:pPr>
      <w:r>
        <w:rPr>
          <w:rFonts w:asciiTheme="minorHAnsi" w:hAnsiTheme="minorHAnsi"/>
          <w:b/>
          <w:lang w:eastAsia="en-AU"/>
        </w:rPr>
        <w:t>Minister's response</w:t>
      </w:r>
    </w:p>
    <w:p w:rsidR="00E84D21" w:rsidRDefault="00E84D21" w:rsidP="00E84D21">
      <w:pPr>
        <w:rPr>
          <w:rFonts w:asciiTheme="minorHAnsi" w:hAnsiTheme="minorHAnsi"/>
          <w:lang w:eastAsia="en-AU"/>
        </w:rPr>
      </w:pPr>
      <w:r w:rsidRPr="00A93C58">
        <w:rPr>
          <w:rFonts w:asciiTheme="minorHAnsi" w:hAnsiTheme="minorHAnsi"/>
          <w:lang w:eastAsia="en-AU"/>
        </w:rPr>
        <w:t>The Minis</w:t>
      </w:r>
      <w:r>
        <w:rPr>
          <w:rFonts w:asciiTheme="minorHAnsi" w:hAnsiTheme="minorHAnsi"/>
          <w:lang w:eastAsia="en-AU"/>
        </w:rPr>
        <w:t>ter for Defence advised:</w:t>
      </w:r>
    </w:p>
    <w:p w:rsidR="00E84D21" w:rsidRDefault="00E84D21" w:rsidP="00E84D21">
      <w:pPr>
        <w:pStyle w:val="Quote"/>
        <w:rPr>
          <w:lang w:eastAsia="en-AU"/>
        </w:rPr>
      </w:pPr>
      <w:r>
        <w:rPr>
          <w:lang w:eastAsia="en-AU"/>
        </w:rPr>
        <w:t xml:space="preserve">Section 14(1)(b) of the </w:t>
      </w:r>
      <w:r w:rsidRPr="00E84D21">
        <w:rPr>
          <w:i/>
          <w:lang w:eastAsia="en-AU"/>
        </w:rPr>
        <w:t>Legislation Act 2003</w:t>
      </w:r>
      <w:r>
        <w:rPr>
          <w:lang w:eastAsia="en-AU"/>
        </w:rPr>
        <w:t xml:space="preserve"> provides that if enabling legislation authorises a provision to be made in relation to any matter by</w:t>
      </w:r>
      <w:r>
        <w:rPr>
          <w:lang w:eastAsia="en-AU"/>
        </w:rPr>
        <w:br/>
        <w:t>a legislative instrument, the instrument may, unless the contrary intention appears, make provision in relation to that matter (subject to s 14(2)),</w:t>
      </w:r>
      <w:r>
        <w:rPr>
          <w:lang w:eastAsia="en-AU"/>
        </w:rPr>
        <w:br/>
        <w:t>by incorporating any matter contained in any other writing that exists at the time the instrument commences.</w:t>
      </w:r>
    </w:p>
    <w:p w:rsidR="00E84D21" w:rsidRDefault="00E84D21" w:rsidP="00E84D21">
      <w:pPr>
        <w:pStyle w:val="Quote"/>
        <w:rPr>
          <w:lang w:eastAsia="en-AU"/>
        </w:rPr>
      </w:pPr>
      <w:r>
        <w:rPr>
          <w:lang w:eastAsia="en-AU"/>
        </w:rPr>
        <w:t xml:space="preserve">Defence Determination 2017/18 is an amending determination to Defence Determination 2016/19, Conditions of service [F2016L00643]. Section 1.2.5A of Defence Determination 2016/19 establishes a rule whereby a reference to determination made by the Defence Force Remuneration Tribunal under section 58H of the </w:t>
      </w:r>
      <w:r w:rsidRPr="00E84D21">
        <w:rPr>
          <w:i/>
          <w:lang w:eastAsia="en-AU"/>
        </w:rPr>
        <w:t>Defence Act 1903</w:t>
      </w:r>
      <w:r>
        <w:rPr>
          <w:lang w:eastAsia="en-AU"/>
        </w:rPr>
        <w:t xml:space="preserve"> is a reference to that Determination, as in force from time to time, unless specified otherwise. Upon incorporation into Defence Determination 2016/19 the rule at section 1.2.5A will apply and DFRT Determination 2 of 2017, Salaries, will be incorporated as in force from time to time.</w:t>
      </w:r>
    </w:p>
    <w:p w:rsidR="00E84D21" w:rsidRPr="00995BBB" w:rsidRDefault="00E84D21" w:rsidP="00E84D21">
      <w:pPr>
        <w:pStyle w:val="Quote"/>
        <w:rPr>
          <w:lang w:eastAsia="en-AU"/>
        </w:rPr>
      </w:pPr>
      <w:r>
        <w:rPr>
          <w:lang w:eastAsia="en-AU"/>
        </w:rPr>
        <w:t>In future, Defence will ensure that when incorporation is used in amending determinations, that the manner of incorporation is specified in the Explanatory Statement. This practice will enable users to better understand the operation of the determination without the need to rely on specialist legal knowledge or advice, or consult extrinsic material.</w:t>
      </w:r>
    </w:p>
    <w:p w:rsidR="00E84D21" w:rsidRPr="00301FAD" w:rsidRDefault="00E84D21" w:rsidP="00E84D21">
      <w:pPr>
        <w:pStyle w:val="Quote"/>
        <w:ind w:left="0"/>
        <w:rPr>
          <w:b/>
          <w:noProof/>
          <w:sz w:val="26"/>
        </w:rPr>
      </w:pPr>
      <w:r w:rsidRPr="00301FAD">
        <w:rPr>
          <w:b/>
          <w:noProof/>
          <w:sz w:val="26"/>
        </w:rPr>
        <w:t>Committee's response</w:t>
      </w:r>
    </w:p>
    <w:p w:rsidR="00E84D21" w:rsidRPr="00DB4521" w:rsidRDefault="00E84D21" w:rsidP="00E84D21">
      <w:r w:rsidRPr="00556E96">
        <w:rPr>
          <w:b/>
          <w:szCs w:val="26"/>
        </w:rPr>
        <w:t>T</w:t>
      </w:r>
      <w:r>
        <w:rPr>
          <w:b/>
          <w:szCs w:val="26"/>
        </w:rPr>
        <w:t xml:space="preserve">he committee thanks </w:t>
      </w:r>
      <w:r w:rsidRPr="004A7CC9">
        <w:rPr>
          <w:b/>
          <w:szCs w:val="26"/>
        </w:rPr>
        <w:t xml:space="preserve">the </w:t>
      </w:r>
      <w:r>
        <w:rPr>
          <w:b/>
          <w:noProof/>
        </w:rPr>
        <w:t>m</w:t>
      </w:r>
      <w:r w:rsidRPr="004A7CC9">
        <w:rPr>
          <w:b/>
          <w:noProof/>
        </w:rPr>
        <w:t>inister</w:t>
      </w:r>
      <w:r w:rsidRPr="004A7CC9">
        <w:rPr>
          <w:b/>
          <w:szCs w:val="26"/>
        </w:rPr>
        <w:t xml:space="preserve"> f</w:t>
      </w:r>
      <w:r>
        <w:rPr>
          <w:b/>
          <w:szCs w:val="26"/>
        </w:rPr>
        <w:t>or her</w:t>
      </w:r>
      <w:r w:rsidRPr="00556E96">
        <w:rPr>
          <w:b/>
          <w:szCs w:val="26"/>
        </w:rPr>
        <w:t xml:space="preserve"> response and has concluded its examination of the above. </w:t>
      </w:r>
    </w:p>
    <w:p w:rsidR="00E84D21" w:rsidRPr="008575B2" w:rsidRDefault="000C32D7" w:rsidP="008575B2">
      <w:pPr>
        <w:spacing w:after="0"/>
        <w:rPr>
          <w:noProof/>
        </w:rPr>
      </w:pPr>
      <w:r>
        <w:rPr>
          <w:noProof/>
        </w:rPr>
        <w:t xml:space="preserve">The committee </w:t>
      </w:r>
      <w:r w:rsidR="00915217">
        <w:rPr>
          <w:noProof/>
        </w:rPr>
        <w:t>notes the minister's advice that</w:t>
      </w:r>
      <w:r w:rsidR="00915217" w:rsidRPr="00915217">
        <w:rPr>
          <w:noProof/>
        </w:rPr>
        <w:t xml:space="preserve"> </w:t>
      </w:r>
      <w:r w:rsidR="00915217">
        <w:rPr>
          <w:noProof/>
        </w:rPr>
        <w:t xml:space="preserve">Defence will specify </w:t>
      </w:r>
      <w:r w:rsidR="00AB1DFB">
        <w:rPr>
          <w:noProof/>
        </w:rPr>
        <w:t>the manner of incorporation of documents</w:t>
      </w:r>
      <w:r w:rsidR="00915217">
        <w:rPr>
          <w:noProof/>
        </w:rPr>
        <w:t xml:space="preserve"> in future instruments.</w:t>
      </w:r>
    </w:p>
    <w:p w:rsidR="008575B2" w:rsidRPr="001B5C80" w:rsidRDefault="002B2721" w:rsidP="000C32D7">
      <w:pPr>
        <w:tabs>
          <w:tab w:val="left" w:pos="2268"/>
        </w:tabs>
        <w:spacing w:before="0" w:after="0"/>
        <w:rPr>
          <w:b/>
          <w:noProof/>
        </w:rPr>
      </w:pPr>
      <w:r>
        <w:rPr>
          <w:rFonts w:asciiTheme="minorHAnsi" w:hAnsiTheme="minorHAnsi"/>
          <w:lang w:eastAsia="en-AU"/>
        </w:rPr>
        <w:pict>
          <v:rect id="_x0000_i1026" style="width:222.95pt;height:.05pt" o:hrpct="494" o:hralign="center" o:hrstd="t" o:hr="t" fillcolor="#a0a0a0" stroked="f"/>
        </w:pict>
      </w:r>
    </w:p>
    <w:p w:rsidR="008575B2" w:rsidRPr="00B2067C" w:rsidRDefault="008575B2" w:rsidP="008575B2">
      <w:pPr>
        <w:rPr>
          <w:b/>
          <w:noProof/>
        </w:rPr>
      </w:pPr>
      <w:r w:rsidRPr="00B2067C">
        <w:rPr>
          <w:b/>
          <w:noProof/>
        </w:rPr>
        <w:t>Legal certainty</w:t>
      </w:r>
    </w:p>
    <w:p w:rsidR="000D62E9" w:rsidRPr="00322850" w:rsidRDefault="000D62E9" w:rsidP="000D62E9">
      <w:pPr>
        <w:spacing w:after="0"/>
        <w:rPr>
          <w:b/>
        </w:rPr>
      </w:pPr>
      <w:r w:rsidRPr="00556E96">
        <w:rPr>
          <w:noProof/>
        </w:rPr>
        <w:t>The committee previously commented</w:t>
      </w:r>
      <w:r>
        <w:rPr>
          <w:noProof/>
        </w:rPr>
        <w:t xml:space="preserve"> </w:t>
      </w:r>
      <w:r w:rsidRPr="00556E96">
        <w:rPr>
          <w:noProof/>
        </w:rPr>
        <w:t>as follows:</w:t>
      </w:r>
    </w:p>
    <w:p w:rsidR="008575B2" w:rsidRPr="00B2067C" w:rsidRDefault="008575B2" w:rsidP="008575B2">
      <w:pPr>
        <w:rPr>
          <w:noProof/>
        </w:rPr>
      </w:pPr>
      <w:r w:rsidRPr="00B2067C">
        <w:rPr>
          <w:noProof/>
        </w:rPr>
        <w:lastRenderedPageBreak/>
        <w:t xml:space="preserve">Schedule 3 of the determination inserts new Part 2A into </w:t>
      </w:r>
      <w:r>
        <w:rPr>
          <w:noProof/>
        </w:rPr>
        <w:t xml:space="preserve">the COS </w:t>
      </w:r>
      <w:r w:rsidRPr="00B2067C">
        <w:rPr>
          <w:noProof/>
        </w:rPr>
        <w:t>determination. New section 15.2A.12</w:t>
      </w:r>
      <w:r>
        <w:rPr>
          <w:noProof/>
        </w:rPr>
        <w:t>, as inserted by this</w:t>
      </w:r>
      <w:r w:rsidRPr="00B2067C">
        <w:rPr>
          <w:noProof/>
        </w:rPr>
        <w:t xml:space="preserve"> determination, sets out the methodology that is to be used to calculate the cost of living adjustment (COLA) for Australian Defence Force (ADF) members posted on or after 1 July 2017. The ES explains that the purpose of the COLA is:</w:t>
      </w:r>
    </w:p>
    <w:p w:rsidR="008575B2" w:rsidRPr="00B2067C" w:rsidRDefault="008575B2" w:rsidP="008575B2">
      <w:pPr>
        <w:pStyle w:val="Quote"/>
        <w:spacing w:before="120"/>
        <w:rPr>
          <w:noProof/>
        </w:rPr>
      </w:pPr>
      <w:r w:rsidRPr="00B2067C">
        <w:rPr>
          <w:noProof/>
        </w:rPr>
        <w:t>to maintain the purchasing power of a member's disposable income at locations where the cost of goods and services is more expensive than in Australia.</w:t>
      </w:r>
    </w:p>
    <w:p w:rsidR="008575B2" w:rsidRPr="00B2067C" w:rsidRDefault="008575B2" w:rsidP="008575B2">
      <w:pPr>
        <w:rPr>
          <w:noProof/>
        </w:rPr>
      </w:pPr>
      <w:r w:rsidRPr="00B2067C">
        <w:rPr>
          <w:noProof/>
        </w:rPr>
        <w:t xml:space="preserve">The methodology that is used to calculate the COLA includes the application of a 'spendable salary factor' which is calculated by an independent data provider. With respect to the calculation of the 'spendable salary factor', the ES explains: </w:t>
      </w:r>
    </w:p>
    <w:p w:rsidR="008575B2" w:rsidRPr="00B2067C" w:rsidRDefault="008575B2" w:rsidP="008575B2">
      <w:pPr>
        <w:pStyle w:val="Quote"/>
        <w:spacing w:before="120"/>
        <w:rPr>
          <w:noProof/>
        </w:rPr>
      </w:pPr>
      <w:r w:rsidRPr="00B2067C">
        <w:rPr>
          <w:noProof/>
        </w:rPr>
        <w:t>This calculation is applied prior to applying the post index to reflect the cost of living difference between Australia and the host country.</w:t>
      </w:r>
      <w:r w:rsidRPr="00B2067C">
        <w:rPr>
          <w:noProof/>
        </w:rPr>
        <w:br/>
        <w:t>The independent data provider’s methodology is their intellectual property and cannot be disclosed publicly as it does not belong to the Commonwealth and would be in breach of the terms and conditions under which it is obtained.</w:t>
      </w:r>
    </w:p>
    <w:p w:rsidR="008575B2" w:rsidRPr="00B2067C" w:rsidRDefault="008575B2" w:rsidP="008575B2">
      <w:pPr>
        <w:autoSpaceDE w:val="0"/>
        <w:autoSpaceDN w:val="0"/>
        <w:adjustRightInd w:val="0"/>
        <w:rPr>
          <w:noProof/>
        </w:rPr>
      </w:pPr>
      <w:r>
        <w:rPr>
          <w:noProof/>
        </w:rPr>
        <w:t>T</w:t>
      </w:r>
      <w:r w:rsidRPr="00B2067C">
        <w:rPr>
          <w:noProof/>
        </w:rPr>
        <w:t>he committee appreciates that this determination implements the government’s decision to standardise allowances across departments and agencies, and that the COLA calculation (including the 'spendable salary factor') is a core part</w:t>
      </w:r>
      <w:r>
        <w:rPr>
          <w:noProof/>
        </w:rPr>
        <w:t xml:space="preserve"> of this outcome. However, </w:t>
      </w:r>
      <w:r w:rsidRPr="00B2067C">
        <w:rPr>
          <w:noProof/>
        </w:rPr>
        <w:t xml:space="preserve">the committee is interested in exploring how ADF members may confirm that their COLA has been caclulated correctly, when it appears that the details of the 'spendable salary factor' used to determine the COLA will not be disclosed. </w:t>
      </w:r>
    </w:p>
    <w:p w:rsidR="008575B2" w:rsidRDefault="008575B2" w:rsidP="008575B2">
      <w:pPr>
        <w:rPr>
          <w:noProof/>
        </w:rPr>
      </w:pPr>
      <w:r w:rsidRPr="00B2067C">
        <w:rPr>
          <w:noProof/>
        </w:rPr>
        <w:t>A fundamental principle of the rule of law is that every person subject to the law should be able to readily and freely access its terms. Without</w:t>
      </w:r>
      <w:r>
        <w:rPr>
          <w:noProof/>
        </w:rPr>
        <w:t xml:space="preserve"> more specific information regarding the 'spendable salary factor', it is unclear to the committee whether an ADF member could access or obtain a copy of the 'spendable salary factor' that was used to determine their COLA.</w:t>
      </w:r>
    </w:p>
    <w:p w:rsidR="008575B2" w:rsidRPr="008575B2" w:rsidRDefault="002B71A2" w:rsidP="008575B2">
      <w:pPr>
        <w:spacing w:after="0"/>
        <w:rPr>
          <w:noProof/>
        </w:rPr>
      </w:pPr>
      <w:r>
        <w:rPr>
          <w:noProof/>
        </w:rPr>
        <w:t>The committee requested</w:t>
      </w:r>
      <w:r w:rsidR="008575B2" w:rsidRPr="008575B2">
        <w:rPr>
          <w:noProof/>
        </w:rPr>
        <w:t xml:space="preserve"> the advice of the minister in relation to the above.</w:t>
      </w:r>
    </w:p>
    <w:p w:rsidR="008575B2" w:rsidRDefault="008575B2" w:rsidP="008575B2">
      <w:pPr>
        <w:rPr>
          <w:rFonts w:asciiTheme="minorHAnsi" w:hAnsiTheme="minorHAnsi"/>
          <w:b/>
          <w:lang w:eastAsia="en-AU"/>
        </w:rPr>
      </w:pPr>
      <w:r>
        <w:rPr>
          <w:rFonts w:asciiTheme="minorHAnsi" w:hAnsiTheme="minorHAnsi"/>
          <w:b/>
          <w:lang w:eastAsia="en-AU"/>
        </w:rPr>
        <w:t>Minister's response</w:t>
      </w:r>
    </w:p>
    <w:p w:rsidR="008575B2" w:rsidRPr="00995BBB" w:rsidRDefault="008575B2" w:rsidP="008575B2">
      <w:pPr>
        <w:rPr>
          <w:rFonts w:asciiTheme="minorHAnsi" w:hAnsiTheme="minorHAnsi"/>
          <w:lang w:eastAsia="en-AU"/>
        </w:rPr>
      </w:pPr>
      <w:r w:rsidRPr="00A93C58">
        <w:rPr>
          <w:rFonts w:asciiTheme="minorHAnsi" w:hAnsiTheme="minorHAnsi"/>
          <w:lang w:eastAsia="en-AU"/>
        </w:rPr>
        <w:t>The Minis</w:t>
      </w:r>
      <w:r>
        <w:rPr>
          <w:rFonts w:asciiTheme="minorHAnsi" w:hAnsiTheme="minorHAnsi"/>
          <w:lang w:eastAsia="en-AU"/>
        </w:rPr>
        <w:t xml:space="preserve">ter for </w:t>
      </w:r>
      <w:r w:rsidR="000D62E9">
        <w:rPr>
          <w:rFonts w:asciiTheme="minorHAnsi" w:hAnsiTheme="minorHAnsi"/>
          <w:lang w:eastAsia="en-AU"/>
        </w:rPr>
        <w:t>Defence</w:t>
      </w:r>
      <w:r>
        <w:rPr>
          <w:rFonts w:asciiTheme="minorHAnsi" w:hAnsiTheme="minorHAnsi"/>
          <w:lang w:eastAsia="en-AU"/>
        </w:rPr>
        <w:t xml:space="preserve"> advised:</w:t>
      </w:r>
    </w:p>
    <w:p w:rsidR="00D7654A" w:rsidRDefault="00D7654A" w:rsidP="00D7654A">
      <w:pPr>
        <w:pStyle w:val="Quote"/>
        <w:rPr>
          <w:lang w:eastAsia="en-AU"/>
        </w:rPr>
      </w:pPr>
      <w:r>
        <w:rPr>
          <w:lang w:eastAsia="en-AU"/>
        </w:rPr>
        <w:t>The 'spendable salary factor' referred to in Defence Determination 2017/18 is a reference to information owned by a data service provider.</w:t>
      </w:r>
      <w:r>
        <w:rPr>
          <w:lang w:eastAsia="en-AU"/>
        </w:rPr>
        <w:br/>
        <w:t>In preparing Defence Determination 2017/18, Defence worked with the data service provider to enable the publication of as much information as possible to support the calculations. However, as the information is the data service provider's intellectual property, Defence sought their consent to publish the formula. The data service provider denied this request on commercial grounds.</w:t>
      </w:r>
    </w:p>
    <w:p w:rsidR="00E84D21" w:rsidRDefault="00D7654A" w:rsidP="00D7654A">
      <w:pPr>
        <w:pStyle w:val="Quote"/>
        <w:rPr>
          <w:lang w:eastAsia="en-AU"/>
        </w:rPr>
      </w:pPr>
      <w:r>
        <w:rPr>
          <w:lang w:eastAsia="en-AU"/>
        </w:rPr>
        <w:lastRenderedPageBreak/>
        <w:t>On this basis, Defence is developing a tool for members that will be available on the Defence Restricted/Protected Network that will provide members with a personalised estimate of the value of the cost of living adjustment applicable to their personal circumstances prior to, or during, their overseas posting. This estimator applies the spendable salary factor to information entered by the member.</w:t>
      </w:r>
    </w:p>
    <w:p w:rsidR="00E84D21" w:rsidRPr="00301FAD" w:rsidRDefault="00E84D21" w:rsidP="00E84D21">
      <w:pPr>
        <w:pStyle w:val="Quote"/>
        <w:ind w:left="0"/>
        <w:rPr>
          <w:b/>
          <w:noProof/>
          <w:sz w:val="26"/>
        </w:rPr>
      </w:pPr>
      <w:r w:rsidRPr="00301FAD">
        <w:rPr>
          <w:b/>
          <w:noProof/>
          <w:sz w:val="26"/>
        </w:rPr>
        <w:t>Committee's response</w:t>
      </w:r>
    </w:p>
    <w:p w:rsidR="00A47F7C" w:rsidRDefault="00E84D21" w:rsidP="00E84D21">
      <w:pPr>
        <w:rPr>
          <w:b/>
          <w:szCs w:val="26"/>
        </w:rPr>
      </w:pPr>
      <w:r w:rsidRPr="00556E96">
        <w:rPr>
          <w:b/>
          <w:szCs w:val="26"/>
        </w:rPr>
        <w:t>T</w:t>
      </w:r>
      <w:r>
        <w:rPr>
          <w:b/>
          <w:szCs w:val="26"/>
        </w:rPr>
        <w:t xml:space="preserve">he committee thanks </w:t>
      </w:r>
      <w:r w:rsidRPr="004A7CC9">
        <w:rPr>
          <w:b/>
          <w:szCs w:val="26"/>
        </w:rPr>
        <w:t xml:space="preserve">the </w:t>
      </w:r>
      <w:r>
        <w:rPr>
          <w:b/>
          <w:noProof/>
        </w:rPr>
        <w:t>m</w:t>
      </w:r>
      <w:r w:rsidRPr="004A7CC9">
        <w:rPr>
          <w:b/>
          <w:noProof/>
        </w:rPr>
        <w:t>inister</w:t>
      </w:r>
      <w:r w:rsidRPr="004A7CC9">
        <w:rPr>
          <w:b/>
          <w:szCs w:val="26"/>
        </w:rPr>
        <w:t xml:space="preserve"> f</w:t>
      </w:r>
      <w:r>
        <w:rPr>
          <w:b/>
          <w:szCs w:val="26"/>
        </w:rPr>
        <w:t>or her</w:t>
      </w:r>
      <w:r w:rsidRPr="00556E96">
        <w:rPr>
          <w:b/>
          <w:szCs w:val="26"/>
        </w:rPr>
        <w:t xml:space="preserve"> response and has conclude</w:t>
      </w:r>
      <w:r w:rsidR="00A47F7C">
        <w:rPr>
          <w:b/>
          <w:szCs w:val="26"/>
        </w:rPr>
        <w:t>d its examination of the above.</w:t>
      </w:r>
    </w:p>
    <w:p w:rsidR="008974BD" w:rsidRDefault="002B71A2" w:rsidP="00E84D21">
      <w:pPr>
        <w:rPr>
          <w:szCs w:val="26"/>
        </w:rPr>
      </w:pPr>
      <w:r>
        <w:rPr>
          <w:szCs w:val="26"/>
        </w:rPr>
        <w:t xml:space="preserve">The committee notes the minister's advice that Defence </w:t>
      </w:r>
      <w:r w:rsidR="00187DF9">
        <w:rPr>
          <w:szCs w:val="26"/>
        </w:rPr>
        <w:t>will</w:t>
      </w:r>
      <w:r>
        <w:rPr>
          <w:szCs w:val="26"/>
        </w:rPr>
        <w:t xml:space="preserve"> develop a tool which will effectively enable affected members to apply the 'spendable salary factor' to their personal circumstances, in order to ascertain or check the determination of their COLA.</w:t>
      </w:r>
      <w:r w:rsidR="00AB3DF0">
        <w:rPr>
          <w:szCs w:val="26"/>
        </w:rPr>
        <w:t xml:space="preserve"> The committee requests that the issue of legal certainty be taken into account in the department's preparation of future legislative instruments.</w:t>
      </w:r>
    </w:p>
    <w:p w:rsidR="008974BD" w:rsidRDefault="008974BD" w:rsidP="00E84D21">
      <w:pPr>
        <w:rPr>
          <w:szCs w:val="26"/>
        </w:rPr>
      </w:pPr>
    </w:p>
    <w:tbl>
      <w:tblPr>
        <w:tblW w:w="0" w:type="auto"/>
        <w:tblInd w:w="108" w:type="dxa"/>
        <w:tblLook w:val="04A0" w:firstRow="1" w:lastRow="0" w:firstColumn="1" w:lastColumn="0" w:noHBand="0" w:noVBand="1"/>
      </w:tblPr>
      <w:tblGrid>
        <w:gridCol w:w="2694"/>
        <w:gridCol w:w="6378"/>
      </w:tblGrid>
      <w:tr w:rsidR="008974BD" w:rsidRPr="008B0EEC" w:rsidTr="00841609">
        <w:tc>
          <w:tcPr>
            <w:tcW w:w="2694" w:type="dxa"/>
            <w:tcBorders>
              <w:top w:val="single" w:sz="12" w:space="0" w:color="auto"/>
              <w:right w:val="single" w:sz="12" w:space="0" w:color="auto"/>
            </w:tcBorders>
          </w:tcPr>
          <w:p w:rsidR="008974BD" w:rsidRPr="008B0EEC" w:rsidRDefault="008974BD" w:rsidP="00841609">
            <w:pPr>
              <w:rPr>
                <w:b/>
                <w:sz w:val="24"/>
                <w:szCs w:val="24"/>
              </w:rPr>
            </w:pPr>
            <w:r w:rsidRPr="008B0EEC">
              <w:br w:type="page"/>
            </w:r>
            <w:r w:rsidRPr="008B0EEC">
              <w:rPr>
                <w:b/>
                <w:sz w:val="24"/>
                <w:szCs w:val="24"/>
              </w:rPr>
              <w:t>Instrument</w:t>
            </w:r>
          </w:p>
        </w:tc>
        <w:tc>
          <w:tcPr>
            <w:tcW w:w="6378" w:type="dxa"/>
            <w:tcBorders>
              <w:top w:val="single" w:sz="12" w:space="0" w:color="auto"/>
              <w:left w:val="single" w:sz="12" w:space="0" w:color="auto"/>
            </w:tcBorders>
          </w:tcPr>
          <w:p w:rsidR="008974BD" w:rsidRPr="008B0EEC" w:rsidRDefault="008974BD" w:rsidP="00841609">
            <w:pPr>
              <w:pStyle w:val="Heading3"/>
              <w:rPr>
                <w:sz w:val="24"/>
                <w:szCs w:val="24"/>
              </w:rPr>
            </w:pPr>
            <w:r w:rsidRPr="008B0EEC">
              <w:rPr>
                <w:noProof/>
                <w:sz w:val="24"/>
                <w:szCs w:val="24"/>
              </w:rPr>
              <w:t>Do Not Call Register (Access Fees) Determination 2017 [F2017L00841]</w:t>
            </w:r>
          </w:p>
        </w:tc>
      </w:tr>
      <w:tr w:rsidR="008974BD" w:rsidRPr="008B0EEC" w:rsidTr="00841609">
        <w:tc>
          <w:tcPr>
            <w:tcW w:w="2694" w:type="dxa"/>
            <w:tcBorders>
              <w:right w:val="single" w:sz="12" w:space="0" w:color="auto"/>
            </w:tcBorders>
          </w:tcPr>
          <w:p w:rsidR="008974BD" w:rsidRPr="008B0EEC" w:rsidRDefault="008974BD" w:rsidP="00841609">
            <w:pPr>
              <w:rPr>
                <w:b/>
                <w:sz w:val="24"/>
                <w:szCs w:val="24"/>
              </w:rPr>
            </w:pPr>
            <w:r w:rsidRPr="008B0EEC">
              <w:rPr>
                <w:b/>
                <w:sz w:val="24"/>
                <w:szCs w:val="24"/>
              </w:rPr>
              <w:t>Purpose</w:t>
            </w:r>
          </w:p>
        </w:tc>
        <w:tc>
          <w:tcPr>
            <w:tcW w:w="6378" w:type="dxa"/>
            <w:tcBorders>
              <w:left w:val="single" w:sz="12" w:space="0" w:color="auto"/>
            </w:tcBorders>
          </w:tcPr>
          <w:p w:rsidR="008974BD" w:rsidRPr="008B0EEC" w:rsidRDefault="008974BD" w:rsidP="00841609">
            <w:pPr>
              <w:rPr>
                <w:sz w:val="24"/>
                <w:szCs w:val="24"/>
              </w:rPr>
            </w:pPr>
            <w:r w:rsidRPr="008B0EEC">
              <w:rPr>
                <w:noProof/>
                <w:sz w:val="24"/>
                <w:szCs w:val="24"/>
              </w:rPr>
              <w:t>Sets subscription fees for the provision of a ‘washed list’ and provides for the refund of fees for services provided by the Do Not Call Register</w:t>
            </w:r>
          </w:p>
        </w:tc>
      </w:tr>
      <w:tr w:rsidR="008974BD" w:rsidRPr="008B0EEC" w:rsidTr="00841609">
        <w:tc>
          <w:tcPr>
            <w:tcW w:w="2694" w:type="dxa"/>
            <w:tcBorders>
              <w:right w:val="single" w:sz="12" w:space="0" w:color="auto"/>
            </w:tcBorders>
          </w:tcPr>
          <w:p w:rsidR="008974BD" w:rsidRPr="008B0EEC" w:rsidRDefault="008974BD" w:rsidP="00841609">
            <w:pPr>
              <w:rPr>
                <w:b/>
                <w:sz w:val="24"/>
                <w:szCs w:val="24"/>
              </w:rPr>
            </w:pPr>
            <w:r w:rsidRPr="008B0EEC">
              <w:rPr>
                <w:b/>
                <w:sz w:val="24"/>
                <w:szCs w:val="24"/>
              </w:rPr>
              <w:t>Authorising legislation</w:t>
            </w:r>
          </w:p>
        </w:tc>
        <w:tc>
          <w:tcPr>
            <w:tcW w:w="6378" w:type="dxa"/>
            <w:tcBorders>
              <w:left w:val="single" w:sz="12" w:space="0" w:color="auto"/>
            </w:tcBorders>
          </w:tcPr>
          <w:p w:rsidR="008974BD" w:rsidRPr="008B0EEC" w:rsidRDefault="008974BD" w:rsidP="00841609">
            <w:pPr>
              <w:rPr>
                <w:i/>
                <w:sz w:val="24"/>
                <w:szCs w:val="24"/>
              </w:rPr>
            </w:pPr>
            <w:r w:rsidRPr="008B0EEC">
              <w:rPr>
                <w:i/>
                <w:noProof/>
                <w:sz w:val="24"/>
                <w:szCs w:val="24"/>
              </w:rPr>
              <w:t>Do Not Call Register Act 2006</w:t>
            </w:r>
          </w:p>
        </w:tc>
      </w:tr>
      <w:tr w:rsidR="008974BD" w:rsidRPr="008B0EEC" w:rsidTr="00841609">
        <w:tc>
          <w:tcPr>
            <w:tcW w:w="2694" w:type="dxa"/>
            <w:tcBorders>
              <w:right w:val="single" w:sz="12" w:space="0" w:color="auto"/>
            </w:tcBorders>
          </w:tcPr>
          <w:p w:rsidR="008974BD" w:rsidRPr="008B0EEC" w:rsidRDefault="008974BD" w:rsidP="00841609">
            <w:pPr>
              <w:rPr>
                <w:b/>
                <w:sz w:val="24"/>
                <w:szCs w:val="24"/>
              </w:rPr>
            </w:pPr>
            <w:r w:rsidRPr="008B0EEC">
              <w:rPr>
                <w:b/>
                <w:sz w:val="24"/>
                <w:szCs w:val="24"/>
              </w:rPr>
              <w:t>Department</w:t>
            </w:r>
          </w:p>
        </w:tc>
        <w:tc>
          <w:tcPr>
            <w:tcW w:w="6378" w:type="dxa"/>
            <w:tcBorders>
              <w:left w:val="single" w:sz="12" w:space="0" w:color="auto"/>
            </w:tcBorders>
          </w:tcPr>
          <w:p w:rsidR="008974BD" w:rsidRPr="008B0EEC" w:rsidRDefault="008974BD" w:rsidP="00841609">
            <w:pPr>
              <w:rPr>
                <w:sz w:val="24"/>
                <w:szCs w:val="24"/>
              </w:rPr>
            </w:pPr>
            <w:r w:rsidRPr="008B0EEC">
              <w:rPr>
                <w:noProof/>
                <w:sz w:val="24"/>
                <w:szCs w:val="24"/>
              </w:rPr>
              <w:t>Communications and the Arts</w:t>
            </w:r>
          </w:p>
        </w:tc>
      </w:tr>
      <w:tr w:rsidR="008974BD" w:rsidRPr="008B0EEC" w:rsidTr="00841609">
        <w:tc>
          <w:tcPr>
            <w:tcW w:w="2694" w:type="dxa"/>
            <w:tcBorders>
              <w:right w:val="single" w:sz="12" w:space="0" w:color="auto"/>
            </w:tcBorders>
          </w:tcPr>
          <w:p w:rsidR="008974BD" w:rsidRPr="008B0EEC" w:rsidRDefault="008974BD" w:rsidP="00841609">
            <w:pPr>
              <w:rPr>
                <w:b/>
                <w:sz w:val="24"/>
                <w:szCs w:val="24"/>
              </w:rPr>
            </w:pPr>
            <w:r w:rsidRPr="008B0EEC">
              <w:rPr>
                <w:b/>
                <w:sz w:val="24"/>
                <w:szCs w:val="24"/>
              </w:rPr>
              <w:t>Disallowance</w:t>
            </w:r>
          </w:p>
        </w:tc>
        <w:tc>
          <w:tcPr>
            <w:tcW w:w="6378" w:type="dxa"/>
            <w:tcBorders>
              <w:left w:val="single" w:sz="12" w:space="0" w:color="auto"/>
            </w:tcBorders>
          </w:tcPr>
          <w:p w:rsidR="008974BD" w:rsidRPr="008B0EEC" w:rsidRDefault="008974BD" w:rsidP="00841609">
            <w:pPr>
              <w:rPr>
                <w:sz w:val="24"/>
                <w:szCs w:val="24"/>
              </w:rPr>
            </w:pPr>
            <w:r w:rsidRPr="008B0EEC">
              <w:rPr>
                <w:sz w:val="24"/>
                <w:szCs w:val="24"/>
              </w:rPr>
              <w:t xml:space="preserve">15 sitting days after tabling (tabled Senate </w:t>
            </w:r>
            <w:r w:rsidRPr="008B0EEC">
              <w:rPr>
                <w:noProof/>
                <w:sz w:val="24"/>
                <w:szCs w:val="24"/>
              </w:rPr>
              <w:t>8 August</w:t>
            </w:r>
            <w:r w:rsidRPr="008B0EEC">
              <w:rPr>
                <w:sz w:val="24"/>
                <w:szCs w:val="24"/>
              </w:rPr>
              <w:t xml:space="preserve"> 2017)</w:t>
            </w:r>
            <w:r w:rsidRPr="008B0EEC">
              <w:rPr>
                <w:sz w:val="24"/>
                <w:szCs w:val="24"/>
              </w:rPr>
              <w:br/>
              <w:t>Notice of motion to disallow currently must be given by</w:t>
            </w:r>
            <w:r w:rsidRPr="008B0EEC">
              <w:rPr>
                <w:sz w:val="24"/>
                <w:szCs w:val="24"/>
              </w:rPr>
              <w:br/>
            </w:r>
            <w:r w:rsidRPr="008B0EEC">
              <w:rPr>
                <w:noProof/>
                <w:sz w:val="24"/>
                <w:szCs w:val="24"/>
              </w:rPr>
              <w:t>16 October</w:t>
            </w:r>
            <w:r w:rsidRPr="008B0EEC">
              <w:rPr>
                <w:sz w:val="24"/>
                <w:szCs w:val="24"/>
              </w:rPr>
              <w:t xml:space="preserve"> 2017</w:t>
            </w:r>
          </w:p>
        </w:tc>
      </w:tr>
      <w:tr w:rsidR="008974BD" w:rsidRPr="008B0EEC" w:rsidTr="008974BD">
        <w:tc>
          <w:tcPr>
            <w:tcW w:w="2694" w:type="dxa"/>
            <w:tcBorders>
              <w:right w:val="single" w:sz="12" w:space="0" w:color="auto"/>
            </w:tcBorders>
          </w:tcPr>
          <w:p w:rsidR="008974BD" w:rsidRPr="008B0EEC" w:rsidRDefault="008974BD" w:rsidP="00841609">
            <w:pPr>
              <w:rPr>
                <w:b/>
                <w:sz w:val="24"/>
                <w:szCs w:val="24"/>
              </w:rPr>
            </w:pPr>
            <w:r w:rsidRPr="008B0EEC">
              <w:rPr>
                <w:b/>
                <w:sz w:val="24"/>
                <w:szCs w:val="24"/>
              </w:rPr>
              <w:t>Scrutiny principle</w:t>
            </w:r>
          </w:p>
        </w:tc>
        <w:tc>
          <w:tcPr>
            <w:tcW w:w="6378" w:type="dxa"/>
            <w:tcBorders>
              <w:left w:val="single" w:sz="12" w:space="0" w:color="auto"/>
            </w:tcBorders>
          </w:tcPr>
          <w:p w:rsidR="008974BD" w:rsidRPr="008B0EEC" w:rsidRDefault="008974BD" w:rsidP="00ED240B">
            <w:pPr>
              <w:rPr>
                <w:sz w:val="24"/>
                <w:szCs w:val="24"/>
              </w:rPr>
            </w:pPr>
            <w:r w:rsidRPr="008B0EEC">
              <w:rPr>
                <w:sz w:val="24"/>
                <w:szCs w:val="24"/>
              </w:rPr>
              <w:t>Standing Order 23(3)</w:t>
            </w:r>
            <w:r w:rsidRPr="008B0EEC">
              <w:rPr>
                <w:noProof/>
                <w:sz w:val="24"/>
                <w:szCs w:val="24"/>
              </w:rPr>
              <w:t>(</w:t>
            </w:r>
            <w:r w:rsidR="00ED240B">
              <w:rPr>
                <w:noProof/>
                <w:sz w:val="24"/>
                <w:szCs w:val="24"/>
              </w:rPr>
              <w:t>a</w:t>
            </w:r>
            <w:r w:rsidRPr="008B0EEC">
              <w:rPr>
                <w:noProof/>
                <w:sz w:val="24"/>
                <w:szCs w:val="24"/>
              </w:rPr>
              <w:t>)</w:t>
            </w:r>
          </w:p>
        </w:tc>
      </w:tr>
      <w:tr w:rsidR="008974BD" w:rsidRPr="008B0EEC" w:rsidTr="00841609">
        <w:tc>
          <w:tcPr>
            <w:tcW w:w="2694" w:type="dxa"/>
            <w:tcBorders>
              <w:bottom w:val="single" w:sz="12" w:space="0" w:color="auto"/>
              <w:right w:val="single" w:sz="12" w:space="0" w:color="auto"/>
            </w:tcBorders>
          </w:tcPr>
          <w:p w:rsidR="008974BD" w:rsidRPr="00556E96" w:rsidRDefault="008974BD" w:rsidP="00841609">
            <w:pPr>
              <w:rPr>
                <w:b/>
                <w:sz w:val="24"/>
                <w:szCs w:val="24"/>
              </w:rPr>
            </w:pPr>
            <w:r w:rsidRPr="00556E96">
              <w:rPr>
                <w:b/>
                <w:sz w:val="24"/>
                <w:szCs w:val="24"/>
              </w:rPr>
              <w:t>Previously reported in</w:t>
            </w:r>
          </w:p>
        </w:tc>
        <w:tc>
          <w:tcPr>
            <w:tcW w:w="6378" w:type="dxa"/>
            <w:tcBorders>
              <w:left w:val="single" w:sz="12" w:space="0" w:color="auto"/>
              <w:bottom w:val="single" w:sz="12" w:space="0" w:color="auto"/>
            </w:tcBorders>
          </w:tcPr>
          <w:p w:rsidR="008974BD" w:rsidRPr="00556E96" w:rsidRDefault="008974BD" w:rsidP="00841609">
            <w:pPr>
              <w:rPr>
                <w:sz w:val="24"/>
                <w:szCs w:val="24"/>
              </w:rPr>
            </w:pPr>
            <w:r w:rsidRPr="00556E96">
              <w:rPr>
                <w:i/>
                <w:noProof/>
                <w:sz w:val="24"/>
                <w:szCs w:val="24"/>
              </w:rPr>
              <w:t>Delegated legislation monitor</w:t>
            </w:r>
            <w:r>
              <w:rPr>
                <w:noProof/>
                <w:sz w:val="24"/>
                <w:szCs w:val="24"/>
              </w:rPr>
              <w:t xml:space="preserve"> 10</w:t>
            </w:r>
            <w:r w:rsidRPr="00556E96">
              <w:rPr>
                <w:noProof/>
                <w:sz w:val="24"/>
                <w:szCs w:val="24"/>
              </w:rPr>
              <w:t xml:space="preserve"> of 2017</w:t>
            </w:r>
          </w:p>
        </w:tc>
      </w:tr>
    </w:tbl>
    <w:p w:rsidR="008974BD" w:rsidRPr="008B0EEC" w:rsidRDefault="008974BD" w:rsidP="008974BD">
      <w:pPr>
        <w:spacing w:before="0" w:after="0"/>
      </w:pPr>
    </w:p>
    <w:p w:rsidR="008974BD" w:rsidRPr="008B0EEC" w:rsidRDefault="008974BD" w:rsidP="008974BD">
      <w:pPr>
        <w:rPr>
          <w:b/>
          <w:noProof/>
        </w:rPr>
      </w:pPr>
      <w:r w:rsidRPr="008B0EEC">
        <w:rPr>
          <w:b/>
          <w:noProof/>
        </w:rPr>
        <w:t>Unclear basis for determining fees</w:t>
      </w:r>
    </w:p>
    <w:p w:rsidR="008974BD" w:rsidRPr="00322850" w:rsidRDefault="008974BD" w:rsidP="008974BD">
      <w:pPr>
        <w:spacing w:after="0"/>
        <w:rPr>
          <w:b/>
        </w:rPr>
      </w:pPr>
      <w:r w:rsidRPr="00556E96">
        <w:rPr>
          <w:noProof/>
        </w:rPr>
        <w:t>The committee previously commented</w:t>
      </w:r>
      <w:r>
        <w:rPr>
          <w:noProof/>
        </w:rPr>
        <w:t xml:space="preserve"> </w:t>
      </w:r>
      <w:r w:rsidRPr="00556E96">
        <w:rPr>
          <w:noProof/>
        </w:rPr>
        <w:t>as follows:</w:t>
      </w:r>
    </w:p>
    <w:p w:rsidR="008974BD" w:rsidRPr="008B0EEC" w:rsidRDefault="008974BD" w:rsidP="008974BD">
      <w:pPr>
        <w:rPr>
          <w:noProof/>
        </w:rPr>
      </w:pPr>
      <w:r w:rsidRPr="008B0EEC">
        <w:rPr>
          <w:noProof/>
        </w:rPr>
        <w:t xml:space="preserve">Secton 7 of the determination sets subscription fees according to eight subscription types, with fees varying according to the maximum amount of telephone numbers that can be submitted for 'washing' against the Do Not Call Register. </w:t>
      </w:r>
    </w:p>
    <w:p w:rsidR="008974BD" w:rsidRPr="008B0EEC" w:rsidRDefault="008974BD" w:rsidP="008974BD">
      <w:pPr>
        <w:rPr>
          <w:noProof/>
        </w:rPr>
      </w:pPr>
      <w:r w:rsidRPr="008B0EEC">
        <w:rPr>
          <w:noProof/>
        </w:rPr>
        <w:t>The ES to the determination states:</w:t>
      </w:r>
    </w:p>
    <w:p w:rsidR="008974BD" w:rsidRPr="008B0EEC" w:rsidRDefault="008974BD" w:rsidP="008974BD">
      <w:pPr>
        <w:pStyle w:val="Quote"/>
        <w:rPr>
          <w:noProof/>
        </w:rPr>
      </w:pPr>
      <w:r w:rsidRPr="008B0EEC">
        <w:rPr>
          <w:noProof/>
        </w:rPr>
        <w:t xml:space="preserve">On 19 March 2017, the ACMA commenced a consultation process on cost recovery arrangements for the Do Not Call Register… The consultation </w:t>
      </w:r>
      <w:r w:rsidRPr="008B0EEC">
        <w:rPr>
          <w:noProof/>
        </w:rPr>
        <w:lastRenderedPageBreak/>
        <w:t>paper, the draft Cost Recovery Implementation Statement and draft instruments were published on the ACMA’s website and provided directly to key industry stakeholders, including associations representing organisations engaged in telemarketing. The ACMA received five submissions to the consultation, although none of these submissions addressed the proposed cost recovery arrangements (including access fees).</w:t>
      </w:r>
    </w:p>
    <w:p w:rsidR="008974BD" w:rsidRPr="008B0EEC" w:rsidRDefault="008974BD" w:rsidP="008974BD">
      <w:pPr>
        <w:rPr>
          <w:noProof/>
        </w:rPr>
      </w:pPr>
      <w:r w:rsidRPr="008B0EEC">
        <w:rPr>
          <w:noProof/>
        </w:rPr>
        <w:t>However, despite the above reference to 'proposed cost recovery arrangements',</w:t>
      </w:r>
      <w:r>
        <w:rPr>
          <w:noProof/>
        </w:rPr>
        <w:br/>
      </w:r>
      <w:r w:rsidRPr="008B0EEC">
        <w:rPr>
          <w:noProof/>
        </w:rPr>
        <w:t>the ES does not specify the basis on which the subscription fees have been calculated; for example, whether they are calculated</w:t>
      </w:r>
      <w:r>
        <w:rPr>
          <w:noProof/>
        </w:rPr>
        <w:t xml:space="preserve"> on the basis of cost recovery,</w:t>
      </w:r>
      <w:r>
        <w:rPr>
          <w:noProof/>
        </w:rPr>
        <w:br/>
      </w:r>
      <w:r w:rsidRPr="008B0EEC">
        <w:rPr>
          <w:noProof/>
        </w:rPr>
        <w:t>or on another basis.</w:t>
      </w:r>
    </w:p>
    <w:p w:rsidR="008974BD" w:rsidRPr="008B0EEC" w:rsidRDefault="008974BD" w:rsidP="008974BD">
      <w:pPr>
        <w:rPr>
          <w:noProof/>
        </w:rPr>
      </w:pPr>
      <w:r w:rsidRPr="008B0EEC">
        <w:rPr>
          <w:noProof/>
        </w:rPr>
        <w:t>The committee’s usual expectation in cases where an instrument of delegated legislation carries financial implications via the imposition of a charge, fee, levy, scale or rate of costs or payment is that the relevant ES makes clear the specific basis on which an individual imposition or change has been calculated.</w:t>
      </w:r>
    </w:p>
    <w:p w:rsidR="008974BD" w:rsidRPr="008974BD" w:rsidRDefault="008974BD" w:rsidP="008974BD">
      <w:pPr>
        <w:rPr>
          <w:noProof/>
        </w:rPr>
      </w:pPr>
      <w:r w:rsidRPr="008974BD">
        <w:rPr>
          <w:noProof/>
        </w:rPr>
        <w:t xml:space="preserve">The committee </w:t>
      </w:r>
      <w:r w:rsidR="000A43C2" w:rsidRPr="008974BD">
        <w:rPr>
          <w:noProof/>
        </w:rPr>
        <w:t>request</w:t>
      </w:r>
      <w:r w:rsidR="000A43C2">
        <w:rPr>
          <w:noProof/>
        </w:rPr>
        <w:t>ed</w:t>
      </w:r>
      <w:r w:rsidR="000A43C2" w:rsidRPr="008974BD">
        <w:rPr>
          <w:noProof/>
        </w:rPr>
        <w:t xml:space="preserve"> </w:t>
      </w:r>
      <w:r w:rsidRPr="008974BD">
        <w:rPr>
          <w:noProof/>
        </w:rPr>
        <w:t>the advice of the minister in relation to the above.</w:t>
      </w:r>
    </w:p>
    <w:p w:rsidR="008974BD" w:rsidRDefault="008974BD" w:rsidP="008974BD">
      <w:pPr>
        <w:rPr>
          <w:rFonts w:asciiTheme="minorHAnsi" w:hAnsiTheme="minorHAnsi"/>
          <w:b/>
          <w:lang w:eastAsia="en-AU"/>
        </w:rPr>
      </w:pPr>
      <w:r>
        <w:rPr>
          <w:rFonts w:asciiTheme="minorHAnsi" w:hAnsiTheme="minorHAnsi"/>
          <w:b/>
          <w:lang w:eastAsia="en-AU"/>
        </w:rPr>
        <w:t>Minister's response</w:t>
      </w:r>
    </w:p>
    <w:p w:rsidR="008974BD" w:rsidRDefault="008974BD" w:rsidP="008974BD">
      <w:pPr>
        <w:rPr>
          <w:rFonts w:asciiTheme="minorHAnsi" w:hAnsiTheme="minorHAnsi"/>
          <w:lang w:eastAsia="en-AU"/>
        </w:rPr>
      </w:pPr>
      <w:r w:rsidRPr="00A93C58">
        <w:rPr>
          <w:rFonts w:asciiTheme="minorHAnsi" w:hAnsiTheme="minorHAnsi"/>
          <w:lang w:eastAsia="en-AU"/>
        </w:rPr>
        <w:t>The Minis</w:t>
      </w:r>
      <w:r>
        <w:rPr>
          <w:rFonts w:asciiTheme="minorHAnsi" w:hAnsiTheme="minorHAnsi"/>
          <w:lang w:eastAsia="en-AU"/>
        </w:rPr>
        <w:t>ter for Communications and the Arts advised:</w:t>
      </w:r>
    </w:p>
    <w:p w:rsidR="008974BD" w:rsidRDefault="008974BD" w:rsidP="008974BD">
      <w:pPr>
        <w:pStyle w:val="Quote"/>
        <w:rPr>
          <w:lang w:eastAsia="en-AU"/>
        </w:rPr>
      </w:pPr>
      <w:r>
        <w:rPr>
          <w:lang w:eastAsia="en-AU"/>
        </w:rPr>
        <w:t>You have specifically requested clarification of the basis on which the subscription fees for washing numbers against the Do Not Call Register (DNCR) have been calculated.</w:t>
      </w:r>
    </w:p>
    <w:p w:rsidR="008974BD" w:rsidRDefault="008974BD" w:rsidP="008974BD">
      <w:pPr>
        <w:pStyle w:val="Quote"/>
        <w:rPr>
          <w:lang w:eastAsia="en-AU"/>
        </w:rPr>
      </w:pPr>
      <w:r>
        <w:rPr>
          <w:lang w:eastAsia="en-AU"/>
        </w:rPr>
        <w:t xml:space="preserve">The fees have been calculated on a cost recovery basis. The details of the cost-recovery approach the Australian Communications and Media Authority (ACMA) has adopted are set out in the Cost Recovery Implementation Statement (CRIS) for the fees, which is available at </w:t>
      </w:r>
      <w:hyperlink r:id="rId30" w:history="1">
        <w:r w:rsidRPr="00CE4B76">
          <w:rPr>
            <w:rStyle w:val="Hyperlink"/>
            <w:lang w:eastAsia="en-AU"/>
          </w:rPr>
          <w:t>http://www.acma.gov.au/~/media/Finance%20Budgets%20and%20Revenue%20Assurance/Report/Word%20Document/DNCR_CRIS_2017%20docx.docx</w:t>
        </w:r>
      </w:hyperlink>
      <w:r>
        <w:rPr>
          <w:lang w:eastAsia="en-AU"/>
        </w:rPr>
        <w:t>. I have attached a copy for your convenience.</w:t>
      </w:r>
    </w:p>
    <w:p w:rsidR="008974BD" w:rsidRDefault="008974BD" w:rsidP="008974BD">
      <w:pPr>
        <w:pStyle w:val="Quote"/>
        <w:rPr>
          <w:lang w:eastAsia="en-AU"/>
        </w:rPr>
      </w:pPr>
      <w:r>
        <w:rPr>
          <w:lang w:eastAsia="en-AU"/>
        </w:rPr>
        <w:t>In summary, the methodology used by the ACMA estimates the amount that needs to be recovered to fund the DNCR and then establishes the fees needed to recover the costs from classes of subscribers based on their use of the system.</w:t>
      </w:r>
    </w:p>
    <w:p w:rsidR="008974BD" w:rsidRPr="00995BBB" w:rsidRDefault="008974BD" w:rsidP="008974BD">
      <w:pPr>
        <w:pStyle w:val="Quote"/>
        <w:rPr>
          <w:lang w:eastAsia="en-AU"/>
        </w:rPr>
      </w:pPr>
      <w:r>
        <w:rPr>
          <w:lang w:eastAsia="en-AU"/>
        </w:rPr>
        <w:t>The CRIS confirms the fees are consistent with the Australian Government's Cost Recovery Principles.</w:t>
      </w:r>
    </w:p>
    <w:p w:rsidR="008974BD" w:rsidRPr="00301FAD" w:rsidRDefault="008974BD" w:rsidP="008974BD">
      <w:pPr>
        <w:pStyle w:val="Quote"/>
        <w:ind w:left="0"/>
        <w:rPr>
          <w:b/>
          <w:noProof/>
          <w:sz w:val="26"/>
        </w:rPr>
      </w:pPr>
      <w:r w:rsidRPr="00301FAD">
        <w:rPr>
          <w:b/>
          <w:noProof/>
          <w:sz w:val="26"/>
        </w:rPr>
        <w:t>Committee's response</w:t>
      </w:r>
    </w:p>
    <w:p w:rsidR="00DB4521" w:rsidRDefault="008974BD" w:rsidP="00E84D21">
      <w:pPr>
        <w:rPr>
          <w:b/>
          <w:szCs w:val="26"/>
        </w:rPr>
      </w:pPr>
      <w:r w:rsidRPr="00556E96">
        <w:rPr>
          <w:b/>
          <w:szCs w:val="26"/>
        </w:rPr>
        <w:t>T</w:t>
      </w:r>
      <w:r>
        <w:rPr>
          <w:b/>
          <w:szCs w:val="26"/>
        </w:rPr>
        <w:t xml:space="preserve">he committee thanks </w:t>
      </w:r>
      <w:r w:rsidRPr="004A7CC9">
        <w:rPr>
          <w:b/>
          <w:szCs w:val="26"/>
        </w:rPr>
        <w:t xml:space="preserve">the </w:t>
      </w:r>
      <w:r>
        <w:rPr>
          <w:b/>
          <w:noProof/>
        </w:rPr>
        <w:t>m</w:t>
      </w:r>
      <w:r w:rsidRPr="004A7CC9">
        <w:rPr>
          <w:b/>
          <w:noProof/>
        </w:rPr>
        <w:t>inister</w:t>
      </w:r>
      <w:r w:rsidRPr="004A7CC9">
        <w:rPr>
          <w:b/>
          <w:szCs w:val="26"/>
        </w:rPr>
        <w:t xml:space="preserve"> f</w:t>
      </w:r>
      <w:r>
        <w:rPr>
          <w:b/>
          <w:szCs w:val="26"/>
        </w:rPr>
        <w:t>or his</w:t>
      </w:r>
      <w:r w:rsidRPr="00556E96">
        <w:rPr>
          <w:b/>
          <w:szCs w:val="26"/>
        </w:rPr>
        <w:t xml:space="preserve"> response and has conclude</w:t>
      </w:r>
      <w:r>
        <w:rPr>
          <w:b/>
          <w:szCs w:val="26"/>
        </w:rPr>
        <w:t>d its examination of the above.</w:t>
      </w:r>
    </w:p>
    <w:p w:rsidR="000D36AB" w:rsidRDefault="006A6599" w:rsidP="0086298C">
      <w:r>
        <w:t>The committee notes the minister's advice that the fees are calculated on a cost recovery basis.</w:t>
      </w:r>
      <w:r w:rsidR="001C5375">
        <w:t xml:space="preserve"> The committee reiterates its expectation that future ESs </w:t>
      </w:r>
      <w:r w:rsidR="001C5375">
        <w:rPr>
          <w:noProof/>
        </w:rPr>
        <w:t>make</w:t>
      </w:r>
      <w:r w:rsidR="001C5375" w:rsidRPr="008B0EEC">
        <w:rPr>
          <w:noProof/>
        </w:rPr>
        <w:t xml:space="preserve"> clear the specific basis on which </w:t>
      </w:r>
      <w:r w:rsidR="001C5375">
        <w:rPr>
          <w:noProof/>
        </w:rPr>
        <w:t>the imposition or chan</w:t>
      </w:r>
      <w:r w:rsidR="001C5375" w:rsidRPr="008B0EEC">
        <w:rPr>
          <w:noProof/>
        </w:rPr>
        <w:t>ge</w:t>
      </w:r>
      <w:r w:rsidR="001C5375">
        <w:rPr>
          <w:noProof/>
        </w:rPr>
        <w:t xml:space="preserve"> of a fee</w:t>
      </w:r>
      <w:r w:rsidR="001C5375" w:rsidRPr="008B0EEC">
        <w:rPr>
          <w:noProof/>
        </w:rPr>
        <w:t xml:space="preserve"> has been calculated</w:t>
      </w:r>
      <w:r w:rsidR="001C5375">
        <w:rPr>
          <w:noProof/>
        </w:rPr>
        <w:t>.</w:t>
      </w:r>
    </w:p>
    <w:tbl>
      <w:tblPr>
        <w:tblW w:w="0" w:type="auto"/>
        <w:tblInd w:w="108" w:type="dxa"/>
        <w:tblLook w:val="04A0" w:firstRow="1" w:lastRow="0" w:firstColumn="1" w:lastColumn="0" w:noHBand="0" w:noVBand="1"/>
      </w:tblPr>
      <w:tblGrid>
        <w:gridCol w:w="2694"/>
        <w:gridCol w:w="6378"/>
      </w:tblGrid>
      <w:tr w:rsidR="00DB4521" w:rsidRPr="00322850" w:rsidTr="00C25B02">
        <w:tc>
          <w:tcPr>
            <w:tcW w:w="2694" w:type="dxa"/>
            <w:tcBorders>
              <w:top w:val="single" w:sz="12" w:space="0" w:color="auto"/>
              <w:right w:val="single" w:sz="12" w:space="0" w:color="auto"/>
            </w:tcBorders>
          </w:tcPr>
          <w:p w:rsidR="00DB4521" w:rsidRPr="00322850" w:rsidRDefault="00DB4521" w:rsidP="00C25B02">
            <w:pPr>
              <w:rPr>
                <w:b/>
                <w:sz w:val="24"/>
                <w:szCs w:val="24"/>
              </w:rPr>
            </w:pPr>
            <w:r>
              <w:rPr>
                <w:noProof/>
              </w:rPr>
              <w:lastRenderedPageBreak/>
              <w:br w:type="page"/>
            </w:r>
            <w:r w:rsidRPr="00322850">
              <w:rPr>
                <w:b/>
                <w:sz w:val="24"/>
                <w:szCs w:val="24"/>
              </w:rPr>
              <w:t>Instrument</w:t>
            </w:r>
          </w:p>
        </w:tc>
        <w:tc>
          <w:tcPr>
            <w:tcW w:w="6378" w:type="dxa"/>
            <w:tcBorders>
              <w:top w:val="single" w:sz="12" w:space="0" w:color="auto"/>
              <w:left w:val="single" w:sz="12" w:space="0" w:color="auto"/>
            </w:tcBorders>
          </w:tcPr>
          <w:p w:rsidR="00DB4521" w:rsidRPr="00322850" w:rsidRDefault="00DB4521" w:rsidP="00C25B02">
            <w:pPr>
              <w:pStyle w:val="Heading3"/>
              <w:rPr>
                <w:sz w:val="24"/>
                <w:szCs w:val="24"/>
              </w:rPr>
            </w:pPr>
            <w:r w:rsidRPr="00735FE6">
              <w:rPr>
                <w:noProof/>
                <w:sz w:val="24"/>
                <w:szCs w:val="24"/>
              </w:rPr>
              <w:t>Hazardous Waste (Regulation of Exports and Imports) Legislation Amendment (2017 Measures) Regulations 2017 [F2017L00788]</w:t>
            </w:r>
          </w:p>
        </w:tc>
      </w:tr>
      <w:tr w:rsidR="00DB4521" w:rsidRPr="00322850" w:rsidTr="00C25B02">
        <w:tc>
          <w:tcPr>
            <w:tcW w:w="2694" w:type="dxa"/>
            <w:tcBorders>
              <w:right w:val="single" w:sz="12" w:space="0" w:color="auto"/>
            </w:tcBorders>
          </w:tcPr>
          <w:p w:rsidR="00DB4521" w:rsidRPr="00322850" w:rsidRDefault="00DB4521" w:rsidP="00C25B02">
            <w:pPr>
              <w:rPr>
                <w:b/>
                <w:sz w:val="24"/>
                <w:szCs w:val="24"/>
              </w:rPr>
            </w:pPr>
            <w:r w:rsidRPr="00322850">
              <w:rPr>
                <w:b/>
                <w:sz w:val="24"/>
                <w:szCs w:val="24"/>
              </w:rPr>
              <w:t>Purpose</w:t>
            </w:r>
          </w:p>
        </w:tc>
        <w:tc>
          <w:tcPr>
            <w:tcW w:w="6378" w:type="dxa"/>
            <w:tcBorders>
              <w:left w:val="single" w:sz="12" w:space="0" w:color="auto"/>
            </w:tcBorders>
          </w:tcPr>
          <w:p w:rsidR="00DB4521" w:rsidRPr="00322850" w:rsidRDefault="00DB4521" w:rsidP="00C25B02">
            <w:pPr>
              <w:rPr>
                <w:sz w:val="24"/>
                <w:szCs w:val="24"/>
              </w:rPr>
            </w:pPr>
            <w:r w:rsidRPr="00AD2FB9">
              <w:rPr>
                <w:noProof/>
                <w:sz w:val="24"/>
                <w:szCs w:val="24"/>
              </w:rPr>
              <w:t xml:space="preserve">Makes amendments to hazardous waste regulations that are consequential to the </w:t>
            </w:r>
            <w:r w:rsidRPr="00AD2FB9">
              <w:rPr>
                <w:i/>
                <w:noProof/>
                <w:sz w:val="24"/>
                <w:szCs w:val="24"/>
              </w:rPr>
              <w:t>Hazardous Waste (Regulation of Exports and Imports) Amendment Act 2017</w:t>
            </w:r>
            <w:r w:rsidRPr="00AD2FB9">
              <w:rPr>
                <w:noProof/>
                <w:sz w:val="24"/>
                <w:szCs w:val="24"/>
              </w:rPr>
              <w:t xml:space="preserve"> and </w:t>
            </w:r>
            <w:r w:rsidRPr="00AD2FB9">
              <w:rPr>
                <w:i/>
                <w:noProof/>
                <w:sz w:val="24"/>
                <w:szCs w:val="24"/>
              </w:rPr>
              <w:t>Hazardous Waste (Regulation of Exports and Imports) Levy Act 2017</w:t>
            </w:r>
            <w:r w:rsidRPr="00AD2FB9">
              <w:rPr>
                <w:noProof/>
                <w:sz w:val="24"/>
                <w:szCs w:val="24"/>
              </w:rPr>
              <w:t xml:space="preserve"> to provide full cost recovery of the hazardous waste permitting scheme</w:t>
            </w:r>
          </w:p>
        </w:tc>
      </w:tr>
      <w:tr w:rsidR="00DB4521" w:rsidRPr="00322850" w:rsidTr="00C25B02">
        <w:tc>
          <w:tcPr>
            <w:tcW w:w="2694" w:type="dxa"/>
            <w:tcBorders>
              <w:right w:val="single" w:sz="12" w:space="0" w:color="auto"/>
            </w:tcBorders>
          </w:tcPr>
          <w:p w:rsidR="00DB4521" w:rsidRPr="00322850" w:rsidRDefault="00DB4521" w:rsidP="00C25B02">
            <w:pPr>
              <w:rPr>
                <w:b/>
                <w:sz w:val="24"/>
                <w:szCs w:val="24"/>
              </w:rPr>
            </w:pPr>
            <w:r w:rsidRPr="00322850">
              <w:rPr>
                <w:b/>
                <w:sz w:val="24"/>
                <w:szCs w:val="24"/>
              </w:rPr>
              <w:t>Authorising legislation</w:t>
            </w:r>
          </w:p>
        </w:tc>
        <w:tc>
          <w:tcPr>
            <w:tcW w:w="6378" w:type="dxa"/>
            <w:tcBorders>
              <w:left w:val="single" w:sz="12" w:space="0" w:color="auto"/>
            </w:tcBorders>
          </w:tcPr>
          <w:p w:rsidR="00DB4521" w:rsidRPr="00322850" w:rsidRDefault="00DB4521" w:rsidP="00C25B02">
            <w:pPr>
              <w:rPr>
                <w:i/>
                <w:sz w:val="24"/>
                <w:szCs w:val="24"/>
              </w:rPr>
            </w:pPr>
            <w:r w:rsidRPr="00735FE6">
              <w:rPr>
                <w:i/>
                <w:noProof/>
                <w:sz w:val="24"/>
                <w:szCs w:val="24"/>
              </w:rPr>
              <w:t>Hazardous Waste (Regulation of Exports and Imports) Act 1989</w:t>
            </w:r>
          </w:p>
        </w:tc>
      </w:tr>
      <w:tr w:rsidR="00DB4521" w:rsidRPr="00322850" w:rsidTr="00C25B02">
        <w:tc>
          <w:tcPr>
            <w:tcW w:w="2694" w:type="dxa"/>
            <w:tcBorders>
              <w:right w:val="single" w:sz="12" w:space="0" w:color="auto"/>
            </w:tcBorders>
          </w:tcPr>
          <w:p w:rsidR="00DB4521" w:rsidRPr="00322850" w:rsidRDefault="00DB4521" w:rsidP="00C25B02">
            <w:pPr>
              <w:rPr>
                <w:b/>
                <w:sz w:val="24"/>
                <w:szCs w:val="24"/>
              </w:rPr>
            </w:pPr>
            <w:r w:rsidRPr="00322850">
              <w:rPr>
                <w:b/>
                <w:sz w:val="24"/>
                <w:szCs w:val="24"/>
              </w:rPr>
              <w:t>Department</w:t>
            </w:r>
          </w:p>
        </w:tc>
        <w:tc>
          <w:tcPr>
            <w:tcW w:w="6378" w:type="dxa"/>
            <w:tcBorders>
              <w:left w:val="single" w:sz="12" w:space="0" w:color="auto"/>
            </w:tcBorders>
          </w:tcPr>
          <w:p w:rsidR="00DB4521" w:rsidRPr="00322850" w:rsidRDefault="00DB4521" w:rsidP="00C25B02">
            <w:pPr>
              <w:rPr>
                <w:sz w:val="24"/>
                <w:szCs w:val="24"/>
              </w:rPr>
            </w:pPr>
            <w:r w:rsidRPr="00735FE6">
              <w:rPr>
                <w:noProof/>
                <w:sz w:val="24"/>
                <w:szCs w:val="24"/>
              </w:rPr>
              <w:t>Environment and Energy</w:t>
            </w:r>
          </w:p>
        </w:tc>
      </w:tr>
      <w:tr w:rsidR="00DB4521" w:rsidRPr="00322850" w:rsidTr="00C25B02">
        <w:tc>
          <w:tcPr>
            <w:tcW w:w="2694" w:type="dxa"/>
            <w:tcBorders>
              <w:right w:val="single" w:sz="12" w:space="0" w:color="auto"/>
            </w:tcBorders>
          </w:tcPr>
          <w:p w:rsidR="00DB4521" w:rsidRPr="00322850" w:rsidRDefault="00DB4521" w:rsidP="00C25B02">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DB4521" w:rsidRPr="00322850" w:rsidRDefault="00DB4521" w:rsidP="00C25B02">
            <w:pPr>
              <w:rPr>
                <w:sz w:val="24"/>
                <w:szCs w:val="24"/>
              </w:rPr>
            </w:pPr>
            <w:r>
              <w:rPr>
                <w:sz w:val="24"/>
                <w:szCs w:val="24"/>
              </w:rPr>
              <w:t xml:space="preserve">15 sitting days after tabling (tabled Senate </w:t>
            </w:r>
            <w:r w:rsidRPr="00735FE6">
              <w:rPr>
                <w:noProof/>
                <w:sz w:val="24"/>
                <w:szCs w:val="24"/>
              </w:rPr>
              <w:t>8 August</w:t>
            </w:r>
            <w:r>
              <w:rPr>
                <w:sz w:val="24"/>
                <w:szCs w:val="24"/>
              </w:rPr>
              <w:t xml:space="preserve"> 2017)</w:t>
            </w:r>
            <w:r>
              <w:rPr>
                <w:sz w:val="24"/>
                <w:szCs w:val="24"/>
              </w:rPr>
              <w:br/>
              <w:t>Notice of motion to disallow currently must be given by</w:t>
            </w:r>
            <w:r>
              <w:rPr>
                <w:sz w:val="24"/>
                <w:szCs w:val="24"/>
              </w:rPr>
              <w:br/>
            </w:r>
            <w:r w:rsidRPr="00735FE6">
              <w:rPr>
                <w:noProof/>
                <w:sz w:val="24"/>
                <w:szCs w:val="24"/>
              </w:rPr>
              <w:t>16 October</w:t>
            </w:r>
            <w:r>
              <w:rPr>
                <w:sz w:val="24"/>
                <w:szCs w:val="24"/>
              </w:rPr>
              <w:t xml:space="preserve"> 2017</w:t>
            </w:r>
          </w:p>
        </w:tc>
      </w:tr>
      <w:tr w:rsidR="00DB4521" w:rsidRPr="00322850" w:rsidTr="00DB4521">
        <w:tc>
          <w:tcPr>
            <w:tcW w:w="2694" w:type="dxa"/>
            <w:tcBorders>
              <w:right w:val="single" w:sz="12" w:space="0" w:color="auto"/>
            </w:tcBorders>
          </w:tcPr>
          <w:p w:rsidR="00DB4521" w:rsidRPr="00322850" w:rsidRDefault="00DB4521" w:rsidP="00C25B02">
            <w:pPr>
              <w:rPr>
                <w:b/>
                <w:sz w:val="24"/>
                <w:szCs w:val="24"/>
              </w:rPr>
            </w:pPr>
            <w:r w:rsidRPr="00322850">
              <w:rPr>
                <w:b/>
                <w:sz w:val="24"/>
                <w:szCs w:val="24"/>
              </w:rPr>
              <w:t>Scrutiny principle</w:t>
            </w:r>
          </w:p>
        </w:tc>
        <w:tc>
          <w:tcPr>
            <w:tcW w:w="6378" w:type="dxa"/>
            <w:tcBorders>
              <w:left w:val="single" w:sz="12" w:space="0" w:color="auto"/>
            </w:tcBorders>
          </w:tcPr>
          <w:p w:rsidR="00DB4521" w:rsidRPr="00322850" w:rsidRDefault="00DB4521" w:rsidP="00C25B02">
            <w:pPr>
              <w:rPr>
                <w:sz w:val="24"/>
                <w:szCs w:val="24"/>
              </w:rPr>
            </w:pPr>
            <w:r w:rsidRPr="00322850">
              <w:rPr>
                <w:sz w:val="24"/>
                <w:szCs w:val="24"/>
              </w:rPr>
              <w:t>Standing Order 23(3)</w:t>
            </w:r>
            <w:r w:rsidRPr="00735FE6">
              <w:rPr>
                <w:noProof/>
                <w:sz w:val="24"/>
                <w:szCs w:val="24"/>
              </w:rPr>
              <w:t>(a)</w:t>
            </w:r>
          </w:p>
        </w:tc>
      </w:tr>
      <w:tr w:rsidR="00DB4521" w:rsidRPr="00322850" w:rsidTr="00C25B02">
        <w:tc>
          <w:tcPr>
            <w:tcW w:w="2694" w:type="dxa"/>
            <w:tcBorders>
              <w:bottom w:val="single" w:sz="12" w:space="0" w:color="auto"/>
              <w:right w:val="single" w:sz="12" w:space="0" w:color="auto"/>
            </w:tcBorders>
          </w:tcPr>
          <w:p w:rsidR="00DB4521" w:rsidRPr="00556E96" w:rsidRDefault="00DB4521" w:rsidP="00C25B02">
            <w:pPr>
              <w:rPr>
                <w:b/>
                <w:sz w:val="24"/>
                <w:szCs w:val="24"/>
              </w:rPr>
            </w:pPr>
            <w:r w:rsidRPr="00556E96">
              <w:rPr>
                <w:b/>
                <w:sz w:val="24"/>
                <w:szCs w:val="24"/>
              </w:rPr>
              <w:t>Previously reported in</w:t>
            </w:r>
          </w:p>
        </w:tc>
        <w:tc>
          <w:tcPr>
            <w:tcW w:w="6378" w:type="dxa"/>
            <w:tcBorders>
              <w:left w:val="single" w:sz="12" w:space="0" w:color="auto"/>
              <w:bottom w:val="single" w:sz="12" w:space="0" w:color="auto"/>
            </w:tcBorders>
          </w:tcPr>
          <w:p w:rsidR="00DB4521" w:rsidRPr="00556E96" w:rsidRDefault="00DB4521" w:rsidP="00C25B02">
            <w:pPr>
              <w:rPr>
                <w:sz w:val="24"/>
                <w:szCs w:val="24"/>
              </w:rPr>
            </w:pPr>
            <w:r w:rsidRPr="00556E96">
              <w:rPr>
                <w:i/>
                <w:noProof/>
                <w:sz w:val="24"/>
                <w:szCs w:val="24"/>
              </w:rPr>
              <w:t>Delegated legislation monitor</w:t>
            </w:r>
            <w:r>
              <w:rPr>
                <w:noProof/>
                <w:sz w:val="24"/>
                <w:szCs w:val="24"/>
              </w:rPr>
              <w:t xml:space="preserve"> 8</w:t>
            </w:r>
            <w:r w:rsidRPr="00556E96">
              <w:rPr>
                <w:noProof/>
                <w:sz w:val="24"/>
                <w:szCs w:val="24"/>
              </w:rPr>
              <w:t xml:space="preserve"> of 2017</w:t>
            </w:r>
          </w:p>
        </w:tc>
      </w:tr>
    </w:tbl>
    <w:p w:rsidR="00DB4521" w:rsidRPr="00322850" w:rsidRDefault="00DB4521" w:rsidP="00DB4521">
      <w:pPr>
        <w:spacing w:before="0" w:after="0"/>
      </w:pPr>
    </w:p>
    <w:p w:rsidR="00DB4521" w:rsidRPr="00735FE6" w:rsidRDefault="00DB4521" w:rsidP="00DB4521">
      <w:pPr>
        <w:rPr>
          <w:b/>
          <w:noProof/>
        </w:rPr>
      </w:pPr>
      <w:r>
        <w:rPr>
          <w:b/>
          <w:noProof/>
        </w:rPr>
        <w:t>Description of c</w:t>
      </w:r>
      <w:r w:rsidRPr="00735FE6">
        <w:rPr>
          <w:b/>
          <w:noProof/>
        </w:rPr>
        <w:t xml:space="preserve">onsultation </w:t>
      </w:r>
    </w:p>
    <w:p w:rsidR="00B07AC7" w:rsidRPr="00322850" w:rsidRDefault="00B07AC7" w:rsidP="00B07AC7">
      <w:pPr>
        <w:spacing w:after="0"/>
        <w:rPr>
          <w:b/>
        </w:rPr>
      </w:pPr>
      <w:r w:rsidRPr="00556E96">
        <w:rPr>
          <w:noProof/>
        </w:rPr>
        <w:t>The committee previously commented as follows:</w:t>
      </w:r>
    </w:p>
    <w:p w:rsidR="00DB4521" w:rsidRDefault="00DB4521" w:rsidP="00DB4521">
      <w:pPr>
        <w:rPr>
          <w:noProof/>
        </w:rPr>
      </w:pPr>
      <w:r w:rsidRPr="00577D96">
        <w:rPr>
          <w:noProof/>
        </w:rPr>
        <w:t xml:space="preserve">Section 17 of the </w:t>
      </w:r>
      <w:r w:rsidRPr="00577D96">
        <w:rPr>
          <w:i/>
          <w:noProof/>
        </w:rPr>
        <w:t>Legislation Act 2003</w:t>
      </w:r>
      <w:r w:rsidRPr="00577D96">
        <w:rPr>
          <w:noProof/>
        </w:rPr>
        <w:t xml:space="preserve"> directs a rule-maker to be satisfied that appropriate consultation, as is reasonably practicable, has been undertaken in relation to a proposed instrument. The ES which must accompany an instrument is required to describe the nature of any consultation that has been carried out or, if there has been no consultation, to explain why none was undertaken (paragraphs 15J(2)(d) and (e)). </w:t>
      </w:r>
    </w:p>
    <w:p w:rsidR="00DB4521" w:rsidRDefault="00DB4521" w:rsidP="00DB4521">
      <w:pPr>
        <w:rPr>
          <w:noProof/>
        </w:rPr>
      </w:pPr>
      <w:r>
        <w:rPr>
          <w:noProof/>
        </w:rPr>
        <w:t>With reference to these requirements, the committee notes that the ES for the instrument states:</w:t>
      </w:r>
    </w:p>
    <w:p w:rsidR="00DB4521" w:rsidRDefault="00DB4521" w:rsidP="00DB4521">
      <w:pPr>
        <w:pStyle w:val="Quote"/>
        <w:spacing w:before="120"/>
        <w:rPr>
          <w:noProof/>
        </w:rPr>
      </w:pPr>
      <w:r w:rsidRPr="00577D96">
        <w:rPr>
          <w:noProof/>
        </w:rPr>
        <w:t>Relevant industry stakeholders have been consulted in relation to the amendments. The Office of Best Practice Regulation (OBPR) was consulted in relation to the making of the Regulations. OBPR advised that a Regulation Impact Statement was not required, as the changes do not have more than a minor regulatory impact on business, community organisations or individuals.</w:t>
      </w:r>
    </w:p>
    <w:p w:rsidR="00DB4521" w:rsidRPr="00681FF5" w:rsidRDefault="00DB4521" w:rsidP="00DB4521">
      <w:pPr>
        <w:rPr>
          <w:noProof/>
        </w:rPr>
      </w:pPr>
      <w:r w:rsidRPr="00681FF5">
        <w:rPr>
          <w:noProof/>
        </w:rPr>
        <w:t xml:space="preserve">While the committee does not usually interpret paragraphs 15J(2)(d) and (e) as requiring a highly detailed description of consultation undertaken, it considers that an overly bare or general description is insufficient to satisfy the requirements of the </w:t>
      </w:r>
      <w:r w:rsidRPr="00681FF5">
        <w:rPr>
          <w:i/>
          <w:noProof/>
        </w:rPr>
        <w:t>Legislation Act 2003</w:t>
      </w:r>
      <w:r w:rsidRPr="00681FF5">
        <w:rPr>
          <w:noProof/>
        </w:rPr>
        <w:t xml:space="preserve">. In this case, the </w:t>
      </w:r>
      <w:r>
        <w:rPr>
          <w:noProof/>
        </w:rPr>
        <w:t xml:space="preserve">committee considers that the </w:t>
      </w:r>
      <w:r w:rsidRPr="00681FF5">
        <w:rPr>
          <w:noProof/>
        </w:rPr>
        <w:t>ES</w:t>
      </w:r>
      <w:r>
        <w:rPr>
          <w:noProof/>
        </w:rPr>
        <w:t>, while</w:t>
      </w:r>
      <w:r w:rsidRPr="00681FF5">
        <w:rPr>
          <w:noProof/>
        </w:rPr>
        <w:t xml:space="preserve"> </w:t>
      </w:r>
      <w:r>
        <w:rPr>
          <w:noProof/>
        </w:rPr>
        <w:t>stating</w:t>
      </w:r>
      <w:r w:rsidRPr="00681FF5">
        <w:rPr>
          <w:noProof/>
        </w:rPr>
        <w:t xml:space="preserve"> that </w:t>
      </w:r>
      <w:r>
        <w:rPr>
          <w:noProof/>
        </w:rPr>
        <w:t>'r</w:t>
      </w:r>
      <w:r w:rsidRPr="00681FF5">
        <w:rPr>
          <w:noProof/>
        </w:rPr>
        <w:t>elevant industry stakeholders have been consulted</w:t>
      </w:r>
      <w:r>
        <w:rPr>
          <w:noProof/>
        </w:rPr>
        <w:t xml:space="preserve"> in relation to the </w:t>
      </w:r>
      <w:r>
        <w:rPr>
          <w:noProof/>
        </w:rPr>
        <w:lastRenderedPageBreak/>
        <w:t xml:space="preserve">amendments', does not provide </w:t>
      </w:r>
      <w:r w:rsidRPr="00173411">
        <w:rPr>
          <w:noProof/>
        </w:rPr>
        <w:t>an</w:t>
      </w:r>
      <w:r>
        <w:rPr>
          <w:noProof/>
        </w:rPr>
        <w:t xml:space="preserve"> </w:t>
      </w:r>
      <w:r w:rsidRPr="00173411">
        <w:rPr>
          <w:noProof/>
        </w:rPr>
        <w:t>informative description of consultation that was undertaken specifically in relation to</w:t>
      </w:r>
      <w:r>
        <w:rPr>
          <w:noProof/>
        </w:rPr>
        <w:t xml:space="preserve"> </w:t>
      </w:r>
      <w:r w:rsidRPr="00173411">
        <w:rPr>
          <w:noProof/>
        </w:rPr>
        <w:t>this instrument.</w:t>
      </w:r>
    </w:p>
    <w:p w:rsidR="00DB4521" w:rsidRPr="00681FF5" w:rsidRDefault="00DB4521" w:rsidP="00DB4521">
      <w:pPr>
        <w:rPr>
          <w:noProof/>
        </w:rPr>
      </w:pPr>
      <w:r w:rsidRPr="00681FF5">
        <w:rPr>
          <w:noProof/>
        </w:rPr>
        <w:t xml:space="preserve">The committee further notes that the requirements regarding the preparation of a regulation impact statement (RIS) are separate to the requirements of the </w:t>
      </w:r>
      <w:r w:rsidRPr="00681FF5">
        <w:rPr>
          <w:i/>
          <w:noProof/>
        </w:rPr>
        <w:t>Legislation Act 2003</w:t>
      </w:r>
      <w:r w:rsidRPr="00681FF5">
        <w:rPr>
          <w:noProof/>
        </w:rPr>
        <w:t xml:space="preserve"> in relation to consultation. As set out in the committee's guideline on consultation:</w:t>
      </w:r>
    </w:p>
    <w:p w:rsidR="00DB4521" w:rsidRPr="00681FF5" w:rsidRDefault="00DB4521" w:rsidP="00DB4521">
      <w:pPr>
        <w:pStyle w:val="Quote"/>
        <w:spacing w:before="120"/>
        <w:rPr>
          <w:noProof/>
        </w:rPr>
      </w:pPr>
      <w:r w:rsidRPr="00681FF5">
        <w:rPr>
          <w:noProof/>
        </w:rPr>
        <w:t>This means that, although a RIS may not be required in relation to a certain instrument, the requirements of the Act regarding a description of the nature of consultation undertaken, or an explanation of why consultation has not occurred, must still be met.</w:t>
      </w:r>
    </w:p>
    <w:p w:rsidR="00DB4521" w:rsidRPr="0010765E" w:rsidRDefault="00DB4521" w:rsidP="00DB4521">
      <w:pPr>
        <w:rPr>
          <w:rFonts w:asciiTheme="minorHAnsi" w:hAnsiTheme="minorHAnsi"/>
          <w:lang w:eastAsia="en-AU"/>
        </w:rPr>
      </w:pPr>
      <w:r w:rsidRPr="00574CB6">
        <w:rPr>
          <w:rFonts w:asciiTheme="minorHAnsi" w:hAnsiTheme="minorHAnsi"/>
          <w:lang w:eastAsia="en-AU"/>
        </w:rPr>
        <w:t>The committee's expectations in this regard a</w:t>
      </w:r>
      <w:r>
        <w:rPr>
          <w:rFonts w:asciiTheme="minorHAnsi" w:hAnsiTheme="minorHAnsi"/>
          <w:lang w:eastAsia="en-AU"/>
        </w:rPr>
        <w:t>re set out in the guideline on consultation published on the committee's website</w:t>
      </w:r>
      <w:r w:rsidRPr="00574CB6">
        <w:rPr>
          <w:rFonts w:asciiTheme="minorHAnsi" w:hAnsiTheme="minorHAnsi"/>
          <w:lang w:eastAsia="en-AU"/>
        </w:rPr>
        <w:t>.</w:t>
      </w:r>
      <w:r>
        <w:rPr>
          <w:rStyle w:val="FootnoteReference"/>
          <w:rFonts w:asciiTheme="minorHAnsi" w:hAnsiTheme="minorHAnsi"/>
          <w:lang w:eastAsia="en-AU"/>
        </w:rPr>
        <w:footnoteReference w:id="54"/>
      </w:r>
      <w:r w:rsidRPr="001B5C80">
        <w:rPr>
          <w:rFonts w:asciiTheme="minorHAnsi" w:hAnsiTheme="minorHAnsi"/>
          <w:lang w:eastAsia="en-AU"/>
        </w:rPr>
        <w:t xml:space="preserve"> </w:t>
      </w:r>
    </w:p>
    <w:p w:rsidR="00DB4521" w:rsidRDefault="0086298C" w:rsidP="00DB4521">
      <w:pPr>
        <w:rPr>
          <w:noProof/>
        </w:rPr>
      </w:pPr>
      <w:r>
        <w:rPr>
          <w:noProof/>
        </w:rPr>
        <w:t>The committee requested</w:t>
      </w:r>
      <w:r w:rsidR="00DB4521" w:rsidRPr="00DB4521">
        <w:rPr>
          <w:noProof/>
        </w:rPr>
        <w:t xml:space="preserve"> the advice of the minister in rel</w:t>
      </w:r>
      <w:r>
        <w:rPr>
          <w:noProof/>
        </w:rPr>
        <w:t>ation to the above; and requested</w:t>
      </w:r>
      <w:r w:rsidR="00DB4521" w:rsidRPr="00DB4521">
        <w:rPr>
          <w:noProof/>
        </w:rPr>
        <w:t xml:space="preserve"> that the ES be updated in accordance with the requirements of the </w:t>
      </w:r>
      <w:r w:rsidR="00DB4521" w:rsidRPr="00DB4521">
        <w:rPr>
          <w:i/>
          <w:noProof/>
        </w:rPr>
        <w:t>Legislation Act 2003</w:t>
      </w:r>
      <w:r w:rsidR="00DB4521" w:rsidRPr="00DB4521">
        <w:rPr>
          <w:noProof/>
        </w:rPr>
        <w:t>.</w:t>
      </w:r>
    </w:p>
    <w:p w:rsidR="00B07AC7" w:rsidRDefault="00B07AC7" w:rsidP="00B07AC7">
      <w:pPr>
        <w:rPr>
          <w:rFonts w:asciiTheme="minorHAnsi" w:hAnsiTheme="minorHAnsi"/>
          <w:b/>
          <w:lang w:eastAsia="en-AU"/>
        </w:rPr>
      </w:pPr>
      <w:r>
        <w:rPr>
          <w:rFonts w:asciiTheme="minorHAnsi" w:hAnsiTheme="minorHAnsi"/>
          <w:b/>
          <w:lang w:eastAsia="en-AU"/>
        </w:rPr>
        <w:t>Minister's response</w:t>
      </w:r>
    </w:p>
    <w:p w:rsidR="00B07AC7" w:rsidRPr="00995BBB" w:rsidRDefault="00B07AC7" w:rsidP="00B07AC7">
      <w:pPr>
        <w:rPr>
          <w:rFonts w:asciiTheme="minorHAnsi" w:hAnsiTheme="minorHAnsi"/>
          <w:lang w:eastAsia="en-AU"/>
        </w:rPr>
      </w:pPr>
      <w:r w:rsidRPr="00A93C58">
        <w:rPr>
          <w:rFonts w:asciiTheme="minorHAnsi" w:hAnsiTheme="minorHAnsi"/>
          <w:lang w:eastAsia="en-AU"/>
        </w:rPr>
        <w:t>The Minis</w:t>
      </w:r>
      <w:r>
        <w:rPr>
          <w:rFonts w:asciiTheme="minorHAnsi" w:hAnsiTheme="minorHAnsi"/>
          <w:lang w:eastAsia="en-AU"/>
        </w:rPr>
        <w:t>ter for the Environment and Energy advised:</w:t>
      </w:r>
    </w:p>
    <w:p w:rsidR="00B07AC7" w:rsidRDefault="00B07AC7" w:rsidP="00B07AC7">
      <w:pPr>
        <w:pStyle w:val="Quote"/>
      </w:pPr>
      <w:r>
        <w:t>The Committee has requested the Explanatory Statement for the Regulations be updated to reflect the nature of consultation undertaken.</w:t>
      </w:r>
      <w:r>
        <w:br/>
        <w:t>A Supplementary Explanatory Statement for the Regulations is also attached.</w:t>
      </w:r>
    </w:p>
    <w:p w:rsidR="00B07AC7" w:rsidRPr="00995BBB" w:rsidRDefault="00B07AC7" w:rsidP="00B07AC7">
      <w:pPr>
        <w:pStyle w:val="Quote"/>
        <w:rPr>
          <w:u w:val="single"/>
        </w:rPr>
      </w:pPr>
      <w:r w:rsidRPr="00995BBB">
        <w:rPr>
          <w:u w:val="single"/>
        </w:rPr>
        <w:t>Relevant extract from the</w:t>
      </w:r>
      <w:r>
        <w:rPr>
          <w:u w:val="single"/>
        </w:rPr>
        <w:t xml:space="preserve"> supplementary</w:t>
      </w:r>
      <w:r w:rsidRPr="00995BBB">
        <w:rPr>
          <w:u w:val="single"/>
        </w:rPr>
        <w:t xml:space="preserve"> ES:</w:t>
      </w:r>
    </w:p>
    <w:p w:rsidR="003A691A" w:rsidRDefault="003A691A" w:rsidP="00B07AC7">
      <w:pPr>
        <w:pStyle w:val="Quote"/>
      </w:pPr>
      <w:r w:rsidRPr="003A691A">
        <w:t>Consultation was undertaken with relevant industry stakeholders with respect to the consequential measures as part of the development of the Amendment Act. This included the release of an Issues Paper in June 2012 through which industry and other interested stakeholders were provided an opportunity to comment. In 2015 the Department of the Environment and Energy engaged a consultant to seek input from public and private sector hazardous waste stakeholders on priorities for hazardous waste reform. Feedback from these processes was considered in the development of the final amendments to the Act. As the consequential measures were required as a consequence of the Amendment Act, no further consultation on the consequential measures for the Regulat</w:t>
      </w:r>
      <w:r>
        <w:t xml:space="preserve">ions was considered necessary. </w:t>
      </w:r>
    </w:p>
    <w:p w:rsidR="003A691A" w:rsidRDefault="003A691A" w:rsidP="003A691A">
      <w:pPr>
        <w:pStyle w:val="Quote"/>
      </w:pPr>
      <w:r>
        <w:t xml:space="preserve">The cost recovery measures included in the Regulations reflect the Cost Recovery Implementation Statement (CRIS) for Hazardous Waste Permitting. In 2015 and 2016 the Department consulted with relevant </w:t>
      </w:r>
      <w:r>
        <w:lastRenderedPageBreak/>
        <w:t xml:space="preserve">businesses on a draft cost recovery implementation statement outlining options for changing permit scheme fees and charges. A Draft CRIS outlining various cost recovery options was circulated among targeted stakeholders by email on 20 May 2015. All stakeholders were invited to provide written comments by 2 June 2015. The Centre for International Economics, working on behalf of the Department, conducted direct consultation with selected stakeholders in mid-2015.  </w:t>
      </w:r>
    </w:p>
    <w:p w:rsidR="003A691A" w:rsidRDefault="003A691A" w:rsidP="003A691A">
      <w:pPr>
        <w:pStyle w:val="Quote"/>
      </w:pPr>
      <w:r>
        <w:t xml:space="preserve">A revised draft of the CRIS was circulated among recent applicants for hazardous waste permits by email on 16 January 2016. Stakeholders were invited to provide written comments by 15 February 2016. Their feedback was incorporated into the final cost recovery implementation statement. </w:t>
      </w:r>
    </w:p>
    <w:p w:rsidR="003A691A" w:rsidRPr="00301FAD" w:rsidRDefault="003A691A" w:rsidP="003A691A">
      <w:pPr>
        <w:pStyle w:val="Quote"/>
        <w:ind w:left="0"/>
        <w:rPr>
          <w:b/>
          <w:noProof/>
          <w:sz w:val="26"/>
        </w:rPr>
      </w:pPr>
      <w:r w:rsidRPr="00301FAD">
        <w:rPr>
          <w:b/>
          <w:noProof/>
          <w:sz w:val="26"/>
        </w:rPr>
        <w:t>Committee's response</w:t>
      </w:r>
    </w:p>
    <w:p w:rsidR="00995BBB" w:rsidRPr="00DB4521" w:rsidRDefault="003A691A" w:rsidP="008A71E2">
      <w:pPr>
        <w:spacing w:after="0"/>
      </w:pPr>
      <w:r w:rsidRPr="00556E96">
        <w:rPr>
          <w:b/>
          <w:szCs w:val="26"/>
        </w:rPr>
        <w:t>T</w:t>
      </w:r>
      <w:r>
        <w:rPr>
          <w:b/>
          <w:szCs w:val="26"/>
        </w:rPr>
        <w:t xml:space="preserve">he committee thanks </w:t>
      </w:r>
      <w:r w:rsidRPr="004A7CC9">
        <w:rPr>
          <w:b/>
          <w:szCs w:val="26"/>
        </w:rPr>
        <w:t xml:space="preserve">the </w:t>
      </w:r>
      <w:r>
        <w:rPr>
          <w:b/>
          <w:noProof/>
        </w:rPr>
        <w:t>m</w:t>
      </w:r>
      <w:r w:rsidRPr="004A7CC9">
        <w:rPr>
          <w:b/>
          <w:noProof/>
        </w:rPr>
        <w:t>inister</w:t>
      </w:r>
      <w:r w:rsidRPr="004A7CC9">
        <w:rPr>
          <w:b/>
          <w:szCs w:val="26"/>
        </w:rPr>
        <w:t xml:space="preserve"> f</w:t>
      </w:r>
      <w:r w:rsidRPr="00556E96">
        <w:rPr>
          <w:b/>
          <w:szCs w:val="26"/>
        </w:rPr>
        <w:t xml:space="preserve">or his response and has concluded its examination of the above. </w:t>
      </w:r>
    </w:p>
    <w:p w:rsidR="00DB4521" w:rsidRPr="001B5C80" w:rsidRDefault="002B2721" w:rsidP="00DB4521">
      <w:pPr>
        <w:tabs>
          <w:tab w:val="left" w:pos="2268"/>
        </w:tabs>
        <w:spacing w:before="0" w:after="0"/>
        <w:rPr>
          <w:b/>
          <w:noProof/>
        </w:rPr>
      </w:pPr>
      <w:r>
        <w:rPr>
          <w:rFonts w:asciiTheme="minorHAnsi" w:hAnsiTheme="minorHAnsi"/>
          <w:lang w:eastAsia="en-AU"/>
        </w:rPr>
        <w:pict>
          <v:rect id="_x0000_i1027" style="width:222.95pt;height:.05pt" o:hrpct="494" o:hralign="center" o:hrstd="t" o:hr="t" fillcolor="#a0a0a0" stroked="f"/>
        </w:pict>
      </w:r>
    </w:p>
    <w:p w:rsidR="00DB4521" w:rsidRPr="00735FE6" w:rsidRDefault="00DB4521" w:rsidP="008A71E2">
      <w:pPr>
        <w:spacing w:before="0"/>
        <w:rPr>
          <w:b/>
          <w:noProof/>
        </w:rPr>
      </w:pPr>
      <w:r w:rsidRPr="00735FE6">
        <w:rPr>
          <w:b/>
          <w:noProof/>
        </w:rPr>
        <w:t xml:space="preserve">Sub-delegation </w:t>
      </w:r>
    </w:p>
    <w:p w:rsidR="00B07AC7" w:rsidRPr="00322850" w:rsidRDefault="00B07AC7" w:rsidP="00B07AC7">
      <w:pPr>
        <w:spacing w:after="0"/>
        <w:rPr>
          <w:b/>
        </w:rPr>
      </w:pPr>
      <w:r w:rsidRPr="00556E96">
        <w:rPr>
          <w:noProof/>
        </w:rPr>
        <w:t>The committee previously commented as follows:</w:t>
      </w:r>
    </w:p>
    <w:p w:rsidR="00DB4521" w:rsidRDefault="00DB4521" w:rsidP="00DB4521">
      <w:pPr>
        <w:rPr>
          <w:noProof/>
        </w:rPr>
      </w:pPr>
      <w:r w:rsidRPr="00F6600A">
        <w:rPr>
          <w:noProof/>
        </w:rPr>
        <w:t>Schedule 1</w:t>
      </w:r>
      <w:r>
        <w:rPr>
          <w:noProof/>
        </w:rPr>
        <w:t>, i</w:t>
      </w:r>
      <w:r w:rsidRPr="00F6600A">
        <w:rPr>
          <w:noProof/>
        </w:rPr>
        <w:t xml:space="preserve">tem 5 </w:t>
      </w:r>
      <w:r>
        <w:rPr>
          <w:noProof/>
        </w:rPr>
        <w:t xml:space="preserve">of the regulation </w:t>
      </w:r>
      <w:r w:rsidRPr="00F6600A">
        <w:rPr>
          <w:noProof/>
        </w:rPr>
        <w:t xml:space="preserve">amends paragraph 44(b) of the </w:t>
      </w:r>
      <w:r w:rsidRPr="00230AB8">
        <w:rPr>
          <w:noProof/>
        </w:rPr>
        <w:t>Hazardous Waste (Regulation of Exports and Imports) (OECD Decision) Regulati</w:t>
      </w:r>
      <w:r>
        <w:rPr>
          <w:noProof/>
        </w:rPr>
        <w:t>ons 1996 (OECD Regulations) to provide that the m</w:t>
      </w:r>
      <w:r w:rsidRPr="00F6600A">
        <w:rPr>
          <w:noProof/>
        </w:rPr>
        <w:t xml:space="preserve">inister’s functions and powers can be delegated to an </w:t>
      </w:r>
      <w:r>
        <w:rPr>
          <w:noProof/>
        </w:rPr>
        <w:t>Australian Public Service (</w:t>
      </w:r>
      <w:r w:rsidRPr="00F6600A">
        <w:rPr>
          <w:noProof/>
        </w:rPr>
        <w:t>APS</w:t>
      </w:r>
      <w:r>
        <w:rPr>
          <w:noProof/>
        </w:rPr>
        <w:t>)</w:t>
      </w:r>
      <w:r w:rsidRPr="00F6600A">
        <w:rPr>
          <w:noProof/>
        </w:rPr>
        <w:t xml:space="preserve"> employee who holds, or is acting in, an Executive Level 2 (or equivalent) position in the Department</w:t>
      </w:r>
      <w:r>
        <w:rPr>
          <w:noProof/>
        </w:rPr>
        <w:t xml:space="preserve"> of Environment and Energy (the department)</w:t>
      </w:r>
      <w:r w:rsidRPr="00F6600A">
        <w:rPr>
          <w:noProof/>
        </w:rPr>
        <w:t xml:space="preserve">. </w:t>
      </w:r>
    </w:p>
    <w:p w:rsidR="00DB4521" w:rsidRDefault="00DB4521" w:rsidP="00DB4521">
      <w:pPr>
        <w:rPr>
          <w:noProof/>
        </w:rPr>
      </w:pPr>
      <w:r w:rsidRPr="00AB6F52">
        <w:rPr>
          <w:noProof/>
        </w:rPr>
        <w:t>The committee's expectations in relation to sub-delegation accord with the approach of the Senate Standing Committee for the Scrutiny of Bills</w:t>
      </w:r>
      <w:r>
        <w:rPr>
          <w:noProof/>
        </w:rPr>
        <w:t xml:space="preserve"> (Scrutiny of Bills committee)</w:t>
      </w:r>
      <w:r w:rsidRPr="00AB6F52">
        <w:rPr>
          <w:noProof/>
        </w:rPr>
        <w:t>, which has consistently drawn attention to legislation that allows delegations to a relatively large class of persons, with little or no specificity as to their qualifications or attributes. Generally, a limit should be set in legislation on either the sorts of powers that might be delegated or on the categories of people to whom powers might be delegated; and delegates should be confined to the holders of nominated offices or to members of the senior executive s</w:t>
      </w:r>
      <w:r>
        <w:rPr>
          <w:noProof/>
        </w:rPr>
        <w:t xml:space="preserve">ervice. </w:t>
      </w:r>
    </w:p>
    <w:p w:rsidR="00DB4521" w:rsidRDefault="00DB4521" w:rsidP="00DB4521">
      <w:pPr>
        <w:rPr>
          <w:noProof/>
        </w:rPr>
      </w:pPr>
      <w:r>
        <w:rPr>
          <w:noProof/>
        </w:rPr>
        <w:t xml:space="preserve">The committee acknowledges that amended paragraph 44(b) of the OECD Regulations </w:t>
      </w:r>
      <w:r w:rsidRPr="00F6600A">
        <w:rPr>
          <w:noProof/>
        </w:rPr>
        <w:t>is</w:t>
      </w:r>
      <w:r>
        <w:rPr>
          <w:noProof/>
        </w:rPr>
        <w:t xml:space="preserve"> similar to section 60 in the </w:t>
      </w:r>
      <w:r w:rsidRPr="005A37EA">
        <w:rPr>
          <w:i/>
          <w:noProof/>
        </w:rPr>
        <w:t>Hazardous Waste (Regulation of Exports and Imports) Act 1989</w:t>
      </w:r>
      <w:r>
        <w:rPr>
          <w:i/>
          <w:noProof/>
        </w:rPr>
        <w:t xml:space="preserve"> </w:t>
      </w:r>
      <w:r>
        <w:rPr>
          <w:noProof/>
        </w:rPr>
        <w:t>(the Act),</w:t>
      </w:r>
      <w:r>
        <w:rPr>
          <w:rStyle w:val="FootnoteReference"/>
          <w:noProof/>
        </w:rPr>
        <w:footnoteReference w:id="55"/>
      </w:r>
      <w:r>
        <w:rPr>
          <w:noProof/>
        </w:rPr>
        <w:t xml:space="preserve"> which extends </w:t>
      </w:r>
      <w:r w:rsidRPr="00F6600A">
        <w:rPr>
          <w:noProof/>
        </w:rPr>
        <w:t>delegations to Executive Level 2 officers</w:t>
      </w:r>
      <w:r>
        <w:rPr>
          <w:noProof/>
        </w:rPr>
        <w:t xml:space="preserve"> within the department. However, the committee notes that the rationale for this item in the ES indicates that it may be possible to limit the delegated decision-</w:t>
      </w:r>
      <w:r>
        <w:rPr>
          <w:noProof/>
        </w:rPr>
        <w:lastRenderedPageBreak/>
        <w:t>making powers of the Executive Level 2 officers to certain types of decisions. In this regard, the committee notes that the ES states:</w:t>
      </w:r>
    </w:p>
    <w:p w:rsidR="00DB4521" w:rsidRDefault="00DB4521" w:rsidP="00DB4521">
      <w:pPr>
        <w:pStyle w:val="Quote"/>
        <w:spacing w:before="120"/>
        <w:rPr>
          <w:noProof/>
        </w:rPr>
      </w:pPr>
      <w:r>
        <w:rPr>
          <w:noProof/>
        </w:rPr>
        <w:t>The Minister would only delegate powers and functions to an Executive Level 2 officer where the officer had day-to-day responsibility for the administration of the Act (including the OECD Regulations). This would not prevent significant decisions being made by persons of a higher classification, but would enable Executive Level 2 officers to exercise Ministerial functions and powers where it was appropriate for decisions to be made at this level. This may include:</w:t>
      </w:r>
    </w:p>
    <w:p w:rsidR="00DB4521" w:rsidRDefault="00DB4521" w:rsidP="00DB4521">
      <w:pPr>
        <w:pStyle w:val="Quote"/>
        <w:numPr>
          <w:ilvl w:val="0"/>
          <w:numId w:val="39"/>
        </w:numPr>
        <w:spacing w:before="120"/>
        <w:rPr>
          <w:noProof/>
        </w:rPr>
      </w:pPr>
      <w:r>
        <w:rPr>
          <w:noProof/>
        </w:rPr>
        <w:t>administrative actions that are required under the OECD Regulations (some of which are required within relatively short statutory timeframes) that do not influence how hazardous wastes are to be managed, such as the notification and acknowledgement of permit applications; and</w:t>
      </w:r>
    </w:p>
    <w:p w:rsidR="00DB4521" w:rsidRDefault="00DB4521" w:rsidP="00DB4521">
      <w:pPr>
        <w:pStyle w:val="Quote"/>
        <w:numPr>
          <w:ilvl w:val="0"/>
          <w:numId w:val="39"/>
        </w:numPr>
        <w:spacing w:before="120"/>
        <w:rPr>
          <w:noProof/>
        </w:rPr>
      </w:pPr>
      <w:r>
        <w:rPr>
          <w:noProof/>
        </w:rPr>
        <w:t>permitting decisions that are routine in nature, non-controversial, and low-risk.</w:t>
      </w:r>
    </w:p>
    <w:p w:rsidR="00DB4521" w:rsidRDefault="00DB4521" w:rsidP="00DB4521">
      <w:pPr>
        <w:rPr>
          <w:noProof/>
        </w:rPr>
      </w:pPr>
      <w:r>
        <w:rPr>
          <w:noProof/>
        </w:rPr>
        <w:t>However, these limitations on the types of powers and functions that may be exercised by Executive Level 2 officers are not included in the regulation; nor does the regulation include a general legislative requirement that the minister be satisfied that the Executive Level 2 officer have the appropriate qualifications and attributes to ensure the proper exercise of the delegated powers.</w:t>
      </w:r>
    </w:p>
    <w:p w:rsidR="00DB4521" w:rsidRDefault="0086298C" w:rsidP="00DB4521">
      <w:pPr>
        <w:spacing w:after="0"/>
        <w:rPr>
          <w:szCs w:val="26"/>
        </w:rPr>
      </w:pPr>
      <w:r>
        <w:rPr>
          <w:noProof/>
        </w:rPr>
        <w:t>The committee requested</w:t>
      </w:r>
      <w:r w:rsidR="00DB4521" w:rsidRPr="00DB4521">
        <w:rPr>
          <w:noProof/>
        </w:rPr>
        <w:t xml:space="preserve"> the advice of the minister in relation to the above.</w:t>
      </w:r>
      <w:r w:rsidR="00DB4521" w:rsidRPr="00DB4521">
        <w:rPr>
          <w:szCs w:val="26"/>
        </w:rPr>
        <w:t xml:space="preserve"> </w:t>
      </w:r>
    </w:p>
    <w:p w:rsidR="00995BBB" w:rsidRDefault="00995BBB" w:rsidP="00995BBB">
      <w:pPr>
        <w:rPr>
          <w:rFonts w:asciiTheme="minorHAnsi" w:hAnsiTheme="minorHAnsi"/>
          <w:b/>
          <w:lang w:eastAsia="en-AU"/>
        </w:rPr>
      </w:pPr>
      <w:bookmarkStart w:id="25" w:name="OLE_LINK3"/>
      <w:r>
        <w:rPr>
          <w:rFonts w:asciiTheme="minorHAnsi" w:hAnsiTheme="minorHAnsi"/>
          <w:b/>
          <w:lang w:eastAsia="en-AU"/>
        </w:rPr>
        <w:t>Minister's response</w:t>
      </w:r>
    </w:p>
    <w:p w:rsidR="00995BBB" w:rsidRPr="00995BBB" w:rsidRDefault="00995BBB" w:rsidP="00995BBB">
      <w:pPr>
        <w:rPr>
          <w:rFonts w:asciiTheme="minorHAnsi" w:hAnsiTheme="minorHAnsi"/>
          <w:lang w:eastAsia="en-AU"/>
        </w:rPr>
      </w:pPr>
      <w:r w:rsidRPr="00A93C58">
        <w:rPr>
          <w:rFonts w:asciiTheme="minorHAnsi" w:hAnsiTheme="minorHAnsi"/>
          <w:lang w:eastAsia="en-AU"/>
        </w:rPr>
        <w:t>The Minis</w:t>
      </w:r>
      <w:r>
        <w:rPr>
          <w:rFonts w:asciiTheme="minorHAnsi" w:hAnsiTheme="minorHAnsi"/>
          <w:lang w:eastAsia="en-AU"/>
        </w:rPr>
        <w:t>ter for the Environment and Energy advised:</w:t>
      </w:r>
    </w:p>
    <w:bookmarkEnd w:id="25"/>
    <w:p w:rsidR="003A691A" w:rsidRPr="003A691A" w:rsidRDefault="003A691A" w:rsidP="000470C0">
      <w:pPr>
        <w:pStyle w:val="Quote"/>
      </w:pPr>
      <w:r w:rsidRPr="003A691A">
        <w:t xml:space="preserve">While I note the Committee's concerns, I do not think it is necessary to specify the qualifications and attributes of Executive Level 2 officers exercising my functions and powers in the OECD Regulations </w:t>
      </w:r>
    </w:p>
    <w:p w:rsidR="003A691A" w:rsidRPr="003A691A" w:rsidRDefault="003A691A" w:rsidP="000470C0">
      <w:pPr>
        <w:pStyle w:val="Quote"/>
      </w:pPr>
      <w:r w:rsidRPr="003A691A">
        <w:t xml:space="preserve">As reflected in the Explanatory Statement for the Regulations, it is my intention to only delegate functions and powers under the OECD Regulations to Executive Level 2 employees within the Department who have day-to-day responsibility for the administration of those Regulations. This would be reflected in the Instrument of Delegation that I make. This approach is consistent with the approach taken more broadly with respect to my Department, including for example, the </w:t>
      </w:r>
      <w:r w:rsidRPr="000470C0">
        <w:rPr>
          <w:i/>
        </w:rPr>
        <w:t>Environment Protection and Biodiversity Conservation Act 1999</w:t>
      </w:r>
      <w:r w:rsidRPr="003A691A">
        <w:t xml:space="preserve"> and the </w:t>
      </w:r>
      <w:r w:rsidRPr="000470C0">
        <w:rPr>
          <w:i/>
        </w:rPr>
        <w:t>Ozone Protection and Synthetic Greenhouse Gas Management Act 1989</w:t>
      </w:r>
      <w:r w:rsidRPr="003A691A">
        <w:t xml:space="preserve">. </w:t>
      </w:r>
    </w:p>
    <w:p w:rsidR="003A691A" w:rsidRPr="003A691A" w:rsidRDefault="003A691A" w:rsidP="000470C0">
      <w:pPr>
        <w:pStyle w:val="Quote"/>
      </w:pPr>
      <w:r w:rsidRPr="003A691A">
        <w:t xml:space="preserve">This approach ensures that only those Executive Level 2 officers who have a detailed understanding of the operation of the OECD Regulations are able to exercise my functions and powers under those Regulations. </w:t>
      </w:r>
    </w:p>
    <w:p w:rsidR="003A691A" w:rsidRPr="003A691A" w:rsidRDefault="003A691A" w:rsidP="000470C0">
      <w:pPr>
        <w:pStyle w:val="Quote"/>
      </w:pPr>
      <w:r w:rsidRPr="003A691A">
        <w:t xml:space="preserve">It is also unnecessary to specify the limitations on the types of functions and powers that may be exercised by Executive Level 2 officers in the OECD Regulations. Delegates, at whatever level, will be able to exercise </w:t>
      </w:r>
      <w:r w:rsidRPr="003A691A">
        <w:lastRenderedPageBreak/>
        <w:t xml:space="preserve">functions and powers under the OECD Regulations where it is appropriate for decisions to be made at that particular level. This will not prevent significant decisions being made by persons of a higher classification, including myself where necessary. This approach is consistent with the delegation of my functions and powers under the Act. </w:t>
      </w:r>
    </w:p>
    <w:p w:rsidR="00AC3A8E" w:rsidRDefault="003A691A">
      <w:pPr>
        <w:pStyle w:val="Quote"/>
      </w:pPr>
      <w:r w:rsidRPr="003A691A">
        <w:t>As stated in the Explanatory Statement, this approach is also consistent with the Australian Administrative Law Guide which documents that it may be appropriate for junior officers to make decisions involving a limited exercise of discretion, or under legislative provisions that give rise to a high volume of decisions to be made.</w:t>
      </w:r>
    </w:p>
    <w:p w:rsidR="009D4E49" w:rsidRDefault="00AC3A8E" w:rsidP="000470C0">
      <w:r w:rsidRPr="00556E96">
        <w:rPr>
          <w:b/>
          <w:szCs w:val="26"/>
        </w:rPr>
        <w:t>T</w:t>
      </w:r>
      <w:r>
        <w:rPr>
          <w:b/>
          <w:szCs w:val="26"/>
        </w:rPr>
        <w:t xml:space="preserve">he committee thanks </w:t>
      </w:r>
      <w:r w:rsidRPr="004A7CC9">
        <w:rPr>
          <w:b/>
          <w:szCs w:val="26"/>
        </w:rPr>
        <w:t xml:space="preserve">the </w:t>
      </w:r>
      <w:r>
        <w:rPr>
          <w:b/>
          <w:noProof/>
        </w:rPr>
        <w:t>m</w:t>
      </w:r>
      <w:r w:rsidRPr="004A7CC9">
        <w:rPr>
          <w:b/>
          <w:noProof/>
        </w:rPr>
        <w:t>inister</w:t>
      </w:r>
      <w:r w:rsidRPr="004A7CC9">
        <w:rPr>
          <w:b/>
          <w:szCs w:val="26"/>
        </w:rPr>
        <w:t xml:space="preserve"> f</w:t>
      </w:r>
      <w:r w:rsidRPr="00556E96">
        <w:rPr>
          <w:b/>
          <w:szCs w:val="26"/>
        </w:rPr>
        <w:t>or his response</w:t>
      </w:r>
      <w:r>
        <w:rPr>
          <w:b/>
          <w:szCs w:val="26"/>
        </w:rPr>
        <w:t>.</w:t>
      </w:r>
      <w:r w:rsidDel="003A691A">
        <w:t xml:space="preserve"> </w:t>
      </w:r>
    </w:p>
    <w:p w:rsidR="009D4E49" w:rsidRDefault="009D4E49" w:rsidP="000470C0">
      <w:r w:rsidRPr="009D4E49">
        <w:t xml:space="preserve">The committee notes that this information would have been useful in the ES. </w:t>
      </w:r>
    </w:p>
    <w:p w:rsidR="009D4E49" w:rsidRDefault="009D4E49" w:rsidP="000470C0">
      <w:r>
        <w:t>The committee acknowledges the minister's advice that the</w:t>
      </w:r>
      <w:r w:rsidR="0086298C">
        <w:t xml:space="preserve"> intended</w:t>
      </w:r>
      <w:r>
        <w:t xml:space="preserve"> approach to sub-delegation in the regulation is consistent with the approach taken more broadly with respect to the department, and ensures that only those Executive Level 2 officers who have a detailed understanding of the operation of the OECD Regulations are able to exercise </w:t>
      </w:r>
      <w:r w:rsidR="00601FBD">
        <w:t xml:space="preserve">the minister's </w:t>
      </w:r>
      <w:r>
        <w:t xml:space="preserve">functions and powers under those </w:t>
      </w:r>
      <w:r w:rsidR="005B3AF3">
        <w:t>r</w:t>
      </w:r>
      <w:r>
        <w:t xml:space="preserve">egulations. </w:t>
      </w:r>
    </w:p>
    <w:p w:rsidR="009D4E49" w:rsidRPr="009D4E49" w:rsidRDefault="009D4E49" w:rsidP="009D4E49">
      <w:r w:rsidRPr="009D4E49">
        <w:t xml:space="preserve">While this advice may reflect the department's approach to the relevant delegations, the committee remains concerned that there is currently no legislative requirement that a person to whom these powers are delegated possess appropriate qualifications or attributes to ensure the proper exercise of the powers. </w:t>
      </w:r>
      <w:r w:rsidR="0086298C">
        <w:t xml:space="preserve">The committee's expectation is not that details of the qualifications and attributes for delegates be specified in the regulation; rather, that the regulation include a requirement that the minister be satisfied that the delegate has the relevant qualifications and attributes to properly exercise the powers delegated.  </w:t>
      </w:r>
    </w:p>
    <w:p w:rsidR="000470C0" w:rsidRPr="00162130" w:rsidRDefault="009D4E49" w:rsidP="00162130">
      <w:r w:rsidRPr="000470C0">
        <w:rPr>
          <w:b/>
        </w:rPr>
        <w:t xml:space="preserve">The committee has concluded its examination of the instrument. However, in light of the committee's concerns regarding the absence of a legislative requirement that an Executive Level 2 officer to whom the relevant powers of the minister are delegated possess appropriate qualifications or attributes to ensure the proper exercise of the power, the committee draws this matter to the attention of the Senate. </w:t>
      </w:r>
      <w:r w:rsidR="000470C0">
        <w:rPr>
          <w:b/>
          <w:noProof/>
        </w:rPr>
        <w:br w:type="page"/>
      </w:r>
    </w:p>
    <w:tbl>
      <w:tblPr>
        <w:tblW w:w="0" w:type="auto"/>
        <w:tblInd w:w="108" w:type="dxa"/>
        <w:tblLook w:val="04A0" w:firstRow="1" w:lastRow="0" w:firstColumn="1" w:lastColumn="0" w:noHBand="0" w:noVBand="1"/>
      </w:tblPr>
      <w:tblGrid>
        <w:gridCol w:w="2694"/>
        <w:gridCol w:w="6378"/>
      </w:tblGrid>
      <w:tr w:rsidR="003F4D42" w:rsidTr="003F4D42">
        <w:tc>
          <w:tcPr>
            <w:tcW w:w="2694" w:type="dxa"/>
            <w:tcBorders>
              <w:top w:val="single" w:sz="12" w:space="0" w:color="auto"/>
              <w:left w:val="nil"/>
              <w:bottom w:val="nil"/>
              <w:right w:val="single" w:sz="12" w:space="0" w:color="auto"/>
            </w:tcBorders>
            <w:hideMark/>
          </w:tcPr>
          <w:p w:rsidR="003F4D42" w:rsidRDefault="003F4D42">
            <w:pPr>
              <w:rPr>
                <w:b/>
                <w:sz w:val="24"/>
                <w:szCs w:val="24"/>
              </w:rPr>
            </w:pPr>
            <w:r>
              <w:rPr>
                <w:b/>
                <w:sz w:val="24"/>
                <w:szCs w:val="24"/>
              </w:rPr>
              <w:lastRenderedPageBreak/>
              <w:t>Instrument</w:t>
            </w:r>
          </w:p>
        </w:tc>
        <w:tc>
          <w:tcPr>
            <w:tcW w:w="6378" w:type="dxa"/>
            <w:tcBorders>
              <w:top w:val="single" w:sz="12" w:space="0" w:color="auto"/>
              <w:left w:val="single" w:sz="12" w:space="0" w:color="auto"/>
              <w:bottom w:val="nil"/>
              <w:right w:val="nil"/>
            </w:tcBorders>
            <w:hideMark/>
          </w:tcPr>
          <w:p w:rsidR="003F4D42" w:rsidRDefault="003F4D42">
            <w:pPr>
              <w:pStyle w:val="Heading3"/>
              <w:rPr>
                <w:sz w:val="24"/>
                <w:szCs w:val="24"/>
              </w:rPr>
            </w:pPr>
            <w:r>
              <w:rPr>
                <w:noProof/>
                <w:sz w:val="24"/>
                <w:szCs w:val="24"/>
              </w:rPr>
              <w:t>Higher Education (HELP Program Commonwealth Officers) Instrument 2017 [F2017L00622]</w:t>
            </w:r>
          </w:p>
        </w:tc>
      </w:tr>
      <w:tr w:rsidR="003F4D42" w:rsidTr="003F4D42">
        <w:tc>
          <w:tcPr>
            <w:tcW w:w="2694" w:type="dxa"/>
            <w:tcBorders>
              <w:top w:val="nil"/>
              <w:left w:val="nil"/>
              <w:bottom w:val="nil"/>
              <w:right w:val="single" w:sz="12" w:space="0" w:color="auto"/>
            </w:tcBorders>
            <w:hideMark/>
          </w:tcPr>
          <w:p w:rsidR="003F4D42" w:rsidRDefault="003F4D42">
            <w:pPr>
              <w:rPr>
                <w:b/>
                <w:sz w:val="24"/>
                <w:szCs w:val="24"/>
              </w:rPr>
            </w:pPr>
            <w:r>
              <w:rPr>
                <w:b/>
                <w:sz w:val="24"/>
                <w:szCs w:val="24"/>
              </w:rPr>
              <w:t>Purpose</w:t>
            </w:r>
          </w:p>
        </w:tc>
        <w:tc>
          <w:tcPr>
            <w:tcW w:w="6378" w:type="dxa"/>
            <w:tcBorders>
              <w:top w:val="nil"/>
              <w:left w:val="single" w:sz="12" w:space="0" w:color="auto"/>
              <w:bottom w:val="nil"/>
              <w:right w:val="nil"/>
            </w:tcBorders>
            <w:hideMark/>
          </w:tcPr>
          <w:p w:rsidR="003F4D42" w:rsidRDefault="003F4D42">
            <w:pPr>
              <w:rPr>
                <w:sz w:val="24"/>
                <w:szCs w:val="24"/>
              </w:rPr>
            </w:pPr>
            <w:r>
              <w:rPr>
                <w:noProof/>
                <w:sz w:val="24"/>
                <w:szCs w:val="24"/>
              </w:rPr>
              <w:t xml:space="preserve">Specifies 'HELP program Commonwealth officers' for the purposes of paragraph 180-28(7)(c) of the </w:t>
            </w:r>
            <w:r>
              <w:rPr>
                <w:i/>
                <w:noProof/>
                <w:sz w:val="24"/>
                <w:szCs w:val="24"/>
              </w:rPr>
              <w:t>Higher Education Support Act 2003</w:t>
            </w:r>
          </w:p>
        </w:tc>
      </w:tr>
      <w:tr w:rsidR="003F4D42" w:rsidTr="003F4D42">
        <w:tc>
          <w:tcPr>
            <w:tcW w:w="2694" w:type="dxa"/>
            <w:tcBorders>
              <w:top w:val="nil"/>
              <w:left w:val="nil"/>
              <w:bottom w:val="nil"/>
              <w:right w:val="single" w:sz="12" w:space="0" w:color="auto"/>
            </w:tcBorders>
            <w:hideMark/>
          </w:tcPr>
          <w:p w:rsidR="003F4D42" w:rsidRDefault="003F4D42">
            <w:pPr>
              <w:rPr>
                <w:b/>
                <w:sz w:val="24"/>
                <w:szCs w:val="24"/>
              </w:rPr>
            </w:pPr>
            <w:r>
              <w:rPr>
                <w:b/>
                <w:sz w:val="24"/>
                <w:szCs w:val="24"/>
              </w:rPr>
              <w:t>Authorising legislation</w:t>
            </w:r>
          </w:p>
        </w:tc>
        <w:tc>
          <w:tcPr>
            <w:tcW w:w="6378" w:type="dxa"/>
            <w:tcBorders>
              <w:top w:val="nil"/>
              <w:left w:val="single" w:sz="12" w:space="0" w:color="auto"/>
              <w:bottom w:val="nil"/>
              <w:right w:val="nil"/>
            </w:tcBorders>
            <w:hideMark/>
          </w:tcPr>
          <w:p w:rsidR="003F4D42" w:rsidRDefault="003F4D42">
            <w:pPr>
              <w:rPr>
                <w:i/>
                <w:sz w:val="24"/>
                <w:szCs w:val="24"/>
              </w:rPr>
            </w:pPr>
            <w:r>
              <w:rPr>
                <w:i/>
                <w:noProof/>
                <w:sz w:val="24"/>
                <w:szCs w:val="24"/>
              </w:rPr>
              <w:t>Higher Education Support Act 2003</w:t>
            </w:r>
          </w:p>
        </w:tc>
      </w:tr>
      <w:tr w:rsidR="003F4D42" w:rsidTr="003F4D42">
        <w:tc>
          <w:tcPr>
            <w:tcW w:w="2694" w:type="dxa"/>
            <w:tcBorders>
              <w:top w:val="nil"/>
              <w:left w:val="nil"/>
              <w:bottom w:val="nil"/>
              <w:right w:val="single" w:sz="12" w:space="0" w:color="auto"/>
            </w:tcBorders>
            <w:hideMark/>
          </w:tcPr>
          <w:p w:rsidR="003F4D42" w:rsidRDefault="003F4D42">
            <w:pPr>
              <w:rPr>
                <w:b/>
                <w:sz w:val="24"/>
                <w:szCs w:val="24"/>
              </w:rPr>
            </w:pPr>
            <w:r>
              <w:rPr>
                <w:b/>
                <w:sz w:val="24"/>
                <w:szCs w:val="24"/>
              </w:rPr>
              <w:t>Department</w:t>
            </w:r>
          </w:p>
        </w:tc>
        <w:tc>
          <w:tcPr>
            <w:tcW w:w="6378" w:type="dxa"/>
            <w:tcBorders>
              <w:top w:val="nil"/>
              <w:left w:val="single" w:sz="12" w:space="0" w:color="auto"/>
              <w:bottom w:val="nil"/>
              <w:right w:val="nil"/>
            </w:tcBorders>
            <w:hideMark/>
          </w:tcPr>
          <w:p w:rsidR="003F4D42" w:rsidRDefault="003F4D42">
            <w:pPr>
              <w:rPr>
                <w:sz w:val="24"/>
                <w:szCs w:val="24"/>
              </w:rPr>
            </w:pPr>
            <w:r>
              <w:rPr>
                <w:noProof/>
                <w:sz w:val="24"/>
                <w:szCs w:val="24"/>
              </w:rPr>
              <w:t>Education and Training</w:t>
            </w:r>
          </w:p>
        </w:tc>
      </w:tr>
      <w:tr w:rsidR="003F4D42" w:rsidTr="003F4D42">
        <w:tc>
          <w:tcPr>
            <w:tcW w:w="2694" w:type="dxa"/>
            <w:tcBorders>
              <w:top w:val="nil"/>
              <w:left w:val="nil"/>
              <w:bottom w:val="nil"/>
              <w:right w:val="single" w:sz="12" w:space="0" w:color="auto"/>
            </w:tcBorders>
            <w:hideMark/>
          </w:tcPr>
          <w:p w:rsidR="003F4D42" w:rsidRDefault="003F4D42">
            <w:pPr>
              <w:rPr>
                <w:b/>
                <w:sz w:val="24"/>
                <w:szCs w:val="24"/>
              </w:rPr>
            </w:pPr>
            <w:r>
              <w:rPr>
                <w:b/>
                <w:sz w:val="24"/>
                <w:szCs w:val="24"/>
              </w:rPr>
              <w:t>Disallowance</w:t>
            </w:r>
          </w:p>
        </w:tc>
        <w:tc>
          <w:tcPr>
            <w:tcW w:w="6378" w:type="dxa"/>
            <w:tcBorders>
              <w:top w:val="nil"/>
              <w:left w:val="single" w:sz="12" w:space="0" w:color="auto"/>
              <w:bottom w:val="nil"/>
              <w:right w:val="nil"/>
            </w:tcBorders>
            <w:hideMark/>
          </w:tcPr>
          <w:p w:rsidR="003F4D42" w:rsidRDefault="003F4D42">
            <w:pPr>
              <w:rPr>
                <w:sz w:val="24"/>
                <w:szCs w:val="24"/>
              </w:rPr>
            </w:pPr>
            <w:r>
              <w:rPr>
                <w:sz w:val="24"/>
                <w:szCs w:val="24"/>
              </w:rPr>
              <w:t xml:space="preserve">15 sitting days after tabling (tabled Senate </w:t>
            </w:r>
            <w:r>
              <w:rPr>
                <w:noProof/>
                <w:sz w:val="24"/>
                <w:szCs w:val="24"/>
              </w:rPr>
              <w:t>13 June</w:t>
            </w:r>
            <w:r>
              <w:rPr>
                <w:sz w:val="24"/>
                <w:szCs w:val="24"/>
              </w:rPr>
              <w:t xml:space="preserve"> 2017)</w:t>
            </w:r>
            <w:r>
              <w:rPr>
                <w:sz w:val="24"/>
                <w:szCs w:val="24"/>
              </w:rPr>
              <w:br/>
            </w:r>
            <w:r w:rsidR="006B7ADA" w:rsidRPr="006B7ADA">
              <w:rPr>
                <w:sz w:val="24"/>
                <w:szCs w:val="24"/>
              </w:rPr>
              <w:t>The time to give a notice of motion to disallow expired on</w:t>
            </w:r>
            <w:r>
              <w:rPr>
                <w:sz w:val="24"/>
                <w:szCs w:val="24"/>
              </w:rPr>
              <w:t xml:space="preserve"> </w:t>
            </w:r>
            <w:r>
              <w:rPr>
                <w:sz w:val="24"/>
                <w:szCs w:val="24"/>
              </w:rPr>
              <w:br/>
            </w:r>
            <w:r>
              <w:rPr>
                <w:noProof/>
                <w:sz w:val="24"/>
                <w:szCs w:val="24"/>
              </w:rPr>
              <w:t>5 September</w:t>
            </w:r>
            <w:r>
              <w:rPr>
                <w:sz w:val="24"/>
                <w:szCs w:val="24"/>
              </w:rPr>
              <w:t xml:space="preserve"> 2017</w:t>
            </w:r>
          </w:p>
        </w:tc>
      </w:tr>
      <w:tr w:rsidR="003F4D42" w:rsidTr="003F4D42">
        <w:tc>
          <w:tcPr>
            <w:tcW w:w="2694" w:type="dxa"/>
            <w:tcBorders>
              <w:top w:val="nil"/>
              <w:left w:val="nil"/>
              <w:bottom w:val="nil"/>
              <w:right w:val="single" w:sz="12" w:space="0" w:color="auto"/>
            </w:tcBorders>
            <w:hideMark/>
          </w:tcPr>
          <w:p w:rsidR="003F4D42" w:rsidRDefault="003F4D42">
            <w:pPr>
              <w:rPr>
                <w:b/>
                <w:sz w:val="24"/>
                <w:szCs w:val="24"/>
              </w:rPr>
            </w:pPr>
            <w:r>
              <w:rPr>
                <w:b/>
                <w:sz w:val="24"/>
                <w:szCs w:val="24"/>
              </w:rPr>
              <w:t>Scrutiny principle</w:t>
            </w:r>
          </w:p>
        </w:tc>
        <w:tc>
          <w:tcPr>
            <w:tcW w:w="6378" w:type="dxa"/>
            <w:tcBorders>
              <w:top w:val="nil"/>
              <w:left w:val="single" w:sz="12" w:space="0" w:color="auto"/>
              <w:bottom w:val="nil"/>
              <w:right w:val="nil"/>
            </w:tcBorders>
            <w:hideMark/>
          </w:tcPr>
          <w:p w:rsidR="003F4D42" w:rsidRDefault="003F4D42">
            <w:pPr>
              <w:rPr>
                <w:sz w:val="24"/>
                <w:szCs w:val="24"/>
              </w:rPr>
            </w:pPr>
            <w:r>
              <w:rPr>
                <w:sz w:val="24"/>
                <w:szCs w:val="24"/>
              </w:rPr>
              <w:t>Standing Order 23(3)</w:t>
            </w:r>
            <w:r>
              <w:rPr>
                <w:noProof/>
                <w:sz w:val="24"/>
                <w:szCs w:val="24"/>
              </w:rPr>
              <w:t>(a)</w:t>
            </w:r>
          </w:p>
        </w:tc>
      </w:tr>
      <w:tr w:rsidR="003F4D42" w:rsidTr="003F4D42">
        <w:tc>
          <w:tcPr>
            <w:tcW w:w="2694" w:type="dxa"/>
            <w:tcBorders>
              <w:top w:val="nil"/>
              <w:left w:val="nil"/>
              <w:bottom w:val="single" w:sz="12" w:space="0" w:color="auto"/>
              <w:right w:val="single" w:sz="12" w:space="0" w:color="auto"/>
            </w:tcBorders>
          </w:tcPr>
          <w:p w:rsidR="003F4D42" w:rsidRPr="00556E96" w:rsidRDefault="003F4D42" w:rsidP="00651E15">
            <w:pPr>
              <w:rPr>
                <w:b/>
                <w:sz w:val="24"/>
                <w:szCs w:val="24"/>
              </w:rPr>
            </w:pPr>
            <w:r w:rsidRPr="00556E96">
              <w:rPr>
                <w:b/>
                <w:sz w:val="24"/>
                <w:szCs w:val="24"/>
              </w:rPr>
              <w:t>Previously reported in</w:t>
            </w:r>
          </w:p>
        </w:tc>
        <w:tc>
          <w:tcPr>
            <w:tcW w:w="6378" w:type="dxa"/>
            <w:tcBorders>
              <w:top w:val="nil"/>
              <w:left w:val="single" w:sz="12" w:space="0" w:color="auto"/>
              <w:bottom w:val="single" w:sz="12" w:space="0" w:color="auto"/>
              <w:right w:val="nil"/>
            </w:tcBorders>
          </w:tcPr>
          <w:p w:rsidR="003F4D42" w:rsidRPr="00556E96" w:rsidRDefault="003F4D42" w:rsidP="00651E15">
            <w:pPr>
              <w:rPr>
                <w:sz w:val="24"/>
                <w:szCs w:val="24"/>
              </w:rPr>
            </w:pPr>
            <w:r w:rsidRPr="00556E96">
              <w:rPr>
                <w:i/>
                <w:noProof/>
                <w:sz w:val="24"/>
                <w:szCs w:val="24"/>
              </w:rPr>
              <w:t>Delegated legislation monitor</w:t>
            </w:r>
            <w:r>
              <w:rPr>
                <w:noProof/>
                <w:sz w:val="24"/>
                <w:szCs w:val="24"/>
              </w:rPr>
              <w:t xml:space="preserve"> 8</w:t>
            </w:r>
            <w:r w:rsidRPr="00556E96">
              <w:rPr>
                <w:noProof/>
                <w:sz w:val="24"/>
                <w:szCs w:val="24"/>
              </w:rPr>
              <w:t xml:space="preserve"> of 2017</w:t>
            </w:r>
          </w:p>
        </w:tc>
      </w:tr>
    </w:tbl>
    <w:p w:rsidR="003F4D42" w:rsidRDefault="003F4D42" w:rsidP="003F4D42">
      <w:pPr>
        <w:spacing w:before="0" w:after="0"/>
      </w:pPr>
    </w:p>
    <w:p w:rsidR="003F4D42" w:rsidRDefault="003F4D42" w:rsidP="003F4D42">
      <w:pPr>
        <w:rPr>
          <w:b/>
          <w:noProof/>
        </w:rPr>
      </w:pPr>
      <w:r>
        <w:rPr>
          <w:b/>
          <w:noProof/>
        </w:rPr>
        <w:t>Sub-delegation</w:t>
      </w:r>
    </w:p>
    <w:p w:rsidR="003F4D42" w:rsidRDefault="003F4D42" w:rsidP="003F4D42">
      <w:pPr>
        <w:rPr>
          <w:noProof/>
        </w:rPr>
      </w:pPr>
      <w:r w:rsidRPr="00556E96">
        <w:rPr>
          <w:noProof/>
        </w:rPr>
        <w:t>The committee previously commented as follows:</w:t>
      </w:r>
    </w:p>
    <w:p w:rsidR="003F4D42" w:rsidRDefault="003F4D42" w:rsidP="003F4D42">
      <w:pPr>
        <w:rPr>
          <w:noProof/>
        </w:rPr>
      </w:pPr>
      <w:r>
        <w:rPr>
          <w:noProof/>
        </w:rPr>
        <w:t xml:space="preserve">Section 4 of the instrument specifies the Australian Government Actuary (AGA) and Commonwealth officers employed by the Office of the AGA as 'HELP program Commonwealth officers' for the purposes of paragraph 180-28(7)(c) of the </w:t>
      </w:r>
      <w:r>
        <w:rPr>
          <w:i/>
          <w:noProof/>
        </w:rPr>
        <w:t xml:space="preserve">Higher Education Support Act 2003 </w:t>
      </w:r>
      <w:r>
        <w:rPr>
          <w:noProof/>
        </w:rPr>
        <w:t xml:space="preserve">(HESA Act). While the committee acknowledges that subsection 180-28(8) of the HESA Act permits the minister to specify such officers, the term 'Commonwealth officer' is defined very broadly in the HESA Act. </w:t>
      </w:r>
    </w:p>
    <w:p w:rsidR="003F4D42" w:rsidRDefault="003F4D42" w:rsidP="003F4D42">
      <w:pPr>
        <w:rPr>
          <w:noProof/>
        </w:rPr>
      </w:pPr>
      <w:r>
        <w:rPr>
          <w:noProof/>
        </w:rPr>
        <w:t>The committee's expectations in relation to sub-delegation accord with the approach of the Senate Standing Committee for the Scrutiny of Bills, which has consistently drawn attention to legislation that allows delegations to a relatively large class of persons, with little or no specificity as to their qualifications or attributes. Generally, a limit should be set in legislation on either the sorts of powers that might be delegated or on the categories of people to whom powers might be delegated; and delegates should be confined to the holders of nominated offices or to members of the senior executive service. In the absence of specific qualification requirements of a delegate, the committee expects instruments to include a general requirement that the person delegating a power be satisfied that a delegate has the appropriate qualifications or attributes to perform the delegated functions.</w:t>
      </w:r>
    </w:p>
    <w:p w:rsidR="003F4D42" w:rsidRDefault="003F4D42" w:rsidP="003F4D42">
      <w:pPr>
        <w:spacing w:after="0"/>
        <w:rPr>
          <w:noProof/>
        </w:rPr>
      </w:pPr>
      <w:r>
        <w:rPr>
          <w:noProof/>
        </w:rPr>
        <w:t>With respect to specifiying 'Commonwealth officers' employed by the AGA, the ES states:</w:t>
      </w:r>
    </w:p>
    <w:p w:rsidR="003F4D42" w:rsidRDefault="003F4D42" w:rsidP="003F4D42">
      <w:pPr>
        <w:pStyle w:val="Quote"/>
        <w:spacing w:before="120"/>
        <w:rPr>
          <w:noProof/>
        </w:rPr>
      </w:pPr>
      <w:r>
        <w:rPr>
          <w:noProof/>
        </w:rPr>
        <w:t xml:space="preserve">Commonwealth officers employed by the Office of the Australian Government Actuary are included in this determination to ensure </w:t>
      </w:r>
      <w:r>
        <w:rPr>
          <w:noProof/>
        </w:rPr>
        <w:lastRenderedPageBreak/>
        <w:t>designated officers within that Office are able to use and disclose HESA information.</w:t>
      </w:r>
    </w:p>
    <w:p w:rsidR="003F4D42" w:rsidRDefault="003F4D42" w:rsidP="003F4D42">
      <w:pPr>
        <w:rPr>
          <w:b/>
          <w:noProof/>
        </w:rPr>
      </w:pPr>
      <w:r>
        <w:rPr>
          <w:noProof/>
        </w:rPr>
        <w:t>However, the ES provides no further justification for the need to specify all 'Commonwealth officers' employed by the AGA as 'HELP program Commonwealth officers' who, pursuant to subsection 180-28(5) of the HESA Act, may use and disclose HESA information to assist in the development or administration of the higher education loan program.</w:t>
      </w:r>
    </w:p>
    <w:p w:rsidR="003F4D42" w:rsidRPr="003F4D42" w:rsidRDefault="003F4D42" w:rsidP="003F4D42">
      <w:pPr>
        <w:spacing w:after="0"/>
      </w:pPr>
      <w:r w:rsidRPr="003F4D42">
        <w:rPr>
          <w:noProof/>
        </w:rPr>
        <w:t>The committee request</w:t>
      </w:r>
      <w:r w:rsidR="00926B4B">
        <w:rPr>
          <w:noProof/>
        </w:rPr>
        <w:t>ed</w:t>
      </w:r>
      <w:r w:rsidRPr="003F4D42">
        <w:rPr>
          <w:noProof/>
        </w:rPr>
        <w:t xml:space="preserve"> the advice of the minister in relation to the above.</w:t>
      </w:r>
    </w:p>
    <w:p w:rsidR="003F4D42" w:rsidRDefault="003F4D42" w:rsidP="003F4D42">
      <w:pPr>
        <w:rPr>
          <w:rFonts w:asciiTheme="minorHAnsi" w:hAnsiTheme="minorHAnsi"/>
          <w:b/>
          <w:lang w:eastAsia="en-AU"/>
        </w:rPr>
      </w:pPr>
      <w:r>
        <w:rPr>
          <w:rFonts w:asciiTheme="minorHAnsi" w:hAnsiTheme="minorHAnsi"/>
          <w:b/>
          <w:lang w:eastAsia="en-AU"/>
        </w:rPr>
        <w:t>Minister's response</w:t>
      </w:r>
    </w:p>
    <w:p w:rsidR="003F4D42" w:rsidRPr="00995BBB" w:rsidRDefault="003F4D42" w:rsidP="003F4D42">
      <w:pPr>
        <w:rPr>
          <w:rFonts w:asciiTheme="minorHAnsi" w:hAnsiTheme="minorHAnsi"/>
          <w:lang w:eastAsia="en-AU"/>
        </w:rPr>
      </w:pPr>
      <w:r w:rsidRPr="00A93C58">
        <w:rPr>
          <w:rFonts w:asciiTheme="minorHAnsi" w:hAnsiTheme="minorHAnsi"/>
          <w:lang w:eastAsia="en-AU"/>
        </w:rPr>
        <w:t>The Minis</w:t>
      </w:r>
      <w:r>
        <w:rPr>
          <w:rFonts w:asciiTheme="minorHAnsi" w:hAnsiTheme="minorHAnsi"/>
          <w:lang w:eastAsia="en-AU"/>
        </w:rPr>
        <w:t>ter for Education and Training advised:</w:t>
      </w:r>
    </w:p>
    <w:p w:rsidR="00DB4521" w:rsidRDefault="00A936BB" w:rsidP="00A936BB">
      <w:pPr>
        <w:pStyle w:val="Quote"/>
        <w:rPr>
          <w:noProof/>
        </w:rPr>
      </w:pPr>
      <w:r>
        <w:rPr>
          <w:noProof/>
        </w:rPr>
        <w:t xml:space="preserve">The purpose of the Instrument is to allow various officers employed by the AGA to be able to use and disclose Higher Education Support Act information (HESA information) for the purpose of maintaining a Higher Education Loan Program (HELP) debtor and earnings database. The HELP debtor and earnings database is important to the Department of Education and Training (Education) because it addresses recommendations in the Australian National Audit Office's (ANAO) report on the </w:t>
      </w:r>
      <w:r w:rsidRPr="00A936BB">
        <w:rPr>
          <w:i/>
          <w:noProof/>
        </w:rPr>
        <w:t>Administration of Higher Education Loan Program Debt and Repayments</w:t>
      </w:r>
      <w:r>
        <w:rPr>
          <w:noProof/>
        </w:rPr>
        <w:t xml:space="preserve"> (report no. 31 of 2015-16, published on 5 May 2016). The ANAO recommended that 'Education and the Australian Taxation Office (ATO) expand the information provided publicly to include a broader range of information such as the growth in HELP debt and collection of repayments' (Recommendation 4) and that 'Education more fully analyses characteristics of debt and repayments, and consider this information to inform program design' (Recommendation 5).</w:t>
      </w:r>
    </w:p>
    <w:p w:rsidR="00A936BB" w:rsidRDefault="00A936BB" w:rsidP="00A936BB">
      <w:pPr>
        <w:pStyle w:val="Quote"/>
        <w:rPr>
          <w:noProof/>
        </w:rPr>
      </w:pPr>
      <w:r>
        <w:rPr>
          <w:noProof/>
        </w:rPr>
        <w:t>The HELP debtor and earnings database is created from data provided by the AGA, Education and the ATO. The database contains de-identified information on HELP debtors, including demographic, educational, income and occupation-related information. Information from the HELP debtor and earnings database will enhance Education's ability to analyse HELP debt and debtors, including analysing differences between those who repay and those who are below the repayment threshold. Information from the HELP debtor and earnings database will be critical in addressing the abovementioned ANAO recommendations.</w:t>
      </w:r>
    </w:p>
    <w:p w:rsidR="00A936BB" w:rsidRDefault="00A936BB" w:rsidP="00A936BB">
      <w:pPr>
        <w:pStyle w:val="Quote"/>
        <w:rPr>
          <w:noProof/>
        </w:rPr>
      </w:pPr>
      <w:r>
        <w:rPr>
          <w:noProof/>
        </w:rPr>
        <w:t>The specification of 'Commonwealth officers' employed by the AGA as 'HELP program Commonwealth officers' must be sufficiently broad as to capture the various classes of officers employed by the AGA who need to use and disclose HESA information in the development, use and maintenance of the HELP debtor and earnings database at any time. There is a need to specify all 'Commonwealth officers' employed by the AGA as 'HELP program Commonwealth officers' in the instrument as the AGA is</w:t>
      </w:r>
      <w:r>
        <w:rPr>
          <w:noProof/>
        </w:rPr>
        <w:br/>
        <w:t xml:space="preserve">a small functional unit that does not have sufficiently well-defined positions and hierarchies to allow further specificity within the instrument. As the AGA employs a small number of officers (currently 12 individuals) </w:t>
      </w:r>
      <w:r>
        <w:rPr>
          <w:noProof/>
        </w:rPr>
        <w:lastRenderedPageBreak/>
        <w:t>who all have similar qualifications, skill sets and job roles, this makes it impractical to limit delegation to a specific sub-set of these Commonwealth officers. The Instrument must be sufficiently flexible to allow for movement of specific AGA officers who are required to access, use and disclose HESA information from within the HELP debtor and earnings database. I am satisfied that the Commonwealth officers employed by the AGA hold the appropriate qualifications and attributes to perform the de</w:t>
      </w:r>
      <w:r w:rsidR="000F5BD0">
        <w:rPr>
          <w:noProof/>
        </w:rPr>
        <w:t>legated functions and that the i</w:t>
      </w:r>
      <w:r>
        <w:rPr>
          <w:noProof/>
        </w:rPr>
        <w:t>nstrument is not excessively wide in its application.</w:t>
      </w:r>
    </w:p>
    <w:p w:rsidR="00A936BB" w:rsidRDefault="00A936BB" w:rsidP="00A936BB">
      <w:pPr>
        <w:pStyle w:val="Quote"/>
        <w:rPr>
          <w:noProof/>
        </w:rPr>
      </w:pPr>
      <w:r>
        <w:rPr>
          <w:noProof/>
        </w:rPr>
        <w:t>I note the Committee's view that the term 'Commonwealth officer' is defined very broadly in subsection 179-15(2) of the Act. Such a broad delegation may bring into question whether a person's right to privacy is being limited to the extent that it expands the category of specified officers that are authorised to use and disclose personal information. However, I consider that there are existing safeguards in place that provide strong protections in relation to such privacy matters. The instrument's explanatory statement states that this delegation is limited to only those Commonwealth officers who are exercising functions identified in subsection 180-28(5) of the Act, namely to assist in the development or administration of the</w:t>
      </w:r>
      <w:r w:rsidR="005106CB">
        <w:rPr>
          <w:noProof/>
        </w:rPr>
        <w:t xml:space="preserve"> </w:t>
      </w:r>
      <w:r>
        <w:rPr>
          <w:noProof/>
        </w:rPr>
        <w:t>HELP program. All persons specified as 'HELP program Commonwealth officers' are bound by the</w:t>
      </w:r>
      <w:r w:rsidR="005106CB">
        <w:rPr>
          <w:noProof/>
        </w:rPr>
        <w:t xml:space="preserve"> </w:t>
      </w:r>
      <w:r>
        <w:rPr>
          <w:noProof/>
        </w:rPr>
        <w:t xml:space="preserve">Australian Privacy Principles (APPs) in the </w:t>
      </w:r>
      <w:r w:rsidRPr="005106CB">
        <w:rPr>
          <w:i/>
          <w:noProof/>
        </w:rPr>
        <w:t>Privacy Act 1988</w:t>
      </w:r>
      <w:r>
        <w:rPr>
          <w:noProof/>
        </w:rPr>
        <w:t xml:space="preserve"> when dealing with personal information.</w:t>
      </w:r>
    </w:p>
    <w:p w:rsidR="00A936BB" w:rsidRDefault="00A936BB" w:rsidP="00A936BB">
      <w:pPr>
        <w:pStyle w:val="Quote"/>
        <w:rPr>
          <w:noProof/>
        </w:rPr>
      </w:pPr>
      <w:r>
        <w:rPr>
          <w:noProof/>
        </w:rPr>
        <w:t>The APPs regulate how agencies may collect, use, disclose and store personal information and how</w:t>
      </w:r>
      <w:r w:rsidR="005106CB">
        <w:rPr>
          <w:noProof/>
        </w:rPr>
        <w:t xml:space="preserve"> </w:t>
      </w:r>
      <w:r>
        <w:rPr>
          <w:noProof/>
        </w:rPr>
        <w:t>individuals may access and correct personal information held about them.</w:t>
      </w:r>
    </w:p>
    <w:p w:rsidR="005106CB" w:rsidRDefault="005106CB" w:rsidP="005106CB">
      <w:pPr>
        <w:pStyle w:val="Quote"/>
        <w:rPr>
          <w:noProof/>
        </w:rPr>
      </w:pPr>
      <w:r>
        <w:rPr>
          <w:noProof/>
        </w:rPr>
        <w:t>Having regard to the matters noted above, I consider that the delegation has been drafted with the maximum level of specificity possible in relation to the term 'Commonwealth officer'. Therefore, I recommend that the Instrument be maintained in its current form.</w:t>
      </w:r>
    </w:p>
    <w:p w:rsidR="00651E15" w:rsidRPr="00301FAD" w:rsidRDefault="00651E15" w:rsidP="00651E15">
      <w:pPr>
        <w:pStyle w:val="Quote"/>
        <w:ind w:left="0"/>
        <w:rPr>
          <w:b/>
          <w:noProof/>
          <w:sz w:val="26"/>
        </w:rPr>
      </w:pPr>
      <w:r w:rsidRPr="00301FAD">
        <w:rPr>
          <w:b/>
          <w:noProof/>
          <w:sz w:val="26"/>
        </w:rPr>
        <w:t>Committee's response</w:t>
      </w:r>
    </w:p>
    <w:p w:rsidR="00651E15" w:rsidRDefault="00651E15" w:rsidP="00651E15">
      <w:pPr>
        <w:rPr>
          <w:b/>
          <w:szCs w:val="26"/>
        </w:rPr>
      </w:pPr>
      <w:r w:rsidRPr="00556E96">
        <w:rPr>
          <w:b/>
          <w:szCs w:val="26"/>
        </w:rPr>
        <w:t>T</w:t>
      </w:r>
      <w:r>
        <w:rPr>
          <w:b/>
          <w:szCs w:val="26"/>
        </w:rPr>
        <w:t xml:space="preserve">he committee thanks </w:t>
      </w:r>
      <w:r w:rsidRPr="004A7CC9">
        <w:rPr>
          <w:b/>
          <w:szCs w:val="26"/>
        </w:rPr>
        <w:t xml:space="preserve">the </w:t>
      </w:r>
      <w:r>
        <w:rPr>
          <w:b/>
          <w:noProof/>
        </w:rPr>
        <w:t>m</w:t>
      </w:r>
      <w:r w:rsidRPr="004A7CC9">
        <w:rPr>
          <w:b/>
          <w:noProof/>
        </w:rPr>
        <w:t>inister</w:t>
      </w:r>
      <w:r w:rsidRPr="004A7CC9">
        <w:rPr>
          <w:b/>
          <w:szCs w:val="26"/>
        </w:rPr>
        <w:t xml:space="preserve"> f</w:t>
      </w:r>
      <w:r w:rsidRPr="00556E96">
        <w:rPr>
          <w:b/>
          <w:szCs w:val="26"/>
        </w:rPr>
        <w:t xml:space="preserve">or his response and has concluded its examination of the above. </w:t>
      </w:r>
    </w:p>
    <w:p w:rsidR="000F5BD0" w:rsidRDefault="00651E15" w:rsidP="000F5BD0">
      <w:r>
        <w:rPr>
          <w:szCs w:val="26"/>
        </w:rPr>
        <w:t>The committee notes the m</w:t>
      </w:r>
      <w:r w:rsidRPr="00651E15">
        <w:rPr>
          <w:szCs w:val="26"/>
        </w:rPr>
        <w:t>inister's advice that</w:t>
      </w:r>
      <w:r w:rsidR="000F5BD0" w:rsidRPr="000F5BD0">
        <w:t xml:space="preserve"> </w:t>
      </w:r>
      <w:r w:rsidR="000F5BD0">
        <w:rPr>
          <w:szCs w:val="26"/>
        </w:rPr>
        <w:t>t</w:t>
      </w:r>
      <w:r w:rsidR="000F5BD0" w:rsidRPr="000F5BD0">
        <w:rPr>
          <w:szCs w:val="26"/>
        </w:rPr>
        <w:t>he specification of 'Commonwealth officers' employed by the AGA as</w:t>
      </w:r>
      <w:r w:rsidRPr="00651E15">
        <w:rPr>
          <w:szCs w:val="26"/>
        </w:rPr>
        <w:t xml:space="preserve"> </w:t>
      </w:r>
      <w:r w:rsidR="000F5BD0" w:rsidRPr="000F5BD0">
        <w:rPr>
          <w:szCs w:val="26"/>
        </w:rPr>
        <w:t>'HELP program Commonwealth officers'</w:t>
      </w:r>
      <w:r w:rsidR="000F5BD0">
        <w:rPr>
          <w:szCs w:val="26"/>
        </w:rPr>
        <w:t xml:space="preserve"> </w:t>
      </w:r>
      <w:r w:rsidR="000F5BD0" w:rsidRPr="000F5BD0">
        <w:rPr>
          <w:szCs w:val="26"/>
        </w:rPr>
        <w:t>must be sufficiently broad as to capture the various classes of officers employed by the AGA who need to use and disclose HESA information in the development, use and maintenance of the HELP debtor a</w:t>
      </w:r>
      <w:r w:rsidR="000F5BD0">
        <w:rPr>
          <w:szCs w:val="26"/>
        </w:rPr>
        <w:t>nd earnings database.</w:t>
      </w:r>
      <w:r w:rsidR="000F5BD0" w:rsidRPr="000F5BD0">
        <w:t xml:space="preserve"> </w:t>
      </w:r>
      <w:r w:rsidR="00926B4B">
        <w:t xml:space="preserve">The committee notes the minister's advice that the AGA is </w:t>
      </w:r>
      <w:r w:rsidR="00926B4B">
        <w:rPr>
          <w:noProof/>
        </w:rPr>
        <w:t>a very small unit that does not have sufficiently well-defined positions and hierarchies to allow further sp</w:t>
      </w:r>
      <w:r w:rsidR="004D4E07">
        <w:rPr>
          <w:noProof/>
        </w:rPr>
        <w:t>ecificity within the instrument – but, importantly, that delegation will be limited to only those officers exercising the relevant functions under the Act.</w:t>
      </w:r>
    </w:p>
    <w:p w:rsidR="00A47F7C" w:rsidRDefault="000F5BD0" w:rsidP="00A47F7C">
      <w:pPr>
        <w:rPr>
          <w:szCs w:val="26"/>
        </w:rPr>
      </w:pPr>
      <w:r>
        <w:rPr>
          <w:szCs w:val="26"/>
        </w:rPr>
        <w:lastRenderedPageBreak/>
        <w:t xml:space="preserve">The committee notes the minister's </w:t>
      </w:r>
      <w:r w:rsidR="004D4E07">
        <w:rPr>
          <w:szCs w:val="26"/>
        </w:rPr>
        <w:t xml:space="preserve">description of the safeguards in place in relation to privacy matters, and his </w:t>
      </w:r>
      <w:r>
        <w:rPr>
          <w:szCs w:val="26"/>
        </w:rPr>
        <w:t xml:space="preserve">advice that he is satisfied </w:t>
      </w:r>
      <w:r w:rsidR="004D4E07">
        <w:rPr>
          <w:szCs w:val="26"/>
        </w:rPr>
        <w:t>that</w:t>
      </w:r>
      <w:r>
        <w:rPr>
          <w:szCs w:val="26"/>
        </w:rPr>
        <w:t xml:space="preserve"> the</w:t>
      </w:r>
      <w:r w:rsidR="004D4E07">
        <w:rPr>
          <w:szCs w:val="26"/>
        </w:rPr>
        <w:t>se</w:t>
      </w:r>
      <w:r>
        <w:rPr>
          <w:szCs w:val="26"/>
        </w:rPr>
        <w:t xml:space="preserve"> </w:t>
      </w:r>
      <w:r w:rsidRPr="000F5BD0">
        <w:rPr>
          <w:szCs w:val="26"/>
        </w:rPr>
        <w:t xml:space="preserve">safeguards </w:t>
      </w:r>
      <w:r w:rsidR="004D4E07">
        <w:rPr>
          <w:szCs w:val="26"/>
        </w:rPr>
        <w:t>ensure</w:t>
      </w:r>
      <w:r>
        <w:rPr>
          <w:szCs w:val="26"/>
        </w:rPr>
        <w:t xml:space="preserve"> </w:t>
      </w:r>
      <w:r w:rsidR="004D4E07">
        <w:rPr>
          <w:szCs w:val="26"/>
        </w:rPr>
        <w:t>the necessary protection of personal privacy</w:t>
      </w:r>
      <w:r w:rsidRPr="000F5BD0">
        <w:rPr>
          <w:szCs w:val="26"/>
        </w:rPr>
        <w:t>.</w:t>
      </w:r>
    </w:p>
    <w:p w:rsidR="00162130" w:rsidRDefault="00162130" w:rsidP="00A47F7C"/>
    <w:tbl>
      <w:tblPr>
        <w:tblW w:w="0" w:type="auto"/>
        <w:tblInd w:w="108" w:type="dxa"/>
        <w:tblLook w:val="04A0" w:firstRow="1" w:lastRow="0" w:firstColumn="1" w:lastColumn="0" w:noHBand="0" w:noVBand="1"/>
      </w:tblPr>
      <w:tblGrid>
        <w:gridCol w:w="2694"/>
        <w:gridCol w:w="6378"/>
      </w:tblGrid>
      <w:tr w:rsidR="00E930BE" w:rsidTr="00C25B02">
        <w:tc>
          <w:tcPr>
            <w:tcW w:w="2694" w:type="dxa"/>
            <w:tcBorders>
              <w:top w:val="single" w:sz="12" w:space="0" w:color="auto"/>
              <w:left w:val="nil"/>
              <w:bottom w:val="nil"/>
              <w:right w:val="single" w:sz="12" w:space="0" w:color="auto"/>
            </w:tcBorders>
            <w:hideMark/>
          </w:tcPr>
          <w:p w:rsidR="00E930BE" w:rsidRDefault="00E930BE" w:rsidP="00C25B02">
            <w:pPr>
              <w:rPr>
                <w:b/>
                <w:sz w:val="24"/>
                <w:szCs w:val="24"/>
              </w:rPr>
            </w:pPr>
            <w:bookmarkStart w:id="26" w:name="OLE_LINK2"/>
            <w:r>
              <w:rPr>
                <w:b/>
                <w:sz w:val="24"/>
                <w:szCs w:val="24"/>
              </w:rPr>
              <w:t>Instrument</w:t>
            </w:r>
          </w:p>
        </w:tc>
        <w:tc>
          <w:tcPr>
            <w:tcW w:w="6378" w:type="dxa"/>
            <w:tcBorders>
              <w:top w:val="single" w:sz="12" w:space="0" w:color="auto"/>
              <w:left w:val="single" w:sz="12" w:space="0" w:color="auto"/>
              <w:bottom w:val="nil"/>
              <w:right w:val="nil"/>
            </w:tcBorders>
            <w:hideMark/>
          </w:tcPr>
          <w:p w:rsidR="00E930BE" w:rsidRDefault="00E930BE" w:rsidP="00C25B02">
            <w:pPr>
              <w:pStyle w:val="Heading3"/>
              <w:rPr>
                <w:sz w:val="24"/>
                <w:szCs w:val="24"/>
              </w:rPr>
            </w:pPr>
            <w:r>
              <w:rPr>
                <w:noProof/>
                <w:sz w:val="24"/>
                <w:szCs w:val="24"/>
              </w:rPr>
              <w:t>Migration Amendment (Working Holiday Maker Visa Application Charges) Regulations 2017 [F2017L00576]</w:t>
            </w:r>
          </w:p>
        </w:tc>
      </w:tr>
      <w:tr w:rsidR="00E930BE" w:rsidTr="00C25B02">
        <w:tc>
          <w:tcPr>
            <w:tcW w:w="2694" w:type="dxa"/>
            <w:tcBorders>
              <w:top w:val="nil"/>
              <w:left w:val="nil"/>
              <w:bottom w:val="nil"/>
              <w:right w:val="single" w:sz="12" w:space="0" w:color="auto"/>
            </w:tcBorders>
            <w:hideMark/>
          </w:tcPr>
          <w:p w:rsidR="00E930BE" w:rsidRDefault="00E930BE" w:rsidP="00C25B02">
            <w:pPr>
              <w:rPr>
                <w:b/>
                <w:sz w:val="24"/>
                <w:szCs w:val="24"/>
              </w:rPr>
            </w:pPr>
            <w:r>
              <w:rPr>
                <w:b/>
                <w:sz w:val="24"/>
                <w:szCs w:val="24"/>
              </w:rPr>
              <w:t>Purpose</w:t>
            </w:r>
          </w:p>
        </w:tc>
        <w:tc>
          <w:tcPr>
            <w:tcW w:w="6378" w:type="dxa"/>
            <w:tcBorders>
              <w:top w:val="nil"/>
              <w:left w:val="single" w:sz="12" w:space="0" w:color="auto"/>
              <w:bottom w:val="nil"/>
              <w:right w:val="nil"/>
            </w:tcBorders>
            <w:hideMark/>
          </w:tcPr>
          <w:p w:rsidR="00E930BE" w:rsidRDefault="00E930BE" w:rsidP="00C25B02">
            <w:pPr>
              <w:rPr>
                <w:sz w:val="24"/>
                <w:szCs w:val="24"/>
              </w:rPr>
            </w:pPr>
            <w:r>
              <w:rPr>
                <w:noProof/>
                <w:sz w:val="24"/>
                <w:szCs w:val="24"/>
              </w:rPr>
              <w:t>Amends the Migration Regulations 1994 to provide for a visa application charge of $440 for the Subclass 417 (Working Holiday) visa and Subclass 462 (Work and Holiday) visa</w:t>
            </w:r>
          </w:p>
        </w:tc>
      </w:tr>
      <w:tr w:rsidR="00E930BE" w:rsidTr="00C25B02">
        <w:tc>
          <w:tcPr>
            <w:tcW w:w="2694" w:type="dxa"/>
            <w:tcBorders>
              <w:top w:val="nil"/>
              <w:left w:val="nil"/>
              <w:bottom w:val="nil"/>
              <w:right w:val="single" w:sz="12" w:space="0" w:color="auto"/>
            </w:tcBorders>
            <w:hideMark/>
          </w:tcPr>
          <w:p w:rsidR="00E930BE" w:rsidRDefault="00E930BE" w:rsidP="00C25B02">
            <w:pPr>
              <w:rPr>
                <w:b/>
                <w:sz w:val="24"/>
                <w:szCs w:val="24"/>
              </w:rPr>
            </w:pPr>
            <w:r>
              <w:rPr>
                <w:b/>
                <w:sz w:val="24"/>
                <w:szCs w:val="24"/>
              </w:rPr>
              <w:t>Authorising legislation</w:t>
            </w:r>
          </w:p>
        </w:tc>
        <w:tc>
          <w:tcPr>
            <w:tcW w:w="6378" w:type="dxa"/>
            <w:tcBorders>
              <w:top w:val="nil"/>
              <w:left w:val="single" w:sz="12" w:space="0" w:color="auto"/>
              <w:bottom w:val="nil"/>
              <w:right w:val="nil"/>
            </w:tcBorders>
            <w:hideMark/>
          </w:tcPr>
          <w:p w:rsidR="00E930BE" w:rsidRDefault="00E930BE" w:rsidP="00C25B02">
            <w:pPr>
              <w:rPr>
                <w:i/>
                <w:sz w:val="24"/>
                <w:szCs w:val="24"/>
              </w:rPr>
            </w:pPr>
            <w:r>
              <w:rPr>
                <w:i/>
                <w:noProof/>
                <w:sz w:val="24"/>
                <w:szCs w:val="24"/>
              </w:rPr>
              <w:t>Migration Act 1958</w:t>
            </w:r>
          </w:p>
        </w:tc>
      </w:tr>
      <w:tr w:rsidR="00E930BE" w:rsidTr="00C25B02">
        <w:tc>
          <w:tcPr>
            <w:tcW w:w="2694" w:type="dxa"/>
            <w:tcBorders>
              <w:top w:val="nil"/>
              <w:left w:val="nil"/>
              <w:bottom w:val="nil"/>
              <w:right w:val="single" w:sz="12" w:space="0" w:color="auto"/>
            </w:tcBorders>
            <w:hideMark/>
          </w:tcPr>
          <w:p w:rsidR="00E930BE" w:rsidRDefault="00E930BE" w:rsidP="00C25B02">
            <w:pPr>
              <w:rPr>
                <w:b/>
                <w:sz w:val="24"/>
                <w:szCs w:val="24"/>
              </w:rPr>
            </w:pPr>
            <w:r>
              <w:rPr>
                <w:b/>
                <w:sz w:val="24"/>
                <w:szCs w:val="24"/>
              </w:rPr>
              <w:t>Department</w:t>
            </w:r>
          </w:p>
        </w:tc>
        <w:tc>
          <w:tcPr>
            <w:tcW w:w="6378" w:type="dxa"/>
            <w:tcBorders>
              <w:top w:val="nil"/>
              <w:left w:val="single" w:sz="12" w:space="0" w:color="auto"/>
              <w:bottom w:val="nil"/>
              <w:right w:val="nil"/>
            </w:tcBorders>
            <w:hideMark/>
          </w:tcPr>
          <w:p w:rsidR="00E930BE" w:rsidRDefault="00E930BE" w:rsidP="00C25B02">
            <w:pPr>
              <w:rPr>
                <w:sz w:val="24"/>
                <w:szCs w:val="24"/>
              </w:rPr>
            </w:pPr>
            <w:r>
              <w:rPr>
                <w:noProof/>
                <w:sz w:val="24"/>
                <w:szCs w:val="24"/>
              </w:rPr>
              <w:t>Immigration and Border Protection</w:t>
            </w:r>
          </w:p>
        </w:tc>
      </w:tr>
      <w:tr w:rsidR="00E930BE" w:rsidTr="00C25B02">
        <w:tc>
          <w:tcPr>
            <w:tcW w:w="2694" w:type="dxa"/>
            <w:tcBorders>
              <w:top w:val="nil"/>
              <w:left w:val="nil"/>
              <w:bottom w:val="nil"/>
              <w:right w:val="single" w:sz="12" w:space="0" w:color="auto"/>
            </w:tcBorders>
            <w:hideMark/>
          </w:tcPr>
          <w:p w:rsidR="00E930BE" w:rsidRDefault="00E930BE" w:rsidP="00C25B02">
            <w:pPr>
              <w:rPr>
                <w:b/>
                <w:sz w:val="24"/>
                <w:szCs w:val="24"/>
              </w:rPr>
            </w:pPr>
            <w:r>
              <w:rPr>
                <w:b/>
                <w:sz w:val="24"/>
                <w:szCs w:val="24"/>
              </w:rPr>
              <w:t>Disallowance</w:t>
            </w:r>
          </w:p>
        </w:tc>
        <w:tc>
          <w:tcPr>
            <w:tcW w:w="6378" w:type="dxa"/>
            <w:tcBorders>
              <w:top w:val="nil"/>
              <w:left w:val="single" w:sz="12" w:space="0" w:color="auto"/>
              <w:bottom w:val="nil"/>
              <w:right w:val="nil"/>
            </w:tcBorders>
            <w:hideMark/>
          </w:tcPr>
          <w:p w:rsidR="00E930BE" w:rsidRDefault="00E930BE" w:rsidP="00C25B02">
            <w:pPr>
              <w:rPr>
                <w:sz w:val="24"/>
                <w:szCs w:val="24"/>
              </w:rPr>
            </w:pPr>
            <w:r>
              <w:rPr>
                <w:sz w:val="24"/>
                <w:szCs w:val="24"/>
              </w:rPr>
              <w:t xml:space="preserve">15 sitting days after tabling (tabled Senate </w:t>
            </w:r>
            <w:r>
              <w:rPr>
                <w:noProof/>
                <w:sz w:val="24"/>
                <w:szCs w:val="24"/>
              </w:rPr>
              <w:t xml:space="preserve">13 June </w:t>
            </w:r>
            <w:r>
              <w:rPr>
                <w:sz w:val="24"/>
                <w:szCs w:val="24"/>
              </w:rPr>
              <w:t>2017)</w:t>
            </w:r>
            <w:r>
              <w:rPr>
                <w:sz w:val="24"/>
                <w:szCs w:val="24"/>
              </w:rPr>
              <w:br/>
            </w:r>
            <w:r w:rsidR="006B7ADA" w:rsidRPr="006B7ADA">
              <w:rPr>
                <w:sz w:val="24"/>
                <w:szCs w:val="24"/>
              </w:rPr>
              <w:t>The time to give a notice of motion to disallow expired on</w:t>
            </w:r>
            <w:r>
              <w:rPr>
                <w:sz w:val="24"/>
                <w:szCs w:val="24"/>
              </w:rPr>
              <w:br/>
            </w:r>
            <w:r>
              <w:rPr>
                <w:noProof/>
                <w:sz w:val="24"/>
                <w:szCs w:val="24"/>
              </w:rPr>
              <w:t>5 September</w:t>
            </w:r>
            <w:r>
              <w:rPr>
                <w:sz w:val="24"/>
                <w:szCs w:val="24"/>
              </w:rPr>
              <w:t xml:space="preserve"> 2017</w:t>
            </w:r>
          </w:p>
        </w:tc>
      </w:tr>
      <w:tr w:rsidR="00E930BE" w:rsidTr="00C25B02">
        <w:tc>
          <w:tcPr>
            <w:tcW w:w="2694" w:type="dxa"/>
            <w:tcBorders>
              <w:top w:val="nil"/>
              <w:left w:val="nil"/>
              <w:bottom w:val="nil"/>
              <w:right w:val="single" w:sz="12" w:space="0" w:color="auto"/>
            </w:tcBorders>
            <w:hideMark/>
          </w:tcPr>
          <w:p w:rsidR="00E930BE" w:rsidRDefault="00E930BE" w:rsidP="00C25B02">
            <w:pPr>
              <w:rPr>
                <w:b/>
                <w:sz w:val="24"/>
                <w:szCs w:val="24"/>
              </w:rPr>
            </w:pPr>
            <w:r>
              <w:rPr>
                <w:b/>
                <w:sz w:val="24"/>
                <w:szCs w:val="24"/>
              </w:rPr>
              <w:t>Scrutiny principle</w:t>
            </w:r>
          </w:p>
        </w:tc>
        <w:tc>
          <w:tcPr>
            <w:tcW w:w="6378" w:type="dxa"/>
            <w:tcBorders>
              <w:top w:val="nil"/>
              <w:left w:val="single" w:sz="12" w:space="0" w:color="auto"/>
              <w:bottom w:val="nil"/>
              <w:right w:val="nil"/>
            </w:tcBorders>
            <w:hideMark/>
          </w:tcPr>
          <w:p w:rsidR="00E930BE" w:rsidRDefault="00E930BE" w:rsidP="00C25B02">
            <w:pPr>
              <w:rPr>
                <w:sz w:val="24"/>
                <w:szCs w:val="24"/>
              </w:rPr>
            </w:pPr>
            <w:r>
              <w:rPr>
                <w:sz w:val="24"/>
                <w:szCs w:val="24"/>
              </w:rPr>
              <w:t>Standing Order 23(3)</w:t>
            </w:r>
            <w:r w:rsidR="00676FBB">
              <w:rPr>
                <w:noProof/>
                <w:sz w:val="24"/>
                <w:szCs w:val="24"/>
              </w:rPr>
              <w:t>(a)</w:t>
            </w:r>
          </w:p>
        </w:tc>
      </w:tr>
      <w:tr w:rsidR="00E930BE" w:rsidTr="00C25B02">
        <w:tc>
          <w:tcPr>
            <w:tcW w:w="2694" w:type="dxa"/>
            <w:tcBorders>
              <w:top w:val="nil"/>
              <w:left w:val="nil"/>
              <w:bottom w:val="single" w:sz="12" w:space="0" w:color="auto"/>
              <w:right w:val="single" w:sz="12" w:space="0" w:color="auto"/>
            </w:tcBorders>
            <w:hideMark/>
          </w:tcPr>
          <w:p w:rsidR="00E930BE" w:rsidRDefault="00E930BE" w:rsidP="00C25B02">
            <w:pPr>
              <w:rPr>
                <w:b/>
                <w:sz w:val="24"/>
                <w:szCs w:val="24"/>
              </w:rPr>
            </w:pPr>
            <w:r>
              <w:rPr>
                <w:b/>
                <w:sz w:val="24"/>
                <w:szCs w:val="24"/>
              </w:rPr>
              <w:t>Previously reported in</w:t>
            </w:r>
          </w:p>
        </w:tc>
        <w:tc>
          <w:tcPr>
            <w:tcW w:w="6378" w:type="dxa"/>
            <w:tcBorders>
              <w:top w:val="nil"/>
              <w:left w:val="single" w:sz="12" w:space="0" w:color="auto"/>
              <w:bottom w:val="single" w:sz="12" w:space="0" w:color="auto"/>
              <w:right w:val="nil"/>
            </w:tcBorders>
            <w:hideMark/>
          </w:tcPr>
          <w:p w:rsidR="00E930BE" w:rsidRDefault="00E930BE" w:rsidP="00C25B02">
            <w:pPr>
              <w:rPr>
                <w:sz w:val="24"/>
                <w:szCs w:val="24"/>
              </w:rPr>
            </w:pPr>
            <w:r>
              <w:rPr>
                <w:i/>
                <w:noProof/>
                <w:sz w:val="24"/>
                <w:szCs w:val="24"/>
              </w:rPr>
              <w:t>Delegated legislation monitors</w:t>
            </w:r>
            <w:r>
              <w:rPr>
                <w:noProof/>
                <w:sz w:val="24"/>
                <w:szCs w:val="24"/>
              </w:rPr>
              <w:t xml:space="preserve"> 7 and 8 of 2017</w:t>
            </w:r>
          </w:p>
        </w:tc>
      </w:tr>
    </w:tbl>
    <w:p w:rsidR="00E930BE" w:rsidRDefault="00E930BE" w:rsidP="00E930BE">
      <w:pPr>
        <w:spacing w:before="0" w:after="0"/>
      </w:pPr>
    </w:p>
    <w:p w:rsidR="00E930BE" w:rsidRDefault="00E930BE" w:rsidP="00E930BE">
      <w:pPr>
        <w:rPr>
          <w:b/>
          <w:noProof/>
        </w:rPr>
      </w:pPr>
      <w:r>
        <w:rPr>
          <w:b/>
          <w:noProof/>
        </w:rPr>
        <w:t>Unclear basis for determining fees</w:t>
      </w:r>
    </w:p>
    <w:p w:rsidR="00E930BE" w:rsidRDefault="00E930BE" w:rsidP="00E930BE">
      <w:pPr>
        <w:rPr>
          <w:noProof/>
        </w:rPr>
      </w:pPr>
      <w:r>
        <w:rPr>
          <w:noProof/>
        </w:rPr>
        <w:t>The committee previously commented as follows:</w:t>
      </w:r>
    </w:p>
    <w:p w:rsidR="00E930BE" w:rsidRDefault="00E930BE" w:rsidP="00E930BE">
      <w:pPr>
        <w:rPr>
          <w:noProof/>
        </w:rPr>
      </w:pPr>
      <w:r>
        <w:rPr>
          <w:noProof/>
        </w:rPr>
        <w:t xml:space="preserve">As noted above, item 1 of the regulation increases the VAC for working holiday makers by $50, to $440. As the regulation reverses a previous reduction in the VAC which had not yet commenced, the committee notes that the regulation may therefore be described as maintaining the current VAC. </w:t>
      </w:r>
    </w:p>
    <w:p w:rsidR="00E930BE" w:rsidRDefault="00E930BE" w:rsidP="00E930BE">
      <w:pPr>
        <w:rPr>
          <w:noProof/>
        </w:rPr>
      </w:pPr>
      <w:r>
        <w:rPr>
          <w:noProof/>
        </w:rPr>
        <w:t>While the ES briefly notes a government decision to maintain the VAC when finalising the working holiday maker reform package, it does not appear to state the basis on which the VAC has been calculated, other than to indicate:</w:t>
      </w:r>
    </w:p>
    <w:p w:rsidR="00E930BE" w:rsidRDefault="00E930BE" w:rsidP="00E930BE">
      <w:pPr>
        <w:pStyle w:val="Quote"/>
        <w:rPr>
          <w:noProof/>
        </w:rPr>
      </w:pPr>
      <w:r>
        <w:rPr>
          <w:noProof/>
        </w:rPr>
        <w:t>The revenue of not proceeding with the planned $50 reduction in the visa application charge will fund the Seasonal Worker Incentives Trial which will provide incentives for eligible Australian job seekers to undertake horticultural seasonal work.</w:t>
      </w:r>
    </w:p>
    <w:p w:rsidR="00E930BE" w:rsidRDefault="00E930BE" w:rsidP="00E930BE">
      <w:pPr>
        <w:rPr>
          <w:noProof/>
        </w:rPr>
      </w:pPr>
      <w:r>
        <w:rPr>
          <w:noProof/>
        </w:rPr>
        <w:t>The committee’s usual expectation in cases where an instrument of delegated legislation carries financial implications via the imposition of a charge, fee, levy, scale or rate of costs or payment is that the relevant ES makes clear the specific basis on which an individual imposition or change has been calculated.</w:t>
      </w:r>
    </w:p>
    <w:p w:rsidR="00E930BE" w:rsidRDefault="00E930BE" w:rsidP="00E930BE">
      <w:pPr>
        <w:rPr>
          <w:noProof/>
        </w:rPr>
      </w:pPr>
      <w:r>
        <w:rPr>
          <w:noProof/>
        </w:rPr>
        <w:t>The committee request</w:t>
      </w:r>
      <w:r w:rsidR="00662C0A">
        <w:rPr>
          <w:noProof/>
        </w:rPr>
        <w:t>ed</w:t>
      </w:r>
      <w:r>
        <w:rPr>
          <w:noProof/>
        </w:rPr>
        <w:t xml:space="preserve"> the advice of the minister in relation to the above.</w:t>
      </w:r>
    </w:p>
    <w:p w:rsidR="00E930BE" w:rsidRDefault="00E930BE" w:rsidP="00E930BE">
      <w:pPr>
        <w:tabs>
          <w:tab w:val="left" w:pos="2268"/>
        </w:tabs>
        <w:rPr>
          <w:b/>
          <w:noProof/>
        </w:rPr>
      </w:pPr>
      <w:r>
        <w:rPr>
          <w:b/>
          <w:noProof/>
        </w:rPr>
        <w:lastRenderedPageBreak/>
        <w:t xml:space="preserve">Minister's </w:t>
      </w:r>
      <w:r w:rsidR="00072727">
        <w:rPr>
          <w:b/>
          <w:noProof/>
        </w:rPr>
        <w:t xml:space="preserve">first </w:t>
      </w:r>
      <w:r>
        <w:rPr>
          <w:b/>
          <w:noProof/>
        </w:rPr>
        <w:t>response</w:t>
      </w:r>
    </w:p>
    <w:p w:rsidR="00E930BE" w:rsidRDefault="00E930BE" w:rsidP="00E930BE">
      <w:pPr>
        <w:rPr>
          <w:noProof/>
        </w:rPr>
      </w:pPr>
      <w:r>
        <w:rPr>
          <w:noProof/>
        </w:rPr>
        <w:t>The Minister for</w:t>
      </w:r>
      <w:r>
        <w:t xml:space="preserve"> Immigration and Border Protection</w:t>
      </w:r>
      <w:r>
        <w:rPr>
          <w:noProof/>
        </w:rPr>
        <w:t xml:space="preserve"> advised:</w:t>
      </w:r>
    </w:p>
    <w:p w:rsidR="00E930BE" w:rsidRDefault="00E930BE" w:rsidP="00E930BE">
      <w:pPr>
        <w:pStyle w:val="Quote"/>
        <w:rPr>
          <w:noProof/>
        </w:rPr>
      </w:pPr>
      <w:r>
        <w:rPr>
          <w:noProof/>
        </w:rPr>
        <w:t xml:space="preserve">As noted by the Committee, the effect of the WHM VAC Regulations is to maintain the VACs for Working Holiday Maker visas at $440. This has been the VAC amount for these visas since 1 July 2015, when the VACs were indexed from $420 to $440. Continuation of the VAC of $440 is not expected to have a negative impact on demand as the VAC is relatively small compared to the costs and expenses of travel to and staying in Australia. The pricing of the Working Holiday Maker visa products is not expected to change Australia's relative position against similar international countries. In addition, I note that this VAC amount does not exceed the applicable charge limit set out in the </w:t>
      </w:r>
      <w:r>
        <w:rPr>
          <w:i/>
          <w:noProof/>
        </w:rPr>
        <w:t>Migration (Visa Application) Charge Act 1997</w:t>
      </w:r>
      <w:r>
        <w:rPr>
          <w:noProof/>
        </w:rPr>
        <w:t>. I therefore consider that $440 is an appropriate VAC for these visas.</w:t>
      </w:r>
    </w:p>
    <w:p w:rsidR="00E930BE" w:rsidRPr="005F12EB" w:rsidRDefault="00E930BE" w:rsidP="00E930BE">
      <w:pPr>
        <w:spacing w:after="0"/>
        <w:rPr>
          <w:b/>
          <w:noProof/>
        </w:rPr>
      </w:pPr>
      <w:r w:rsidRPr="005F12EB">
        <w:rPr>
          <w:b/>
          <w:noProof/>
        </w:rPr>
        <w:t xml:space="preserve">Committee's </w:t>
      </w:r>
      <w:r w:rsidR="00072727">
        <w:rPr>
          <w:b/>
          <w:noProof/>
        </w:rPr>
        <w:t xml:space="preserve">first </w:t>
      </w:r>
      <w:r w:rsidRPr="005F12EB">
        <w:rPr>
          <w:b/>
          <w:noProof/>
        </w:rPr>
        <w:t>response</w:t>
      </w:r>
    </w:p>
    <w:p w:rsidR="00E930BE" w:rsidRPr="00072727" w:rsidRDefault="00E930BE" w:rsidP="00E930BE">
      <w:pPr>
        <w:spacing w:after="0"/>
        <w:rPr>
          <w:szCs w:val="26"/>
        </w:rPr>
      </w:pPr>
      <w:r w:rsidRPr="00072727">
        <w:rPr>
          <w:szCs w:val="26"/>
        </w:rPr>
        <w:t xml:space="preserve">The committee </w:t>
      </w:r>
      <w:r w:rsidR="00662C0A" w:rsidRPr="00072727">
        <w:rPr>
          <w:szCs w:val="26"/>
        </w:rPr>
        <w:t>thank</w:t>
      </w:r>
      <w:r w:rsidR="00662C0A">
        <w:rPr>
          <w:szCs w:val="26"/>
        </w:rPr>
        <w:t>ed</w:t>
      </w:r>
      <w:r w:rsidR="00662C0A" w:rsidRPr="00072727">
        <w:rPr>
          <w:szCs w:val="26"/>
        </w:rPr>
        <w:t xml:space="preserve"> </w:t>
      </w:r>
      <w:r w:rsidRPr="00072727">
        <w:rPr>
          <w:szCs w:val="26"/>
        </w:rPr>
        <w:t>the minister for his response.</w:t>
      </w:r>
    </w:p>
    <w:p w:rsidR="00E930BE" w:rsidRPr="00B2067C" w:rsidRDefault="00E930BE" w:rsidP="00E930BE">
      <w:pPr>
        <w:rPr>
          <w:noProof/>
        </w:rPr>
      </w:pPr>
      <w:r>
        <w:rPr>
          <w:noProof/>
        </w:rPr>
        <w:t>The committee note</w:t>
      </w:r>
      <w:r w:rsidR="00662C0A">
        <w:rPr>
          <w:noProof/>
        </w:rPr>
        <w:t>d</w:t>
      </w:r>
      <w:r>
        <w:rPr>
          <w:noProof/>
        </w:rPr>
        <w:t xml:space="preserve"> the minister's advice that the regulation maintains the current VAC amount for working holiday makers and that the amount d</w:t>
      </w:r>
      <w:r w:rsidRPr="00353AD7">
        <w:rPr>
          <w:noProof/>
        </w:rPr>
        <w:t xml:space="preserve">oes not exceed the </w:t>
      </w:r>
      <w:r w:rsidRPr="00B2067C">
        <w:rPr>
          <w:noProof/>
        </w:rPr>
        <w:t xml:space="preserve">applicable charge limit set out in the </w:t>
      </w:r>
      <w:r w:rsidRPr="00B2067C">
        <w:rPr>
          <w:i/>
          <w:noProof/>
        </w:rPr>
        <w:t>Migration (Visa Application) Charge Act 1997.</w:t>
      </w:r>
    </w:p>
    <w:p w:rsidR="00E930BE" w:rsidRPr="00B2067C" w:rsidRDefault="00E930BE" w:rsidP="00E930BE">
      <w:pPr>
        <w:rPr>
          <w:noProof/>
        </w:rPr>
      </w:pPr>
      <w:r w:rsidRPr="00B2067C">
        <w:rPr>
          <w:noProof/>
        </w:rPr>
        <w:t xml:space="preserve">While the VAC amount remains unchanged, the minister's response does not address the question of the specific basis on which the amount has been calculated; for example, whether the VAC is calculated on the basis of cost recovery or on another basis. </w:t>
      </w:r>
    </w:p>
    <w:p w:rsidR="00E930BE" w:rsidRDefault="00E930BE" w:rsidP="00E930BE">
      <w:pPr>
        <w:rPr>
          <w:noProof/>
        </w:rPr>
      </w:pPr>
      <w:r w:rsidRPr="00B2067C">
        <w:rPr>
          <w:noProof/>
        </w:rPr>
        <w:t>The committee’s usual expectation in cases where an instrument of delegated legislation carries financial implications via the imposition of a charge (including where an instrument maintains a current charge) is that the relevant ES make clear the specific basis on which the charge has been calculated.</w:t>
      </w:r>
    </w:p>
    <w:p w:rsidR="00E930BE" w:rsidRPr="00E930BE" w:rsidRDefault="00E930BE" w:rsidP="00E930BE">
      <w:pPr>
        <w:rPr>
          <w:noProof/>
        </w:rPr>
      </w:pPr>
      <w:r w:rsidRPr="00E930BE">
        <w:rPr>
          <w:noProof/>
        </w:rPr>
        <w:t>The committee request</w:t>
      </w:r>
      <w:r w:rsidR="00662C0A">
        <w:rPr>
          <w:noProof/>
        </w:rPr>
        <w:t>ed</w:t>
      </w:r>
      <w:r w:rsidRPr="00E930BE">
        <w:rPr>
          <w:noProof/>
        </w:rPr>
        <w:t xml:space="preserve"> the further advice of the minister in relation to the above.</w:t>
      </w:r>
      <w:bookmarkEnd w:id="26"/>
    </w:p>
    <w:p w:rsidR="00072727" w:rsidRDefault="00072727" w:rsidP="00072727">
      <w:pPr>
        <w:tabs>
          <w:tab w:val="left" w:pos="2268"/>
        </w:tabs>
        <w:rPr>
          <w:b/>
          <w:noProof/>
        </w:rPr>
      </w:pPr>
      <w:r>
        <w:rPr>
          <w:b/>
          <w:noProof/>
        </w:rPr>
        <w:t>Minister's second response</w:t>
      </w:r>
    </w:p>
    <w:p w:rsidR="00072727" w:rsidRDefault="00072727" w:rsidP="00072727">
      <w:pPr>
        <w:rPr>
          <w:noProof/>
        </w:rPr>
      </w:pPr>
      <w:r>
        <w:rPr>
          <w:noProof/>
        </w:rPr>
        <w:t>The Minister for</w:t>
      </w:r>
      <w:r>
        <w:t xml:space="preserve"> Immigration and Border Protection</w:t>
      </w:r>
      <w:r>
        <w:rPr>
          <w:noProof/>
        </w:rPr>
        <w:t xml:space="preserve"> advised:</w:t>
      </w:r>
    </w:p>
    <w:p w:rsidR="00072727" w:rsidRDefault="00072727" w:rsidP="00072727">
      <w:pPr>
        <w:pStyle w:val="Quote"/>
      </w:pPr>
      <w:r>
        <w:t xml:space="preserve">As noted at pages 62-3 of the Consolidated Financial Statements for the Australian Government for the financial year ended 30 June 2016, a review of the classification of VACs determined that the revenue for these charges had increased over a number of years without a commensurate increase in costs. As a result, VACs were reclassified from non-taxation to taxation revenue to reflect the sustained change in the nature of the revenue in accordance with principles contained in the Australian Bureau of Statistics </w:t>
      </w:r>
      <w:r w:rsidRPr="00072727">
        <w:rPr>
          <w:i/>
        </w:rPr>
        <w:t>Australian System of Government Finance Statistics: Concepts, Sources and Methods 2005</w:t>
      </w:r>
      <w:r>
        <w:rPr>
          <w:i/>
        </w:rPr>
        <w:t xml:space="preserve"> – </w:t>
      </w:r>
      <w:r w:rsidRPr="00072727">
        <w:rPr>
          <w:i/>
        </w:rPr>
        <w:t>ABS Catalogue No. 5514.0</w:t>
      </w:r>
      <w:r>
        <w:t xml:space="preserve"> (ABS GFS Manual). This reclassification took effect from the 2015-16 Mid-Year Economic and Fiscal Outlook.</w:t>
      </w:r>
    </w:p>
    <w:p w:rsidR="00072727" w:rsidRDefault="00072727" w:rsidP="00072727">
      <w:pPr>
        <w:pStyle w:val="Quote"/>
      </w:pPr>
      <w:r>
        <w:lastRenderedPageBreak/>
        <w:t>In particular, the reclassification is consistent with the principle that fees from regulatory services are designed to cover all or part of the cost of providing a regulatory function. If the revenue collected is clearly out of proportion to the costs of providing the regulatory service, then the fee is classified as taxation revenue.</w:t>
      </w:r>
    </w:p>
    <w:p w:rsidR="00072727" w:rsidRDefault="00072727" w:rsidP="00072727">
      <w:pPr>
        <w:pStyle w:val="Quote"/>
      </w:pPr>
      <w:r>
        <w:t xml:space="preserve">The VAC amount for individual visa subclasses is set by Government as part of the Budget process. The </w:t>
      </w:r>
      <w:r w:rsidRPr="00072727">
        <w:rPr>
          <w:i/>
        </w:rPr>
        <w:t>Migration Act 1958</w:t>
      </w:r>
      <w:r>
        <w:t xml:space="preserve"> provides that the amount of the VAC is to be prescribed in the Migration Regulations 1994 and must not exceed the limit determined under the </w:t>
      </w:r>
      <w:r w:rsidRPr="00072727">
        <w:rPr>
          <w:i/>
        </w:rPr>
        <w:t>Migration (Visa Application) Charge Act 1997</w:t>
      </w:r>
      <w:r>
        <w:t>.</w:t>
      </w:r>
    </w:p>
    <w:p w:rsidR="00E930BE" w:rsidRDefault="00072727" w:rsidP="00072727">
      <w:pPr>
        <w:pStyle w:val="Quote"/>
      </w:pPr>
      <w:r>
        <w:t>The amounts of the VACs for the referenced visas are consistent with the above principles. I further consider the VAC amounts are appropriate for the reasons outlined in my previous letters to the Committee.</w:t>
      </w:r>
    </w:p>
    <w:p w:rsidR="00A315D3" w:rsidRPr="005F12EB" w:rsidRDefault="00A315D3" w:rsidP="00A315D3">
      <w:pPr>
        <w:spacing w:after="0"/>
        <w:rPr>
          <w:b/>
          <w:noProof/>
        </w:rPr>
      </w:pPr>
      <w:r w:rsidRPr="005F12EB">
        <w:rPr>
          <w:b/>
          <w:noProof/>
        </w:rPr>
        <w:t xml:space="preserve">Committee's </w:t>
      </w:r>
      <w:r>
        <w:rPr>
          <w:b/>
          <w:noProof/>
        </w:rPr>
        <w:t xml:space="preserve">second </w:t>
      </w:r>
      <w:r w:rsidRPr="005F12EB">
        <w:rPr>
          <w:b/>
          <w:noProof/>
        </w:rPr>
        <w:t>response</w:t>
      </w:r>
    </w:p>
    <w:p w:rsidR="00117C30" w:rsidRPr="00094432" w:rsidRDefault="00117C30" w:rsidP="00A315D3">
      <w:pPr>
        <w:spacing w:after="0"/>
        <w:rPr>
          <w:b/>
          <w:szCs w:val="26"/>
        </w:rPr>
      </w:pPr>
      <w:r w:rsidRPr="00094432">
        <w:rPr>
          <w:b/>
          <w:szCs w:val="26"/>
        </w:rPr>
        <w:t xml:space="preserve">The committee thanks the </w:t>
      </w:r>
      <w:r w:rsidRPr="00094432">
        <w:rPr>
          <w:b/>
          <w:noProof/>
        </w:rPr>
        <w:t>minister</w:t>
      </w:r>
      <w:r w:rsidRPr="00094432">
        <w:rPr>
          <w:b/>
          <w:szCs w:val="26"/>
        </w:rPr>
        <w:t xml:space="preserve"> for his response and has concluded its examination of the above.</w:t>
      </w:r>
    </w:p>
    <w:p w:rsidR="00117C30" w:rsidRDefault="00117C30" w:rsidP="00117C30">
      <w:pPr>
        <w:spacing w:after="0"/>
        <w:rPr>
          <w:szCs w:val="26"/>
        </w:rPr>
      </w:pPr>
      <w:r w:rsidRPr="00094432">
        <w:rPr>
          <w:szCs w:val="26"/>
        </w:rPr>
        <w:t xml:space="preserve">The committee notes the minister's advice that VACs were reclassified from non-taxation to taxation revenue following the review of their classification effective from the 2015-16 </w:t>
      </w:r>
      <w:r w:rsidR="00773E2C" w:rsidRPr="00773E2C">
        <w:rPr>
          <w:szCs w:val="26"/>
        </w:rPr>
        <w:t>Mid-Year Economic and Fiscal Outlook</w:t>
      </w:r>
      <w:r w:rsidRPr="00094432">
        <w:rPr>
          <w:szCs w:val="26"/>
        </w:rPr>
        <w:t xml:space="preserve">. </w:t>
      </w:r>
      <w:r w:rsidR="00662C0A" w:rsidRPr="00094432">
        <w:rPr>
          <w:szCs w:val="26"/>
        </w:rPr>
        <w:t xml:space="preserve">The committee notes that imposing taxation via VACs is enabled by the </w:t>
      </w:r>
      <w:r w:rsidR="00662C0A" w:rsidRPr="002F6B9E">
        <w:rPr>
          <w:i/>
          <w:szCs w:val="26"/>
        </w:rPr>
        <w:t>Migration (Visa Application) Charge Act 1997</w:t>
      </w:r>
      <w:r w:rsidR="00662C0A">
        <w:rPr>
          <w:szCs w:val="26"/>
        </w:rPr>
        <w:t xml:space="preserve">. </w:t>
      </w:r>
      <w:r w:rsidR="00A05394">
        <w:rPr>
          <w:szCs w:val="26"/>
        </w:rPr>
        <w:t xml:space="preserve">The committee </w:t>
      </w:r>
      <w:r w:rsidR="00662C0A">
        <w:rPr>
          <w:szCs w:val="26"/>
        </w:rPr>
        <w:t xml:space="preserve">considers </w:t>
      </w:r>
      <w:r w:rsidR="00A05394">
        <w:rPr>
          <w:szCs w:val="26"/>
        </w:rPr>
        <w:t xml:space="preserve">that </w:t>
      </w:r>
      <w:r w:rsidR="00662C0A">
        <w:rPr>
          <w:szCs w:val="26"/>
        </w:rPr>
        <w:t xml:space="preserve">it would have been useful to provide </w:t>
      </w:r>
      <w:r w:rsidR="00A05394">
        <w:rPr>
          <w:szCs w:val="26"/>
        </w:rPr>
        <w:t xml:space="preserve">this information in the ES. </w:t>
      </w:r>
    </w:p>
    <w:p w:rsidR="006B7ADA" w:rsidRDefault="006B7ADA">
      <w:pPr>
        <w:spacing w:before="0" w:after="0"/>
        <w:jc w:val="left"/>
        <w:rPr>
          <w:sz w:val="24"/>
        </w:rPr>
      </w:pPr>
      <w:r>
        <w:br w:type="page"/>
      </w:r>
    </w:p>
    <w:tbl>
      <w:tblPr>
        <w:tblW w:w="0" w:type="auto"/>
        <w:tblInd w:w="108" w:type="dxa"/>
        <w:tblLook w:val="04A0" w:firstRow="1" w:lastRow="0" w:firstColumn="1" w:lastColumn="0" w:noHBand="0" w:noVBand="1"/>
      </w:tblPr>
      <w:tblGrid>
        <w:gridCol w:w="2694"/>
        <w:gridCol w:w="6378"/>
      </w:tblGrid>
      <w:tr w:rsidR="00E930BE" w:rsidRPr="00BD2352" w:rsidTr="00C25B02">
        <w:tc>
          <w:tcPr>
            <w:tcW w:w="2694" w:type="dxa"/>
            <w:tcBorders>
              <w:top w:val="single" w:sz="12" w:space="0" w:color="auto"/>
              <w:right w:val="single" w:sz="12" w:space="0" w:color="auto"/>
            </w:tcBorders>
          </w:tcPr>
          <w:p w:rsidR="00E930BE" w:rsidRPr="00BD2352" w:rsidRDefault="00E930BE" w:rsidP="00C25B02">
            <w:pPr>
              <w:rPr>
                <w:b/>
                <w:sz w:val="24"/>
                <w:szCs w:val="24"/>
              </w:rPr>
            </w:pPr>
            <w:r w:rsidRPr="00BD2352">
              <w:rPr>
                <w:b/>
                <w:noProof/>
              </w:rPr>
              <w:lastRenderedPageBreak/>
              <w:br w:type="page"/>
            </w:r>
            <w:r w:rsidRPr="00BD2352">
              <w:br w:type="page"/>
            </w:r>
            <w:r w:rsidRPr="00BD2352">
              <w:rPr>
                <w:b/>
                <w:sz w:val="24"/>
                <w:szCs w:val="24"/>
              </w:rPr>
              <w:t>Instrument</w:t>
            </w:r>
          </w:p>
        </w:tc>
        <w:tc>
          <w:tcPr>
            <w:tcW w:w="6378" w:type="dxa"/>
            <w:tcBorders>
              <w:top w:val="single" w:sz="12" w:space="0" w:color="auto"/>
              <w:left w:val="single" w:sz="12" w:space="0" w:color="auto"/>
            </w:tcBorders>
          </w:tcPr>
          <w:p w:rsidR="00E930BE" w:rsidRPr="00BD2352" w:rsidRDefault="00E930BE" w:rsidP="00C25B02">
            <w:pPr>
              <w:pStyle w:val="Heading3"/>
              <w:rPr>
                <w:sz w:val="24"/>
                <w:szCs w:val="24"/>
              </w:rPr>
            </w:pPr>
            <w:r w:rsidRPr="00BD2352">
              <w:rPr>
                <w:noProof/>
                <w:sz w:val="24"/>
                <w:szCs w:val="24"/>
              </w:rPr>
              <w:t>Migration Legislation Amendment (2017 Measures No. 2) Regulations 2017 [F2017L00549]</w:t>
            </w:r>
          </w:p>
        </w:tc>
      </w:tr>
      <w:tr w:rsidR="00E930BE" w:rsidRPr="00BD2352" w:rsidTr="00C25B02">
        <w:tc>
          <w:tcPr>
            <w:tcW w:w="2694" w:type="dxa"/>
            <w:tcBorders>
              <w:right w:val="single" w:sz="12" w:space="0" w:color="auto"/>
            </w:tcBorders>
          </w:tcPr>
          <w:p w:rsidR="00E930BE" w:rsidRPr="00BD2352" w:rsidRDefault="00E930BE" w:rsidP="00C25B02">
            <w:pPr>
              <w:rPr>
                <w:b/>
                <w:sz w:val="24"/>
                <w:szCs w:val="24"/>
              </w:rPr>
            </w:pPr>
            <w:r w:rsidRPr="00BD2352">
              <w:rPr>
                <w:b/>
                <w:sz w:val="24"/>
                <w:szCs w:val="24"/>
              </w:rPr>
              <w:t>Purpose</w:t>
            </w:r>
          </w:p>
        </w:tc>
        <w:tc>
          <w:tcPr>
            <w:tcW w:w="6378" w:type="dxa"/>
            <w:tcBorders>
              <w:left w:val="single" w:sz="12" w:space="0" w:color="auto"/>
            </w:tcBorders>
          </w:tcPr>
          <w:p w:rsidR="00E930BE" w:rsidRPr="00BD2352" w:rsidRDefault="00E930BE" w:rsidP="00C25B02">
            <w:pPr>
              <w:rPr>
                <w:sz w:val="24"/>
                <w:szCs w:val="24"/>
              </w:rPr>
            </w:pPr>
            <w:r w:rsidRPr="00BD2352">
              <w:rPr>
                <w:noProof/>
                <w:sz w:val="24"/>
                <w:szCs w:val="24"/>
              </w:rPr>
              <w:t>Amends the Migration Regulations 1994 to create a new permanent visa stream for certain New Zealand citizens, lower the maximum age permitted to apply for a Subclass 189 (Skilled – Independent) visa in the Points-tested stream,</w:t>
            </w:r>
            <w:r w:rsidRPr="00BD2352">
              <w:rPr>
                <w:noProof/>
                <w:sz w:val="24"/>
                <w:szCs w:val="24"/>
              </w:rPr>
              <w:br/>
              <w:t>and remove the requirement for certain persons departing Australia to complete a passenger card</w:t>
            </w:r>
          </w:p>
        </w:tc>
      </w:tr>
      <w:tr w:rsidR="00E930BE" w:rsidRPr="00BD2352" w:rsidTr="00C25B02">
        <w:tc>
          <w:tcPr>
            <w:tcW w:w="2694" w:type="dxa"/>
            <w:tcBorders>
              <w:right w:val="single" w:sz="12" w:space="0" w:color="auto"/>
            </w:tcBorders>
          </w:tcPr>
          <w:p w:rsidR="00E930BE" w:rsidRPr="00BD2352" w:rsidRDefault="00E930BE" w:rsidP="00C25B02">
            <w:pPr>
              <w:rPr>
                <w:b/>
                <w:sz w:val="24"/>
                <w:szCs w:val="24"/>
              </w:rPr>
            </w:pPr>
            <w:r w:rsidRPr="00BD2352">
              <w:rPr>
                <w:b/>
                <w:sz w:val="24"/>
                <w:szCs w:val="24"/>
              </w:rPr>
              <w:t>Authorising legislation</w:t>
            </w:r>
          </w:p>
        </w:tc>
        <w:tc>
          <w:tcPr>
            <w:tcW w:w="6378" w:type="dxa"/>
            <w:tcBorders>
              <w:left w:val="single" w:sz="12" w:space="0" w:color="auto"/>
            </w:tcBorders>
          </w:tcPr>
          <w:p w:rsidR="00E930BE" w:rsidRPr="00BD2352" w:rsidRDefault="00E930BE" w:rsidP="00C25B02">
            <w:pPr>
              <w:rPr>
                <w:i/>
                <w:sz w:val="24"/>
                <w:szCs w:val="24"/>
              </w:rPr>
            </w:pPr>
            <w:r w:rsidRPr="00BD2352">
              <w:rPr>
                <w:i/>
                <w:noProof/>
                <w:sz w:val="24"/>
                <w:szCs w:val="24"/>
              </w:rPr>
              <w:t>Migration Act 1958</w:t>
            </w:r>
          </w:p>
        </w:tc>
      </w:tr>
      <w:tr w:rsidR="00E930BE" w:rsidRPr="00BD2352" w:rsidTr="00C25B02">
        <w:tc>
          <w:tcPr>
            <w:tcW w:w="2694" w:type="dxa"/>
            <w:tcBorders>
              <w:right w:val="single" w:sz="12" w:space="0" w:color="auto"/>
            </w:tcBorders>
          </w:tcPr>
          <w:p w:rsidR="00E930BE" w:rsidRPr="00BD2352" w:rsidRDefault="00E930BE" w:rsidP="00C25B02">
            <w:pPr>
              <w:rPr>
                <w:b/>
                <w:sz w:val="24"/>
                <w:szCs w:val="24"/>
              </w:rPr>
            </w:pPr>
            <w:r w:rsidRPr="00BD2352">
              <w:rPr>
                <w:b/>
                <w:sz w:val="24"/>
                <w:szCs w:val="24"/>
              </w:rPr>
              <w:t>Department</w:t>
            </w:r>
          </w:p>
        </w:tc>
        <w:tc>
          <w:tcPr>
            <w:tcW w:w="6378" w:type="dxa"/>
            <w:tcBorders>
              <w:left w:val="single" w:sz="12" w:space="0" w:color="auto"/>
            </w:tcBorders>
          </w:tcPr>
          <w:p w:rsidR="00E930BE" w:rsidRPr="00BD2352" w:rsidRDefault="00E930BE" w:rsidP="00C25B02">
            <w:pPr>
              <w:rPr>
                <w:sz w:val="24"/>
                <w:szCs w:val="24"/>
              </w:rPr>
            </w:pPr>
            <w:r w:rsidRPr="00BD2352">
              <w:rPr>
                <w:noProof/>
                <w:sz w:val="24"/>
                <w:szCs w:val="24"/>
              </w:rPr>
              <w:t>Immigration and Border Protection</w:t>
            </w:r>
          </w:p>
        </w:tc>
      </w:tr>
      <w:tr w:rsidR="00E930BE" w:rsidRPr="00BD2352" w:rsidTr="00C25B02">
        <w:tc>
          <w:tcPr>
            <w:tcW w:w="2694" w:type="dxa"/>
            <w:tcBorders>
              <w:right w:val="single" w:sz="12" w:space="0" w:color="auto"/>
            </w:tcBorders>
          </w:tcPr>
          <w:p w:rsidR="00E930BE" w:rsidRPr="00BD2352" w:rsidRDefault="00E930BE" w:rsidP="00C25B02">
            <w:pPr>
              <w:rPr>
                <w:b/>
                <w:sz w:val="24"/>
                <w:szCs w:val="24"/>
              </w:rPr>
            </w:pPr>
            <w:r w:rsidRPr="00BD2352">
              <w:rPr>
                <w:b/>
                <w:sz w:val="24"/>
                <w:szCs w:val="24"/>
              </w:rPr>
              <w:t>Disallowance</w:t>
            </w:r>
          </w:p>
        </w:tc>
        <w:tc>
          <w:tcPr>
            <w:tcW w:w="6378" w:type="dxa"/>
            <w:tcBorders>
              <w:left w:val="single" w:sz="12" w:space="0" w:color="auto"/>
            </w:tcBorders>
          </w:tcPr>
          <w:p w:rsidR="00E930BE" w:rsidRPr="00BD2352" w:rsidRDefault="00E930BE" w:rsidP="00C25B02">
            <w:pPr>
              <w:rPr>
                <w:sz w:val="24"/>
                <w:szCs w:val="24"/>
              </w:rPr>
            </w:pPr>
            <w:r w:rsidRPr="00BD2352">
              <w:rPr>
                <w:sz w:val="24"/>
                <w:szCs w:val="24"/>
              </w:rPr>
              <w:t xml:space="preserve">15 sitting days after tabling (tabled Senate </w:t>
            </w:r>
            <w:r w:rsidRPr="00BD2352">
              <w:rPr>
                <w:noProof/>
                <w:sz w:val="24"/>
                <w:szCs w:val="24"/>
              </w:rPr>
              <w:t>13 June</w:t>
            </w:r>
            <w:r w:rsidRPr="00BD2352">
              <w:rPr>
                <w:sz w:val="24"/>
                <w:szCs w:val="24"/>
              </w:rPr>
              <w:t xml:space="preserve"> 2017)</w:t>
            </w:r>
            <w:r w:rsidRPr="00BD2352">
              <w:rPr>
                <w:sz w:val="24"/>
                <w:szCs w:val="24"/>
              </w:rPr>
              <w:br/>
            </w:r>
            <w:r w:rsidR="006B7ADA" w:rsidRPr="006B7ADA">
              <w:rPr>
                <w:sz w:val="24"/>
                <w:szCs w:val="24"/>
              </w:rPr>
              <w:t>The time to give a notice of motion to disallow expired on</w:t>
            </w:r>
            <w:r w:rsidRPr="00BD2352">
              <w:rPr>
                <w:sz w:val="24"/>
                <w:szCs w:val="24"/>
              </w:rPr>
              <w:br/>
            </w:r>
            <w:r w:rsidRPr="00BD2352">
              <w:rPr>
                <w:noProof/>
                <w:sz w:val="24"/>
                <w:szCs w:val="24"/>
              </w:rPr>
              <w:t xml:space="preserve">5 September </w:t>
            </w:r>
            <w:r w:rsidRPr="00BD2352">
              <w:rPr>
                <w:sz w:val="24"/>
                <w:szCs w:val="24"/>
              </w:rPr>
              <w:t>2017</w:t>
            </w:r>
          </w:p>
        </w:tc>
      </w:tr>
      <w:tr w:rsidR="00E930BE" w:rsidRPr="00BD2352" w:rsidTr="00C25B02">
        <w:tc>
          <w:tcPr>
            <w:tcW w:w="2694" w:type="dxa"/>
            <w:tcBorders>
              <w:right w:val="single" w:sz="12" w:space="0" w:color="auto"/>
            </w:tcBorders>
          </w:tcPr>
          <w:p w:rsidR="00E930BE" w:rsidRPr="00BD2352" w:rsidRDefault="00E930BE" w:rsidP="00C25B02">
            <w:pPr>
              <w:rPr>
                <w:b/>
                <w:sz w:val="24"/>
                <w:szCs w:val="24"/>
              </w:rPr>
            </w:pPr>
            <w:r w:rsidRPr="00BD2352">
              <w:rPr>
                <w:b/>
                <w:sz w:val="24"/>
                <w:szCs w:val="24"/>
              </w:rPr>
              <w:t>Scrutiny principle</w:t>
            </w:r>
          </w:p>
        </w:tc>
        <w:tc>
          <w:tcPr>
            <w:tcW w:w="6378" w:type="dxa"/>
            <w:tcBorders>
              <w:left w:val="single" w:sz="12" w:space="0" w:color="auto"/>
            </w:tcBorders>
          </w:tcPr>
          <w:p w:rsidR="00E930BE" w:rsidRPr="00BD2352" w:rsidRDefault="00E930BE" w:rsidP="00C25B02">
            <w:pPr>
              <w:rPr>
                <w:sz w:val="24"/>
                <w:szCs w:val="24"/>
              </w:rPr>
            </w:pPr>
            <w:r w:rsidRPr="00BD2352">
              <w:rPr>
                <w:sz w:val="24"/>
                <w:szCs w:val="24"/>
              </w:rPr>
              <w:t>Standing Order 23(3)</w:t>
            </w:r>
            <w:r w:rsidRPr="00BD2352">
              <w:rPr>
                <w:noProof/>
                <w:sz w:val="24"/>
                <w:szCs w:val="24"/>
              </w:rPr>
              <w:t>(a)</w:t>
            </w:r>
          </w:p>
        </w:tc>
      </w:tr>
      <w:tr w:rsidR="00E930BE" w:rsidRPr="00BD2352" w:rsidTr="00C25B02">
        <w:tc>
          <w:tcPr>
            <w:tcW w:w="2694" w:type="dxa"/>
            <w:tcBorders>
              <w:bottom w:val="single" w:sz="12" w:space="0" w:color="auto"/>
              <w:right w:val="single" w:sz="12" w:space="0" w:color="auto"/>
            </w:tcBorders>
          </w:tcPr>
          <w:p w:rsidR="00E930BE" w:rsidRPr="005F12EB" w:rsidRDefault="00E930BE" w:rsidP="00C25B02">
            <w:pPr>
              <w:rPr>
                <w:b/>
                <w:sz w:val="24"/>
                <w:szCs w:val="24"/>
              </w:rPr>
            </w:pPr>
            <w:r w:rsidRPr="005F12EB">
              <w:rPr>
                <w:b/>
                <w:sz w:val="24"/>
                <w:szCs w:val="24"/>
              </w:rPr>
              <w:t>Previously reported in</w:t>
            </w:r>
          </w:p>
        </w:tc>
        <w:tc>
          <w:tcPr>
            <w:tcW w:w="6378" w:type="dxa"/>
            <w:tcBorders>
              <w:left w:val="single" w:sz="12" w:space="0" w:color="auto"/>
              <w:bottom w:val="single" w:sz="12" w:space="0" w:color="auto"/>
            </w:tcBorders>
          </w:tcPr>
          <w:p w:rsidR="00E930BE" w:rsidRPr="005F12EB" w:rsidRDefault="00E930BE" w:rsidP="00C25B02">
            <w:pPr>
              <w:rPr>
                <w:sz w:val="24"/>
                <w:szCs w:val="24"/>
              </w:rPr>
            </w:pPr>
            <w:r w:rsidRPr="005F12EB">
              <w:rPr>
                <w:i/>
                <w:noProof/>
                <w:sz w:val="24"/>
                <w:szCs w:val="24"/>
              </w:rPr>
              <w:t>Delegated legislation monitor</w:t>
            </w:r>
            <w:r>
              <w:rPr>
                <w:i/>
                <w:noProof/>
                <w:sz w:val="24"/>
                <w:szCs w:val="24"/>
              </w:rPr>
              <w:t>s</w:t>
            </w:r>
            <w:r>
              <w:rPr>
                <w:noProof/>
                <w:sz w:val="24"/>
                <w:szCs w:val="24"/>
              </w:rPr>
              <w:t xml:space="preserve"> 7 and 8</w:t>
            </w:r>
            <w:r w:rsidRPr="005F12EB">
              <w:rPr>
                <w:noProof/>
                <w:sz w:val="24"/>
                <w:szCs w:val="24"/>
              </w:rPr>
              <w:t xml:space="preserve"> of 2017</w:t>
            </w:r>
          </w:p>
        </w:tc>
      </w:tr>
    </w:tbl>
    <w:p w:rsidR="00E930BE" w:rsidRPr="00BD2352" w:rsidRDefault="00E930BE" w:rsidP="00E930BE">
      <w:pPr>
        <w:spacing w:before="0" w:after="0"/>
      </w:pPr>
    </w:p>
    <w:p w:rsidR="00E930BE" w:rsidRPr="00BD2352" w:rsidRDefault="00E930BE" w:rsidP="00E930BE">
      <w:pPr>
        <w:rPr>
          <w:b/>
          <w:noProof/>
        </w:rPr>
      </w:pPr>
      <w:r w:rsidRPr="00BD2352">
        <w:rPr>
          <w:b/>
          <w:noProof/>
        </w:rPr>
        <w:t>Unclear basis for determining fees</w:t>
      </w:r>
    </w:p>
    <w:p w:rsidR="00E930BE" w:rsidRPr="001A13F3" w:rsidRDefault="00E930BE" w:rsidP="00E930BE">
      <w:pPr>
        <w:rPr>
          <w:noProof/>
        </w:rPr>
      </w:pPr>
      <w:r>
        <w:rPr>
          <w:noProof/>
        </w:rPr>
        <w:t>The committee previously commented as follows:</w:t>
      </w:r>
    </w:p>
    <w:p w:rsidR="00E930BE" w:rsidRPr="00BD2352" w:rsidRDefault="00E930BE" w:rsidP="00E930BE">
      <w:pPr>
        <w:rPr>
          <w:noProof/>
        </w:rPr>
      </w:pPr>
      <w:r w:rsidRPr="00BD2352">
        <w:rPr>
          <w:noProof/>
        </w:rPr>
        <w:t xml:space="preserve">Item 2 of the Migration Legislation Amendment (2017 Measures No. 2) Regulations 2017 [F2017L00549] (the regulation) inserts new subitems 1137(3), (4), (4E) and (4F) into the Migration Regulations 1994, which set out various visa application charges (VAC) for the Subclass 189 (Skilled—Independent) visas in the Points-tested stream and permanent visa stream for certain New Zealand citizens. </w:t>
      </w:r>
    </w:p>
    <w:p w:rsidR="00E930BE" w:rsidRPr="00BD2352" w:rsidRDefault="00E930BE" w:rsidP="00E930BE">
      <w:pPr>
        <w:rPr>
          <w:noProof/>
        </w:rPr>
      </w:pPr>
      <w:r w:rsidRPr="00BD2352">
        <w:rPr>
          <w:noProof/>
        </w:rPr>
        <w:t xml:space="preserve">In this regard, the ES to the regulation provides the following general information about the VAC : </w:t>
      </w:r>
    </w:p>
    <w:p w:rsidR="00E930BE" w:rsidRPr="00BD2352" w:rsidRDefault="00E930BE" w:rsidP="00E930BE">
      <w:pPr>
        <w:pStyle w:val="Quote"/>
        <w:rPr>
          <w:noProof/>
        </w:rPr>
      </w:pPr>
      <w:r w:rsidRPr="00BD2352">
        <w:rPr>
          <w:noProof/>
        </w:rPr>
        <w:t>The total amount of the visa application charge (VAC) will be consistent with the General Skilled Migration Programme, however concessional arrangements have been introduced to the New Zealand stream, allowing 20 per cent of the VAC to be paid at time of lodgement and the remainder to be paid before the visa grant.</w:t>
      </w:r>
    </w:p>
    <w:p w:rsidR="00E930BE" w:rsidRPr="00BD2352" w:rsidRDefault="00E930BE" w:rsidP="00E930BE">
      <w:pPr>
        <w:rPr>
          <w:noProof/>
        </w:rPr>
      </w:pPr>
      <w:r w:rsidRPr="00BD2352">
        <w:rPr>
          <w:noProof/>
        </w:rPr>
        <w:t>With reference to the VAC for the new Points-tested stream the committee notes that the regulation substantially replicates the current Subclass 189 visa.</w:t>
      </w:r>
    </w:p>
    <w:p w:rsidR="00E930BE" w:rsidRPr="00BD2352" w:rsidRDefault="00E930BE" w:rsidP="00E930BE">
      <w:pPr>
        <w:rPr>
          <w:noProof/>
        </w:rPr>
      </w:pPr>
      <w:r w:rsidRPr="00BD2352">
        <w:rPr>
          <w:noProof/>
        </w:rPr>
        <w:t>With reference to the VAC</w:t>
      </w:r>
      <w:r w:rsidRPr="00BD2352">
        <w:t xml:space="preserve"> </w:t>
      </w:r>
      <w:r w:rsidRPr="00BD2352">
        <w:rPr>
          <w:noProof/>
        </w:rPr>
        <w:t xml:space="preserve">for the new permanent visa stream for certain New Zealand citizens, the ES states: </w:t>
      </w:r>
    </w:p>
    <w:p w:rsidR="00E930BE" w:rsidRPr="00BD2352" w:rsidRDefault="00E930BE" w:rsidP="00E930BE">
      <w:pPr>
        <w:pStyle w:val="Quote"/>
        <w:rPr>
          <w:noProof/>
        </w:rPr>
      </w:pPr>
      <w:r w:rsidRPr="00BD2352">
        <w:rPr>
          <w:noProof/>
        </w:rPr>
        <w:t>Subitems 1137(4E) and (4F) set out the first and second instalment of</w:t>
      </w:r>
      <w:r w:rsidRPr="00BD2352">
        <w:rPr>
          <w:noProof/>
        </w:rPr>
        <w:br/>
        <w:t xml:space="preserve">the visa application charge (‘VAC’) payable for the New Zealand stream. The overall VAC payable (first and second instalments) is the same as the </w:t>
      </w:r>
      <w:r w:rsidRPr="00BD2352">
        <w:rPr>
          <w:noProof/>
        </w:rPr>
        <w:lastRenderedPageBreak/>
        <w:t>first instalment of the VAC payable for the Points-tested stream, which is $3600. However, consistent with the announcement on 19 February 2016, applicants are only required to pay 20% of the overall VAC at the time of application (as the first instalment of the VAC). The remaining 80% of the overall VAC is charged as the second instalment of the VAC, which is only payable by the applicant before the visa is granted.</w:t>
      </w:r>
    </w:p>
    <w:p w:rsidR="00E930BE" w:rsidRPr="00BD2352" w:rsidRDefault="00E930BE" w:rsidP="00E930BE">
      <w:pPr>
        <w:rPr>
          <w:noProof/>
        </w:rPr>
      </w:pPr>
      <w:r w:rsidRPr="00BD2352">
        <w:rPr>
          <w:noProof/>
        </w:rPr>
        <w:t xml:space="preserve">However, the ES does not appear to state the basis on which the VAC for either stream has been calculated. The committee’s usual expectation in cases where an instrument of delegated legislation carries financial implications via the imposition of a charge, fee, levy, scale or rate of costs or payment is that the relevant ES makes clear the specific basis on which an individual imposition or change has been calculated. </w:t>
      </w:r>
    </w:p>
    <w:p w:rsidR="00E930BE" w:rsidRPr="00CE36C9" w:rsidRDefault="00E930BE" w:rsidP="00E930BE">
      <w:pPr>
        <w:rPr>
          <w:noProof/>
        </w:rPr>
      </w:pPr>
      <w:r w:rsidRPr="00CE36C9">
        <w:rPr>
          <w:noProof/>
        </w:rPr>
        <w:t>The committee request</w:t>
      </w:r>
      <w:r w:rsidR="00536C10">
        <w:rPr>
          <w:noProof/>
        </w:rPr>
        <w:t>ed</w:t>
      </w:r>
      <w:r w:rsidRPr="00CE36C9">
        <w:rPr>
          <w:noProof/>
        </w:rPr>
        <w:t xml:space="preserve"> the advice of the minister in relation to the above.</w:t>
      </w:r>
    </w:p>
    <w:p w:rsidR="00E930BE" w:rsidRPr="005F12EB" w:rsidRDefault="00E930BE" w:rsidP="00E930BE">
      <w:pPr>
        <w:spacing w:after="0"/>
        <w:rPr>
          <w:b/>
          <w:noProof/>
        </w:rPr>
      </w:pPr>
      <w:r>
        <w:rPr>
          <w:b/>
          <w:noProof/>
        </w:rPr>
        <w:t>Minister</w:t>
      </w:r>
      <w:r w:rsidRPr="005F12EB">
        <w:rPr>
          <w:b/>
          <w:noProof/>
        </w:rPr>
        <w:t xml:space="preserve">'s </w:t>
      </w:r>
      <w:r w:rsidR="00072727">
        <w:rPr>
          <w:b/>
          <w:noProof/>
        </w:rPr>
        <w:t xml:space="preserve">first </w:t>
      </w:r>
      <w:r w:rsidRPr="005F12EB">
        <w:rPr>
          <w:b/>
          <w:noProof/>
        </w:rPr>
        <w:t>response</w:t>
      </w:r>
    </w:p>
    <w:p w:rsidR="00E930BE" w:rsidRPr="007F3EC3" w:rsidRDefault="00E930BE" w:rsidP="00E930BE">
      <w:pPr>
        <w:rPr>
          <w:noProof/>
        </w:rPr>
      </w:pPr>
      <w:r w:rsidRPr="007F3EC3">
        <w:rPr>
          <w:noProof/>
        </w:rPr>
        <w:t>The Minister for Immigration and Border Protection advised:</w:t>
      </w:r>
    </w:p>
    <w:p w:rsidR="00E930BE" w:rsidRDefault="00E930BE" w:rsidP="00E930BE">
      <w:pPr>
        <w:pStyle w:val="Quote"/>
        <w:rPr>
          <w:noProof/>
        </w:rPr>
      </w:pPr>
      <w:r>
        <w:rPr>
          <w:noProof/>
        </w:rPr>
        <w:t>The Australia-New Zealand bilateral relationship is one of the closest and most comprehensive bilateral relationship Australia has with any country. It has been built on the Trans-Tasman Travel Arrangement (TTTA) and the Australia-New Zealand Closer Economic Relations Trade Agreement (ANZCERTA or CER).</w:t>
      </w:r>
    </w:p>
    <w:p w:rsidR="00E930BE" w:rsidRDefault="00E930BE" w:rsidP="00E930BE">
      <w:pPr>
        <w:pStyle w:val="Quote"/>
        <w:rPr>
          <w:noProof/>
        </w:rPr>
      </w:pPr>
      <w:r>
        <w:rPr>
          <w:noProof/>
        </w:rPr>
        <w:t>In line with the 2016 Government announcement, the Skilled Independent (subclass 189) (New Zealand stream) visa pathway was created within the Skilled Independent category of the General Skilled Migration (GSM) component of Australia's annual Migration Programme. The pathway is directly aimed at New Zealand citizens who have made, and continue to make, a demonstrated economic contribution to Australia, which is consistent with the GSM parameters.</w:t>
      </w:r>
    </w:p>
    <w:p w:rsidR="00E930BE" w:rsidRDefault="00E930BE" w:rsidP="00E930BE">
      <w:pPr>
        <w:pStyle w:val="Quote"/>
        <w:rPr>
          <w:noProof/>
        </w:rPr>
      </w:pPr>
      <w:r>
        <w:rPr>
          <w:noProof/>
        </w:rPr>
        <w:t>The visa application charge (VAC) imposed on the New Zealand stream under the Skilled Independent (subclass 189) is the lowest of the range of skilled visas. Other pathways to permanent residence for New Zealand citizens under other skilled or family streams attract a higher VAC.</w:t>
      </w:r>
    </w:p>
    <w:p w:rsidR="00E930BE" w:rsidRDefault="00E930BE" w:rsidP="00E930BE">
      <w:pPr>
        <w:pStyle w:val="Quote"/>
        <w:rPr>
          <w:noProof/>
        </w:rPr>
      </w:pPr>
      <w:r>
        <w:rPr>
          <w:noProof/>
        </w:rPr>
        <w:t>Further, in recognition of the special bilateral relationship, concessional arrangements to the VAC were introduced solely for the New Zealand stream. Applicants need only pay 20 per cent of the overall VAC at the time of application (as the first instalment of the VAC). The remaining 80 per cent of the overall VAC is charged as the second instalment of the VAC, which is only payable by the applicant before the visa is granted.</w:t>
      </w:r>
    </w:p>
    <w:p w:rsidR="00E930BE" w:rsidRPr="00AE70AB" w:rsidRDefault="00E930BE" w:rsidP="00E930BE">
      <w:pPr>
        <w:pStyle w:val="Quote"/>
        <w:rPr>
          <w:noProof/>
        </w:rPr>
      </w:pPr>
      <w:r>
        <w:rPr>
          <w:noProof/>
        </w:rPr>
        <w:t xml:space="preserve">I note that the amount of the VAC does not exceed the applicable charge limit set out in the </w:t>
      </w:r>
      <w:r w:rsidRPr="00904D65">
        <w:rPr>
          <w:i/>
          <w:noProof/>
        </w:rPr>
        <w:t>Migration (Visa Application) Charge Act 1997</w:t>
      </w:r>
      <w:r>
        <w:rPr>
          <w:noProof/>
        </w:rPr>
        <w:t>. For this reason, and in light of the above, I consider the VAC for these visas is appropriate.</w:t>
      </w:r>
    </w:p>
    <w:p w:rsidR="006B7ADA" w:rsidRDefault="006B7ADA">
      <w:pPr>
        <w:spacing w:before="0" w:after="0"/>
        <w:jc w:val="left"/>
        <w:rPr>
          <w:b/>
          <w:noProof/>
        </w:rPr>
      </w:pPr>
      <w:r>
        <w:rPr>
          <w:b/>
          <w:noProof/>
        </w:rPr>
        <w:br w:type="page"/>
      </w:r>
    </w:p>
    <w:p w:rsidR="00E930BE" w:rsidRPr="005F12EB" w:rsidRDefault="00E930BE" w:rsidP="00E930BE">
      <w:pPr>
        <w:spacing w:after="0"/>
        <w:rPr>
          <w:b/>
          <w:noProof/>
        </w:rPr>
      </w:pPr>
      <w:r w:rsidRPr="005F12EB">
        <w:rPr>
          <w:b/>
          <w:noProof/>
        </w:rPr>
        <w:lastRenderedPageBreak/>
        <w:t xml:space="preserve">Committee's </w:t>
      </w:r>
      <w:r w:rsidR="00072727">
        <w:rPr>
          <w:b/>
          <w:noProof/>
        </w:rPr>
        <w:t xml:space="preserve">first </w:t>
      </w:r>
      <w:r w:rsidRPr="005F12EB">
        <w:rPr>
          <w:b/>
          <w:noProof/>
        </w:rPr>
        <w:t>response</w:t>
      </w:r>
    </w:p>
    <w:p w:rsidR="00E930BE" w:rsidRPr="00072727" w:rsidRDefault="00E930BE" w:rsidP="00E930BE">
      <w:pPr>
        <w:spacing w:after="0"/>
        <w:rPr>
          <w:szCs w:val="26"/>
        </w:rPr>
      </w:pPr>
      <w:r w:rsidRPr="00072727">
        <w:rPr>
          <w:szCs w:val="26"/>
        </w:rPr>
        <w:t xml:space="preserve">The committee </w:t>
      </w:r>
      <w:r w:rsidR="00162C29" w:rsidRPr="00072727">
        <w:rPr>
          <w:szCs w:val="26"/>
        </w:rPr>
        <w:t>thank</w:t>
      </w:r>
      <w:r w:rsidR="00162C29">
        <w:rPr>
          <w:szCs w:val="26"/>
        </w:rPr>
        <w:t>ed</w:t>
      </w:r>
      <w:r w:rsidR="00162C29" w:rsidRPr="00072727">
        <w:rPr>
          <w:szCs w:val="26"/>
        </w:rPr>
        <w:t xml:space="preserve"> </w:t>
      </w:r>
      <w:r w:rsidRPr="00072727">
        <w:rPr>
          <w:szCs w:val="26"/>
        </w:rPr>
        <w:t>the minister for his response.</w:t>
      </w:r>
    </w:p>
    <w:p w:rsidR="00E930BE" w:rsidRDefault="00E930BE" w:rsidP="00E930BE">
      <w:pPr>
        <w:rPr>
          <w:noProof/>
        </w:rPr>
      </w:pPr>
      <w:r>
        <w:rPr>
          <w:noProof/>
        </w:rPr>
        <w:t>The committee note</w:t>
      </w:r>
      <w:r w:rsidR="00162C29">
        <w:rPr>
          <w:noProof/>
        </w:rPr>
        <w:t>d</w:t>
      </w:r>
      <w:r>
        <w:rPr>
          <w:noProof/>
        </w:rPr>
        <w:t xml:space="preserve"> the minister's advice about the </w:t>
      </w:r>
      <w:r w:rsidRPr="00353AD7">
        <w:rPr>
          <w:noProof/>
        </w:rPr>
        <w:t xml:space="preserve">Australia-New </w:t>
      </w:r>
      <w:r>
        <w:rPr>
          <w:noProof/>
        </w:rPr>
        <w:t xml:space="preserve">Zealand bilateral relationship; that the VAC for the </w:t>
      </w:r>
      <w:r w:rsidRPr="00353AD7">
        <w:rPr>
          <w:noProof/>
        </w:rPr>
        <w:t>New Zealand stream under the Skilled Independent (subclass 189) is the lowest</w:t>
      </w:r>
      <w:r>
        <w:rPr>
          <w:noProof/>
        </w:rPr>
        <w:t xml:space="preserve"> of the range of skilled visa; and that the amount d</w:t>
      </w:r>
      <w:r w:rsidRPr="00353AD7">
        <w:rPr>
          <w:noProof/>
        </w:rPr>
        <w:t xml:space="preserve">oes not exceed the applicable charge limit set out in the </w:t>
      </w:r>
      <w:r w:rsidRPr="00EF67D1">
        <w:rPr>
          <w:i/>
          <w:noProof/>
        </w:rPr>
        <w:t>Migration (Visa Application) Charge Act 1997.</w:t>
      </w:r>
    </w:p>
    <w:p w:rsidR="00E930BE" w:rsidRDefault="00E930BE" w:rsidP="00E930BE">
      <w:pPr>
        <w:rPr>
          <w:noProof/>
        </w:rPr>
      </w:pPr>
      <w:r>
        <w:rPr>
          <w:noProof/>
        </w:rPr>
        <w:t>However, the minister's response does not address the question of the specific basis on which the charges have been calculated; for example, whether the VAC is calculated on the basis of cost recovery or on another basis.</w:t>
      </w:r>
    </w:p>
    <w:p w:rsidR="00E930BE" w:rsidRPr="00E930BE" w:rsidRDefault="00E930BE" w:rsidP="00E930BE">
      <w:r w:rsidRPr="00E930BE">
        <w:rPr>
          <w:noProof/>
        </w:rPr>
        <w:t>The committee request</w:t>
      </w:r>
      <w:r w:rsidR="00162C29">
        <w:rPr>
          <w:noProof/>
        </w:rPr>
        <w:t>ed</w:t>
      </w:r>
      <w:r w:rsidRPr="00E930BE">
        <w:rPr>
          <w:noProof/>
        </w:rPr>
        <w:t xml:space="preserve"> the further advice of the minister in relation to the above.</w:t>
      </w:r>
    </w:p>
    <w:p w:rsidR="00A315D3" w:rsidRDefault="00A315D3" w:rsidP="00A315D3">
      <w:pPr>
        <w:tabs>
          <w:tab w:val="left" w:pos="2268"/>
        </w:tabs>
        <w:rPr>
          <w:b/>
          <w:noProof/>
        </w:rPr>
      </w:pPr>
      <w:r>
        <w:rPr>
          <w:b/>
          <w:noProof/>
        </w:rPr>
        <w:t>Minister's second response</w:t>
      </w:r>
    </w:p>
    <w:p w:rsidR="00A315D3" w:rsidRDefault="00A315D3" w:rsidP="00A315D3">
      <w:pPr>
        <w:rPr>
          <w:noProof/>
        </w:rPr>
      </w:pPr>
      <w:r>
        <w:rPr>
          <w:noProof/>
        </w:rPr>
        <w:t>The Minister for</w:t>
      </w:r>
      <w:r>
        <w:t xml:space="preserve"> Immigration and Border Protection</w:t>
      </w:r>
      <w:r>
        <w:rPr>
          <w:noProof/>
        </w:rPr>
        <w:t xml:space="preserve"> advised:</w:t>
      </w:r>
    </w:p>
    <w:p w:rsidR="00A315D3" w:rsidRDefault="00A315D3" w:rsidP="00A315D3">
      <w:pPr>
        <w:pStyle w:val="Quote"/>
      </w:pPr>
      <w:r>
        <w:t xml:space="preserve">As noted at pages 62-3 of the Consolidated Financial Statements for the Australian Government for the financial year ended 30 June 2016, a review of the classification of VACs determined that the revenue for these charges had increased over a number of years without a commensurate increase in costs. As a result, VACs were reclassified from non-taxation to taxation revenue to reflect the sustained change in the nature of the revenue in accordance with principles contained in the Australian Bureau of Statistics </w:t>
      </w:r>
      <w:r w:rsidRPr="00072727">
        <w:rPr>
          <w:i/>
        </w:rPr>
        <w:t>Australian System of Government Finance Statistics: Concepts, Sources and Methods 2005</w:t>
      </w:r>
      <w:r>
        <w:rPr>
          <w:i/>
        </w:rPr>
        <w:t xml:space="preserve"> – </w:t>
      </w:r>
      <w:r w:rsidRPr="00072727">
        <w:rPr>
          <w:i/>
        </w:rPr>
        <w:t>ABS Catalogue No. 5514.0</w:t>
      </w:r>
      <w:r>
        <w:t xml:space="preserve"> (ABS GFS Manual). This reclassification took effect from the 2015-16 Mid-Year Economic and Fiscal Outlook.</w:t>
      </w:r>
    </w:p>
    <w:p w:rsidR="00A315D3" w:rsidRDefault="00A315D3" w:rsidP="00A315D3">
      <w:pPr>
        <w:pStyle w:val="Quote"/>
      </w:pPr>
      <w:r>
        <w:t>In particular, the reclassification is consistent with the principle that fees from regulatory services are designed to cover all or part of the cost of providing a regulatory function. If the revenue collected is clearly out of proportion to the costs of providing the regulatory service, then the fee is classified as taxation revenue.</w:t>
      </w:r>
    </w:p>
    <w:p w:rsidR="00A315D3" w:rsidRDefault="00A315D3" w:rsidP="00A315D3">
      <w:pPr>
        <w:pStyle w:val="Quote"/>
      </w:pPr>
      <w:r>
        <w:t xml:space="preserve">The VAC amount for individual visa subclasses is set by Government as part of the Budget process. The </w:t>
      </w:r>
      <w:r w:rsidRPr="00072727">
        <w:rPr>
          <w:i/>
        </w:rPr>
        <w:t>Migration Act 1958</w:t>
      </w:r>
      <w:r>
        <w:t xml:space="preserve"> provides that the amount of the VAC is to be prescribed in the Migration Regulations 1994 and must not exceed the limit determined under the </w:t>
      </w:r>
      <w:r w:rsidRPr="00072727">
        <w:rPr>
          <w:i/>
        </w:rPr>
        <w:t>Migration (Visa Application) Charge Act 1997</w:t>
      </w:r>
      <w:r>
        <w:t>.</w:t>
      </w:r>
    </w:p>
    <w:p w:rsidR="00A315D3" w:rsidRDefault="00A315D3" w:rsidP="00A315D3">
      <w:pPr>
        <w:pStyle w:val="Quote"/>
      </w:pPr>
      <w:r>
        <w:t>The amounts of the VACs for the referenced visas are consistent with the above principles. I further consider the VAC amounts are appropriate for the reasons outlined in my previous letters to the Committee.</w:t>
      </w:r>
    </w:p>
    <w:p w:rsidR="00A315D3" w:rsidRPr="005F12EB" w:rsidRDefault="00A315D3" w:rsidP="00A315D3">
      <w:pPr>
        <w:spacing w:after="0"/>
        <w:rPr>
          <w:b/>
          <w:noProof/>
        </w:rPr>
      </w:pPr>
      <w:r w:rsidRPr="005F12EB">
        <w:rPr>
          <w:b/>
          <w:noProof/>
        </w:rPr>
        <w:t xml:space="preserve">Committee's </w:t>
      </w:r>
      <w:r>
        <w:rPr>
          <w:b/>
          <w:noProof/>
        </w:rPr>
        <w:t xml:space="preserve">second </w:t>
      </w:r>
      <w:r w:rsidRPr="005F12EB">
        <w:rPr>
          <w:b/>
          <w:noProof/>
        </w:rPr>
        <w:t>response</w:t>
      </w:r>
    </w:p>
    <w:p w:rsidR="003F4BA1" w:rsidRPr="00094432" w:rsidRDefault="003F4BA1" w:rsidP="003F4BA1">
      <w:pPr>
        <w:rPr>
          <w:b/>
          <w:szCs w:val="26"/>
        </w:rPr>
      </w:pPr>
      <w:r w:rsidRPr="00094432">
        <w:rPr>
          <w:b/>
          <w:szCs w:val="26"/>
        </w:rPr>
        <w:t xml:space="preserve">The committee thanks the </w:t>
      </w:r>
      <w:r w:rsidRPr="00094432">
        <w:rPr>
          <w:b/>
          <w:noProof/>
        </w:rPr>
        <w:t>minister</w:t>
      </w:r>
      <w:r w:rsidRPr="00094432">
        <w:rPr>
          <w:b/>
          <w:szCs w:val="26"/>
        </w:rPr>
        <w:t xml:space="preserve"> for his response and has concluded its examination of the above. </w:t>
      </w:r>
    </w:p>
    <w:p w:rsidR="003F4BA1" w:rsidRDefault="00A315D3" w:rsidP="003F4BA1">
      <w:pPr>
        <w:spacing w:after="0"/>
        <w:rPr>
          <w:szCs w:val="26"/>
        </w:rPr>
      </w:pPr>
      <w:r w:rsidRPr="00094432">
        <w:rPr>
          <w:szCs w:val="26"/>
        </w:rPr>
        <w:lastRenderedPageBreak/>
        <w:t xml:space="preserve">The committee notes </w:t>
      </w:r>
      <w:r w:rsidR="003F4BA1" w:rsidRPr="00094432">
        <w:rPr>
          <w:szCs w:val="26"/>
        </w:rPr>
        <w:t xml:space="preserve">the minister's advice that VACs were reclassified from non-taxation to taxation revenue following the review of their classification effective from the 2015-16 </w:t>
      </w:r>
      <w:r w:rsidR="00530724" w:rsidRPr="00530724">
        <w:rPr>
          <w:szCs w:val="26"/>
        </w:rPr>
        <w:t>Mid-Year Economic and Fiscal Outlook</w:t>
      </w:r>
      <w:r w:rsidR="003F4BA1" w:rsidRPr="00094432">
        <w:rPr>
          <w:szCs w:val="26"/>
        </w:rPr>
        <w:t xml:space="preserve">. </w:t>
      </w:r>
      <w:r w:rsidR="00162C29" w:rsidRPr="00094432">
        <w:rPr>
          <w:szCs w:val="26"/>
        </w:rPr>
        <w:t xml:space="preserve"> The committee notes that imposing taxation via VACs is enabled by the </w:t>
      </w:r>
      <w:r w:rsidR="00162C29" w:rsidRPr="008F6E9C">
        <w:rPr>
          <w:i/>
          <w:szCs w:val="26"/>
        </w:rPr>
        <w:t>Migration (Visa Application) Charge Act 1997</w:t>
      </w:r>
      <w:r w:rsidR="00162C29" w:rsidRPr="00094432">
        <w:rPr>
          <w:szCs w:val="26"/>
        </w:rPr>
        <w:t>. The committee considers that it would have been useful to provide this information in the ES.</w:t>
      </w:r>
      <w:r w:rsidR="00162C29">
        <w:rPr>
          <w:szCs w:val="26"/>
        </w:rPr>
        <w:t xml:space="preserve"> </w:t>
      </w:r>
    </w:p>
    <w:p w:rsidR="003F4BA1" w:rsidRDefault="003F4BA1" w:rsidP="003F4BA1"/>
    <w:tbl>
      <w:tblPr>
        <w:tblW w:w="0" w:type="auto"/>
        <w:tblInd w:w="108" w:type="dxa"/>
        <w:tblLook w:val="04A0" w:firstRow="1" w:lastRow="0" w:firstColumn="1" w:lastColumn="0" w:noHBand="0" w:noVBand="1"/>
      </w:tblPr>
      <w:tblGrid>
        <w:gridCol w:w="2694"/>
        <w:gridCol w:w="6378"/>
      </w:tblGrid>
      <w:tr w:rsidR="0038147A" w:rsidRPr="00322850" w:rsidTr="00C25B02">
        <w:tc>
          <w:tcPr>
            <w:tcW w:w="2694" w:type="dxa"/>
            <w:tcBorders>
              <w:top w:val="single" w:sz="12" w:space="0" w:color="auto"/>
              <w:right w:val="single" w:sz="12" w:space="0" w:color="auto"/>
            </w:tcBorders>
          </w:tcPr>
          <w:p w:rsidR="0038147A" w:rsidRPr="00322850" w:rsidRDefault="0038147A" w:rsidP="00C25B02">
            <w:pPr>
              <w:rPr>
                <w:b/>
                <w:sz w:val="24"/>
                <w:szCs w:val="24"/>
              </w:rPr>
            </w:pPr>
            <w:r w:rsidRPr="00322850">
              <w:rPr>
                <w:b/>
                <w:sz w:val="24"/>
                <w:szCs w:val="24"/>
              </w:rPr>
              <w:t>Instrument</w:t>
            </w:r>
          </w:p>
        </w:tc>
        <w:tc>
          <w:tcPr>
            <w:tcW w:w="6378" w:type="dxa"/>
            <w:tcBorders>
              <w:top w:val="single" w:sz="12" w:space="0" w:color="auto"/>
              <w:left w:val="single" w:sz="12" w:space="0" w:color="auto"/>
            </w:tcBorders>
          </w:tcPr>
          <w:p w:rsidR="0038147A" w:rsidRPr="00322850" w:rsidRDefault="0038147A" w:rsidP="00C25B02">
            <w:pPr>
              <w:pStyle w:val="Heading3"/>
              <w:rPr>
                <w:sz w:val="24"/>
                <w:szCs w:val="24"/>
              </w:rPr>
            </w:pPr>
            <w:r w:rsidRPr="0012389A">
              <w:rPr>
                <w:noProof/>
                <w:sz w:val="24"/>
                <w:szCs w:val="24"/>
              </w:rPr>
              <w:t>National Health (Weighted average disclosed price</w:t>
            </w:r>
            <w:r>
              <w:rPr>
                <w:noProof/>
                <w:sz w:val="24"/>
                <w:szCs w:val="24"/>
              </w:rPr>
              <w:t xml:space="preserve"> </w:t>
            </w:r>
            <w:r w:rsidRPr="0012389A">
              <w:rPr>
                <w:noProof/>
                <w:sz w:val="24"/>
                <w:szCs w:val="24"/>
              </w:rPr>
              <w:t>– October 2017 reduction day) Determination 2017 (PB 44 of 2017) [F2017L00676]</w:t>
            </w:r>
          </w:p>
        </w:tc>
      </w:tr>
      <w:tr w:rsidR="0038147A" w:rsidRPr="00322850" w:rsidTr="00C25B02">
        <w:tc>
          <w:tcPr>
            <w:tcW w:w="2694" w:type="dxa"/>
            <w:tcBorders>
              <w:right w:val="single" w:sz="12" w:space="0" w:color="auto"/>
            </w:tcBorders>
          </w:tcPr>
          <w:p w:rsidR="0038147A" w:rsidRPr="00322850" w:rsidRDefault="0038147A" w:rsidP="00C25B02">
            <w:pPr>
              <w:rPr>
                <w:b/>
                <w:sz w:val="24"/>
                <w:szCs w:val="24"/>
              </w:rPr>
            </w:pPr>
            <w:r w:rsidRPr="00322850">
              <w:rPr>
                <w:b/>
                <w:sz w:val="24"/>
                <w:szCs w:val="24"/>
              </w:rPr>
              <w:t>Purpose</w:t>
            </w:r>
          </w:p>
        </w:tc>
        <w:tc>
          <w:tcPr>
            <w:tcW w:w="6378" w:type="dxa"/>
            <w:tcBorders>
              <w:left w:val="single" w:sz="12" w:space="0" w:color="auto"/>
            </w:tcBorders>
          </w:tcPr>
          <w:p w:rsidR="0038147A" w:rsidRPr="00322850" w:rsidRDefault="0038147A" w:rsidP="00C25B02">
            <w:pPr>
              <w:rPr>
                <w:sz w:val="24"/>
                <w:szCs w:val="24"/>
              </w:rPr>
            </w:pPr>
            <w:r w:rsidRPr="0012389A">
              <w:rPr>
                <w:noProof/>
                <w:sz w:val="24"/>
                <w:szCs w:val="24"/>
              </w:rPr>
              <w:t>Determines a weighted average disclosed price for certain brands of pharmaceutical items with a data collection period ending 31 March 2017</w:t>
            </w:r>
          </w:p>
        </w:tc>
      </w:tr>
      <w:tr w:rsidR="0038147A" w:rsidRPr="00322850" w:rsidTr="00C25B02">
        <w:tc>
          <w:tcPr>
            <w:tcW w:w="2694" w:type="dxa"/>
            <w:tcBorders>
              <w:right w:val="single" w:sz="12" w:space="0" w:color="auto"/>
            </w:tcBorders>
          </w:tcPr>
          <w:p w:rsidR="0038147A" w:rsidRPr="00322850" w:rsidRDefault="0038147A" w:rsidP="00C25B02">
            <w:pPr>
              <w:rPr>
                <w:b/>
                <w:sz w:val="24"/>
                <w:szCs w:val="24"/>
              </w:rPr>
            </w:pPr>
            <w:r w:rsidRPr="00322850">
              <w:rPr>
                <w:b/>
                <w:sz w:val="24"/>
                <w:szCs w:val="24"/>
              </w:rPr>
              <w:t>Authorising legislation</w:t>
            </w:r>
          </w:p>
        </w:tc>
        <w:tc>
          <w:tcPr>
            <w:tcW w:w="6378" w:type="dxa"/>
            <w:tcBorders>
              <w:left w:val="single" w:sz="12" w:space="0" w:color="auto"/>
            </w:tcBorders>
          </w:tcPr>
          <w:p w:rsidR="0038147A" w:rsidRPr="00322850" w:rsidRDefault="0038147A" w:rsidP="00C25B02">
            <w:pPr>
              <w:rPr>
                <w:i/>
                <w:sz w:val="24"/>
                <w:szCs w:val="24"/>
              </w:rPr>
            </w:pPr>
            <w:r w:rsidRPr="0012389A">
              <w:rPr>
                <w:i/>
                <w:noProof/>
                <w:sz w:val="24"/>
                <w:szCs w:val="24"/>
              </w:rPr>
              <w:t>National Health Act 1953</w:t>
            </w:r>
          </w:p>
        </w:tc>
      </w:tr>
      <w:tr w:rsidR="0038147A" w:rsidRPr="00322850" w:rsidTr="00C25B02">
        <w:tc>
          <w:tcPr>
            <w:tcW w:w="2694" w:type="dxa"/>
            <w:tcBorders>
              <w:right w:val="single" w:sz="12" w:space="0" w:color="auto"/>
            </w:tcBorders>
          </w:tcPr>
          <w:p w:rsidR="0038147A" w:rsidRPr="00322850" w:rsidRDefault="0038147A" w:rsidP="00C25B02">
            <w:pPr>
              <w:rPr>
                <w:b/>
                <w:sz w:val="24"/>
                <w:szCs w:val="24"/>
              </w:rPr>
            </w:pPr>
            <w:r w:rsidRPr="00322850">
              <w:rPr>
                <w:b/>
                <w:sz w:val="24"/>
                <w:szCs w:val="24"/>
              </w:rPr>
              <w:t>Department</w:t>
            </w:r>
          </w:p>
        </w:tc>
        <w:tc>
          <w:tcPr>
            <w:tcW w:w="6378" w:type="dxa"/>
            <w:tcBorders>
              <w:left w:val="single" w:sz="12" w:space="0" w:color="auto"/>
            </w:tcBorders>
          </w:tcPr>
          <w:p w:rsidR="0038147A" w:rsidRPr="00322850" w:rsidRDefault="0038147A" w:rsidP="00C25B02">
            <w:pPr>
              <w:rPr>
                <w:sz w:val="24"/>
                <w:szCs w:val="24"/>
              </w:rPr>
            </w:pPr>
            <w:r w:rsidRPr="0012389A">
              <w:rPr>
                <w:noProof/>
                <w:sz w:val="24"/>
                <w:szCs w:val="24"/>
              </w:rPr>
              <w:t>Health</w:t>
            </w:r>
          </w:p>
        </w:tc>
      </w:tr>
      <w:tr w:rsidR="0038147A" w:rsidRPr="00322850" w:rsidTr="00C25B02">
        <w:tc>
          <w:tcPr>
            <w:tcW w:w="2694" w:type="dxa"/>
            <w:tcBorders>
              <w:right w:val="single" w:sz="12" w:space="0" w:color="auto"/>
            </w:tcBorders>
          </w:tcPr>
          <w:p w:rsidR="0038147A" w:rsidRPr="00322850" w:rsidRDefault="0038147A" w:rsidP="00C25B02">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38147A" w:rsidRPr="00322850" w:rsidRDefault="0038147A" w:rsidP="00C25B02">
            <w:pPr>
              <w:rPr>
                <w:sz w:val="24"/>
                <w:szCs w:val="24"/>
              </w:rPr>
            </w:pPr>
            <w:r>
              <w:rPr>
                <w:sz w:val="24"/>
                <w:szCs w:val="24"/>
              </w:rPr>
              <w:t xml:space="preserve">15 sitting days after tabling (tabled Senate </w:t>
            </w:r>
            <w:r w:rsidRPr="0012389A">
              <w:rPr>
                <w:noProof/>
                <w:sz w:val="24"/>
                <w:szCs w:val="24"/>
              </w:rPr>
              <w:t>20 June</w:t>
            </w:r>
            <w:r>
              <w:rPr>
                <w:sz w:val="24"/>
                <w:szCs w:val="24"/>
              </w:rPr>
              <w:t xml:space="preserve"> 2017)</w:t>
            </w:r>
            <w:r>
              <w:rPr>
                <w:sz w:val="24"/>
                <w:szCs w:val="24"/>
              </w:rPr>
              <w:br/>
              <w:t xml:space="preserve">Notice of motion to disallow </w:t>
            </w:r>
            <w:r w:rsidRPr="00ED2F28">
              <w:rPr>
                <w:sz w:val="24"/>
                <w:szCs w:val="24"/>
              </w:rPr>
              <w:t xml:space="preserve">currently </w:t>
            </w:r>
            <w:r>
              <w:rPr>
                <w:sz w:val="24"/>
                <w:szCs w:val="24"/>
              </w:rPr>
              <w:t>must be given by</w:t>
            </w:r>
            <w:r>
              <w:rPr>
                <w:sz w:val="24"/>
                <w:szCs w:val="24"/>
              </w:rPr>
              <w:br/>
            </w:r>
            <w:r w:rsidRPr="0012389A">
              <w:rPr>
                <w:noProof/>
                <w:sz w:val="24"/>
                <w:szCs w:val="24"/>
              </w:rPr>
              <w:t>12 September</w:t>
            </w:r>
            <w:r>
              <w:rPr>
                <w:sz w:val="24"/>
                <w:szCs w:val="24"/>
              </w:rPr>
              <w:t xml:space="preserve"> 2017</w:t>
            </w:r>
          </w:p>
        </w:tc>
      </w:tr>
      <w:tr w:rsidR="0038147A" w:rsidRPr="00322850" w:rsidTr="0038147A">
        <w:tc>
          <w:tcPr>
            <w:tcW w:w="2694" w:type="dxa"/>
            <w:tcBorders>
              <w:right w:val="single" w:sz="12" w:space="0" w:color="auto"/>
            </w:tcBorders>
          </w:tcPr>
          <w:p w:rsidR="0038147A" w:rsidRPr="00322850" w:rsidRDefault="0038147A" w:rsidP="00C25B02">
            <w:pPr>
              <w:rPr>
                <w:b/>
                <w:sz w:val="24"/>
                <w:szCs w:val="24"/>
              </w:rPr>
            </w:pPr>
            <w:r w:rsidRPr="00322850">
              <w:rPr>
                <w:b/>
                <w:sz w:val="24"/>
                <w:szCs w:val="24"/>
              </w:rPr>
              <w:t>Scrutiny principle</w:t>
            </w:r>
          </w:p>
        </w:tc>
        <w:tc>
          <w:tcPr>
            <w:tcW w:w="6378" w:type="dxa"/>
            <w:tcBorders>
              <w:left w:val="single" w:sz="12" w:space="0" w:color="auto"/>
            </w:tcBorders>
          </w:tcPr>
          <w:p w:rsidR="0038147A" w:rsidRPr="00322850" w:rsidRDefault="0038147A" w:rsidP="00C25B02">
            <w:pPr>
              <w:rPr>
                <w:sz w:val="24"/>
                <w:szCs w:val="24"/>
              </w:rPr>
            </w:pPr>
            <w:r w:rsidRPr="00322850">
              <w:rPr>
                <w:sz w:val="24"/>
                <w:szCs w:val="24"/>
              </w:rPr>
              <w:t>Standing Order 23(3)</w:t>
            </w:r>
            <w:r w:rsidRPr="0012389A">
              <w:rPr>
                <w:noProof/>
                <w:sz w:val="24"/>
                <w:szCs w:val="24"/>
              </w:rPr>
              <w:t>(a)</w:t>
            </w:r>
          </w:p>
        </w:tc>
      </w:tr>
      <w:tr w:rsidR="0038147A" w:rsidRPr="00322850" w:rsidTr="00C25B02">
        <w:tc>
          <w:tcPr>
            <w:tcW w:w="2694" w:type="dxa"/>
            <w:tcBorders>
              <w:bottom w:val="single" w:sz="12" w:space="0" w:color="auto"/>
              <w:right w:val="single" w:sz="12" w:space="0" w:color="auto"/>
            </w:tcBorders>
          </w:tcPr>
          <w:p w:rsidR="0038147A" w:rsidRPr="00556E96" w:rsidRDefault="0038147A" w:rsidP="00C25B02">
            <w:pPr>
              <w:rPr>
                <w:b/>
                <w:sz w:val="24"/>
                <w:szCs w:val="24"/>
              </w:rPr>
            </w:pPr>
            <w:r w:rsidRPr="00556E96">
              <w:rPr>
                <w:b/>
                <w:sz w:val="24"/>
                <w:szCs w:val="24"/>
              </w:rPr>
              <w:t>Previously reported in</w:t>
            </w:r>
          </w:p>
        </w:tc>
        <w:tc>
          <w:tcPr>
            <w:tcW w:w="6378" w:type="dxa"/>
            <w:tcBorders>
              <w:left w:val="single" w:sz="12" w:space="0" w:color="auto"/>
              <w:bottom w:val="single" w:sz="12" w:space="0" w:color="auto"/>
            </w:tcBorders>
          </w:tcPr>
          <w:p w:rsidR="0038147A" w:rsidRPr="00556E96" w:rsidRDefault="0038147A" w:rsidP="00C25B02">
            <w:pPr>
              <w:rPr>
                <w:sz w:val="24"/>
                <w:szCs w:val="24"/>
              </w:rPr>
            </w:pPr>
            <w:r w:rsidRPr="00556E96">
              <w:rPr>
                <w:i/>
                <w:noProof/>
                <w:sz w:val="24"/>
                <w:szCs w:val="24"/>
              </w:rPr>
              <w:t>Delegated legislation monitor</w:t>
            </w:r>
            <w:r>
              <w:rPr>
                <w:noProof/>
                <w:sz w:val="24"/>
                <w:szCs w:val="24"/>
              </w:rPr>
              <w:t xml:space="preserve"> 8</w:t>
            </w:r>
            <w:r w:rsidRPr="00556E96">
              <w:rPr>
                <w:noProof/>
                <w:sz w:val="24"/>
                <w:szCs w:val="24"/>
              </w:rPr>
              <w:t xml:space="preserve"> of 2017</w:t>
            </w:r>
          </w:p>
        </w:tc>
      </w:tr>
    </w:tbl>
    <w:p w:rsidR="0038147A" w:rsidRPr="00322850" w:rsidRDefault="0038147A" w:rsidP="0038147A">
      <w:pPr>
        <w:spacing w:before="0" w:after="0"/>
      </w:pPr>
    </w:p>
    <w:p w:rsidR="0038147A" w:rsidRDefault="0038147A" w:rsidP="0038147A">
      <w:pPr>
        <w:rPr>
          <w:b/>
          <w:noProof/>
        </w:rPr>
      </w:pPr>
      <w:r w:rsidRPr="0012389A">
        <w:rPr>
          <w:b/>
          <w:noProof/>
        </w:rPr>
        <w:t>Consultation</w:t>
      </w:r>
    </w:p>
    <w:p w:rsidR="004A7CC9" w:rsidRPr="0012389A" w:rsidRDefault="004A7CC9" w:rsidP="0038147A">
      <w:pPr>
        <w:rPr>
          <w:b/>
          <w:noProof/>
        </w:rPr>
      </w:pPr>
      <w:r w:rsidRPr="00556E96">
        <w:rPr>
          <w:noProof/>
        </w:rPr>
        <w:t>The committee previously commented as follows:</w:t>
      </w:r>
    </w:p>
    <w:p w:rsidR="0038147A" w:rsidRDefault="0038147A" w:rsidP="0038147A">
      <w:pPr>
        <w:rPr>
          <w:noProof/>
        </w:rPr>
      </w:pPr>
      <w:r w:rsidRPr="001B5C80">
        <w:rPr>
          <w:noProof/>
        </w:rPr>
        <w:t xml:space="preserve">Section 17 of the </w:t>
      </w:r>
      <w:r w:rsidRPr="001B5C80">
        <w:rPr>
          <w:i/>
          <w:noProof/>
        </w:rPr>
        <w:t>Legislation Act 2003</w:t>
      </w:r>
      <w:r w:rsidRPr="001B5C80">
        <w:rPr>
          <w:noProof/>
        </w:rPr>
        <w:t xml:space="preserve"> directs a rule-maker to be satisfied that appropriate consultation, as is reasonably practicable, has been undertaken in relation to a proposed instrument. The ES which must accompany an instrument is required to describe the nature of any consultation that has been carried out or,</w:t>
      </w:r>
      <w:r w:rsidRPr="001B5C80">
        <w:rPr>
          <w:noProof/>
        </w:rPr>
        <w:br/>
        <w:t>if there has been no consultation, to explain why none was undertaken (pa</w:t>
      </w:r>
      <w:r>
        <w:rPr>
          <w:noProof/>
        </w:rPr>
        <w:t>ragraphs 15J(2)(d) and (e)).</w:t>
      </w:r>
    </w:p>
    <w:p w:rsidR="0038147A" w:rsidRDefault="0038147A" w:rsidP="0038147A">
      <w:pPr>
        <w:rPr>
          <w:noProof/>
        </w:rPr>
      </w:pPr>
      <w:r w:rsidRPr="00EF403C">
        <w:rPr>
          <w:noProof/>
        </w:rPr>
        <w:t xml:space="preserve">With reference to these requirements, the committee notes that the ES for this </w:t>
      </w:r>
      <w:r>
        <w:rPr>
          <w:noProof/>
        </w:rPr>
        <w:t>instrument states:</w:t>
      </w:r>
    </w:p>
    <w:p w:rsidR="0038147A" w:rsidRDefault="0038147A" w:rsidP="0038147A">
      <w:pPr>
        <w:pStyle w:val="Quote"/>
        <w:spacing w:before="120"/>
        <w:rPr>
          <w:noProof/>
        </w:rPr>
      </w:pPr>
      <w:r>
        <w:rPr>
          <w:noProof/>
        </w:rPr>
        <w:t xml:space="preserve">This instrument affects certain pharmaceutical companies with medicines listed on the PBS [pharmaceutical benefits scheme]. Pharmaceutical companies were consulted in relation to the introduction of price disclosure requirements during the policy development for introduction of price disclosure in 2007 during implementation phases, and during the development and implementation of the further PBS reforms of 2010, </w:t>
      </w:r>
      <w:r>
        <w:rPr>
          <w:noProof/>
        </w:rPr>
        <w:lastRenderedPageBreak/>
        <w:t xml:space="preserve">pricing changes in 2012, simplified price disclosure amendments in 2014 and measures announced in the 2015 PBS Access and Sustainability Package. Consultation occurred through meetings with peak industry bodies. Further information on price disclosure was also disseminated through peak industry bodies, during meetings with the Price Disclosure Working Group and directly to companies through information sessions conducted in March 2011, June 2012, and March 2016, and distribution of associated educational material at the time of amendments. </w:t>
      </w:r>
    </w:p>
    <w:p w:rsidR="0038147A" w:rsidRPr="00490EA9" w:rsidRDefault="0038147A" w:rsidP="0038147A">
      <w:pPr>
        <w:pStyle w:val="Quote"/>
        <w:spacing w:before="120"/>
        <w:rPr>
          <w:noProof/>
        </w:rPr>
      </w:pPr>
      <w:r>
        <w:rPr>
          <w:noProof/>
        </w:rPr>
        <w:t xml:space="preserve">Pharmaceutical companies with a listed or delisted brand subject to the price disclosure requirements for the 2017 October Cycle disclosed information relevant to this determination directly to Australian Healthcare Associates Pty Ltd (AHA), known as the Price Disclosure Data Administrator (PDDA). AHA is prescribed in subregulation 85(6) as the person to whom, in accordance with paragraph 99ADC(1)(a), a responsible person is to provide price disclosure information. The PDDA provided responsible persons with an opportunity to check that the information disclosed to the PDDA was translated correctly to PDDA data files. This was done prior to that data being used to apply the method set out in the Regulations to arrive at the WADP [weighted average disclosed price] for listed brands. </w:t>
      </w:r>
    </w:p>
    <w:p w:rsidR="0038147A" w:rsidRDefault="0038147A" w:rsidP="0038147A">
      <w:pPr>
        <w:rPr>
          <w:noProof/>
        </w:rPr>
      </w:pPr>
      <w:r>
        <w:rPr>
          <w:noProof/>
        </w:rPr>
        <w:t xml:space="preserve">While the committee does not usually interpret paragraphs 15J(2)(d) and (e) as requiring a highly detailed description of consultation undertaken, it considers that an overly bare or general description is insufficient to satisfy the requirements of the </w:t>
      </w:r>
      <w:r w:rsidRPr="00EF403C">
        <w:rPr>
          <w:i/>
          <w:noProof/>
        </w:rPr>
        <w:t>Legislation Act 2003</w:t>
      </w:r>
      <w:r>
        <w:rPr>
          <w:noProof/>
        </w:rPr>
        <w:t xml:space="preserve">. In this case, the ES primarily describes historical consultation that took place in relation to the introduction and implementation of price disclosure. The remainder of the consultation description discusses a process for disclosing data, and the provision of an opportunity for the supplier of a particular brand of a medicine on the PBS (the responsible person) to check that data has been translated correctly. In terms of complying with paragraphs 15J(2)(d) and (e) of the </w:t>
      </w:r>
      <w:r w:rsidRPr="00EF403C">
        <w:rPr>
          <w:i/>
          <w:noProof/>
        </w:rPr>
        <w:t>Legislation Act 2003</w:t>
      </w:r>
      <w:r>
        <w:rPr>
          <w:noProof/>
        </w:rPr>
        <w:t>, the committee's preferred approach would be for the ES to have explicitly stated that consultation for this determination was considered unnecessary (or inappropriate) for this reason.</w:t>
      </w:r>
      <w:r>
        <w:rPr>
          <w:rStyle w:val="FootnoteReference"/>
          <w:noProof/>
        </w:rPr>
        <w:footnoteReference w:id="56"/>
      </w:r>
      <w:r>
        <w:rPr>
          <w:noProof/>
        </w:rPr>
        <w:t xml:space="preserve"> </w:t>
      </w:r>
    </w:p>
    <w:p w:rsidR="0038147A" w:rsidRPr="0010765E" w:rsidRDefault="0038147A" w:rsidP="0038147A">
      <w:pPr>
        <w:rPr>
          <w:rFonts w:asciiTheme="minorHAnsi" w:hAnsiTheme="minorHAnsi"/>
          <w:lang w:eastAsia="en-AU"/>
        </w:rPr>
      </w:pPr>
      <w:r w:rsidRPr="00574CB6">
        <w:rPr>
          <w:rFonts w:asciiTheme="minorHAnsi" w:hAnsiTheme="minorHAnsi"/>
          <w:lang w:eastAsia="en-AU"/>
        </w:rPr>
        <w:t>The committee's expectations in this regard a</w:t>
      </w:r>
      <w:r>
        <w:rPr>
          <w:rFonts w:asciiTheme="minorHAnsi" w:hAnsiTheme="minorHAnsi"/>
          <w:lang w:eastAsia="en-AU"/>
        </w:rPr>
        <w:t>re set out in the guideline on consultation published on the committee's website</w:t>
      </w:r>
      <w:r w:rsidRPr="00574CB6">
        <w:rPr>
          <w:rFonts w:asciiTheme="minorHAnsi" w:hAnsiTheme="minorHAnsi"/>
          <w:lang w:eastAsia="en-AU"/>
        </w:rPr>
        <w:t>.</w:t>
      </w:r>
      <w:r>
        <w:rPr>
          <w:rStyle w:val="FootnoteReference"/>
          <w:rFonts w:asciiTheme="minorHAnsi" w:hAnsiTheme="minorHAnsi"/>
          <w:lang w:eastAsia="en-AU"/>
        </w:rPr>
        <w:footnoteReference w:id="57"/>
      </w:r>
      <w:r w:rsidRPr="001B5C80">
        <w:rPr>
          <w:rFonts w:asciiTheme="minorHAnsi" w:hAnsiTheme="minorHAnsi"/>
          <w:lang w:eastAsia="en-AU"/>
        </w:rPr>
        <w:t xml:space="preserve"> </w:t>
      </w:r>
    </w:p>
    <w:p w:rsidR="00094432" w:rsidRDefault="0038147A" w:rsidP="00DD5FFC">
      <w:pPr>
        <w:pStyle w:val="Level1"/>
        <w:numPr>
          <w:ilvl w:val="0"/>
          <w:numId w:val="0"/>
        </w:numPr>
        <w:rPr>
          <w:b/>
          <w:noProof/>
        </w:rPr>
      </w:pPr>
      <w:r w:rsidRPr="0038147A">
        <w:rPr>
          <w:noProof/>
        </w:rPr>
        <w:t>The committee request</w:t>
      </w:r>
      <w:r w:rsidR="00162C29">
        <w:rPr>
          <w:noProof/>
        </w:rPr>
        <w:t>ed</w:t>
      </w:r>
      <w:r w:rsidRPr="0038147A">
        <w:rPr>
          <w:noProof/>
        </w:rPr>
        <w:t xml:space="preserve"> the advice of the minister in relation to the above.</w:t>
      </w:r>
      <w:r w:rsidR="00094432">
        <w:rPr>
          <w:b/>
          <w:noProof/>
        </w:rPr>
        <w:br w:type="page"/>
      </w:r>
    </w:p>
    <w:p w:rsidR="004A7CC9" w:rsidRPr="00556E96" w:rsidRDefault="004A7CC9" w:rsidP="004A7CC9">
      <w:pPr>
        <w:tabs>
          <w:tab w:val="left" w:pos="2268"/>
        </w:tabs>
        <w:rPr>
          <w:b/>
          <w:noProof/>
        </w:rPr>
      </w:pPr>
      <w:r w:rsidRPr="00556E96">
        <w:rPr>
          <w:b/>
          <w:noProof/>
        </w:rPr>
        <w:lastRenderedPageBreak/>
        <w:t>Minister's response</w:t>
      </w:r>
    </w:p>
    <w:p w:rsidR="004A7CC9" w:rsidRDefault="004A7CC9" w:rsidP="004A7CC9">
      <w:pPr>
        <w:rPr>
          <w:noProof/>
        </w:rPr>
      </w:pPr>
      <w:r w:rsidRPr="00556E96">
        <w:rPr>
          <w:noProof/>
        </w:rPr>
        <w:t xml:space="preserve">The </w:t>
      </w:r>
      <w:r>
        <w:rPr>
          <w:noProof/>
        </w:rPr>
        <w:t>Assistant Minister for Health</w:t>
      </w:r>
      <w:r w:rsidRPr="00F45435">
        <w:t xml:space="preserve"> </w:t>
      </w:r>
      <w:r w:rsidRPr="00556E96">
        <w:rPr>
          <w:noProof/>
        </w:rPr>
        <w:t>advised:</w:t>
      </w:r>
    </w:p>
    <w:p w:rsidR="004A7CC9" w:rsidRDefault="00125489" w:rsidP="00125489">
      <w:pPr>
        <w:pStyle w:val="Quote"/>
        <w:rPr>
          <w:noProof/>
        </w:rPr>
      </w:pPr>
      <w:r>
        <w:rPr>
          <w:noProof/>
        </w:rPr>
        <w:t>The Committee's preferred approach was for the description used in the Explanatory Statement of the consultation undertaken by the Department of Health to explicitly state that consultation for the WADP Determination was considered unnecessary (or inappropriate) for stated reasons.</w:t>
      </w:r>
      <w:r>
        <w:rPr>
          <w:noProof/>
        </w:rPr>
        <w:br/>
        <w:t>The Department accepts the Committee's recommendations, and will update the Explanatory Statement for the WADP Determination accordingly. The Department will ensure all future applicable explanatory statements follow the Committee's advice.</w:t>
      </w:r>
    </w:p>
    <w:p w:rsidR="004A7CC9" w:rsidRPr="00301FAD" w:rsidRDefault="004A7CC9" w:rsidP="004A7CC9">
      <w:pPr>
        <w:pStyle w:val="Quote"/>
        <w:ind w:left="0"/>
        <w:rPr>
          <w:b/>
          <w:noProof/>
          <w:sz w:val="26"/>
        </w:rPr>
      </w:pPr>
      <w:r w:rsidRPr="00301FAD">
        <w:rPr>
          <w:b/>
          <w:noProof/>
          <w:sz w:val="26"/>
        </w:rPr>
        <w:t>Committee's response</w:t>
      </w:r>
    </w:p>
    <w:p w:rsidR="004A7CC9" w:rsidRDefault="004A7CC9" w:rsidP="004A7CC9">
      <w:pPr>
        <w:rPr>
          <w:b/>
          <w:szCs w:val="26"/>
        </w:rPr>
      </w:pPr>
      <w:r w:rsidRPr="00556E96">
        <w:rPr>
          <w:b/>
          <w:szCs w:val="26"/>
        </w:rPr>
        <w:t>T</w:t>
      </w:r>
      <w:r>
        <w:rPr>
          <w:b/>
          <w:szCs w:val="26"/>
        </w:rPr>
        <w:t xml:space="preserve">he committee thanks </w:t>
      </w:r>
      <w:r w:rsidRPr="004A7CC9">
        <w:rPr>
          <w:b/>
          <w:szCs w:val="26"/>
        </w:rPr>
        <w:t xml:space="preserve">the </w:t>
      </w:r>
      <w:r w:rsidR="00162130">
        <w:rPr>
          <w:b/>
          <w:noProof/>
        </w:rPr>
        <w:t>assistant m</w:t>
      </w:r>
      <w:r w:rsidRPr="004A7CC9">
        <w:rPr>
          <w:b/>
          <w:noProof/>
        </w:rPr>
        <w:t>inister</w:t>
      </w:r>
      <w:r w:rsidRPr="004A7CC9">
        <w:rPr>
          <w:b/>
          <w:szCs w:val="26"/>
        </w:rPr>
        <w:t xml:space="preserve"> f</w:t>
      </w:r>
      <w:r w:rsidRPr="00556E96">
        <w:rPr>
          <w:b/>
          <w:szCs w:val="26"/>
        </w:rPr>
        <w:t xml:space="preserve">or his response and has concluded its examination of the above. </w:t>
      </w:r>
    </w:p>
    <w:p w:rsidR="00EA72D3" w:rsidRDefault="004A7CC9" w:rsidP="00EA72D3">
      <w:pPr>
        <w:rPr>
          <w:szCs w:val="26"/>
        </w:rPr>
      </w:pPr>
      <w:r w:rsidRPr="00BE7B57">
        <w:rPr>
          <w:szCs w:val="26"/>
        </w:rPr>
        <w:t>The commi</w:t>
      </w:r>
      <w:r w:rsidR="007E2601">
        <w:rPr>
          <w:szCs w:val="26"/>
        </w:rPr>
        <w:t>ttee note</w:t>
      </w:r>
      <w:r w:rsidR="00D81750">
        <w:rPr>
          <w:szCs w:val="26"/>
        </w:rPr>
        <w:t>s</w:t>
      </w:r>
      <w:r w:rsidR="00EA72D3" w:rsidRPr="00BE7B57">
        <w:rPr>
          <w:szCs w:val="26"/>
        </w:rPr>
        <w:t xml:space="preserve"> the minister's undertaking</w:t>
      </w:r>
      <w:r w:rsidRPr="00BE7B57">
        <w:rPr>
          <w:szCs w:val="26"/>
        </w:rPr>
        <w:t xml:space="preserve"> </w:t>
      </w:r>
      <w:r w:rsidR="00EA72D3" w:rsidRPr="00BE7B57">
        <w:rPr>
          <w:szCs w:val="26"/>
        </w:rPr>
        <w:t xml:space="preserve">to provide and register on the Federal Register of Legislation a replacement ES </w:t>
      </w:r>
      <w:r w:rsidR="00220811" w:rsidRPr="00BE7B57">
        <w:rPr>
          <w:szCs w:val="26"/>
        </w:rPr>
        <w:t>which will</w:t>
      </w:r>
      <w:r w:rsidR="00EA72D3" w:rsidRPr="00BE7B57">
        <w:rPr>
          <w:szCs w:val="26"/>
        </w:rPr>
        <w:t xml:space="preserve"> describe the nature of any consultation that was undertaken in making this instrument or, if none was undertaken, to </w:t>
      </w:r>
      <w:r w:rsidR="00220811" w:rsidRPr="00BE7B57">
        <w:rPr>
          <w:szCs w:val="26"/>
        </w:rPr>
        <w:t xml:space="preserve">explicitly </w:t>
      </w:r>
      <w:r w:rsidR="00EA72D3" w:rsidRPr="00BE7B57">
        <w:rPr>
          <w:szCs w:val="26"/>
        </w:rPr>
        <w:t>state</w:t>
      </w:r>
      <w:r w:rsidR="00220811" w:rsidRPr="00BE7B57">
        <w:rPr>
          <w:szCs w:val="26"/>
        </w:rPr>
        <w:t xml:space="preserve"> so and</w:t>
      </w:r>
      <w:r w:rsidR="00EA72D3" w:rsidRPr="00BE7B57">
        <w:rPr>
          <w:szCs w:val="26"/>
        </w:rPr>
        <w:t xml:space="preserve"> </w:t>
      </w:r>
      <w:r w:rsidR="00220811" w:rsidRPr="00BE7B57">
        <w:rPr>
          <w:szCs w:val="26"/>
        </w:rPr>
        <w:t xml:space="preserve">provide </w:t>
      </w:r>
      <w:r w:rsidR="00EA72D3" w:rsidRPr="00BE7B57">
        <w:rPr>
          <w:szCs w:val="26"/>
        </w:rPr>
        <w:t>t</w:t>
      </w:r>
      <w:r w:rsidR="000C2F79" w:rsidRPr="00BE7B57">
        <w:rPr>
          <w:szCs w:val="26"/>
        </w:rPr>
        <w:t>he reasons</w:t>
      </w:r>
      <w:r w:rsidR="00220811" w:rsidRPr="00BE7B57">
        <w:rPr>
          <w:szCs w:val="26"/>
        </w:rPr>
        <w:t xml:space="preserve"> for it</w:t>
      </w:r>
      <w:r w:rsidR="000C2F79" w:rsidRPr="00BE7B57">
        <w:rPr>
          <w:szCs w:val="26"/>
        </w:rPr>
        <w:t xml:space="preserve"> in the ES</w:t>
      </w:r>
      <w:r w:rsidR="00EA72D3" w:rsidRPr="00BE7B57">
        <w:rPr>
          <w:szCs w:val="26"/>
        </w:rPr>
        <w:t>.</w:t>
      </w:r>
    </w:p>
    <w:p w:rsidR="00162C29" w:rsidRDefault="00162C29" w:rsidP="00EA72D3">
      <w:pPr>
        <w:rPr>
          <w:szCs w:val="26"/>
        </w:rPr>
      </w:pPr>
      <w:r>
        <w:rPr>
          <w:szCs w:val="26"/>
        </w:rPr>
        <w:t>The committee also notes the</w:t>
      </w:r>
      <w:r w:rsidR="00482E72">
        <w:rPr>
          <w:szCs w:val="26"/>
        </w:rPr>
        <w:t xml:space="preserve"> </w:t>
      </w:r>
      <w:r>
        <w:rPr>
          <w:szCs w:val="26"/>
        </w:rPr>
        <w:t>minister's assurance that all future applicable ESs will accord with the committee's advice on this issue.</w:t>
      </w:r>
    </w:p>
    <w:p w:rsidR="00094432" w:rsidRDefault="00094432">
      <w:pPr>
        <w:spacing w:before="0" w:after="0"/>
        <w:jc w:val="left"/>
        <w:rPr>
          <w:szCs w:val="26"/>
        </w:rPr>
      </w:pPr>
      <w:r>
        <w:rPr>
          <w:szCs w:val="26"/>
        </w:rPr>
        <w:br w:type="page"/>
      </w:r>
    </w:p>
    <w:tbl>
      <w:tblPr>
        <w:tblW w:w="0" w:type="auto"/>
        <w:tblInd w:w="108" w:type="dxa"/>
        <w:tblLook w:val="04A0" w:firstRow="1" w:lastRow="0" w:firstColumn="1" w:lastColumn="0" w:noHBand="0" w:noVBand="1"/>
      </w:tblPr>
      <w:tblGrid>
        <w:gridCol w:w="2694"/>
        <w:gridCol w:w="6378"/>
      </w:tblGrid>
      <w:tr w:rsidR="000E76D9" w:rsidRPr="00322850" w:rsidTr="00841609">
        <w:tc>
          <w:tcPr>
            <w:tcW w:w="2694" w:type="dxa"/>
            <w:tcBorders>
              <w:top w:val="single" w:sz="12" w:space="0" w:color="auto"/>
              <w:right w:val="single" w:sz="12" w:space="0" w:color="auto"/>
            </w:tcBorders>
          </w:tcPr>
          <w:p w:rsidR="000E76D9" w:rsidRPr="00322850" w:rsidRDefault="000E76D9" w:rsidP="00841609">
            <w:pPr>
              <w:rPr>
                <w:b/>
                <w:sz w:val="24"/>
                <w:szCs w:val="24"/>
              </w:rPr>
            </w:pPr>
            <w:r w:rsidRPr="00322850">
              <w:rPr>
                <w:b/>
                <w:sz w:val="24"/>
                <w:szCs w:val="24"/>
              </w:rPr>
              <w:lastRenderedPageBreak/>
              <w:t>Instrument</w:t>
            </w:r>
          </w:p>
        </w:tc>
        <w:tc>
          <w:tcPr>
            <w:tcW w:w="6378" w:type="dxa"/>
            <w:tcBorders>
              <w:top w:val="single" w:sz="12" w:space="0" w:color="auto"/>
              <w:left w:val="single" w:sz="12" w:space="0" w:color="auto"/>
            </w:tcBorders>
          </w:tcPr>
          <w:p w:rsidR="000E76D9" w:rsidRPr="0012389A" w:rsidRDefault="000E76D9" w:rsidP="00841609">
            <w:pPr>
              <w:pStyle w:val="Heading3"/>
              <w:rPr>
                <w:noProof/>
                <w:sz w:val="24"/>
                <w:szCs w:val="24"/>
              </w:rPr>
            </w:pPr>
            <w:r w:rsidRPr="0012389A">
              <w:rPr>
                <w:noProof/>
                <w:sz w:val="24"/>
                <w:szCs w:val="24"/>
              </w:rPr>
              <w:t>Occupational Health and Safety (Maritime Industry) (Prescribed Ship or Unit — Intra-State Trade) Declaration 2017 [F2017L00673]</w:t>
            </w:r>
          </w:p>
          <w:p w:rsidR="000E76D9" w:rsidRPr="00322850" w:rsidRDefault="000E76D9" w:rsidP="00841609">
            <w:pPr>
              <w:pStyle w:val="Heading3"/>
              <w:rPr>
                <w:sz w:val="24"/>
                <w:szCs w:val="24"/>
              </w:rPr>
            </w:pPr>
            <w:r w:rsidRPr="0012389A">
              <w:rPr>
                <w:noProof/>
                <w:sz w:val="24"/>
                <w:szCs w:val="24"/>
              </w:rPr>
              <w:t>Seafarers Rehabilitation and Compensation (Prescribed Ship — Intra-State Trade) Declaration 2017 [F2017L00674]</w:t>
            </w:r>
          </w:p>
        </w:tc>
      </w:tr>
      <w:tr w:rsidR="000E76D9" w:rsidRPr="00322850" w:rsidTr="00841609">
        <w:tc>
          <w:tcPr>
            <w:tcW w:w="2694" w:type="dxa"/>
            <w:tcBorders>
              <w:right w:val="single" w:sz="12" w:space="0" w:color="auto"/>
            </w:tcBorders>
          </w:tcPr>
          <w:p w:rsidR="000E76D9" w:rsidRPr="00322850" w:rsidRDefault="000E76D9" w:rsidP="00841609">
            <w:pPr>
              <w:rPr>
                <w:b/>
                <w:sz w:val="24"/>
                <w:szCs w:val="24"/>
              </w:rPr>
            </w:pPr>
            <w:r w:rsidRPr="00322850">
              <w:rPr>
                <w:b/>
                <w:sz w:val="24"/>
                <w:szCs w:val="24"/>
              </w:rPr>
              <w:t>Purpose</w:t>
            </w:r>
          </w:p>
        </w:tc>
        <w:tc>
          <w:tcPr>
            <w:tcW w:w="6378" w:type="dxa"/>
            <w:tcBorders>
              <w:left w:val="single" w:sz="12" w:space="0" w:color="auto"/>
            </w:tcBorders>
          </w:tcPr>
          <w:p w:rsidR="000E76D9" w:rsidRPr="00322850" w:rsidRDefault="000E76D9" w:rsidP="00F43D54">
            <w:pPr>
              <w:rPr>
                <w:sz w:val="24"/>
                <w:szCs w:val="24"/>
              </w:rPr>
            </w:pPr>
            <w:r>
              <w:rPr>
                <w:noProof/>
                <w:sz w:val="24"/>
                <w:szCs w:val="24"/>
              </w:rPr>
              <w:t xml:space="preserve">Declare that a ship or vessel only engaged in intra-state trade will be subject to the work health and safety legislation of the state in which </w:t>
            </w:r>
            <w:r w:rsidR="00F43D54">
              <w:rPr>
                <w:noProof/>
                <w:sz w:val="24"/>
                <w:szCs w:val="24"/>
              </w:rPr>
              <w:t xml:space="preserve">it </w:t>
            </w:r>
            <w:r>
              <w:rPr>
                <w:noProof/>
                <w:sz w:val="24"/>
                <w:szCs w:val="24"/>
              </w:rPr>
              <w:t>operate</w:t>
            </w:r>
            <w:r w:rsidR="00F43D54">
              <w:rPr>
                <w:noProof/>
                <w:sz w:val="24"/>
                <w:szCs w:val="24"/>
              </w:rPr>
              <w:t>s</w:t>
            </w:r>
          </w:p>
        </w:tc>
      </w:tr>
      <w:tr w:rsidR="000E76D9" w:rsidRPr="00322850" w:rsidTr="00841609">
        <w:tc>
          <w:tcPr>
            <w:tcW w:w="2694" w:type="dxa"/>
            <w:tcBorders>
              <w:right w:val="single" w:sz="12" w:space="0" w:color="auto"/>
            </w:tcBorders>
          </w:tcPr>
          <w:p w:rsidR="000E76D9" w:rsidRPr="00322850" w:rsidRDefault="000E76D9" w:rsidP="00841609">
            <w:pPr>
              <w:rPr>
                <w:b/>
                <w:sz w:val="24"/>
                <w:szCs w:val="24"/>
              </w:rPr>
            </w:pPr>
            <w:r w:rsidRPr="00322850">
              <w:rPr>
                <w:b/>
                <w:sz w:val="24"/>
                <w:szCs w:val="24"/>
              </w:rPr>
              <w:t>Authorising legislation</w:t>
            </w:r>
          </w:p>
        </w:tc>
        <w:tc>
          <w:tcPr>
            <w:tcW w:w="6378" w:type="dxa"/>
            <w:tcBorders>
              <w:left w:val="single" w:sz="12" w:space="0" w:color="auto"/>
            </w:tcBorders>
          </w:tcPr>
          <w:p w:rsidR="000E76D9" w:rsidRPr="00322850" w:rsidRDefault="000E76D9" w:rsidP="00841609">
            <w:pPr>
              <w:rPr>
                <w:i/>
                <w:sz w:val="24"/>
                <w:szCs w:val="24"/>
              </w:rPr>
            </w:pPr>
            <w:r w:rsidRPr="0012389A">
              <w:rPr>
                <w:i/>
                <w:noProof/>
                <w:sz w:val="24"/>
                <w:szCs w:val="24"/>
              </w:rPr>
              <w:t>Occupational Health and Safety (Maritime Industry) Act 1993</w:t>
            </w:r>
            <w:r w:rsidRPr="00EF403C">
              <w:rPr>
                <w:noProof/>
                <w:sz w:val="24"/>
                <w:szCs w:val="24"/>
              </w:rPr>
              <w:t xml:space="preserve">; </w:t>
            </w:r>
            <w:r w:rsidRPr="0012389A">
              <w:rPr>
                <w:i/>
                <w:noProof/>
                <w:sz w:val="24"/>
                <w:szCs w:val="24"/>
              </w:rPr>
              <w:t>Seafarers Rehabilitation and Compensation Act 1992</w:t>
            </w:r>
          </w:p>
        </w:tc>
      </w:tr>
      <w:tr w:rsidR="000E76D9" w:rsidRPr="00322850" w:rsidTr="00841609">
        <w:tc>
          <w:tcPr>
            <w:tcW w:w="2694" w:type="dxa"/>
            <w:tcBorders>
              <w:right w:val="single" w:sz="12" w:space="0" w:color="auto"/>
            </w:tcBorders>
          </w:tcPr>
          <w:p w:rsidR="000E76D9" w:rsidRPr="00322850" w:rsidRDefault="000E76D9" w:rsidP="00841609">
            <w:pPr>
              <w:rPr>
                <w:b/>
                <w:sz w:val="24"/>
                <w:szCs w:val="24"/>
              </w:rPr>
            </w:pPr>
            <w:r w:rsidRPr="00322850">
              <w:rPr>
                <w:b/>
                <w:sz w:val="24"/>
                <w:szCs w:val="24"/>
              </w:rPr>
              <w:t>Department</w:t>
            </w:r>
          </w:p>
        </w:tc>
        <w:tc>
          <w:tcPr>
            <w:tcW w:w="6378" w:type="dxa"/>
            <w:tcBorders>
              <w:left w:val="single" w:sz="12" w:space="0" w:color="auto"/>
            </w:tcBorders>
          </w:tcPr>
          <w:p w:rsidR="000E76D9" w:rsidRPr="00322850" w:rsidRDefault="000E76D9" w:rsidP="00841609">
            <w:pPr>
              <w:rPr>
                <w:sz w:val="24"/>
                <w:szCs w:val="24"/>
              </w:rPr>
            </w:pPr>
            <w:r w:rsidRPr="0012389A">
              <w:rPr>
                <w:noProof/>
                <w:sz w:val="24"/>
                <w:szCs w:val="24"/>
              </w:rPr>
              <w:t>Employment</w:t>
            </w:r>
          </w:p>
        </w:tc>
      </w:tr>
      <w:tr w:rsidR="000E76D9" w:rsidRPr="00322850" w:rsidTr="00841609">
        <w:tc>
          <w:tcPr>
            <w:tcW w:w="2694" w:type="dxa"/>
            <w:tcBorders>
              <w:right w:val="single" w:sz="12" w:space="0" w:color="auto"/>
            </w:tcBorders>
          </w:tcPr>
          <w:p w:rsidR="000E76D9" w:rsidRPr="00322850" w:rsidRDefault="000E76D9" w:rsidP="00841609">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0E76D9" w:rsidRPr="00322850" w:rsidRDefault="000E76D9" w:rsidP="00841609">
            <w:pPr>
              <w:rPr>
                <w:sz w:val="24"/>
                <w:szCs w:val="24"/>
              </w:rPr>
            </w:pPr>
            <w:r>
              <w:rPr>
                <w:sz w:val="24"/>
                <w:szCs w:val="24"/>
              </w:rPr>
              <w:t xml:space="preserve">15 sitting days after tabling (tabled Senate </w:t>
            </w:r>
            <w:r w:rsidRPr="0012389A">
              <w:rPr>
                <w:noProof/>
                <w:sz w:val="24"/>
                <w:szCs w:val="24"/>
              </w:rPr>
              <w:t>20 June</w:t>
            </w:r>
            <w:r>
              <w:rPr>
                <w:sz w:val="24"/>
                <w:szCs w:val="24"/>
              </w:rPr>
              <w:t xml:space="preserve"> 2017)</w:t>
            </w:r>
            <w:r>
              <w:rPr>
                <w:sz w:val="24"/>
                <w:szCs w:val="24"/>
              </w:rPr>
              <w:br/>
              <w:t xml:space="preserve">Notice of motion to disallow </w:t>
            </w:r>
            <w:r w:rsidRPr="00ED2F28">
              <w:rPr>
                <w:sz w:val="24"/>
                <w:szCs w:val="24"/>
              </w:rPr>
              <w:t xml:space="preserve">currently </w:t>
            </w:r>
            <w:r>
              <w:rPr>
                <w:sz w:val="24"/>
                <w:szCs w:val="24"/>
              </w:rPr>
              <w:t>must be given by</w:t>
            </w:r>
            <w:r>
              <w:rPr>
                <w:sz w:val="24"/>
                <w:szCs w:val="24"/>
              </w:rPr>
              <w:br/>
            </w:r>
            <w:r w:rsidRPr="0012389A">
              <w:rPr>
                <w:noProof/>
                <w:sz w:val="24"/>
                <w:szCs w:val="24"/>
              </w:rPr>
              <w:t>12 September</w:t>
            </w:r>
            <w:r>
              <w:rPr>
                <w:sz w:val="24"/>
                <w:szCs w:val="24"/>
              </w:rPr>
              <w:t xml:space="preserve"> 2017</w:t>
            </w:r>
          </w:p>
        </w:tc>
      </w:tr>
      <w:tr w:rsidR="000E76D9" w:rsidRPr="00322850" w:rsidTr="000E76D9">
        <w:tc>
          <w:tcPr>
            <w:tcW w:w="2694" w:type="dxa"/>
            <w:tcBorders>
              <w:right w:val="single" w:sz="12" w:space="0" w:color="auto"/>
            </w:tcBorders>
          </w:tcPr>
          <w:p w:rsidR="000E76D9" w:rsidRPr="00322850" w:rsidRDefault="000E76D9" w:rsidP="00841609">
            <w:pPr>
              <w:rPr>
                <w:b/>
                <w:sz w:val="24"/>
                <w:szCs w:val="24"/>
              </w:rPr>
            </w:pPr>
            <w:r w:rsidRPr="00322850">
              <w:rPr>
                <w:b/>
                <w:sz w:val="24"/>
                <w:szCs w:val="24"/>
              </w:rPr>
              <w:t>Scrutiny principle</w:t>
            </w:r>
          </w:p>
        </w:tc>
        <w:tc>
          <w:tcPr>
            <w:tcW w:w="6378" w:type="dxa"/>
            <w:tcBorders>
              <w:left w:val="single" w:sz="12" w:space="0" w:color="auto"/>
            </w:tcBorders>
          </w:tcPr>
          <w:p w:rsidR="000E76D9" w:rsidRPr="00322850" w:rsidRDefault="000E76D9" w:rsidP="00841609">
            <w:pPr>
              <w:rPr>
                <w:sz w:val="24"/>
                <w:szCs w:val="24"/>
              </w:rPr>
            </w:pPr>
            <w:r w:rsidRPr="00322850">
              <w:rPr>
                <w:sz w:val="24"/>
                <w:szCs w:val="24"/>
              </w:rPr>
              <w:t>Standing Order 23(3)</w:t>
            </w:r>
            <w:r w:rsidRPr="0012389A">
              <w:rPr>
                <w:noProof/>
                <w:sz w:val="24"/>
                <w:szCs w:val="24"/>
              </w:rPr>
              <w:t>(d)</w:t>
            </w:r>
          </w:p>
        </w:tc>
      </w:tr>
      <w:tr w:rsidR="000E76D9" w:rsidRPr="00322850" w:rsidTr="00841609">
        <w:tc>
          <w:tcPr>
            <w:tcW w:w="2694" w:type="dxa"/>
            <w:tcBorders>
              <w:bottom w:val="single" w:sz="12" w:space="0" w:color="auto"/>
              <w:right w:val="single" w:sz="12" w:space="0" w:color="auto"/>
            </w:tcBorders>
          </w:tcPr>
          <w:p w:rsidR="000E76D9" w:rsidRPr="00556E96" w:rsidRDefault="000E76D9" w:rsidP="00841609">
            <w:pPr>
              <w:rPr>
                <w:b/>
                <w:sz w:val="24"/>
                <w:szCs w:val="24"/>
              </w:rPr>
            </w:pPr>
            <w:r w:rsidRPr="00556E96">
              <w:rPr>
                <w:b/>
                <w:sz w:val="24"/>
                <w:szCs w:val="24"/>
              </w:rPr>
              <w:t>Previously reported in</w:t>
            </w:r>
          </w:p>
        </w:tc>
        <w:tc>
          <w:tcPr>
            <w:tcW w:w="6378" w:type="dxa"/>
            <w:tcBorders>
              <w:left w:val="single" w:sz="12" w:space="0" w:color="auto"/>
              <w:bottom w:val="single" w:sz="12" w:space="0" w:color="auto"/>
            </w:tcBorders>
          </w:tcPr>
          <w:p w:rsidR="000E76D9" w:rsidRPr="00556E96" w:rsidRDefault="000E76D9" w:rsidP="00841609">
            <w:pPr>
              <w:rPr>
                <w:sz w:val="24"/>
                <w:szCs w:val="24"/>
              </w:rPr>
            </w:pPr>
            <w:r w:rsidRPr="00556E96">
              <w:rPr>
                <w:i/>
                <w:noProof/>
                <w:sz w:val="24"/>
                <w:szCs w:val="24"/>
              </w:rPr>
              <w:t>Delegated legislation monitor</w:t>
            </w:r>
            <w:r>
              <w:rPr>
                <w:noProof/>
                <w:sz w:val="24"/>
                <w:szCs w:val="24"/>
              </w:rPr>
              <w:t xml:space="preserve"> 8</w:t>
            </w:r>
            <w:r w:rsidRPr="00556E96">
              <w:rPr>
                <w:noProof/>
                <w:sz w:val="24"/>
                <w:szCs w:val="24"/>
              </w:rPr>
              <w:t xml:space="preserve"> of 2017</w:t>
            </w:r>
          </w:p>
        </w:tc>
      </w:tr>
    </w:tbl>
    <w:p w:rsidR="000E76D9" w:rsidRPr="00322850" w:rsidRDefault="000E76D9" w:rsidP="000E76D9">
      <w:pPr>
        <w:spacing w:before="0" w:after="0"/>
      </w:pPr>
    </w:p>
    <w:p w:rsidR="000E76D9" w:rsidRPr="0012389A" w:rsidRDefault="000E76D9" w:rsidP="000E76D9">
      <w:pPr>
        <w:rPr>
          <w:b/>
          <w:noProof/>
        </w:rPr>
      </w:pPr>
      <w:r w:rsidRPr="0012389A">
        <w:rPr>
          <w:b/>
          <w:noProof/>
        </w:rPr>
        <w:t xml:space="preserve">Relationship of instruments to </w:t>
      </w:r>
      <w:r>
        <w:rPr>
          <w:b/>
          <w:noProof/>
        </w:rPr>
        <w:t>a bill that is currently before the Parliament</w:t>
      </w:r>
    </w:p>
    <w:p w:rsidR="000E76D9" w:rsidRPr="0012389A" w:rsidRDefault="000E76D9" w:rsidP="000E76D9">
      <w:pPr>
        <w:rPr>
          <w:b/>
          <w:noProof/>
        </w:rPr>
      </w:pPr>
      <w:r w:rsidRPr="00556E96">
        <w:rPr>
          <w:noProof/>
        </w:rPr>
        <w:t>The committee previously commented as follows:</w:t>
      </w:r>
    </w:p>
    <w:p w:rsidR="000E76D9" w:rsidRPr="00B2067C" w:rsidRDefault="000E76D9" w:rsidP="000E76D9">
      <w:pPr>
        <w:rPr>
          <w:rFonts w:cs="Calibri"/>
          <w:szCs w:val="26"/>
          <w:lang w:eastAsia="en-AU"/>
        </w:rPr>
      </w:pPr>
      <w:r w:rsidRPr="00B2067C">
        <w:rPr>
          <w:rFonts w:cs="Calibri"/>
          <w:szCs w:val="26"/>
          <w:lang w:eastAsia="en-AU"/>
        </w:rPr>
        <w:t>Scrutiny principle 23(3)(d) of the committee's terms of reference requires the committee to consider whether an instrument contains matters more appropriate for parliamentary enactment (that is, matters that should be enacted via principal rather than delegated legislation).</w:t>
      </w:r>
    </w:p>
    <w:p w:rsidR="000E76D9" w:rsidRPr="00EF67D1" w:rsidRDefault="000E76D9" w:rsidP="000E76D9">
      <w:pPr>
        <w:rPr>
          <w:i/>
          <w:noProof/>
        </w:rPr>
      </w:pPr>
      <w:r w:rsidRPr="00B2067C">
        <w:rPr>
          <w:noProof/>
        </w:rPr>
        <w:t>The Occupational Health and Safety (Mariti</w:t>
      </w:r>
      <w:r w:rsidRPr="00572900">
        <w:rPr>
          <w:noProof/>
        </w:rPr>
        <w:t>me Industry) (Prescribed Ship or Unit — Intra-S</w:t>
      </w:r>
      <w:r>
        <w:rPr>
          <w:noProof/>
        </w:rPr>
        <w:t xml:space="preserve">tate Trade) Declaration 2017 prescribes ships or vessels only engaged in intrastate trade as non-prescribed ships or units for the purposes of the </w:t>
      </w:r>
      <w:r w:rsidRPr="00EF67D1">
        <w:rPr>
          <w:i/>
          <w:noProof/>
        </w:rPr>
        <w:t>Occupational Health and Safety (Maritime Industry) Act 1992.</w:t>
      </w:r>
    </w:p>
    <w:p w:rsidR="000E76D9" w:rsidRDefault="000E76D9" w:rsidP="000E76D9">
      <w:pPr>
        <w:rPr>
          <w:noProof/>
        </w:rPr>
      </w:pPr>
      <w:r>
        <w:rPr>
          <w:noProof/>
        </w:rPr>
        <w:t xml:space="preserve">The </w:t>
      </w:r>
      <w:r w:rsidRPr="00572900">
        <w:rPr>
          <w:noProof/>
        </w:rPr>
        <w:t xml:space="preserve">Seafarers Rehabilitation and Compensation (Prescribed Ship — Intra-State Trade) Declaration 2017 </w:t>
      </w:r>
      <w:r>
        <w:rPr>
          <w:noProof/>
        </w:rPr>
        <w:t xml:space="preserve">declares that a certain type of ship which is only engaged in intrastate trade is not a prescribed ship for the purposes of the </w:t>
      </w:r>
      <w:r w:rsidRPr="00EF403C">
        <w:rPr>
          <w:i/>
          <w:noProof/>
        </w:rPr>
        <w:t>Seafarers Rehabilitation and Compensation Act 1992</w:t>
      </w:r>
      <w:r>
        <w:rPr>
          <w:noProof/>
        </w:rPr>
        <w:t>.</w:t>
      </w:r>
    </w:p>
    <w:p w:rsidR="000E76D9" w:rsidRDefault="000E76D9" w:rsidP="000E76D9">
      <w:pPr>
        <w:rPr>
          <w:noProof/>
        </w:rPr>
      </w:pPr>
      <w:r>
        <w:rPr>
          <w:noProof/>
        </w:rPr>
        <w:t xml:space="preserve">The committee notes that key elements of the instruments may be described as 'mirroring' amendments in the Seafarers </w:t>
      </w:r>
      <w:r w:rsidRPr="00E157E5">
        <w:rPr>
          <w:noProof/>
        </w:rPr>
        <w:t>and Other Legislation Amendment Bill 2016</w:t>
      </w:r>
      <w:r>
        <w:rPr>
          <w:noProof/>
        </w:rPr>
        <w:t xml:space="preserve"> (seafarers bill). The</w:t>
      </w:r>
      <w:r w:rsidRPr="00E157E5">
        <w:rPr>
          <w:noProof/>
        </w:rPr>
        <w:t xml:space="preserve"> </w:t>
      </w:r>
      <w:r>
        <w:rPr>
          <w:noProof/>
        </w:rPr>
        <w:t xml:space="preserve">seafarers </w:t>
      </w:r>
      <w:r w:rsidRPr="00E157E5">
        <w:rPr>
          <w:noProof/>
        </w:rPr>
        <w:t xml:space="preserve">bill </w:t>
      </w:r>
      <w:r w:rsidRPr="00EF403C">
        <w:rPr>
          <w:noProof/>
        </w:rPr>
        <w:t xml:space="preserve">was introduced in </w:t>
      </w:r>
      <w:r w:rsidRPr="00E157E5">
        <w:rPr>
          <w:noProof/>
        </w:rPr>
        <w:t>the House of Representatives on 13 October 2016.</w:t>
      </w:r>
    </w:p>
    <w:p w:rsidR="000E76D9" w:rsidRDefault="000E76D9" w:rsidP="000E76D9">
      <w:pPr>
        <w:pStyle w:val="Level1"/>
        <w:numPr>
          <w:ilvl w:val="0"/>
          <w:numId w:val="0"/>
        </w:numPr>
        <w:rPr>
          <w:noProof/>
        </w:rPr>
      </w:pPr>
      <w:r>
        <w:rPr>
          <w:noProof/>
        </w:rPr>
        <w:lastRenderedPageBreak/>
        <w:t>The statements of compatibility (SOCs) to the instruments explain that the instruments do not create any change and continue interim measures taken in 2015, while legislative reform is being pursued. The SOCs state:</w:t>
      </w:r>
    </w:p>
    <w:p w:rsidR="000E76D9" w:rsidRDefault="000E76D9" w:rsidP="000E76D9">
      <w:pPr>
        <w:pStyle w:val="Quote"/>
        <w:spacing w:before="120"/>
        <w:rPr>
          <w:noProof/>
        </w:rPr>
      </w:pPr>
      <w:r w:rsidRPr="00572900">
        <w:rPr>
          <w:noProof/>
        </w:rPr>
        <w:t>The Seafarers and Other Legislation Amendment Bill 2016 (Seafarers Bill) is currently before the Parliament and would remove the need for continued reliance on the instrument to clarify the coverage of the Seacare scheme</w:t>
      </w:r>
      <w:r>
        <w:rPr>
          <w:noProof/>
        </w:rPr>
        <w:t>…</w:t>
      </w:r>
    </w:p>
    <w:p w:rsidR="000E76D9" w:rsidRDefault="000E76D9" w:rsidP="000E76D9">
      <w:pPr>
        <w:rPr>
          <w:noProof/>
        </w:rPr>
      </w:pPr>
      <w:r>
        <w:rPr>
          <w:noProof/>
        </w:rPr>
        <w:t>However, the ESs for the instruments provide no further information as to the relationship of the instruments with the seafare</w:t>
      </w:r>
      <w:r w:rsidRPr="00E83F2A">
        <w:rPr>
          <w:noProof/>
        </w:rPr>
        <w:t>rs bill. The committee is concerned that the pre-emptive use of delegated legislation in this way may have the capacity to circumvent the will of the Parliament as expressed through the enactment of primary legislation.</w:t>
      </w:r>
      <w:r w:rsidRPr="00E83F2A">
        <w:rPr>
          <w:rStyle w:val="FootnoteReference"/>
          <w:noProof/>
        </w:rPr>
        <w:footnoteReference w:id="58"/>
      </w:r>
    </w:p>
    <w:p w:rsidR="000E76D9" w:rsidRPr="000E76D9" w:rsidRDefault="007E2601" w:rsidP="000E76D9">
      <w:pPr>
        <w:spacing w:after="0"/>
        <w:rPr>
          <w:noProof/>
        </w:rPr>
      </w:pPr>
      <w:r>
        <w:rPr>
          <w:noProof/>
        </w:rPr>
        <w:t>The committee requested</w:t>
      </w:r>
      <w:r w:rsidR="000E76D9" w:rsidRPr="000E76D9">
        <w:rPr>
          <w:noProof/>
        </w:rPr>
        <w:t xml:space="preserve"> the advice of the minister in relation to the above.</w:t>
      </w:r>
    </w:p>
    <w:p w:rsidR="000E76D9" w:rsidRPr="00556E96" w:rsidRDefault="000E76D9" w:rsidP="000E76D9">
      <w:pPr>
        <w:tabs>
          <w:tab w:val="left" w:pos="2268"/>
        </w:tabs>
        <w:rPr>
          <w:b/>
          <w:noProof/>
        </w:rPr>
      </w:pPr>
      <w:r w:rsidRPr="00556E96">
        <w:rPr>
          <w:b/>
          <w:noProof/>
        </w:rPr>
        <w:t>Minister's response</w:t>
      </w:r>
    </w:p>
    <w:p w:rsidR="000E76D9" w:rsidRDefault="000E76D9" w:rsidP="000E76D9">
      <w:pPr>
        <w:rPr>
          <w:noProof/>
        </w:rPr>
      </w:pPr>
      <w:r w:rsidRPr="00556E96">
        <w:rPr>
          <w:noProof/>
        </w:rPr>
        <w:t xml:space="preserve">The </w:t>
      </w:r>
      <w:r w:rsidRPr="000E76D9">
        <w:rPr>
          <w:noProof/>
        </w:rPr>
        <w:t>Minister for Employment</w:t>
      </w:r>
      <w:r w:rsidRPr="00F45435">
        <w:t xml:space="preserve"> </w:t>
      </w:r>
      <w:r w:rsidRPr="00556E96">
        <w:rPr>
          <w:noProof/>
        </w:rPr>
        <w:t>advised:</w:t>
      </w:r>
    </w:p>
    <w:p w:rsidR="000150E3" w:rsidRDefault="000150E3" w:rsidP="000150E3">
      <w:pPr>
        <w:pStyle w:val="Quote"/>
        <w:rPr>
          <w:noProof/>
        </w:rPr>
      </w:pPr>
      <w:r>
        <w:rPr>
          <w:noProof/>
        </w:rPr>
        <w:t xml:space="preserve">The Committee has sought my advice on the relationship of the Declarations to legislation currently before the Parliament, namely the Seafarers and Other Legislation Amendment Bill 2016 (Bill). As set out in the Explanatory Statements, the Declarations replaced a set of interim declarations made following the Federal Court decision in </w:t>
      </w:r>
      <w:r w:rsidRPr="000150E3">
        <w:rPr>
          <w:i/>
          <w:noProof/>
        </w:rPr>
        <w:t>Samson Maritime Pty Ltd v Aucote</w:t>
      </w:r>
      <w:r>
        <w:rPr>
          <w:noProof/>
        </w:rPr>
        <w:t xml:space="preserve"> [2014] FCAFC 182 (the Aucote decision). This decision substantially broadened coverage of the Seacare scheme from what it was historically understood to be.</w:t>
      </w:r>
    </w:p>
    <w:p w:rsidR="0038147A" w:rsidRDefault="000150E3" w:rsidP="000150E3">
      <w:pPr>
        <w:pStyle w:val="Quote"/>
        <w:rPr>
          <w:noProof/>
        </w:rPr>
      </w:pPr>
      <w:r>
        <w:rPr>
          <w:noProof/>
        </w:rPr>
        <w:t>The Declarations continue a necessary interim measure, pending a legislative fix proposed by the Bill. All stakeholders supported the continuation of the declarations, intended to provide some stability to the Seacare scheme pending Parliament's consideration of a legislative fix.</w:t>
      </w:r>
    </w:p>
    <w:p w:rsidR="000E76D9" w:rsidRPr="00301FAD" w:rsidRDefault="000E76D9" w:rsidP="000E76D9">
      <w:pPr>
        <w:pStyle w:val="Quote"/>
        <w:ind w:left="0"/>
        <w:rPr>
          <w:b/>
          <w:noProof/>
          <w:sz w:val="26"/>
        </w:rPr>
      </w:pPr>
      <w:r w:rsidRPr="00301FAD">
        <w:rPr>
          <w:b/>
          <w:noProof/>
          <w:sz w:val="26"/>
        </w:rPr>
        <w:t>Committee's response</w:t>
      </w:r>
    </w:p>
    <w:p w:rsidR="000E76D9" w:rsidRDefault="000E76D9" w:rsidP="000E76D9">
      <w:pPr>
        <w:rPr>
          <w:b/>
          <w:szCs w:val="26"/>
        </w:rPr>
      </w:pPr>
      <w:r w:rsidRPr="00556E96">
        <w:rPr>
          <w:b/>
          <w:szCs w:val="26"/>
        </w:rPr>
        <w:t>T</w:t>
      </w:r>
      <w:r>
        <w:rPr>
          <w:b/>
          <w:szCs w:val="26"/>
        </w:rPr>
        <w:t>he committee thanks the</w:t>
      </w:r>
      <w:r w:rsidRPr="004A7CC9">
        <w:rPr>
          <w:b/>
          <w:noProof/>
        </w:rPr>
        <w:t xml:space="preserve"> </w:t>
      </w:r>
      <w:r w:rsidR="00162130">
        <w:rPr>
          <w:b/>
          <w:noProof/>
        </w:rPr>
        <w:t>m</w:t>
      </w:r>
      <w:r w:rsidRPr="004A7CC9">
        <w:rPr>
          <w:b/>
          <w:noProof/>
        </w:rPr>
        <w:t>inister</w:t>
      </w:r>
      <w:r w:rsidRPr="004A7CC9">
        <w:rPr>
          <w:b/>
          <w:szCs w:val="26"/>
        </w:rPr>
        <w:t xml:space="preserve"> f</w:t>
      </w:r>
      <w:r>
        <w:rPr>
          <w:b/>
          <w:szCs w:val="26"/>
        </w:rPr>
        <w:t>or her</w:t>
      </w:r>
      <w:r w:rsidRPr="00556E96">
        <w:rPr>
          <w:b/>
          <w:szCs w:val="26"/>
        </w:rPr>
        <w:t xml:space="preserve"> response and has concluded its examination of the above. </w:t>
      </w:r>
    </w:p>
    <w:p w:rsidR="00F43D54" w:rsidRDefault="00F43D54" w:rsidP="00A640E6">
      <w:r>
        <w:t xml:space="preserve">However, the committee notes that scrutiny principle (d) of </w:t>
      </w:r>
      <w:r w:rsidR="00A640E6">
        <w:t>its</w:t>
      </w:r>
      <w:r>
        <w:t xml:space="preserve"> terms of reference requires the committee to consider whether an instrument contains matters more appropriate for parliamentary enactment (that is, matters that should be enacted via primary rather than delegated legislation).</w:t>
      </w:r>
    </w:p>
    <w:p w:rsidR="00F43D54" w:rsidRDefault="00F43D54" w:rsidP="00A640E6">
      <w:r>
        <w:lastRenderedPageBreak/>
        <w:t>The committee's inquiry in relation to the instrument</w:t>
      </w:r>
      <w:r w:rsidR="00220A32">
        <w:t>s</w:t>
      </w:r>
      <w:r>
        <w:t xml:space="preserve"> arose from the fact that key elements of the declarations may be described as 'mirroring' the amendments in the bill </w:t>
      </w:r>
      <w:r w:rsidR="00A640E6">
        <w:t>currently before Parliament</w:t>
      </w:r>
      <w:r>
        <w:t>.</w:t>
      </w:r>
    </w:p>
    <w:p w:rsidR="00F43D54" w:rsidRDefault="00F43D54" w:rsidP="00A640E6">
      <w:r>
        <w:t>As the committee has previously noted, the pre-emptive use of delegated legislation may give rise to concerns about its capacity to circumvent the will of the Senate as expressed through the enactment of primary legislation.</w:t>
      </w:r>
    </w:p>
    <w:p w:rsidR="00F43D54" w:rsidRDefault="00F43D54" w:rsidP="00A640E6">
      <w:r>
        <w:t xml:space="preserve">While the </w:t>
      </w:r>
      <w:r w:rsidR="00162130">
        <w:t>m</w:t>
      </w:r>
      <w:r>
        <w:t xml:space="preserve">inister advises that the declarations 'continue a necessary interim measure, pending a legislative fix proposed by the Bill', the committee is conscious </w:t>
      </w:r>
      <w:r w:rsidR="00E00595">
        <w:t xml:space="preserve">that this not only pre-empts parliamentary consideration, but could also allow </w:t>
      </w:r>
      <w:r w:rsidRPr="00A640E6">
        <w:rPr>
          <w:rFonts w:asciiTheme="minorHAnsi" w:hAnsiTheme="minorHAnsi"/>
          <w:szCs w:val="26"/>
          <w:lang w:eastAsia="en-AU"/>
        </w:rPr>
        <w:t>delegated legislation</w:t>
      </w:r>
      <w:r w:rsidR="00E00595">
        <w:rPr>
          <w:rFonts w:asciiTheme="minorHAnsi" w:hAnsiTheme="minorHAnsi"/>
          <w:szCs w:val="26"/>
          <w:lang w:eastAsia="en-AU"/>
        </w:rPr>
        <w:t xml:space="preserve"> to continue</w:t>
      </w:r>
      <w:r w:rsidRPr="00A640E6">
        <w:rPr>
          <w:rFonts w:asciiTheme="minorHAnsi" w:hAnsiTheme="minorHAnsi"/>
          <w:szCs w:val="26"/>
          <w:lang w:eastAsia="en-AU"/>
        </w:rPr>
        <w:t xml:space="preserve"> in operation despite the clearly expressed will of the Parliament (for example, if the bill were not passed or were passed with amendments not complemented by the operation of the delegated legislation).</w:t>
      </w:r>
    </w:p>
    <w:p w:rsidR="00F43D54" w:rsidRPr="00A640E6" w:rsidRDefault="00F43D54" w:rsidP="00A640E6">
      <w:pPr>
        <w:rPr>
          <w:rFonts w:asciiTheme="minorHAnsi" w:hAnsiTheme="minorHAnsi"/>
        </w:rPr>
      </w:pPr>
      <w:r w:rsidRPr="00A640E6">
        <w:rPr>
          <w:rFonts w:asciiTheme="minorHAnsi" w:hAnsiTheme="minorHAnsi"/>
          <w:b/>
          <w:bCs/>
          <w:szCs w:val="26"/>
          <w:lang w:eastAsia="en-AU"/>
        </w:rPr>
        <w:t xml:space="preserve">In light of these concerns about the inclusion in delegated legislation of matters more appropriate for parliamentary enactment in primary legislation (scrutiny principle (d)), the committee draws this matter to the attention of </w:t>
      </w:r>
      <w:r w:rsidR="00DD5FFC">
        <w:rPr>
          <w:rFonts w:asciiTheme="minorHAnsi" w:hAnsiTheme="minorHAnsi"/>
          <w:b/>
          <w:bCs/>
          <w:szCs w:val="26"/>
          <w:lang w:eastAsia="en-AU"/>
        </w:rPr>
        <w:t>the Senate</w:t>
      </w:r>
      <w:r w:rsidRPr="00A640E6">
        <w:rPr>
          <w:rFonts w:asciiTheme="minorHAnsi" w:hAnsiTheme="minorHAnsi"/>
          <w:b/>
          <w:bCs/>
          <w:szCs w:val="26"/>
          <w:lang w:eastAsia="en-AU"/>
        </w:rPr>
        <w:t>.</w:t>
      </w:r>
    </w:p>
    <w:p w:rsidR="00BE7B57" w:rsidRDefault="00BE7B57" w:rsidP="0038147A">
      <w:pPr>
        <w:pStyle w:val="Level1"/>
        <w:numPr>
          <w:ilvl w:val="0"/>
          <w:numId w:val="0"/>
        </w:numPr>
        <w:rPr>
          <w:b/>
          <w:noProof/>
        </w:rPr>
      </w:pPr>
    </w:p>
    <w:tbl>
      <w:tblPr>
        <w:tblW w:w="0" w:type="auto"/>
        <w:tblInd w:w="108" w:type="dxa"/>
        <w:tblLook w:val="04A0" w:firstRow="1" w:lastRow="0" w:firstColumn="1" w:lastColumn="0" w:noHBand="0" w:noVBand="1"/>
      </w:tblPr>
      <w:tblGrid>
        <w:gridCol w:w="2694"/>
        <w:gridCol w:w="6378"/>
      </w:tblGrid>
      <w:tr w:rsidR="0038147A" w:rsidRPr="00322850" w:rsidTr="00C25B02">
        <w:tc>
          <w:tcPr>
            <w:tcW w:w="2694" w:type="dxa"/>
            <w:tcBorders>
              <w:top w:val="single" w:sz="12" w:space="0" w:color="auto"/>
              <w:right w:val="single" w:sz="12" w:space="0" w:color="auto"/>
            </w:tcBorders>
          </w:tcPr>
          <w:p w:rsidR="0038147A" w:rsidRPr="00322850" w:rsidRDefault="0038147A" w:rsidP="00C25B02">
            <w:pPr>
              <w:rPr>
                <w:b/>
                <w:sz w:val="24"/>
                <w:szCs w:val="24"/>
              </w:rPr>
            </w:pPr>
            <w:r w:rsidRPr="00322850">
              <w:rPr>
                <w:b/>
                <w:sz w:val="24"/>
                <w:szCs w:val="24"/>
              </w:rPr>
              <w:t>Instrument</w:t>
            </w:r>
          </w:p>
        </w:tc>
        <w:tc>
          <w:tcPr>
            <w:tcW w:w="6378" w:type="dxa"/>
            <w:tcBorders>
              <w:top w:val="single" w:sz="12" w:space="0" w:color="auto"/>
              <w:left w:val="single" w:sz="12" w:space="0" w:color="auto"/>
            </w:tcBorders>
          </w:tcPr>
          <w:p w:rsidR="0038147A" w:rsidRPr="00322850" w:rsidRDefault="0038147A" w:rsidP="00C25B02">
            <w:pPr>
              <w:pStyle w:val="Heading3"/>
              <w:rPr>
                <w:sz w:val="24"/>
                <w:szCs w:val="24"/>
              </w:rPr>
            </w:pPr>
            <w:r w:rsidRPr="0012389A">
              <w:rPr>
                <w:noProof/>
                <w:sz w:val="24"/>
                <w:szCs w:val="24"/>
              </w:rPr>
              <w:t>Private Health Insurance (Benefit Requirements) Amendment Rules 2017 (No. 4) [F2017L00603]</w:t>
            </w:r>
          </w:p>
        </w:tc>
      </w:tr>
      <w:tr w:rsidR="0038147A" w:rsidRPr="00322850" w:rsidTr="00C25B02">
        <w:tc>
          <w:tcPr>
            <w:tcW w:w="2694" w:type="dxa"/>
            <w:tcBorders>
              <w:right w:val="single" w:sz="12" w:space="0" w:color="auto"/>
            </w:tcBorders>
          </w:tcPr>
          <w:p w:rsidR="0038147A" w:rsidRPr="00322850" w:rsidRDefault="0038147A" w:rsidP="00C25B02">
            <w:pPr>
              <w:rPr>
                <w:b/>
                <w:sz w:val="24"/>
                <w:szCs w:val="24"/>
              </w:rPr>
            </w:pPr>
            <w:r w:rsidRPr="00322850">
              <w:rPr>
                <w:b/>
                <w:sz w:val="24"/>
                <w:szCs w:val="24"/>
              </w:rPr>
              <w:t>Purpose</w:t>
            </w:r>
          </w:p>
        </w:tc>
        <w:tc>
          <w:tcPr>
            <w:tcW w:w="6378" w:type="dxa"/>
            <w:tcBorders>
              <w:left w:val="single" w:sz="12" w:space="0" w:color="auto"/>
            </w:tcBorders>
          </w:tcPr>
          <w:p w:rsidR="0038147A" w:rsidRPr="00322850" w:rsidRDefault="0038147A" w:rsidP="00C25B02">
            <w:pPr>
              <w:rPr>
                <w:sz w:val="24"/>
                <w:szCs w:val="24"/>
              </w:rPr>
            </w:pPr>
            <w:r w:rsidRPr="0012389A">
              <w:rPr>
                <w:noProof/>
                <w:sz w:val="24"/>
                <w:szCs w:val="24"/>
              </w:rPr>
              <w:t>Amends the Private Health Insurance (Benefit Requirements) Rules 2011 to insert</w:t>
            </w:r>
            <w:r>
              <w:rPr>
                <w:noProof/>
                <w:sz w:val="24"/>
                <w:szCs w:val="24"/>
              </w:rPr>
              <w:t>, move and remove</w:t>
            </w:r>
            <w:r w:rsidRPr="0012389A">
              <w:rPr>
                <w:noProof/>
                <w:sz w:val="24"/>
                <w:szCs w:val="24"/>
              </w:rPr>
              <w:t xml:space="preserve"> </w:t>
            </w:r>
            <w:r>
              <w:rPr>
                <w:noProof/>
                <w:sz w:val="24"/>
                <w:szCs w:val="24"/>
              </w:rPr>
              <w:t>M</w:t>
            </w:r>
            <w:r w:rsidRPr="0012389A">
              <w:rPr>
                <w:noProof/>
                <w:sz w:val="24"/>
                <w:szCs w:val="24"/>
              </w:rPr>
              <w:t>edicare Benefits Schedule item</w:t>
            </w:r>
            <w:r>
              <w:rPr>
                <w:noProof/>
                <w:sz w:val="24"/>
                <w:szCs w:val="24"/>
              </w:rPr>
              <w:t>s</w:t>
            </w:r>
          </w:p>
        </w:tc>
      </w:tr>
      <w:tr w:rsidR="0038147A" w:rsidRPr="00322850" w:rsidTr="00C25B02">
        <w:tc>
          <w:tcPr>
            <w:tcW w:w="2694" w:type="dxa"/>
            <w:tcBorders>
              <w:right w:val="single" w:sz="12" w:space="0" w:color="auto"/>
            </w:tcBorders>
          </w:tcPr>
          <w:p w:rsidR="0038147A" w:rsidRPr="00322850" w:rsidRDefault="0038147A" w:rsidP="00C25B02">
            <w:pPr>
              <w:rPr>
                <w:b/>
                <w:sz w:val="24"/>
                <w:szCs w:val="24"/>
              </w:rPr>
            </w:pPr>
            <w:r w:rsidRPr="00322850">
              <w:rPr>
                <w:b/>
                <w:sz w:val="24"/>
                <w:szCs w:val="24"/>
              </w:rPr>
              <w:t>Authorising legislation</w:t>
            </w:r>
          </w:p>
        </w:tc>
        <w:tc>
          <w:tcPr>
            <w:tcW w:w="6378" w:type="dxa"/>
            <w:tcBorders>
              <w:left w:val="single" w:sz="12" w:space="0" w:color="auto"/>
            </w:tcBorders>
          </w:tcPr>
          <w:p w:rsidR="0038147A" w:rsidRPr="00322850" w:rsidRDefault="0038147A" w:rsidP="00C25B02">
            <w:pPr>
              <w:rPr>
                <w:i/>
                <w:sz w:val="24"/>
                <w:szCs w:val="24"/>
              </w:rPr>
            </w:pPr>
            <w:r w:rsidRPr="0012389A">
              <w:rPr>
                <w:i/>
                <w:noProof/>
                <w:sz w:val="24"/>
                <w:szCs w:val="24"/>
              </w:rPr>
              <w:t>Private Health Insurance Act 2007</w:t>
            </w:r>
          </w:p>
        </w:tc>
      </w:tr>
      <w:tr w:rsidR="0038147A" w:rsidRPr="00322850" w:rsidTr="00C25B02">
        <w:tc>
          <w:tcPr>
            <w:tcW w:w="2694" w:type="dxa"/>
            <w:tcBorders>
              <w:right w:val="single" w:sz="12" w:space="0" w:color="auto"/>
            </w:tcBorders>
          </w:tcPr>
          <w:p w:rsidR="0038147A" w:rsidRPr="00322850" w:rsidRDefault="0038147A" w:rsidP="00C25B02">
            <w:pPr>
              <w:rPr>
                <w:b/>
                <w:sz w:val="24"/>
                <w:szCs w:val="24"/>
              </w:rPr>
            </w:pPr>
            <w:r w:rsidRPr="00322850">
              <w:rPr>
                <w:b/>
                <w:sz w:val="24"/>
                <w:szCs w:val="24"/>
              </w:rPr>
              <w:t>Department</w:t>
            </w:r>
          </w:p>
        </w:tc>
        <w:tc>
          <w:tcPr>
            <w:tcW w:w="6378" w:type="dxa"/>
            <w:tcBorders>
              <w:left w:val="single" w:sz="12" w:space="0" w:color="auto"/>
            </w:tcBorders>
          </w:tcPr>
          <w:p w:rsidR="0038147A" w:rsidRPr="00322850" w:rsidRDefault="0038147A" w:rsidP="00C25B02">
            <w:pPr>
              <w:rPr>
                <w:sz w:val="24"/>
                <w:szCs w:val="24"/>
              </w:rPr>
            </w:pPr>
            <w:r w:rsidRPr="0012389A">
              <w:rPr>
                <w:noProof/>
                <w:sz w:val="24"/>
                <w:szCs w:val="24"/>
              </w:rPr>
              <w:t>Health</w:t>
            </w:r>
          </w:p>
        </w:tc>
      </w:tr>
      <w:tr w:rsidR="0038147A" w:rsidRPr="00322850" w:rsidTr="00C25B02">
        <w:tc>
          <w:tcPr>
            <w:tcW w:w="2694" w:type="dxa"/>
            <w:tcBorders>
              <w:right w:val="single" w:sz="12" w:space="0" w:color="auto"/>
            </w:tcBorders>
          </w:tcPr>
          <w:p w:rsidR="0038147A" w:rsidRPr="00322850" w:rsidRDefault="0038147A" w:rsidP="00C25B02">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38147A" w:rsidRPr="00322850" w:rsidRDefault="0038147A" w:rsidP="00A6429C">
            <w:pPr>
              <w:rPr>
                <w:sz w:val="24"/>
                <w:szCs w:val="24"/>
              </w:rPr>
            </w:pPr>
            <w:r>
              <w:rPr>
                <w:sz w:val="24"/>
                <w:szCs w:val="24"/>
              </w:rPr>
              <w:t xml:space="preserve">15 sitting days after tabling (tabled Senate </w:t>
            </w:r>
            <w:r w:rsidRPr="0012389A">
              <w:rPr>
                <w:noProof/>
                <w:sz w:val="24"/>
                <w:szCs w:val="24"/>
              </w:rPr>
              <w:t>13 June</w:t>
            </w:r>
            <w:r w:rsidR="00A6429C">
              <w:rPr>
                <w:sz w:val="24"/>
                <w:szCs w:val="24"/>
              </w:rPr>
              <w:t xml:space="preserve"> 2017)</w:t>
            </w:r>
            <w:r w:rsidR="00A6429C">
              <w:rPr>
                <w:sz w:val="24"/>
                <w:szCs w:val="24"/>
              </w:rPr>
              <w:br/>
              <w:t>The time to give a n</w:t>
            </w:r>
            <w:r>
              <w:rPr>
                <w:sz w:val="24"/>
                <w:szCs w:val="24"/>
              </w:rPr>
              <w:t>otice of motion to disallow</w:t>
            </w:r>
            <w:r w:rsidRPr="00ED2F28">
              <w:rPr>
                <w:sz w:val="24"/>
                <w:szCs w:val="24"/>
              </w:rPr>
              <w:t xml:space="preserve"> </w:t>
            </w:r>
            <w:r w:rsidR="00A6429C">
              <w:rPr>
                <w:sz w:val="24"/>
                <w:szCs w:val="24"/>
              </w:rPr>
              <w:t>expired on</w:t>
            </w:r>
            <w:r>
              <w:rPr>
                <w:sz w:val="24"/>
                <w:szCs w:val="24"/>
              </w:rPr>
              <w:br/>
            </w:r>
            <w:r w:rsidRPr="0012389A">
              <w:rPr>
                <w:noProof/>
                <w:sz w:val="24"/>
                <w:szCs w:val="24"/>
              </w:rPr>
              <w:t>5 September</w:t>
            </w:r>
            <w:r>
              <w:rPr>
                <w:sz w:val="24"/>
                <w:szCs w:val="24"/>
              </w:rPr>
              <w:t xml:space="preserve"> 2017</w:t>
            </w:r>
          </w:p>
        </w:tc>
      </w:tr>
      <w:tr w:rsidR="0038147A" w:rsidRPr="00322850" w:rsidTr="0038147A">
        <w:tc>
          <w:tcPr>
            <w:tcW w:w="2694" w:type="dxa"/>
            <w:tcBorders>
              <w:right w:val="single" w:sz="12" w:space="0" w:color="auto"/>
            </w:tcBorders>
          </w:tcPr>
          <w:p w:rsidR="0038147A" w:rsidRPr="00322850" w:rsidRDefault="0038147A" w:rsidP="00C25B02">
            <w:pPr>
              <w:rPr>
                <w:b/>
                <w:sz w:val="24"/>
                <w:szCs w:val="24"/>
              </w:rPr>
            </w:pPr>
            <w:r w:rsidRPr="00322850">
              <w:rPr>
                <w:b/>
                <w:sz w:val="24"/>
                <w:szCs w:val="24"/>
              </w:rPr>
              <w:t>Scrutiny principle</w:t>
            </w:r>
          </w:p>
        </w:tc>
        <w:tc>
          <w:tcPr>
            <w:tcW w:w="6378" w:type="dxa"/>
            <w:tcBorders>
              <w:left w:val="single" w:sz="12" w:space="0" w:color="auto"/>
            </w:tcBorders>
          </w:tcPr>
          <w:p w:rsidR="0038147A" w:rsidRPr="00322850" w:rsidRDefault="0038147A" w:rsidP="00C25B02">
            <w:pPr>
              <w:rPr>
                <w:sz w:val="24"/>
                <w:szCs w:val="24"/>
              </w:rPr>
            </w:pPr>
            <w:r w:rsidRPr="00322850">
              <w:rPr>
                <w:sz w:val="24"/>
                <w:szCs w:val="24"/>
              </w:rPr>
              <w:t>Standing Order 23(3)</w:t>
            </w:r>
            <w:r w:rsidRPr="0012389A">
              <w:rPr>
                <w:noProof/>
                <w:sz w:val="24"/>
                <w:szCs w:val="24"/>
              </w:rPr>
              <w:t>(b)</w:t>
            </w:r>
          </w:p>
        </w:tc>
      </w:tr>
      <w:tr w:rsidR="0038147A" w:rsidRPr="00322850" w:rsidTr="00C25B02">
        <w:tc>
          <w:tcPr>
            <w:tcW w:w="2694" w:type="dxa"/>
            <w:tcBorders>
              <w:bottom w:val="single" w:sz="12" w:space="0" w:color="auto"/>
              <w:right w:val="single" w:sz="12" w:space="0" w:color="auto"/>
            </w:tcBorders>
          </w:tcPr>
          <w:p w:rsidR="0038147A" w:rsidRPr="00556E96" w:rsidRDefault="0038147A" w:rsidP="00C25B02">
            <w:pPr>
              <w:rPr>
                <w:b/>
                <w:sz w:val="24"/>
                <w:szCs w:val="24"/>
              </w:rPr>
            </w:pPr>
            <w:r w:rsidRPr="00556E96">
              <w:rPr>
                <w:b/>
                <w:sz w:val="24"/>
                <w:szCs w:val="24"/>
              </w:rPr>
              <w:t>Previously reported in</w:t>
            </w:r>
          </w:p>
        </w:tc>
        <w:tc>
          <w:tcPr>
            <w:tcW w:w="6378" w:type="dxa"/>
            <w:tcBorders>
              <w:left w:val="single" w:sz="12" w:space="0" w:color="auto"/>
              <w:bottom w:val="single" w:sz="12" w:space="0" w:color="auto"/>
            </w:tcBorders>
          </w:tcPr>
          <w:p w:rsidR="0038147A" w:rsidRPr="00556E96" w:rsidRDefault="0038147A" w:rsidP="00C25B02">
            <w:pPr>
              <w:rPr>
                <w:sz w:val="24"/>
                <w:szCs w:val="24"/>
              </w:rPr>
            </w:pPr>
            <w:r w:rsidRPr="00556E96">
              <w:rPr>
                <w:i/>
                <w:noProof/>
                <w:sz w:val="24"/>
                <w:szCs w:val="24"/>
              </w:rPr>
              <w:t>Delegated legislation monitor</w:t>
            </w:r>
            <w:r>
              <w:rPr>
                <w:noProof/>
                <w:sz w:val="24"/>
                <w:szCs w:val="24"/>
              </w:rPr>
              <w:t xml:space="preserve"> 8</w:t>
            </w:r>
            <w:r w:rsidRPr="00556E96">
              <w:rPr>
                <w:noProof/>
                <w:sz w:val="24"/>
                <w:szCs w:val="24"/>
              </w:rPr>
              <w:t xml:space="preserve"> of 2017</w:t>
            </w:r>
          </w:p>
        </w:tc>
      </w:tr>
    </w:tbl>
    <w:p w:rsidR="0038147A" w:rsidRPr="00322850" w:rsidRDefault="0038147A" w:rsidP="0038147A">
      <w:pPr>
        <w:spacing w:before="0" w:after="0"/>
      </w:pPr>
    </w:p>
    <w:p w:rsidR="0038147A" w:rsidRDefault="0038147A" w:rsidP="0038147A">
      <w:pPr>
        <w:rPr>
          <w:b/>
          <w:noProof/>
        </w:rPr>
      </w:pPr>
      <w:r w:rsidRPr="0012389A">
        <w:rPr>
          <w:b/>
          <w:noProof/>
        </w:rPr>
        <w:t>Drafting</w:t>
      </w:r>
    </w:p>
    <w:p w:rsidR="004A7CC9" w:rsidRPr="0012389A" w:rsidRDefault="004A7CC9" w:rsidP="0038147A">
      <w:pPr>
        <w:rPr>
          <w:b/>
          <w:noProof/>
        </w:rPr>
      </w:pPr>
      <w:r w:rsidRPr="00556E96">
        <w:rPr>
          <w:noProof/>
        </w:rPr>
        <w:t>The committee previously commented as follows:</w:t>
      </w:r>
    </w:p>
    <w:p w:rsidR="0038147A" w:rsidRPr="00EF403C" w:rsidRDefault="0038147A" w:rsidP="0038147A">
      <w:pPr>
        <w:rPr>
          <w:noProof/>
        </w:rPr>
      </w:pPr>
      <w:r w:rsidRPr="00EF403C">
        <w:rPr>
          <w:noProof/>
        </w:rPr>
        <w:t xml:space="preserve">Item 2 of this instrument adds a Medicare Benefits Schedule (MBS) item to Schedule 1 of the Private Health Insurance (Benefit Requirements) Rules 2011 (the </w:t>
      </w:r>
      <w:r>
        <w:rPr>
          <w:noProof/>
        </w:rPr>
        <w:t>benefit requirements</w:t>
      </w:r>
      <w:r w:rsidRPr="00EF403C">
        <w:rPr>
          <w:noProof/>
        </w:rPr>
        <w:t xml:space="preserve"> rules).</w:t>
      </w:r>
    </w:p>
    <w:p w:rsidR="00213021" w:rsidRDefault="00213021" w:rsidP="0038147A">
      <w:pPr>
        <w:pStyle w:val="Level1"/>
        <w:numPr>
          <w:ilvl w:val="0"/>
          <w:numId w:val="0"/>
        </w:numPr>
        <w:rPr>
          <w:noProof/>
        </w:rPr>
      </w:pPr>
    </w:p>
    <w:p w:rsidR="0038147A" w:rsidRPr="00EF403C" w:rsidRDefault="0038147A" w:rsidP="0038147A">
      <w:pPr>
        <w:pStyle w:val="Level1"/>
        <w:numPr>
          <w:ilvl w:val="0"/>
          <w:numId w:val="0"/>
        </w:numPr>
        <w:rPr>
          <w:noProof/>
        </w:rPr>
      </w:pPr>
      <w:r w:rsidRPr="00EF403C">
        <w:rPr>
          <w:noProof/>
        </w:rPr>
        <w:lastRenderedPageBreak/>
        <w:t>With reference to this item, the ES states:</w:t>
      </w:r>
    </w:p>
    <w:p w:rsidR="0038147A" w:rsidRDefault="0038147A" w:rsidP="0038147A">
      <w:pPr>
        <w:pStyle w:val="Quote"/>
        <w:spacing w:before="120"/>
        <w:rPr>
          <w:noProof/>
          <w:highlight w:val="cyan"/>
        </w:rPr>
      </w:pPr>
      <w:r w:rsidRPr="00E157E5">
        <w:rPr>
          <w:noProof/>
        </w:rPr>
        <w:t>This MBS item was listed on the MBS as of 1 May 2017, however this number was not included in the 1 May 2017 Private Health Insurance (Benefit Requirements) Amendment Rules 2017 (No. 3) due to a timing error within the Department.</w:t>
      </w:r>
      <w:r w:rsidRPr="003D2E46">
        <w:rPr>
          <w:noProof/>
          <w:highlight w:val="cyan"/>
        </w:rPr>
        <w:t xml:space="preserve"> </w:t>
      </w:r>
    </w:p>
    <w:p w:rsidR="0038147A" w:rsidRPr="00B22C66" w:rsidRDefault="0038147A" w:rsidP="0038147A">
      <w:pPr>
        <w:rPr>
          <w:noProof/>
        </w:rPr>
      </w:pPr>
      <w:r w:rsidRPr="00B22C66">
        <w:rPr>
          <w:noProof/>
        </w:rPr>
        <w:t xml:space="preserve">However, </w:t>
      </w:r>
      <w:r>
        <w:rPr>
          <w:noProof/>
        </w:rPr>
        <w:t xml:space="preserve">the committee notes that, </w:t>
      </w:r>
      <w:r w:rsidRPr="00B22C66">
        <w:rPr>
          <w:noProof/>
        </w:rPr>
        <w:t xml:space="preserve">as this instrument commenced on 27 May 2017, it appears </w:t>
      </w:r>
      <w:r w:rsidRPr="00B2067C">
        <w:rPr>
          <w:noProof/>
        </w:rPr>
        <w:t>possible that pa</w:t>
      </w:r>
      <w:r w:rsidRPr="00B22C66">
        <w:rPr>
          <w:noProof/>
        </w:rPr>
        <w:t xml:space="preserve">tients </w:t>
      </w:r>
      <w:r>
        <w:rPr>
          <w:noProof/>
        </w:rPr>
        <w:t xml:space="preserve">covered by private health insurance </w:t>
      </w:r>
      <w:r w:rsidRPr="00B22C66">
        <w:rPr>
          <w:noProof/>
        </w:rPr>
        <w:t xml:space="preserve">who </w:t>
      </w:r>
      <w:r>
        <w:rPr>
          <w:noProof/>
        </w:rPr>
        <w:t>received treatment covered by the omitted MBS item</w:t>
      </w:r>
      <w:r w:rsidRPr="00B22C66">
        <w:rPr>
          <w:noProof/>
        </w:rPr>
        <w:t xml:space="preserve"> </w:t>
      </w:r>
      <w:r>
        <w:rPr>
          <w:noProof/>
        </w:rPr>
        <w:t>between 1 May to 26 May </w:t>
      </w:r>
      <w:r w:rsidRPr="00B22C66">
        <w:rPr>
          <w:noProof/>
        </w:rPr>
        <w:t xml:space="preserve">2017 </w:t>
      </w:r>
      <w:r>
        <w:rPr>
          <w:noProof/>
        </w:rPr>
        <w:t>would not have been paid hospital accom</w:t>
      </w:r>
      <w:r w:rsidR="004E4C5D">
        <w:rPr>
          <w:noProof/>
        </w:rPr>
        <w:t>m</w:t>
      </w:r>
      <w:r>
        <w:rPr>
          <w:noProof/>
        </w:rPr>
        <w:t>odation benefits during this period</w:t>
      </w:r>
      <w:r w:rsidRPr="00B22C66">
        <w:rPr>
          <w:noProof/>
        </w:rPr>
        <w:t xml:space="preserve">. </w:t>
      </w:r>
    </w:p>
    <w:p w:rsidR="0038147A" w:rsidRPr="00013BD1" w:rsidRDefault="0038147A" w:rsidP="0038147A">
      <w:r w:rsidRPr="00B22C66">
        <w:rPr>
          <w:noProof/>
        </w:rPr>
        <w:t>The committee is concerned about the effect, if any, on individuals during th</w:t>
      </w:r>
      <w:r>
        <w:rPr>
          <w:noProof/>
        </w:rPr>
        <w:t>e</w:t>
      </w:r>
      <w:r w:rsidRPr="00B22C66">
        <w:rPr>
          <w:noProof/>
        </w:rPr>
        <w:t xml:space="preserve"> period </w:t>
      </w:r>
      <w:r>
        <w:rPr>
          <w:noProof/>
        </w:rPr>
        <w:t>in which the MBS item was not included in the benefit requirements rules</w:t>
      </w:r>
      <w:r w:rsidRPr="00B22C66">
        <w:rPr>
          <w:noProof/>
        </w:rPr>
        <w:t>.</w:t>
      </w:r>
    </w:p>
    <w:p w:rsidR="0038147A" w:rsidRPr="0038147A" w:rsidRDefault="0038147A" w:rsidP="0038147A">
      <w:pPr>
        <w:spacing w:after="0"/>
        <w:rPr>
          <w:noProof/>
        </w:rPr>
      </w:pPr>
      <w:r w:rsidRPr="0038147A">
        <w:rPr>
          <w:noProof/>
        </w:rPr>
        <w:t>The committee request</w:t>
      </w:r>
      <w:r w:rsidR="00A640E6">
        <w:rPr>
          <w:noProof/>
        </w:rPr>
        <w:t>ed</w:t>
      </w:r>
      <w:r w:rsidRPr="0038147A">
        <w:rPr>
          <w:noProof/>
        </w:rPr>
        <w:t xml:space="preserve"> the advice of the minister in relation to the above.</w:t>
      </w:r>
    </w:p>
    <w:p w:rsidR="004A7CC9" w:rsidRPr="00556E96" w:rsidRDefault="004A7CC9" w:rsidP="004A7CC9">
      <w:pPr>
        <w:tabs>
          <w:tab w:val="left" w:pos="2268"/>
        </w:tabs>
        <w:rPr>
          <w:b/>
          <w:noProof/>
        </w:rPr>
      </w:pPr>
      <w:r w:rsidRPr="00556E96">
        <w:rPr>
          <w:b/>
          <w:noProof/>
        </w:rPr>
        <w:t>Minister's response</w:t>
      </w:r>
    </w:p>
    <w:p w:rsidR="004A7CC9" w:rsidRDefault="004A7CC9" w:rsidP="004A7CC9">
      <w:pPr>
        <w:rPr>
          <w:noProof/>
        </w:rPr>
      </w:pPr>
      <w:r w:rsidRPr="00556E96">
        <w:rPr>
          <w:noProof/>
        </w:rPr>
        <w:t xml:space="preserve">The </w:t>
      </w:r>
      <w:r>
        <w:rPr>
          <w:noProof/>
        </w:rPr>
        <w:t>Assistant Minister for Health</w:t>
      </w:r>
      <w:r w:rsidRPr="00F45435">
        <w:t xml:space="preserve"> </w:t>
      </w:r>
      <w:r w:rsidRPr="00556E96">
        <w:rPr>
          <w:noProof/>
        </w:rPr>
        <w:t>advised:</w:t>
      </w:r>
    </w:p>
    <w:p w:rsidR="004A7CC9" w:rsidRDefault="00DC4229" w:rsidP="00DC4229">
      <w:pPr>
        <w:pStyle w:val="Quote"/>
        <w:rPr>
          <w:noProof/>
        </w:rPr>
      </w:pPr>
      <w:r>
        <w:rPr>
          <w:noProof/>
        </w:rPr>
        <w:t>It is technically possible that private health insurance policyholders who,</w:t>
      </w:r>
      <w:r>
        <w:rPr>
          <w:noProof/>
        </w:rPr>
        <w:br/>
        <w:t>in the period 1 to 26 May 2017, received treatment covered by Medicare Benefits Schedule item 42702 may not have received private health insurance benefits covering the costs of hospital accommodation charges. However, insurers are able to make benefit payments in these circumstances, and the Department has not received any correspondence, or other advice, that policyholders experienced out-of-pocket costs due to the amendment not being in effect on 1 May 2017.</w:t>
      </w:r>
    </w:p>
    <w:p w:rsidR="004A7CC9" w:rsidRPr="00301FAD" w:rsidRDefault="004A7CC9" w:rsidP="004A7CC9">
      <w:pPr>
        <w:pStyle w:val="Quote"/>
        <w:ind w:left="0"/>
        <w:rPr>
          <w:b/>
          <w:noProof/>
          <w:sz w:val="26"/>
        </w:rPr>
      </w:pPr>
      <w:r w:rsidRPr="00301FAD">
        <w:rPr>
          <w:b/>
          <w:noProof/>
          <w:sz w:val="26"/>
        </w:rPr>
        <w:t>Committee's response</w:t>
      </w:r>
    </w:p>
    <w:p w:rsidR="004A7CC9" w:rsidRDefault="004A7CC9" w:rsidP="004A7CC9">
      <w:pPr>
        <w:rPr>
          <w:b/>
          <w:szCs w:val="26"/>
        </w:rPr>
      </w:pPr>
      <w:r w:rsidRPr="00556E96">
        <w:rPr>
          <w:b/>
          <w:szCs w:val="26"/>
        </w:rPr>
        <w:t>T</w:t>
      </w:r>
      <w:r>
        <w:rPr>
          <w:b/>
          <w:szCs w:val="26"/>
        </w:rPr>
        <w:t xml:space="preserve">he committee thanks </w:t>
      </w:r>
      <w:r w:rsidRPr="004A7CC9">
        <w:rPr>
          <w:b/>
          <w:szCs w:val="26"/>
        </w:rPr>
        <w:t xml:space="preserve">the </w:t>
      </w:r>
      <w:r w:rsidR="007E2601">
        <w:rPr>
          <w:b/>
          <w:noProof/>
        </w:rPr>
        <w:t>assistant m</w:t>
      </w:r>
      <w:r w:rsidRPr="004A7CC9">
        <w:rPr>
          <w:b/>
          <w:noProof/>
        </w:rPr>
        <w:t>inister</w:t>
      </w:r>
      <w:r w:rsidRPr="004A7CC9">
        <w:rPr>
          <w:b/>
          <w:szCs w:val="26"/>
        </w:rPr>
        <w:t xml:space="preserve"> f</w:t>
      </w:r>
      <w:r w:rsidRPr="00556E96">
        <w:rPr>
          <w:b/>
          <w:szCs w:val="26"/>
        </w:rPr>
        <w:t xml:space="preserve">or his response and has concluded its examination of the above. </w:t>
      </w:r>
    </w:p>
    <w:p w:rsidR="004A7CC9" w:rsidRDefault="004A7CC9" w:rsidP="004A7CC9">
      <w:pPr>
        <w:rPr>
          <w:szCs w:val="26"/>
        </w:rPr>
      </w:pPr>
      <w:r w:rsidRPr="00350996">
        <w:rPr>
          <w:szCs w:val="26"/>
        </w:rPr>
        <w:t>The committee notes the minister's advice that</w:t>
      </w:r>
      <w:r w:rsidR="007F18BB" w:rsidRPr="00350996">
        <w:rPr>
          <w:szCs w:val="26"/>
        </w:rPr>
        <w:t xml:space="preserve"> </w:t>
      </w:r>
      <w:r w:rsidR="004E4C5D" w:rsidRPr="00350996">
        <w:rPr>
          <w:szCs w:val="26"/>
        </w:rPr>
        <w:t>it</w:t>
      </w:r>
      <w:r w:rsidR="004E4C5D">
        <w:rPr>
          <w:szCs w:val="26"/>
        </w:rPr>
        <w:t xml:space="preserve"> appears possible that </w:t>
      </w:r>
      <w:r w:rsidR="004E4C5D" w:rsidRPr="004E4C5D">
        <w:rPr>
          <w:szCs w:val="26"/>
        </w:rPr>
        <w:t>patients covered by private health insurance who received treatment covered by the omitted MBS item</w:t>
      </w:r>
      <w:r w:rsidR="004E4C5D">
        <w:rPr>
          <w:szCs w:val="26"/>
        </w:rPr>
        <w:t xml:space="preserve"> in the given period </w:t>
      </w:r>
      <w:r w:rsidR="00350996">
        <w:rPr>
          <w:szCs w:val="26"/>
        </w:rPr>
        <w:t>may</w:t>
      </w:r>
      <w:r w:rsidR="004E4C5D" w:rsidRPr="004E4C5D">
        <w:rPr>
          <w:szCs w:val="26"/>
        </w:rPr>
        <w:t xml:space="preserve"> not have been paid hospital acco</w:t>
      </w:r>
      <w:r w:rsidR="004E4C5D">
        <w:rPr>
          <w:szCs w:val="26"/>
        </w:rPr>
        <w:t>m</w:t>
      </w:r>
      <w:r w:rsidR="004E4C5D" w:rsidRPr="004E4C5D">
        <w:rPr>
          <w:szCs w:val="26"/>
        </w:rPr>
        <w:t>moda</w:t>
      </w:r>
      <w:r w:rsidR="00350996">
        <w:rPr>
          <w:szCs w:val="26"/>
        </w:rPr>
        <w:t>tion benefits</w:t>
      </w:r>
      <w:r w:rsidR="004E4C5D" w:rsidRPr="004E4C5D">
        <w:rPr>
          <w:szCs w:val="26"/>
        </w:rPr>
        <w:t>.</w:t>
      </w:r>
      <w:r w:rsidR="004E4C5D">
        <w:rPr>
          <w:szCs w:val="26"/>
        </w:rPr>
        <w:t xml:space="preserve"> </w:t>
      </w:r>
    </w:p>
    <w:p w:rsidR="00BE7B57" w:rsidRDefault="00350996" w:rsidP="00350996">
      <w:pPr>
        <w:rPr>
          <w:szCs w:val="26"/>
        </w:rPr>
      </w:pPr>
      <w:r>
        <w:rPr>
          <w:szCs w:val="26"/>
        </w:rPr>
        <w:t xml:space="preserve">The committee also notes the minister's advice that </w:t>
      </w:r>
      <w:r w:rsidR="00386B23" w:rsidRPr="00386B23">
        <w:rPr>
          <w:szCs w:val="26"/>
        </w:rPr>
        <w:t xml:space="preserve">the </w:t>
      </w:r>
      <w:r w:rsidR="007E2601">
        <w:rPr>
          <w:szCs w:val="26"/>
        </w:rPr>
        <w:t>d</w:t>
      </w:r>
      <w:r w:rsidR="00386B23" w:rsidRPr="00386B23">
        <w:rPr>
          <w:szCs w:val="26"/>
        </w:rPr>
        <w:t>epartment has not received any correspondence, or other advice, that policyholders experienced out-of-pocket costs due to the amendment not being in effect on 1 May 2017.</w:t>
      </w:r>
    </w:p>
    <w:p w:rsidR="007E2601" w:rsidRDefault="007E2601" w:rsidP="00350996">
      <w:pPr>
        <w:rPr>
          <w:szCs w:val="26"/>
        </w:rPr>
      </w:pPr>
      <w:r>
        <w:rPr>
          <w:szCs w:val="26"/>
        </w:rPr>
        <w:t>The committee remains concerned, however, that it appears that the onus is being placed on policyholders to identify any shortfall. The committee draws this continuing concern to the minister's attention and requests that it be taken into account when similar circumstances arise in future.</w:t>
      </w:r>
    </w:p>
    <w:p w:rsidR="007E2601" w:rsidRDefault="007E2601" w:rsidP="00350996">
      <w:pPr>
        <w:rPr>
          <w:szCs w:val="26"/>
        </w:rPr>
      </w:pPr>
    </w:p>
    <w:p w:rsidR="00324919" w:rsidRDefault="00324919" w:rsidP="00350996">
      <w:pPr>
        <w:rPr>
          <w:szCs w:val="26"/>
        </w:rPr>
      </w:pPr>
    </w:p>
    <w:p w:rsidR="00324919" w:rsidRDefault="00324919" w:rsidP="00324919">
      <w:pPr>
        <w:rPr>
          <w:rFonts w:asciiTheme="minorHAnsi" w:hAnsiTheme="minorHAnsi"/>
          <w:lang w:eastAsia="en-AU"/>
        </w:rPr>
      </w:pPr>
    </w:p>
    <w:tbl>
      <w:tblPr>
        <w:tblW w:w="0" w:type="auto"/>
        <w:tblInd w:w="108" w:type="dxa"/>
        <w:tblLook w:val="04A0" w:firstRow="1" w:lastRow="0" w:firstColumn="1" w:lastColumn="0" w:noHBand="0" w:noVBand="1"/>
      </w:tblPr>
      <w:tblGrid>
        <w:gridCol w:w="2694"/>
        <w:gridCol w:w="6378"/>
      </w:tblGrid>
      <w:tr w:rsidR="00324919" w:rsidRPr="00322850" w:rsidTr="005370AD">
        <w:tc>
          <w:tcPr>
            <w:tcW w:w="2694" w:type="dxa"/>
            <w:tcBorders>
              <w:top w:val="single" w:sz="12" w:space="0" w:color="auto"/>
              <w:right w:val="single" w:sz="12" w:space="0" w:color="auto"/>
            </w:tcBorders>
          </w:tcPr>
          <w:p w:rsidR="00324919" w:rsidRPr="00322850" w:rsidRDefault="00324919" w:rsidP="005370AD">
            <w:pPr>
              <w:rPr>
                <w:b/>
                <w:sz w:val="24"/>
                <w:szCs w:val="24"/>
              </w:rPr>
            </w:pPr>
            <w:r w:rsidRPr="00322850">
              <w:rPr>
                <w:b/>
                <w:sz w:val="24"/>
                <w:szCs w:val="24"/>
              </w:rPr>
              <w:lastRenderedPageBreak/>
              <w:t>Instrument</w:t>
            </w:r>
          </w:p>
        </w:tc>
        <w:tc>
          <w:tcPr>
            <w:tcW w:w="6378" w:type="dxa"/>
            <w:tcBorders>
              <w:top w:val="single" w:sz="12" w:space="0" w:color="auto"/>
              <w:left w:val="single" w:sz="12" w:space="0" w:color="auto"/>
            </w:tcBorders>
          </w:tcPr>
          <w:p w:rsidR="00324919" w:rsidRPr="00322850" w:rsidRDefault="00324919" w:rsidP="005370AD">
            <w:pPr>
              <w:pStyle w:val="Heading3"/>
              <w:rPr>
                <w:sz w:val="24"/>
                <w:szCs w:val="24"/>
              </w:rPr>
            </w:pPr>
            <w:r w:rsidRPr="00735FE6">
              <w:rPr>
                <w:noProof/>
                <w:sz w:val="24"/>
                <w:szCs w:val="24"/>
              </w:rPr>
              <w:t>Social Security (Exemptions from Non-payment and Waiting Periods - Activities) Specification 2017 [F2017L00719]</w:t>
            </w:r>
          </w:p>
        </w:tc>
      </w:tr>
      <w:tr w:rsidR="00324919" w:rsidRPr="00322850" w:rsidTr="005370AD">
        <w:tc>
          <w:tcPr>
            <w:tcW w:w="2694" w:type="dxa"/>
            <w:tcBorders>
              <w:right w:val="single" w:sz="12" w:space="0" w:color="auto"/>
            </w:tcBorders>
          </w:tcPr>
          <w:p w:rsidR="00324919" w:rsidRPr="00322850" w:rsidRDefault="00324919" w:rsidP="005370AD">
            <w:pPr>
              <w:rPr>
                <w:b/>
                <w:sz w:val="24"/>
                <w:szCs w:val="24"/>
              </w:rPr>
            </w:pPr>
            <w:r w:rsidRPr="00322850">
              <w:rPr>
                <w:b/>
                <w:sz w:val="24"/>
                <w:szCs w:val="24"/>
              </w:rPr>
              <w:t>Purpose</w:t>
            </w:r>
          </w:p>
        </w:tc>
        <w:tc>
          <w:tcPr>
            <w:tcW w:w="6378" w:type="dxa"/>
            <w:tcBorders>
              <w:left w:val="single" w:sz="12" w:space="0" w:color="auto"/>
            </w:tcBorders>
          </w:tcPr>
          <w:p w:rsidR="00324919" w:rsidRPr="00322850" w:rsidRDefault="00324919" w:rsidP="005370AD">
            <w:pPr>
              <w:rPr>
                <w:sz w:val="24"/>
                <w:szCs w:val="24"/>
              </w:rPr>
            </w:pPr>
            <w:r w:rsidRPr="00735FE6">
              <w:rPr>
                <w:noProof/>
                <w:sz w:val="24"/>
                <w:szCs w:val="24"/>
              </w:rPr>
              <w:t>Revokes and replaces the Social Security (Exemptions from Non-payment and Waiting Peri</w:t>
            </w:r>
            <w:r>
              <w:rPr>
                <w:noProof/>
                <w:sz w:val="24"/>
                <w:szCs w:val="24"/>
              </w:rPr>
              <w:t>ods – Activities) Specification </w:t>
            </w:r>
            <w:r w:rsidRPr="00735FE6">
              <w:rPr>
                <w:noProof/>
                <w:sz w:val="24"/>
                <w:szCs w:val="24"/>
              </w:rPr>
              <w:t>2015</w:t>
            </w:r>
            <w:r>
              <w:t xml:space="preserve"> </w:t>
            </w:r>
            <w:r w:rsidRPr="00117C20">
              <w:rPr>
                <w:noProof/>
                <w:sz w:val="24"/>
                <w:szCs w:val="24"/>
              </w:rPr>
              <w:t>to reflect the extensio</w:t>
            </w:r>
            <w:r>
              <w:rPr>
                <w:noProof/>
                <w:sz w:val="24"/>
                <w:szCs w:val="24"/>
              </w:rPr>
              <w:t>n of the ordinary waiting p</w:t>
            </w:r>
            <w:r w:rsidRPr="00117C20">
              <w:rPr>
                <w:noProof/>
                <w:sz w:val="24"/>
                <w:szCs w:val="24"/>
              </w:rPr>
              <w:t>eriod to new payment types from 1 July 2017</w:t>
            </w:r>
          </w:p>
        </w:tc>
      </w:tr>
      <w:tr w:rsidR="00324919" w:rsidRPr="00322850" w:rsidTr="005370AD">
        <w:tc>
          <w:tcPr>
            <w:tcW w:w="2694" w:type="dxa"/>
            <w:tcBorders>
              <w:right w:val="single" w:sz="12" w:space="0" w:color="auto"/>
            </w:tcBorders>
          </w:tcPr>
          <w:p w:rsidR="00324919" w:rsidRPr="00322850" w:rsidRDefault="00324919" w:rsidP="005370AD">
            <w:pPr>
              <w:rPr>
                <w:b/>
                <w:sz w:val="24"/>
                <w:szCs w:val="24"/>
              </w:rPr>
            </w:pPr>
            <w:r w:rsidRPr="00322850">
              <w:rPr>
                <w:b/>
                <w:sz w:val="24"/>
                <w:szCs w:val="24"/>
              </w:rPr>
              <w:t>Authorising legislation</w:t>
            </w:r>
          </w:p>
        </w:tc>
        <w:tc>
          <w:tcPr>
            <w:tcW w:w="6378" w:type="dxa"/>
            <w:tcBorders>
              <w:left w:val="single" w:sz="12" w:space="0" w:color="auto"/>
            </w:tcBorders>
          </w:tcPr>
          <w:p w:rsidR="00324919" w:rsidRPr="00322850" w:rsidRDefault="00324919" w:rsidP="005370AD">
            <w:pPr>
              <w:rPr>
                <w:i/>
                <w:sz w:val="24"/>
                <w:szCs w:val="24"/>
              </w:rPr>
            </w:pPr>
            <w:r w:rsidRPr="00735FE6">
              <w:rPr>
                <w:i/>
                <w:noProof/>
                <w:sz w:val="24"/>
                <w:szCs w:val="24"/>
              </w:rPr>
              <w:t>Social Security Act 1991</w:t>
            </w:r>
          </w:p>
        </w:tc>
      </w:tr>
      <w:tr w:rsidR="00324919" w:rsidRPr="00322850" w:rsidTr="005370AD">
        <w:tc>
          <w:tcPr>
            <w:tcW w:w="2694" w:type="dxa"/>
            <w:tcBorders>
              <w:right w:val="single" w:sz="12" w:space="0" w:color="auto"/>
            </w:tcBorders>
          </w:tcPr>
          <w:p w:rsidR="00324919" w:rsidRPr="00322850" w:rsidRDefault="00324919" w:rsidP="005370AD">
            <w:pPr>
              <w:rPr>
                <w:b/>
                <w:sz w:val="24"/>
                <w:szCs w:val="24"/>
              </w:rPr>
            </w:pPr>
            <w:r w:rsidRPr="00322850">
              <w:rPr>
                <w:b/>
                <w:sz w:val="24"/>
                <w:szCs w:val="24"/>
              </w:rPr>
              <w:t>Department</w:t>
            </w:r>
          </w:p>
        </w:tc>
        <w:tc>
          <w:tcPr>
            <w:tcW w:w="6378" w:type="dxa"/>
            <w:tcBorders>
              <w:left w:val="single" w:sz="12" w:space="0" w:color="auto"/>
            </w:tcBorders>
          </w:tcPr>
          <w:p w:rsidR="00324919" w:rsidRPr="00322850" w:rsidRDefault="00324919" w:rsidP="005370AD">
            <w:pPr>
              <w:rPr>
                <w:sz w:val="24"/>
                <w:szCs w:val="24"/>
              </w:rPr>
            </w:pPr>
            <w:r w:rsidRPr="00735FE6">
              <w:rPr>
                <w:noProof/>
                <w:sz w:val="24"/>
                <w:szCs w:val="24"/>
              </w:rPr>
              <w:t>Social Services</w:t>
            </w:r>
          </w:p>
        </w:tc>
      </w:tr>
      <w:tr w:rsidR="00324919" w:rsidRPr="00322850" w:rsidTr="005370AD">
        <w:tc>
          <w:tcPr>
            <w:tcW w:w="2694" w:type="dxa"/>
            <w:tcBorders>
              <w:right w:val="single" w:sz="12" w:space="0" w:color="auto"/>
            </w:tcBorders>
          </w:tcPr>
          <w:p w:rsidR="00324919" w:rsidRPr="00322850" w:rsidRDefault="00324919" w:rsidP="005370AD">
            <w:pPr>
              <w:rPr>
                <w:b/>
                <w:sz w:val="24"/>
                <w:szCs w:val="24"/>
              </w:rPr>
            </w:pPr>
            <w:r>
              <w:rPr>
                <w:b/>
                <w:sz w:val="24"/>
                <w:szCs w:val="24"/>
              </w:rPr>
              <w:t>D</w:t>
            </w:r>
            <w:r w:rsidRPr="00322850">
              <w:rPr>
                <w:b/>
                <w:sz w:val="24"/>
                <w:szCs w:val="24"/>
              </w:rPr>
              <w:t>isallow</w:t>
            </w:r>
            <w:r>
              <w:rPr>
                <w:b/>
                <w:sz w:val="24"/>
                <w:szCs w:val="24"/>
              </w:rPr>
              <w:t>ance</w:t>
            </w:r>
          </w:p>
        </w:tc>
        <w:tc>
          <w:tcPr>
            <w:tcW w:w="6378" w:type="dxa"/>
            <w:tcBorders>
              <w:left w:val="single" w:sz="12" w:space="0" w:color="auto"/>
            </w:tcBorders>
          </w:tcPr>
          <w:p w:rsidR="00324919" w:rsidRPr="00322850" w:rsidRDefault="00324919" w:rsidP="005370AD">
            <w:pPr>
              <w:rPr>
                <w:sz w:val="24"/>
                <w:szCs w:val="24"/>
              </w:rPr>
            </w:pPr>
            <w:r>
              <w:rPr>
                <w:sz w:val="24"/>
                <w:szCs w:val="24"/>
              </w:rPr>
              <w:t xml:space="preserve">15 sitting days after tabling (tabled Senate </w:t>
            </w:r>
            <w:r w:rsidRPr="00735FE6">
              <w:rPr>
                <w:noProof/>
                <w:sz w:val="24"/>
                <w:szCs w:val="24"/>
              </w:rPr>
              <w:t>8 August</w:t>
            </w:r>
            <w:r>
              <w:rPr>
                <w:sz w:val="24"/>
                <w:szCs w:val="24"/>
              </w:rPr>
              <w:t xml:space="preserve"> 2017)</w:t>
            </w:r>
            <w:r>
              <w:rPr>
                <w:sz w:val="24"/>
                <w:szCs w:val="24"/>
              </w:rPr>
              <w:br/>
              <w:t>Notice of motion to disallow currently must be given by</w:t>
            </w:r>
            <w:r>
              <w:rPr>
                <w:sz w:val="24"/>
                <w:szCs w:val="24"/>
              </w:rPr>
              <w:br/>
            </w:r>
            <w:r w:rsidRPr="00735FE6">
              <w:rPr>
                <w:noProof/>
                <w:sz w:val="24"/>
                <w:szCs w:val="24"/>
              </w:rPr>
              <w:t>16 October</w:t>
            </w:r>
            <w:r>
              <w:rPr>
                <w:sz w:val="24"/>
                <w:szCs w:val="24"/>
              </w:rPr>
              <w:t xml:space="preserve"> 2017</w:t>
            </w:r>
          </w:p>
        </w:tc>
      </w:tr>
      <w:tr w:rsidR="00324919" w:rsidRPr="00322850" w:rsidTr="005370AD">
        <w:tc>
          <w:tcPr>
            <w:tcW w:w="2694" w:type="dxa"/>
            <w:tcBorders>
              <w:right w:val="single" w:sz="12" w:space="0" w:color="auto"/>
            </w:tcBorders>
          </w:tcPr>
          <w:p w:rsidR="00324919" w:rsidRPr="00322850" w:rsidRDefault="00324919" w:rsidP="005370AD">
            <w:pPr>
              <w:rPr>
                <w:b/>
                <w:sz w:val="24"/>
                <w:szCs w:val="24"/>
              </w:rPr>
            </w:pPr>
            <w:r w:rsidRPr="00322850">
              <w:rPr>
                <w:b/>
                <w:sz w:val="24"/>
                <w:szCs w:val="24"/>
              </w:rPr>
              <w:t>Scrutiny principle</w:t>
            </w:r>
          </w:p>
        </w:tc>
        <w:tc>
          <w:tcPr>
            <w:tcW w:w="6378" w:type="dxa"/>
            <w:tcBorders>
              <w:left w:val="single" w:sz="12" w:space="0" w:color="auto"/>
            </w:tcBorders>
          </w:tcPr>
          <w:p w:rsidR="00324919" w:rsidRPr="00322850" w:rsidRDefault="00324919" w:rsidP="005370AD">
            <w:pPr>
              <w:rPr>
                <w:sz w:val="24"/>
                <w:szCs w:val="24"/>
              </w:rPr>
            </w:pPr>
            <w:r w:rsidRPr="00322850">
              <w:rPr>
                <w:sz w:val="24"/>
                <w:szCs w:val="24"/>
              </w:rPr>
              <w:t>Standing Order 23(3)</w:t>
            </w:r>
            <w:r w:rsidRPr="00735FE6">
              <w:rPr>
                <w:noProof/>
                <w:sz w:val="24"/>
                <w:szCs w:val="24"/>
              </w:rPr>
              <w:t>(a)</w:t>
            </w:r>
          </w:p>
        </w:tc>
      </w:tr>
      <w:tr w:rsidR="00324919" w:rsidRPr="00322850" w:rsidTr="005370AD">
        <w:tc>
          <w:tcPr>
            <w:tcW w:w="2694" w:type="dxa"/>
            <w:tcBorders>
              <w:bottom w:val="single" w:sz="12" w:space="0" w:color="auto"/>
              <w:right w:val="single" w:sz="12" w:space="0" w:color="auto"/>
            </w:tcBorders>
          </w:tcPr>
          <w:p w:rsidR="00324919" w:rsidRPr="00556E96" w:rsidRDefault="00324919" w:rsidP="005370AD">
            <w:pPr>
              <w:rPr>
                <w:b/>
                <w:sz w:val="24"/>
                <w:szCs w:val="24"/>
              </w:rPr>
            </w:pPr>
            <w:r w:rsidRPr="00556E96">
              <w:rPr>
                <w:b/>
                <w:sz w:val="24"/>
                <w:szCs w:val="24"/>
              </w:rPr>
              <w:t>Previously reported in</w:t>
            </w:r>
          </w:p>
        </w:tc>
        <w:tc>
          <w:tcPr>
            <w:tcW w:w="6378" w:type="dxa"/>
            <w:tcBorders>
              <w:left w:val="single" w:sz="12" w:space="0" w:color="auto"/>
              <w:bottom w:val="single" w:sz="12" w:space="0" w:color="auto"/>
            </w:tcBorders>
          </w:tcPr>
          <w:p w:rsidR="00324919" w:rsidRPr="00556E96" w:rsidRDefault="00324919" w:rsidP="005370AD">
            <w:pPr>
              <w:rPr>
                <w:sz w:val="24"/>
                <w:szCs w:val="24"/>
              </w:rPr>
            </w:pPr>
            <w:r w:rsidRPr="00556E96">
              <w:rPr>
                <w:i/>
                <w:noProof/>
                <w:sz w:val="24"/>
                <w:szCs w:val="24"/>
              </w:rPr>
              <w:t>Delegated legislation monitor</w:t>
            </w:r>
            <w:r>
              <w:rPr>
                <w:noProof/>
                <w:sz w:val="24"/>
                <w:szCs w:val="24"/>
              </w:rPr>
              <w:t xml:space="preserve"> 8</w:t>
            </w:r>
            <w:r w:rsidRPr="00556E96">
              <w:rPr>
                <w:noProof/>
                <w:sz w:val="24"/>
                <w:szCs w:val="24"/>
              </w:rPr>
              <w:t xml:space="preserve"> of 2017</w:t>
            </w:r>
          </w:p>
        </w:tc>
      </w:tr>
    </w:tbl>
    <w:p w:rsidR="00324919" w:rsidRPr="00322850" w:rsidRDefault="00324919" w:rsidP="00324919">
      <w:pPr>
        <w:spacing w:before="0" w:after="0"/>
      </w:pPr>
    </w:p>
    <w:p w:rsidR="00324919" w:rsidRDefault="00324919" w:rsidP="00324919">
      <w:pPr>
        <w:rPr>
          <w:b/>
          <w:noProof/>
        </w:rPr>
      </w:pPr>
      <w:r>
        <w:rPr>
          <w:b/>
          <w:noProof/>
        </w:rPr>
        <w:t>Manner of incorporation</w:t>
      </w:r>
    </w:p>
    <w:p w:rsidR="00324919" w:rsidRPr="0012389A" w:rsidRDefault="00324919" w:rsidP="00324919">
      <w:pPr>
        <w:rPr>
          <w:b/>
          <w:noProof/>
        </w:rPr>
      </w:pPr>
      <w:r w:rsidRPr="00556E96">
        <w:rPr>
          <w:noProof/>
        </w:rPr>
        <w:t>The committee previously commented as follows:</w:t>
      </w:r>
    </w:p>
    <w:p w:rsidR="00324919" w:rsidRDefault="00324919" w:rsidP="00324919">
      <w:pPr>
        <w:rPr>
          <w:noProof/>
        </w:rPr>
      </w:pPr>
      <w:r>
        <w:rPr>
          <w:noProof/>
        </w:rPr>
        <w:t xml:space="preserve">Section 14 of the </w:t>
      </w:r>
      <w:r w:rsidRPr="005523F4">
        <w:rPr>
          <w:i/>
          <w:noProof/>
        </w:rPr>
        <w:t>Legislation Act 2003</w:t>
      </w:r>
      <w:r>
        <w:rPr>
          <w:noProof/>
        </w:rPr>
        <w:t xml:space="preserve"> allows legislative instruments to make provision in relation to matters by incorporating Acts and disallowable legislative instruments, either as in force at a particular time or as in force from time to time. Other documents may only be incorporated as in force at the commencement of the legislative instrument, unless authorising or other legislation alters the operation of section 14.  </w:t>
      </w:r>
    </w:p>
    <w:p w:rsidR="00324919" w:rsidRDefault="00324919" w:rsidP="00324919">
      <w:pPr>
        <w:rPr>
          <w:noProof/>
        </w:rPr>
      </w:pPr>
      <w:r>
        <w:rPr>
          <w:noProof/>
        </w:rPr>
        <w:t xml:space="preserve">With reference to the above, the committee notes that the definition of </w:t>
      </w:r>
      <w:r>
        <w:rPr>
          <w:b/>
          <w:i/>
          <w:noProof/>
        </w:rPr>
        <w:t>Stream C employment services</w:t>
      </w:r>
      <w:r>
        <w:rPr>
          <w:b/>
          <w:noProof/>
        </w:rPr>
        <w:t xml:space="preserve"> </w:t>
      </w:r>
      <w:r>
        <w:rPr>
          <w:noProof/>
        </w:rPr>
        <w:t xml:space="preserve">in section 5 of the instrument incorporates the </w:t>
      </w:r>
      <w:r>
        <w:rPr>
          <w:i/>
          <w:noProof/>
        </w:rPr>
        <w:t>jobactive Deed 2015-2020</w:t>
      </w:r>
      <w:r>
        <w:rPr>
          <w:noProof/>
        </w:rPr>
        <w:t>. However, neither the instrument nor the ES state the manner in which this document is incorporated.</w:t>
      </w:r>
    </w:p>
    <w:p w:rsidR="00324919" w:rsidRDefault="00324919" w:rsidP="00324919">
      <w:pPr>
        <w:rPr>
          <w:noProof/>
        </w:rPr>
      </w:pPr>
      <w:r>
        <w:rPr>
          <w:noProof/>
        </w:rPr>
        <w:t xml:space="preserve">The committee expects instruments (and ideally their accompanying ESs) to clearly state the manner in which documents are incorporated (that is, either as in force from time to time or as in force at a particular time). This enables persons interested in or affected by the instrument to understand its operation without the need to rely on specialist legal knowledge or advice, or consult extrinsic material. </w:t>
      </w:r>
    </w:p>
    <w:p w:rsidR="00324919" w:rsidRPr="0010765E" w:rsidRDefault="00324919" w:rsidP="00324919">
      <w:pPr>
        <w:rPr>
          <w:rFonts w:asciiTheme="minorHAnsi" w:hAnsiTheme="minorHAnsi"/>
          <w:lang w:eastAsia="en-AU"/>
        </w:rPr>
      </w:pPr>
      <w:r w:rsidRPr="00574CB6">
        <w:rPr>
          <w:rFonts w:asciiTheme="minorHAnsi" w:hAnsiTheme="minorHAnsi"/>
          <w:lang w:eastAsia="en-AU"/>
        </w:rPr>
        <w:lastRenderedPageBreak/>
        <w:t xml:space="preserve">The committee's expectations in this regard are set out in the guideline on incorporation </w:t>
      </w:r>
      <w:r>
        <w:rPr>
          <w:rFonts w:asciiTheme="minorHAnsi" w:hAnsiTheme="minorHAnsi"/>
          <w:lang w:eastAsia="en-AU"/>
        </w:rPr>
        <w:t>of documents published on the committee's website</w:t>
      </w:r>
      <w:r w:rsidRPr="00574CB6">
        <w:rPr>
          <w:rFonts w:asciiTheme="minorHAnsi" w:hAnsiTheme="minorHAnsi"/>
          <w:lang w:eastAsia="en-AU"/>
        </w:rPr>
        <w:t>.</w:t>
      </w:r>
      <w:r>
        <w:rPr>
          <w:rStyle w:val="FootnoteReference"/>
          <w:rFonts w:asciiTheme="minorHAnsi" w:hAnsiTheme="minorHAnsi"/>
          <w:lang w:eastAsia="en-AU"/>
        </w:rPr>
        <w:footnoteReference w:id="59"/>
      </w:r>
      <w:r w:rsidRPr="001B5C80">
        <w:rPr>
          <w:rFonts w:asciiTheme="minorHAnsi" w:hAnsiTheme="minorHAnsi"/>
          <w:lang w:eastAsia="en-AU"/>
        </w:rPr>
        <w:t xml:space="preserve"> </w:t>
      </w:r>
    </w:p>
    <w:p w:rsidR="00324919" w:rsidRPr="00056D45" w:rsidRDefault="00324919" w:rsidP="00324919">
      <w:pPr>
        <w:spacing w:after="0"/>
        <w:rPr>
          <w:noProof/>
        </w:rPr>
      </w:pPr>
      <w:r w:rsidRPr="00056D45">
        <w:rPr>
          <w:noProof/>
        </w:rPr>
        <w:t>The commit</w:t>
      </w:r>
      <w:r>
        <w:rPr>
          <w:noProof/>
        </w:rPr>
        <w:t>tee requested</w:t>
      </w:r>
      <w:r w:rsidRPr="00056D45">
        <w:rPr>
          <w:noProof/>
        </w:rPr>
        <w:t xml:space="preserve"> the advice of the minister in relation to the above.</w:t>
      </w:r>
    </w:p>
    <w:p w:rsidR="00324919" w:rsidRPr="00556E96" w:rsidRDefault="00324919" w:rsidP="00324919">
      <w:pPr>
        <w:tabs>
          <w:tab w:val="left" w:pos="2268"/>
        </w:tabs>
        <w:rPr>
          <w:b/>
          <w:noProof/>
        </w:rPr>
      </w:pPr>
      <w:r w:rsidRPr="00556E96">
        <w:rPr>
          <w:b/>
          <w:noProof/>
        </w:rPr>
        <w:t>Minister's response</w:t>
      </w:r>
    </w:p>
    <w:p w:rsidR="00324919" w:rsidRDefault="00324919" w:rsidP="00324919">
      <w:pPr>
        <w:rPr>
          <w:noProof/>
        </w:rPr>
      </w:pPr>
      <w:r w:rsidRPr="00556E96">
        <w:rPr>
          <w:noProof/>
        </w:rPr>
        <w:t xml:space="preserve">The </w:t>
      </w:r>
      <w:r>
        <w:rPr>
          <w:noProof/>
        </w:rPr>
        <w:t>Minister for Social Services</w:t>
      </w:r>
      <w:r w:rsidRPr="00F45435">
        <w:t xml:space="preserve"> </w:t>
      </w:r>
      <w:r w:rsidRPr="00556E96">
        <w:rPr>
          <w:noProof/>
        </w:rPr>
        <w:t>advised:</w:t>
      </w:r>
    </w:p>
    <w:p w:rsidR="00324919" w:rsidRDefault="00324919" w:rsidP="00324919">
      <w:pPr>
        <w:pStyle w:val="Quote"/>
        <w:rPr>
          <w:noProof/>
        </w:rPr>
      </w:pPr>
      <w:r>
        <w:rPr>
          <w:noProof/>
        </w:rPr>
        <w:t>In response to the Committee's concerns, a replacement explanatory statement that includes a description of the incorporated document and how it may be obtained will be registered on the Federal Register of Legislation and tabled prior to the expiration of the disallowance period.</w:t>
      </w:r>
    </w:p>
    <w:p w:rsidR="00324919" w:rsidRPr="00301FAD" w:rsidRDefault="00324919" w:rsidP="00324919">
      <w:pPr>
        <w:pStyle w:val="Quote"/>
        <w:ind w:left="0"/>
        <w:rPr>
          <w:b/>
          <w:noProof/>
          <w:sz w:val="26"/>
        </w:rPr>
      </w:pPr>
      <w:r w:rsidRPr="00301FAD">
        <w:rPr>
          <w:b/>
          <w:noProof/>
          <w:sz w:val="26"/>
        </w:rPr>
        <w:t>Committee's response</w:t>
      </w:r>
    </w:p>
    <w:p w:rsidR="00324919" w:rsidRDefault="00324919" w:rsidP="00324919">
      <w:pPr>
        <w:tabs>
          <w:tab w:val="left" w:pos="2268"/>
        </w:tabs>
        <w:rPr>
          <w:szCs w:val="26"/>
        </w:rPr>
      </w:pPr>
      <w:r w:rsidRPr="008B0EEC">
        <w:rPr>
          <w:b/>
          <w:szCs w:val="26"/>
        </w:rPr>
        <w:t>The committee thanks the minister for his response</w:t>
      </w:r>
      <w:r>
        <w:rPr>
          <w:b/>
          <w:szCs w:val="26"/>
        </w:rPr>
        <w:t xml:space="preserve"> and has concluded its examination of the instrument</w:t>
      </w:r>
      <w:r w:rsidRPr="008B0EEC">
        <w:rPr>
          <w:b/>
          <w:szCs w:val="26"/>
        </w:rPr>
        <w:t>.</w:t>
      </w:r>
    </w:p>
    <w:p w:rsidR="00324919" w:rsidRDefault="00324919" w:rsidP="00324919">
      <w:pPr>
        <w:tabs>
          <w:tab w:val="left" w:pos="2268"/>
        </w:tabs>
        <w:rPr>
          <w:szCs w:val="26"/>
        </w:rPr>
      </w:pPr>
      <w:r>
        <w:rPr>
          <w:szCs w:val="26"/>
        </w:rPr>
        <w:t xml:space="preserve">The committee </w:t>
      </w:r>
      <w:r w:rsidRPr="008B0EEC">
        <w:rPr>
          <w:szCs w:val="26"/>
        </w:rPr>
        <w:t xml:space="preserve">notes </w:t>
      </w:r>
      <w:r>
        <w:rPr>
          <w:szCs w:val="26"/>
        </w:rPr>
        <w:t>that a</w:t>
      </w:r>
      <w:r w:rsidRPr="008B0EEC">
        <w:rPr>
          <w:szCs w:val="26"/>
        </w:rPr>
        <w:t xml:space="preserve"> replace</w:t>
      </w:r>
      <w:r>
        <w:rPr>
          <w:szCs w:val="26"/>
        </w:rPr>
        <w:t>ment ES that</w:t>
      </w:r>
      <w:r w:rsidRPr="008B0EEC">
        <w:rPr>
          <w:szCs w:val="26"/>
        </w:rPr>
        <w:t xml:space="preserve"> address</w:t>
      </w:r>
      <w:r>
        <w:rPr>
          <w:szCs w:val="26"/>
        </w:rPr>
        <w:t>es</w:t>
      </w:r>
      <w:r w:rsidRPr="008B0EEC">
        <w:rPr>
          <w:szCs w:val="26"/>
        </w:rPr>
        <w:t xml:space="preserve"> the committee's concerns</w:t>
      </w:r>
      <w:r>
        <w:rPr>
          <w:szCs w:val="26"/>
        </w:rPr>
        <w:t xml:space="preserve"> regarding incorporation of the document has been registered on the Federal Register of Legislation</w:t>
      </w:r>
      <w:r w:rsidRPr="008B0EEC">
        <w:rPr>
          <w:szCs w:val="26"/>
        </w:rPr>
        <w:t xml:space="preserve">. </w:t>
      </w:r>
      <w:r>
        <w:rPr>
          <w:szCs w:val="26"/>
        </w:rPr>
        <w:t>The relevant extract from the ES states:</w:t>
      </w:r>
    </w:p>
    <w:p w:rsidR="00324919" w:rsidRPr="00324919" w:rsidRDefault="00324919" w:rsidP="00324919">
      <w:pPr>
        <w:pStyle w:val="Quote"/>
      </w:pPr>
      <w:r>
        <w:rPr>
          <w:i/>
          <w:iCs/>
        </w:rPr>
        <w:t xml:space="preserve">Stream C employment services </w:t>
      </w:r>
      <w:r>
        <w:t xml:space="preserve">means those services specified as Stream C in the ‘jobactive Deed 2015-2020’. Stream C employment services are provided to the most disadvantaged or long-term unemployed jobseekers. The jobactive Deed 2015-2020 can be accessed on the Department of Employment’s website at </w:t>
      </w:r>
      <w:hyperlink r:id="rId31" w:history="1">
        <w:r w:rsidRPr="00324919">
          <w:rPr>
            <w:rStyle w:val="Hyperlink"/>
          </w:rPr>
          <w:t>https://docs.employment.gov.au/system/files /doc/other/jobactive_deed _2015-2020_-_general_deed_variation_5.pdf.</w:t>
        </w:r>
      </w:hyperlink>
      <w:r>
        <w:t xml:space="preserve"> The version of the Deed to be applied under this instrument is the Deed available on the Department of Employment’s website on the commencement day for the 2017 Specification.</w:t>
      </w:r>
    </w:p>
    <w:p w:rsidR="00324919" w:rsidRDefault="00324919" w:rsidP="00350996">
      <w:pPr>
        <w:rPr>
          <w:szCs w:val="26"/>
        </w:rPr>
      </w:pPr>
    </w:p>
    <w:p w:rsidR="00BE7B57" w:rsidRDefault="00BE7B57">
      <w:pPr>
        <w:spacing w:before="0" w:after="0"/>
        <w:jc w:val="left"/>
        <w:rPr>
          <w:szCs w:val="26"/>
        </w:rPr>
      </w:pPr>
      <w:r>
        <w:rPr>
          <w:szCs w:val="26"/>
        </w:rPr>
        <w:br w:type="page"/>
      </w:r>
    </w:p>
    <w:tbl>
      <w:tblPr>
        <w:tblW w:w="0" w:type="auto"/>
        <w:tblInd w:w="108" w:type="dxa"/>
        <w:tblLook w:val="04A0" w:firstRow="1" w:lastRow="0" w:firstColumn="1" w:lastColumn="0" w:noHBand="0" w:noVBand="1"/>
      </w:tblPr>
      <w:tblGrid>
        <w:gridCol w:w="2694"/>
        <w:gridCol w:w="6378"/>
      </w:tblGrid>
      <w:tr w:rsidR="00BE7B57" w:rsidRPr="008B0EEC" w:rsidTr="00841609">
        <w:tc>
          <w:tcPr>
            <w:tcW w:w="2694" w:type="dxa"/>
            <w:tcBorders>
              <w:top w:val="single" w:sz="12" w:space="0" w:color="auto"/>
              <w:right w:val="single" w:sz="12" w:space="0" w:color="auto"/>
            </w:tcBorders>
          </w:tcPr>
          <w:p w:rsidR="00BE7B57" w:rsidRPr="008B0EEC" w:rsidRDefault="00BE7B57" w:rsidP="00841609">
            <w:pPr>
              <w:rPr>
                <w:b/>
                <w:sz w:val="24"/>
                <w:szCs w:val="24"/>
              </w:rPr>
            </w:pPr>
            <w:r w:rsidRPr="008B0EEC">
              <w:rPr>
                <w:b/>
                <w:noProof/>
              </w:rPr>
              <w:lastRenderedPageBreak/>
              <w:br w:type="page"/>
            </w:r>
            <w:r w:rsidRPr="008B0EEC">
              <w:rPr>
                <w:b/>
                <w:sz w:val="24"/>
                <w:szCs w:val="24"/>
              </w:rPr>
              <w:t>Instrument</w:t>
            </w:r>
          </w:p>
        </w:tc>
        <w:tc>
          <w:tcPr>
            <w:tcW w:w="6378" w:type="dxa"/>
            <w:tcBorders>
              <w:top w:val="single" w:sz="12" w:space="0" w:color="auto"/>
              <w:left w:val="single" w:sz="12" w:space="0" w:color="auto"/>
            </w:tcBorders>
          </w:tcPr>
          <w:p w:rsidR="00BE7B57" w:rsidRPr="008B0EEC" w:rsidRDefault="00BE7B57" w:rsidP="00841609">
            <w:pPr>
              <w:pStyle w:val="Heading3"/>
              <w:rPr>
                <w:sz w:val="24"/>
                <w:szCs w:val="24"/>
              </w:rPr>
            </w:pPr>
            <w:r w:rsidRPr="008B0EEC">
              <w:rPr>
                <w:noProof/>
                <w:sz w:val="24"/>
                <w:szCs w:val="24"/>
              </w:rPr>
              <w:t>VET Student Loans (Charges) Regulations 2017 [F2017L00821]</w:t>
            </w:r>
          </w:p>
        </w:tc>
      </w:tr>
      <w:tr w:rsidR="00BE7B57" w:rsidRPr="008B0EEC" w:rsidTr="00841609">
        <w:tc>
          <w:tcPr>
            <w:tcW w:w="2694" w:type="dxa"/>
            <w:tcBorders>
              <w:right w:val="single" w:sz="12" w:space="0" w:color="auto"/>
            </w:tcBorders>
          </w:tcPr>
          <w:p w:rsidR="00BE7B57" w:rsidRPr="008B0EEC" w:rsidRDefault="00BE7B57" w:rsidP="00841609">
            <w:pPr>
              <w:rPr>
                <w:b/>
                <w:sz w:val="24"/>
                <w:szCs w:val="24"/>
              </w:rPr>
            </w:pPr>
            <w:r w:rsidRPr="008B0EEC">
              <w:rPr>
                <w:b/>
                <w:sz w:val="24"/>
                <w:szCs w:val="24"/>
              </w:rPr>
              <w:t>Purpose</w:t>
            </w:r>
          </w:p>
        </w:tc>
        <w:tc>
          <w:tcPr>
            <w:tcW w:w="6378" w:type="dxa"/>
            <w:tcBorders>
              <w:left w:val="single" w:sz="12" w:space="0" w:color="auto"/>
            </w:tcBorders>
          </w:tcPr>
          <w:p w:rsidR="00BE7B57" w:rsidRPr="008B0EEC" w:rsidRDefault="00BE7B57" w:rsidP="00841609">
            <w:pPr>
              <w:rPr>
                <w:sz w:val="24"/>
                <w:szCs w:val="24"/>
              </w:rPr>
            </w:pPr>
            <w:r w:rsidRPr="008B0EEC">
              <w:rPr>
                <w:noProof/>
                <w:sz w:val="24"/>
                <w:szCs w:val="24"/>
              </w:rPr>
              <w:t xml:space="preserve">Prescribes the charge payble by an approved course provider for a financial year </w:t>
            </w:r>
          </w:p>
        </w:tc>
      </w:tr>
      <w:tr w:rsidR="00BE7B57" w:rsidRPr="008B0EEC" w:rsidTr="00841609">
        <w:tc>
          <w:tcPr>
            <w:tcW w:w="2694" w:type="dxa"/>
            <w:tcBorders>
              <w:right w:val="single" w:sz="12" w:space="0" w:color="auto"/>
            </w:tcBorders>
          </w:tcPr>
          <w:p w:rsidR="00BE7B57" w:rsidRPr="008B0EEC" w:rsidRDefault="00BE7B57" w:rsidP="00841609">
            <w:pPr>
              <w:rPr>
                <w:b/>
                <w:sz w:val="24"/>
                <w:szCs w:val="24"/>
              </w:rPr>
            </w:pPr>
            <w:r w:rsidRPr="008B0EEC">
              <w:rPr>
                <w:b/>
                <w:sz w:val="24"/>
                <w:szCs w:val="24"/>
              </w:rPr>
              <w:t>Authorising legislation</w:t>
            </w:r>
          </w:p>
        </w:tc>
        <w:tc>
          <w:tcPr>
            <w:tcW w:w="6378" w:type="dxa"/>
            <w:tcBorders>
              <w:left w:val="single" w:sz="12" w:space="0" w:color="auto"/>
            </w:tcBorders>
          </w:tcPr>
          <w:p w:rsidR="00BE7B57" w:rsidRPr="008B0EEC" w:rsidRDefault="00BE7B57" w:rsidP="00841609">
            <w:pPr>
              <w:rPr>
                <w:i/>
                <w:sz w:val="24"/>
                <w:szCs w:val="24"/>
              </w:rPr>
            </w:pPr>
            <w:r w:rsidRPr="008B0EEC">
              <w:rPr>
                <w:i/>
                <w:noProof/>
                <w:sz w:val="24"/>
                <w:szCs w:val="24"/>
              </w:rPr>
              <w:t>VET Student Loans (Charges) Act 2016</w:t>
            </w:r>
          </w:p>
        </w:tc>
      </w:tr>
      <w:tr w:rsidR="00BE7B57" w:rsidRPr="008B0EEC" w:rsidTr="00841609">
        <w:tc>
          <w:tcPr>
            <w:tcW w:w="2694" w:type="dxa"/>
            <w:tcBorders>
              <w:right w:val="single" w:sz="12" w:space="0" w:color="auto"/>
            </w:tcBorders>
          </w:tcPr>
          <w:p w:rsidR="00BE7B57" w:rsidRPr="008B0EEC" w:rsidRDefault="00BE7B57" w:rsidP="00841609">
            <w:pPr>
              <w:rPr>
                <w:b/>
                <w:sz w:val="24"/>
                <w:szCs w:val="24"/>
              </w:rPr>
            </w:pPr>
            <w:r w:rsidRPr="008B0EEC">
              <w:rPr>
                <w:b/>
                <w:sz w:val="24"/>
                <w:szCs w:val="24"/>
              </w:rPr>
              <w:t>Department</w:t>
            </w:r>
          </w:p>
        </w:tc>
        <w:tc>
          <w:tcPr>
            <w:tcW w:w="6378" w:type="dxa"/>
            <w:tcBorders>
              <w:left w:val="single" w:sz="12" w:space="0" w:color="auto"/>
            </w:tcBorders>
          </w:tcPr>
          <w:p w:rsidR="00BE7B57" w:rsidRPr="008B0EEC" w:rsidRDefault="00BE7B57" w:rsidP="00841609">
            <w:pPr>
              <w:rPr>
                <w:sz w:val="24"/>
                <w:szCs w:val="24"/>
              </w:rPr>
            </w:pPr>
            <w:r w:rsidRPr="008B0EEC">
              <w:rPr>
                <w:noProof/>
                <w:sz w:val="24"/>
                <w:szCs w:val="24"/>
              </w:rPr>
              <w:t>Education and Training</w:t>
            </w:r>
          </w:p>
        </w:tc>
      </w:tr>
      <w:tr w:rsidR="00BE7B57" w:rsidRPr="008B0EEC" w:rsidTr="00841609">
        <w:tc>
          <w:tcPr>
            <w:tcW w:w="2694" w:type="dxa"/>
            <w:tcBorders>
              <w:right w:val="single" w:sz="12" w:space="0" w:color="auto"/>
            </w:tcBorders>
          </w:tcPr>
          <w:p w:rsidR="00BE7B57" w:rsidRPr="008B0EEC" w:rsidRDefault="00BE7B57" w:rsidP="00841609">
            <w:pPr>
              <w:rPr>
                <w:b/>
                <w:sz w:val="24"/>
                <w:szCs w:val="24"/>
              </w:rPr>
            </w:pPr>
            <w:r w:rsidRPr="008B0EEC">
              <w:rPr>
                <w:b/>
                <w:sz w:val="24"/>
                <w:szCs w:val="24"/>
              </w:rPr>
              <w:t>Disallowance</w:t>
            </w:r>
          </w:p>
        </w:tc>
        <w:tc>
          <w:tcPr>
            <w:tcW w:w="6378" w:type="dxa"/>
            <w:tcBorders>
              <w:left w:val="single" w:sz="12" w:space="0" w:color="auto"/>
            </w:tcBorders>
          </w:tcPr>
          <w:p w:rsidR="00BE7B57" w:rsidRPr="008B0EEC" w:rsidRDefault="00BE7B57" w:rsidP="00841609">
            <w:pPr>
              <w:rPr>
                <w:sz w:val="24"/>
                <w:szCs w:val="24"/>
              </w:rPr>
            </w:pPr>
            <w:r w:rsidRPr="008B0EEC">
              <w:rPr>
                <w:sz w:val="24"/>
                <w:szCs w:val="24"/>
              </w:rPr>
              <w:t xml:space="preserve">15 sitting days after tabling (tabled Senate </w:t>
            </w:r>
            <w:r w:rsidRPr="008B0EEC">
              <w:rPr>
                <w:noProof/>
                <w:sz w:val="24"/>
                <w:szCs w:val="24"/>
              </w:rPr>
              <w:t>8 August</w:t>
            </w:r>
            <w:r w:rsidRPr="008B0EEC">
              <w:rPr>
                <w:sz w:val="24"/>
                <w:szCs w:val="24"/>
              </w:rPr>
              <w:t xml:space="preserve"> 2017)</w:t>
            </w:r>
            <w:r w:rsidRPr="008B0EEC">
              <w:rPr>
                <w:sz w:val="24"/>
                <w:szCs w:val="24"/>
              </w:rPr>
              <w:br/>
              <w:t>Notice of motion to disallow currently must be given by</w:t>
            </w:r>
            <w:r w:rsidRPr="008B0EEC">
              <w:rPr>
                <w:sz w:val="24"/>
                <w:szCs w:val="24"/>
              </w:rPr>
              <w:br/>
            </w:r>
            <w:r w:rsidRPr="008B0EEC">
              <w:rPr>
                <w:noProof/>
                <w:sz w:val="24"/>
                <w:szCs w:val="24"/>
              </w:rPr>
              <w:t>16 October</w:t>
            </w:r>
            <w:r w:rsidRPr="008B0EEC">
              <w:rPr>
                <w:sz w:val="24"/>
                <w:szCs w:val="24"/>
              </w:rPr>
              <w:t xml:space="preserve"> 2017</w:t>
            </w:r>
          </w:p>
        </w:tc>
      </w:tr>
      <w:tr w:rsidR="00BE7B57" w:rsidRPr="008B0EEC" w:rsidTr="00BE7B57">
        <w:tc>
          <w:tcPr>
            <w:tcW w:w="2694" w:type="dxa"/>
            <w:tcBorders>
              <w:right w:val="single" w:sz="12" w:space="0" w:color="auto"/>
            </w:tcBorders>
          </w:tcPr>
          <w:p w:rsidR="00BE7B57" w:rsidRPr="008B0EEC" w:rsidRDefault="00BE7B57" w:rsidP="00841609">
            <w:pPr>
              <w:rPr>
                <w:b/>
                <w:sz w:val="24"/>
                <w:szCs w:val="24"/>
              </w:rPr>
            </w:pPr>
            <w:r w:rsidRPr="008B0EEC">
              <w:rPr>
                <w:b/>
                <w:sz w:val="24"/>
                <w:szCs w:val="24"/>
              </w:rPr>
              <w:t>Scrutiny principle</w:t>
            </w:r>
          </w:p>
        </w:tc>
        <w:tc>
          <w:tcPr>
            <w:tcW w:w="6378" w:type="dxa"/>
            <w:tcBorders>
              <w:left w:val="single" w:sz="12" w:space="0" w:color="auto"/>
            </w:tcBorders>
          </w:tcPr>
          <w:p w:rsidR="00BE7B57" w:rsidRPr="008B0EEC" w:rsidRDefault="00BE7B57" w:rsidP="00734C2E">
            <w:pPr>
              <w:rPr>
                <w:sz w:val="24"/>
                <w:szCs w:val="24"/>
              </w:rPr>
            </w:pPr>
            <w:r w:rsidRPr="008B0EEC">
              <w:rPr>
                <w:sz w:val="24"/>
                <w:szCs w:val="24"/>
              </w:rPr>
              <w:t>Standing Order 23(3)</w:t>
            </w:r>
            <w:r w:rsidRPr="008B0EEC">
              <w:rPr>
                <w:noProof/>
                <w:sz w:val="24"/>
                <w:szCs w:val="24"/>
              </w:rPr>
              <w:t>(</w:t>
            </w:r>
            <w:r w:rsidR="00734C2E">
              <w:rPr>
                <w:noProof/>
                <w:sz w:val="24"/>
                <w:szCs w:val="24"/>
              </w:rPr>
              <w:t>a</w:t>
            </w:r>
            <w:r w:rsidRPr="008B0EEC">
              <w:rPr>
                <w:noProof/>
                <w:sz w:val="24"/>
                <w:szCs w:val="24"/>
              </w:rPr>
              <w:t>)</w:t>
            </w:r>
          </w:p>
        </w:tc>
      </w:tr>
      <w:tr w:rsidR="00BE7B57" w:rsidRPr="008B0EEC" w:rsidTr="00841609">
        <w:tc>
          <w:tcPr>
            <w:tcW w:w="2694" w:type="dxa"/>
            <w:tcBorders>
              <w:bottom w:val="single" w:sz="12" w:space="0" w:color="auto"/>
              <w:right w:val="single" w:sz="12" w:space="0" w:color="auto"/>
            </w:tcBorders>
          </w:tcPr>
          <w:p w:rsidR="00BE7B57" w:rsidRPr="00556E96" w:rsidRDefault="00BE7B57" w:rsidP="00841609">
            <w:pPr>
              <w:rPr>
                <w:b/>
                <w:sz w:val="24"/>
                <w:szCs w:val="24"/>
              </w:rPr>
            </w:pPr>
            <w:r w:rsidRPr="00556E96">
              <w:rPr>
                <w:b/>
                <w:sz w:val="24"/>
                <w:szCs w:val="24"/>
              </w:rPr>
              <w:t>Previously reported in</w:t>
            </w:r>
          </w:p>
        </w:tc>
        <w:tc>
          <w:tcPr>
            <w:tcW w:w="6378" w:type="dxa"/>
            <w:tcBorders>
              <w:left w:val="single" w:sz="12" w:space="0" w:color="auto"/>
              <w:bottom w:val="single" w:sz="12" w:space="0" w:color="auto"/>
            </w:tcBorders>
          </w:tcPr>
          <w:p w:rsidR="00BE7B57" w:rsidRPr="00556E96" w:rsidRDefault="00BE7B57" w:rsidP="00841609">
            <w:pPr>
              <w:rPr>
                <w:sz w:val="24"/>
                <w:szCs w:val="24"/>
              </w:rPr>
            </w:pPr>
            <w:r w:rsidRPr="00556E96">
              <w:rPr>
                <w:i/>
                <w:noProof/>
                <w:sz w:val="24"/>
                <w:szCs w:val="24"/>
              </w:rPr>
              <w:t>Delegated legislation monitor</w:t>
            </w:r>
            <w:r>
              <w:rPr>
                <w:noProof/>
                <w:sz w:val="24"/>
                <w:szCs w:val="24"/>
              </w:rPr>
              <w:t xml:space="preserve"> 10</w:t>
            </w:r>
            <w:r w:rsidRPr="00556E96">
              <w:rPr>
                <w:noProof/>
                <w:sz w:val="24"/>
                <w:szCs w:val="24"/>
              </w:rPr>
              <w:t xml:space="preserve"> of 2017</w:t>
            </w:r>
          </w:p>
        </w:tc>
      </w:tr>
    </w:tbl>
    <w:p w:rsidR="00BE7B57" w:rsidRPr="008B0EEC" w:rsidRDefault="00BE7B57" w:rsidP="00BE7B57">
      <w:pPr>
        <w:spacing w:before="0" w:after="0"/>
      </w:pPr>
    </w:p>
    <w:p w:rsidR="00BE7B57" w:rsidRPr="008B0EEC" w:rsidRDefault="00BE7B57" w:rsidP="00BE7B57">
      <w:pPr>
        <w:rPr>
          <w:b/>
          <w:noProof/>
        </w:rPr>
      </w:pPr>
      <w:r w:rsidRPr="008B0EEC">
        <w:rPr>
          <w:b/>
          <w:noProof/>
        </w:rPr>
        <w:t>Unclear basis for determining fees</w:t>
      </w:r>
    </w:p>
    <w:p w:rsidR="00BE7B57" w:rsidRPr="0012389A" w:rsidRDefault="00BE7B57" w:rsidP="00BE7B57">
      <w:pPr>
        <w:rPr>
          <w:b/>
          <w:noProof/>
        </w:rPr>
      </w:pPr>
      <w:r w:rsidRPr="00556E96">
        <w:rPr>
          <w:noProof/>
        </w:rPr>
        <w:t>The committee previously commented as follows:</w:t>
      </w:r>
    </w:p>
    <w:p w:rsidR="00BE7B57" w:rsidRPr="008B0EEC" w:rsidRDefault="00BE7B57" w:rsidP="00BE7B57">
      <w:pPr>
        <w:rPr>
          <w:noProof/>
        </w:rPr>
      </w:pPr>
      <w:r w:rsidRPr="008B0EEC">
        <w:rPr>
          <w:noProof/>
        </w:rPr>
        <w:t>Section 8 of the regulations prescribes the charge payable by an approved course provider for a financial year. The fees range between $1,280 and $62,870, depending on whether the provider is a small, medium or a large provider for the financial year. However, the ES does not specify the basis on which these fees have been calculated.</w:t>
      </w:r>
    </w:p>
    <w:p w:rsidR="00BE7B57" w:rsidRPr="008B0EEC" w:rsidRDefault="00BE7B57" w:rsidP="00BE7B57">
      <w:pPr>
        <w:rPr>
          <w:noProof/>
        </w:rPr>
      </w:pPr>
      <w:r w:rsidRPr="008B0EEC">
        <w:rPr>
          <w:noProof/>
        </w:rPr>
        <w:t>The committee’s usual expectation in cases where an instrument of delegated legislation carries financial implications via the imposition of a charge, fee, levy, scale or rate of costs or payment is that the relevant ES makes clear the specific basis on which an individual imposition or change has been calculated.</w:t>
      </w:r>
    </w:p>
    <w:p w:rsidR="00BE7B57" w:rsidRPr="00BE7B57" w:rsidRDefault="00BE7B57" w:rsidP="00BE7B57">
      <w:pPr>
        <w:rPr>
          <w:noProof/>
        </w:rPr>
      </w:pPr>
      <w:r w:rsidRPr="00BE7B57">
        <w:rPr>
          <w:noProof/>
        </w:rPr>
        <w:t xml:space="preserve">The committee </w:t>
      </w:r>
      <w:r w:rsidR="00DD5FFC" w:rsidRPr="00BE7B57">
        <w:rPr>
          <w:noProof/>
        </w:rPr>
        <w:t>request</w:t>
      </w:r>
      <w:r w:rsidR="00DD5FFC">
        <w:rPr>
          <w:noProof/>
        </w:rPr>
        <w:t>ed</w:t>
      </w:r>
      <w:r w:rsidR="00DD5FFC" w:rsidRPr="00BE7B57">
        <w:rPr>
          <w:noProof/>
        </w:rPr>
        <w:t xml:space="preserve"> </w:t>
      </w:r>
      <w:r w:rsidRPr="00BE7B57">
        <w:rPr>
          <w:noProof/>
        </w:rPr>
        <w:t>the advice of the minister in relation to the above.</w:t>
      </w:r>
    </w:p>
    <w:p w:rsidR="00BE7B57" w:rsidRPr="00556E96" w:rsidRDefault="00BE7B57" w:rsidP="00BE7B57">
      <w:pPr>
        <w:tabs>
          <w:tab w:val="left" w:pos="2268"/>
        </w:tabs>
        <w:rPr>
          <w:b/>
          <w:noProof/>
        </w:rPr>
      </w:pPr>
      <w:r w:rsidRPr="00556E96">
        <w:rPr>
          <w:b/>
          <w:noProof/>
        </w:rPr>
        <w:t>Minister's response</w:t>
      </w:r>
    </w:p>
    <w:p w:rsidR="00BE7B57" w:rsidRDefault="00BE7B57" w:rsidP="00BE7B57">
      <w:pPr>
        <w:rPr>
          <w:noProof/>
        </w:rPr>
      </w:pPr>
      <w:r w:rsidRPr="00556E96">
        <w:rPr>
          <w:noProof/>
        </w:rPr>
        <w:t xml:space="preserve">The </w:t>
      </w:r>
      <w:r w:rsidRPr="00BE7B57">
        <w:rPr>
          <w:noProof/>
        </w:rPr>
        <w:t>Assistant Minister for Vocational Education and Skills</w:t>
      </w:r>
      <w:r w:rsidRPr="00F45435">
        <w:t xml:space="preserve"> </w:t>
      </w:r>
      <w:r w:rsidRPr="00556E96">
        <w:rPr>
          <w:noProof/>
        </w:rPr>
        <w:t>advised:</w:t>
      </w:r>
    </w:p>
    <w:p w:rsidR="00777DA8" w:rsidRDefault="00777DA8" w:rsidP="00777DA8">
      <w:pPr>
        <w:pStyle w:val="Quote"/>
        <w:rPr>
          <w:noProof/>
        </w:rPr>
      </w:pPr>
      <w:r>
        <w:rPr>
          <w:noProof/>
        </w:rPr>
        <w:t>Consistent with the Australian Government Cost Recovery Guidelines, all details regarding the methodology for setting the annual charge rates are set out in a Cost Recovery Implementation Statement.</w:t>
      </w:r>
    </w:p>
    <w:p w:rsidR="00777DA8" w:rsidRDefault="00777DA8" w:rsidP="00777DA8">
      <w:pPr>
        <w:pStyle w:val="Quote"/>
        <w:rPr>
          <w:noProof/>
        </w:rPr>
      </w:pPr>
      <w:r>
        <w:rPr>
          <w:noProof/>
        </w:rPr>
        <w:t>The annual charge applies to all approved VET Student Loans providers and assists with recovering the costs associated with program administration. These include compliance and auditing, payments, processing and actioning complaints, and provider and student management costs.</w:t>
      </w:r>
    </w:p>
    <w:p w:rsidR="00777DA8" w:rsidRDefault="00777DA8" w:rsidP="00777DA8">
      <w:pPr>
        <w:pStyle w:val="Quote"/>
        <w:rPr>
          <w:noProof/>
        </w:rPr>
      </w:pPr>
      <w:r>
        <w:rPr>
          <w:noProof/>
        </w:rPr>
        <w:t>As outlined in the Cost Recovery Implementation Statement, the annual charge rates were determined according to the following methodology:</w:t>
      </w:r>
    </w:p>
    <w:p w:rsidR="00777DA8" w:rsidRDefault="00777DA8" w:rsidP="00777DA8">
      <w:pPr>
        <w:pStyle w:val="Quote"/>
        <w:numPr>
          <w:ilvl w:val="0"/>
          <w:numId w:val="40"/>
        </w:numPr>
        <w:rPr>
          <w:noProof/>
        </w:rPr>
      </w:pPr>
      <w:r>
        <w:rPr>
          <w:noProof/>
        </w:rPr>
        <w:lastRenderedPageBreak/>
        <w:t>Identifying the activities that comprise the administration of VET Student Loans;</w:t>
      </w:r>
    </w:p>
    <w:p w:rsidR="00777DA8" w:rsidRDefault="00777DA8" w:rsidP="00777DA8">
      <w:pPr>
        <w:pStyle w:val="Quote"/>
        <w:numPr>
          <w:ilvl w:val="0"/>
          <w:numId w:val="40"/>
        </w:numPr>
        <w:rPr>
          <w:noProof/>
        </w:rPr>
      </w:pPr>
      <w:r>
        <w:rPr>
          <w:noProof/>
        </w:rPr>
        <w:t>Determining whether the regulatory effort for each activity applies equally across all providers, or whether some providers will require more regulatory effort than others;</w:t>
      </w:r>
    </w:p>
    <w:p w:rsidR="00777DA8" w:rsidRDefault="00777DA8" w:rsidP="00777DA8">
      <w:pPr>
        <w:pStyle w:val="Quote"/>
        <w:numPr>
          <w:ilvl w:val="0"/>
          <w:numId w:val="40"/>
        </w:numPr>
        <w:rPr>
          <w:noProof/>
        </w:rPr>
      </w:pPr>
      <w:r>
        <w:rPr>
          <w:noProof/>
        </w:rPr>
        <w:t>Estimating the effort (time, skill and resources) required to complete each activity; and</w:t>
      </w:r>
    </w:p>
    <w:p w:rsidR="00777DA8" w:rsidRDefault="00777DA8" w:rsidP="00777DA8">
      <w:pPr>
        <w:pStyle w:val="Quote"/>
        <w:numPr>
          <w:ilvl w:val="0"/>
          <w:numId w:val="40"/>
        </w:numPr>
        <w:rPr>
          <w:noProof/>
        </w:rPr>
      </w:pPr>
      <w:r>
        <w:rPr>
          <w:noProof/>
        </w:rPr>
        <w:t>Calculating the total cost of each activity.</w:t>
      </w:r>
    </w:p>
    <w:p w:rsidR="00BE7B57" w:rsidRDefault="00777DA8" w:rsidP="00777DA8">
      <w:pPr>
        <w:pStyle w:val="Quote"/>
        <w:rPr>
          <w:noProof/>
        </w:rPr>
      </w:pPr>
      <w:r>
        <w:rPr>
          <w:noProof/>
        </w:rPr>
        <w:t>A key driver in setting the annual charge rates was that the regulatory effort required to administer the program was proportionate to the enrolment numbers at any particular provider. As a result, three annual charge amounts of $1,280, $12,480 and $62,870, based on student enrolments, were arrived at.</w:t>
      </w:r>
    </w:p>
    <w:p w:rsidR="00777DA8" w:rsidRDefault="00777DA8" w:rsidP="00777DA8">
      <w:pPr>
        <w:pStyle w:val="Quote"/>
        <w:rPr>
          <w:noProof/>
        </w:rPr>
      </w:pPr>
      <w:r>
        <w:rPr>
          <w:noProof/>
        </w:rPr>
        <w:t xml:space="preserve">I have enclosed the Cost Recovery Implementation Statement for your information. The Statement is also available at </w:t>
      </w:r>
      <w:hyperlink r:id="rId32" w:history="1">
        <w:r w:rsidRPr="00CE4B76">
          <w:rPr>
            <w:rStyle w:val="Hyperlink"/>
            <w:noProof/>
          </w:rPr>
          <w:t>www.education.gov.au/vet-student-loans</w:t>
        </w:r>
      </w:hyperlink>
      <w:r>
        <w:rPr>
          <w:noProof/>
        </w:rPr>
        <w:t>.</w:t>
      </w:r>
    </w:p>
    <w:p w:rsidR="00777DA8" w:rsidRDefault="00777DA8" w:rsidP="00777DA8">
      <w:pPr>
        <w:pStyle w:val="Quote"/>
        <w:rPr>
          <w:noProof/>
        </w:rPr>
      </w:pPr>
      <w:r>
        <w:rPr>
          <w:noProof/>
        </w:rPr>
        <w:t>In drafting future explanatory statements, I will endeavour to ensure that information of this nature is more clearly presented and that links to relevant documents are provided.</w:t>
      </w:r>
    </w:p>
    <w:p w:rsidR="00BE7B57" w:rsidRPr="00301FAD" w:rsidRDefault="00BE7B57" w:rsidP="00BE7B57">
      <w:pPr>
        <w:pStyle w:val="Quote"/>
        <w:ind w:left="0"/>
        <w:rPr>
          <w:b/>
          <w:noProof/>
          <w:sz w:val="26"/>
        </w:rPr>
      </w:pPr>
      <w:r w:rsidRPr="00301FAD">
        <w:rPr>
          <w:b/>
          <w:noProof/>
          <w:sz w:val="26"/>
        </w:rPr>
        <w:t>Committee's response</w:t>
      </w:r>
    </w:p>
    <w:p w:rsidR="00BE7B57" w:rsidRDefault="00BE7B57" w:rsidP="00BE7B57">
      <w:pPr>
        <w:rPr>
          <w:b/>
          <w:szCs w:val="26"/>
        </w:rPr>
      </w:pPr>
      <w:r w:rsidRPr="00556E96">
        <w:rPr>
          <w:b/>
          <w:szCs w:val="26"/>
        </w:rPr>
        <w:t>T</w:t>
      </w:r>
      <w:r>
        <w:rPr>
          <w:b/>
          <w:szCs w:val="26"/>
        </w:rPr>
        <w:t xml:space="preserve">he committee thanks </w:t>
      </w:r>
      <w:r w:rsidRPr="004A7CC9">
        <w:rPr>
          <w:b/>
          <w:szCs w:val="26"/>
        </w:rPr>
        <w:t xml:space="preserve">the </w:t>
      </w:r>
      <w:r w:rsidR="00482E72">
        <w:rPr>
          <w:b/>
          <w:noProof/>
        </w:rPr>
        <w:t>a</w:t>
      </w:r>
      <w:r w:rsidRPr="004A7CC9">
        <w:rPr>
          <w:b/>
          <w:noProof/>
        </w:rPr>
        <w:t xml:space="preserve">ssistant </w:t>
      </w:r>
      <w:r w:rsidR="00482E72">
        <w:rPr>
          <w:b/>
          <w:noProof/>
        </w:rPr>
        <w:t>m</w:t>
      </w:r>
      <w:r w:rsidRPr="004A7CC9">
        <w:rPr>
          <w:b/>
          <w:noProof/>
        </w:rPr>
        <w:t>inister</w:t>
      </w:r>
      <w:r w:rsidRPr="004A7CC9">
        <w:rPr>
          <w:b/>
          <w:szCs w:val="26"/>
        </w:rPr>
        <w:t xml:space="preserve"> f</w:t>
      </w:r>
      <w:r>
        <w:rPr>
          <w:b/>
          <w:szCs w:val="26"/>
        </w:rPr>
        <w:t>or her</w:t>
      </w:r>
      <w:r w:rsidRPr="00556E96">
        <w:rPr>
          <w:b/>
          <w:szCs w:val="26"/>
        </w:rPr>
        <w:t xml:space="preserve"> response and has concluded its examination of the above. </w:t>
      </w:r>
    </w:p>
    <w:p w:rsidR="00804C7B" w:rsidRDefault="00E577D1" w:rsidP="00804C7B">
      <w:pPr>
        <w:rPr>
          <w:szCs w:val="26"/>
        </w:rPr>
      </w:pPr>
      <w:r>
        <w:rPr>
          <w:szCs w:val="26"/>
        </w:rPr>
        <w:t>The committee notes that this information would have been useful in the ES, and further notes the minister's advice that, i</w:t>
      </w:r>
      <w:r w:rsidRPr="00E577D1">
        <w:rPr>
          <w:szCs w:val="26"/>
        </w:rPr>
        <w:t xml:space="preserve">n drafting future explanatory statements, </w:t>
      </w:r>
      <w:r>
        <w:rPr>
          <w:szCs w:val="26"/>
        </w:rPr>
        <w:t>she</w:t>
      </w:r>
      <w:r w:rsidRPr="00E577D1">
        <w:rPr>
          <w:szCs w:val="26"/>
        </w:rPr>
        <w:t xml:space="preserve"> will endeavour to ensure that information of this nature is more clearly presented and that links to relevant documents are provided.</w:t>
      </w:r>
    </w:p>
    <w:p w:rsidR="00F919CA" w:rsidRDefault="00F919CA" w:rsidP="00F919CA">
      <w:pPr>
        <w:spacing w:before="0" w:after="0"/>
        <w:jc w:val="left"/>
        <w:rPr>
          <w:szCs w:val="26"/>
        </w:rPr>
      </w:pPr>
    </w:p>
    <w:p w:rsidR="00F919CA" w:rsidRDefault="00F919CA" w:rsidP="00F919CA">
      <w:pPr>
        <w:spacing w:before="0" w:after="0"/>
        <w:jc w:val="left"/>
        <w:rPr>
          <w:szCs w:val="26"/>
        </w:rPr>
      </w:pPr>
    </w:p>
    <w:p w:rsidR="00F919CA" w:rsidRDefault="00F919CA" w:rsidP="00F919CA">
      <w:pPr>
        <w:spacing w:before="0" w:after="0"/>
        <w:jc w:val="left"/>
        <w:rPr>
          <w:szCs w:val="26"/>
        </w:rPr>
      </w:pPr>
    </w:p>
    <w:p w:rsidR="00F919CA" w:rsidRDefault="00F919CA" w:rsidP="00F919CA">
      <w:pPr>
        <w:spacing w:before="0" w:after="0"/>
        <w:jc w:val="left"/>
        <w:rPr>
          <w:szCs w:val="26"/>
        </w:rPr>
      </w:pPr>
    </w:p>
    <w:p w:rsidR="00A27907" w:rsidRPr="00A27907" w:rsidRDefault="00A27907" w:rsidP="00F919CA">
      <w:pPr>
        <w:spacing w:before="0" w:after="0"/>
        <w:jc w:val="left"/>
        <w:rPr>
          <w:b/>
          <w:szCs w:val="26"/>
        </w:rPr>
      </w:pPr>
      <w:r w:rsidRPr="00A27907">
        <w:rPr>
          <w:b/>
          <w:szCs w:val="26"/>
        </w:rPr>
        <w:t>Senator John Williams (Chair)</w:t>
      </w:r>
    </w:p>
    <w:p w:rsidR="00520991" w:rsidRPr="00A27907" w:rsidRDefault="00520991" w:rsidP="00E21712">
      <w:pPr>
        <w:spacing w:before="0" w:after="0"/>
        <w:jc w:val="left"/>
      </w:pPr>
    </w:p>
    <w:sectPr w:rsidR="00520991" w:rsidRPr="00A27907" w:rsidSect="00930631">
      <w:headerReference w:type="first" r:id="rId33"/>
      <w:pgSz w:w="11906" w:h="16838" w:code="9"/>
      <w:pgMar w:top="1440" w:right="1440" w:bottom="1202" w:left="1440" w:header="1134" w:footer="720" w:gutter="0"/>
      <w:pgNumType w:start="39"/>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721" w:rsidRDefault="002B2721">
      <w:r>
        <w:separator/>
      </w:r>
    </w:p>
  </w:endnote>
  <w:endnote w:type="continuationSeparator" w:id="0">
    <w:p w:rsidR="002B2721" w:rsidRDefault="002B2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721" w:rsidRDefault="002B2721">
    <w:pPr>
      <w:pStyle w:val="Footer"/>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721" w:rsidRPr="00C82746" w:rsidRDefault="002B2721" w:rsidP="002B2721">
    <w:pPr>
      <w:pStyle w:val="Footer"/>
      <w:jc w:val="center"/>
      <w:rPr>
        <w:rFonts w:asciiTheme="minorHAnsi" w:hAnsiTheme="min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721" w:rsidRDefault="002B2721">
    <w:pPr>
      <w:pStyle w:val="Footer"/>
      <w:tabs>
        <w:tab w:val="clear" w:pos="4153"/>
        <w:tab w:val="clear" w:pos="8306"/>
        <w:tab w:val="right" w:pos="900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721" w:rsidRDefault="002B2721">
    <w:pPr>
      <w:pStyle w:val="Footer"/>
      <w:tabs>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721" w:rsidRPr="00C82746" w:rsidRDefault="002B2721" w:rsidP="002B2721">
    <w:pPr>
      <w:pStyle w:val="Footer"/>
      <w:jc w:val="center"/>
      <w:rPr>
        <w:rFonts w:asciiTheme="minorHAnsi" w:hAnsiTheme="minorHAns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721" w:rsidRDefault="002B2721">
    <w:pPr>
      <w:pStyle w:val="Footer"/>
      <w:tabs>
        <w:tab w:val="clear" w:pos="4153"/>
        <w:tab w:val="clear" w:pos="8306"/>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721" w:rsidRDefault="002B2721">
    <w:pPr>
      <w:pStyle w:val="Footer"/>
      <w:tabs>
        <w:tab w:val="clear" w:pos="4153"/>
        <w:tab w:val="clear" w:pos="8306"/>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721" w:rsidRDefault="002B2721">
    <w:pPr>
      <w:pStyle w:val="Footer"/>
      <w:tabs>
        <w:tab w:val="clear" w:pos="4153"/>
        <w:tab w:val="clear" w:pos="8306"/>
        <w:tab w:val="right" w:pos="9000"/>
      </w:tabs>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721" w:rsidRDefault="002B2721">
    <w:pPr>
      <w:pStyle w:val="Footer"/>
      <w:tabs>
        <w:tab w:val="clear" w:pos="4153"/>
        <w:tab w:val="clear"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721" w:rsidRDefault="002B2721">
      <w:r>
        <w:separator/>
      </w:r>
    </w:p>
  </w:footnote>
  <w:footnote w:type="continuationSeparator" w:id="0">
    <w:p w:rsidR="002B2721" w:rsidRDefault="002B2721">
      <w:r>
        <w:continuationSeparator/>
      </w:r>
    </w:p>
  </w:footnote>
  <w:footnote w:id="1">
    <w:p w:rsidR="002B2721" w:rsidRPr="008109C8" w:rsidRDefault="002B2721" w:rsidP="00CD18D3">
      <w:pPr>
        <w:pStyle w:val="FootnoteText"/>
        <w:spacing w:after="80"/>
        <w:rPr>
          <w:rFonts w:asciiTheme="minorHAnsi" w:hAnsiTheme="minorHAnsi"/>
        </w:rPr>
      </w:pPr>
      <w:r w:rsidRPr="006C4B8B">
        <w:rPr>
          <w:rStyle w:val="FootnoteReference"/>
          <w:rFonts w:ascii="Calibri" w:hAnsi="Calibri"/>
          <w:vertAlign w:val="baseline"/>
        </w:rPr>
        <w:footnoteRef/>
      </w:r>
      <w:r w:rsidRPr="006C4B8B">
        <w:rPr>
          <w:rFonts w:ascii="Calibri" w:hAnsi="Calibri"/>
        </w:rPr>
        <w:t xml:space="preserve"> </w:t>
      </w:r>
      <w:r w:rsidRPr="006C4B8B">
        <w:rPr>
          <w:rFonts w:ascii="Calibri" w:hAnsi="Calibri"/>
        </w:rPr>
        <w:tab/>
      </w:r>
      <w:r w:rsidRPr="008109C8">
        <w:rPr>
          <w:rFonts w:asciiTheme="minorHAnsi" w:hAnsiTheme="minorHAnsi"/>
        </w:rPr>
        <w:t xml:space="preserve">For further information on the disallowance process and the work of the committee see </w:t>
      </w:r>
      <w:r>
        <w:rPr>
          <w:rFonts w:asciiTheme="minorHAnsi" w:hAnsiTheme="minorHAnsi"/>
          <w:i/>
        </w:rPr>
        <w:t>Odger</w:t>
      </w:r>
      <w:r w:rsidRPr="008109C8">
        <w:rPr>
          <w:rFonts w:asciiTheme="minorHAnsi" w:hAnsiTheme="minorHAnsi"/>
          <w:i/>
        </w:rPr>
        <w:t>s</w:t>
      </w:r>
      <w:r>
        <w:rPr>
          <w:rFonts w:asciiTheme="minorHAnsi" w:hAnsiTheme="minorHAnsi"/>
          <w:i/>
        </w:rPr>
        <w:t xml:space="preserve">' </w:t>
      </w:r>
      <w:r w:rsidRPr="008109C8">
        <w:rPr>
          <w:rFonts w:asciiTheme="minorHAnsi" w:hAnsiTheme="minorHAnsi"/>
          <w:i/>
        </w:rPr>
        <w:t>Australian Senate Practice</w:t>
      </w:r>
      <w:r>
        <w:rPr>
          <w:rFonts w:asciiTheme="minorHAnsi" w:hAnsiTheme="minorHAnsi"/>
        </w:rPr>
        <w:t>, 14th Edition (2016</w:t>
      </w:r>
      <w:r w:rsidRPr="008109C8">
        <w:rPr>
          <w:rFonts w:asciiTheme="minorHAnsi" w:hAnsiTheme="minorHAnsi"/>
        </w:rPr>
        <w:t>), Chapter 15.</w:t>
      </w:r>
    </w:p>
  </w:footnote>
  <w:footnote w:id="2">
    <w:p w:rsidR="002B2721" w:rsidRPr="006C4B8B" w:rsidRDefault="002B2721" w:rsidP="00CD18D3">
      <w:pPr>
        <w:pStyle w:val="FootnoteText"/>
        <w:spacing w:after="120"/>
        <w:rPr>
          <w:rFonts w:ascii="Calibri" w:hAnsi="Calibri"/>
        </w:rPr>
      </w:pPr>
      <w:r w:rsidRPr="006C4B8B">
        <w:rPr>
          <w:rStyle w:val="FootnoteReference"/>
          <w:rFonts w:ascii="Calibri" w:hAnsi="Calibri"/>
          <w:vertAlign w:val="baseline"/>
        </w:rPr>
        <w:footnoteRef/>
      </w:r>
      <w:r w:rsidRPr="006C4B8B">
        <w:rPr>
          <w:rFonts w:ascii="Calibri" w:hAnsi="Calibri"/>
        </w:rPr>
        <w:t xml:space="preserve"> </w:t>
      </w:r>
      <w:r w:rsidRPr="006C4B8B">
        <w:rPr>
          <w:rFonts w:ascii="Calibri" w:hAnsi="Calibri"/>
        </w:rPr>
        <w:tab/>
        <w:t>Parliament of Australia, Senate Standing Committee</w:t>
      </w:r>
      <w:r>
        <w:rPr>
          <w:rFonts w:ascii="Calibri" w:hAnsi="Calibri"/>
        </w:rPr>
        <w:t xml:space="preserve"> on Regulations and Ordinances,</w:t>
      </w:r>
      <w:r>
        <w:rPr>
          <w:rFonts w:ascii="Calibri" w:hAnsi="Calibri"/>
        </w:rPr>
        <w:br/>
      </w:r>
      <w:r w:rsidRPr="006C4B8B">
        <w:rPr>
          <w:rFonts w:ascii="Calibri" w:hAnsi="Calibri"/>
          <w:i/>
        </w:rPr>
        <w:t>Index of instruments</w:t>
      </w:r>
      <w:r w:rsidRPr="006C4B8B">
        <w:rPr>
          <w:rFonts w:ascii="Calibri" w:hAnsi="Calibri"/>
        </w:rPr>
        <w:t xml:space="preserve">, </w:t>
      </w:r>
      <w:hyperlink r:id="rId1" w:history="1">
        <w:r w:rsidRPr="006C4B8B">
          <w:rPr>
            <w:rStyle w:val="Hyperlink"/>
            <w:rFonts w:ascii="Calibri" w:hAnsi="Calibri"/>
          </w:rPr>
          <w:t>http://www.aph.gov.au/Parliamentary_Business/Committees/Senate/</w:t>
        </w:r>
        <w:r w:rsidRPr="006C4B8B">
          <w:rPr>
            <w:rStyle w:val="Hyperlink"/>
            <w:rFonts w:ascii="Calibri" w:hAnsi="Calibri"/>
          </w:rPr>
          <w:br/>
          <w:t>Regulations_and_Ordinances/Index</w:t>
        </w:r>
      </w:hyperlink>
      <w:r w:rsidRPr="006C4B8B">
        <w:rPr>
          <w:rFonts w:ascii="Calibri" w:hAnsi="Calibri"/>
        </w:rPr>
        <w:t>.</w:t>
      </w:r>
    </w:p>
  </w:footnote>
  <w:footnote w:id="3">
    <w:p w:rsidR="002B2721" w:rsidRPr="00EA011E" w:rsidRDefault="002B2721" w:rsidP="00CD18D3">
      <w:pPr>
        <w:pStyle w:val="FootnoteText"/>
        <w:spacing w:after="120"/>
        <w:rPr>
          <w:rFonts w:ascii="Calibri" w:hAnsi="Calibri"/>
        </w:rPr>
      </w:pPr>
      <w:r w:rsidRPr="00EA011E">
        <w:rPr>
          <w:rStyle w:val="FootnoteReference"/>
          <w:rFonts w:ascii="Calibri" w:hAnsi="Calibri"/>
          <w:vertAlign w:val="baseline"/>
        </w:rPr>
        <w:footnoteRef/>
      </w:r>
      <w:r w:rsidRPr="00EA011E">
        <w:rPr>
          <w:rFonts w:ascii="Calibri" w:hAnsi="Calibri"/>
        </w:rPr>
        <w:t xml:space="preserve"> </w:t>
      </w:r>
      <w:r w:rsidRPr="00EA011E">
        <w:rPr>
          <w:rFonts w:ascii="Calibri" w:hAnsi="Calibri"/>
        </w:rPr>
        <w:tab/>
        <w:t xml:space="preserve">See </w:t>
      </w:r>
      <w:hyperlink r:id="rId2" w:history="1">
        <w:r w:rsidRPr="00EA011E">
          <w:rPr>
            <w:rStyle w:val="Hyperlink"/>
            <w:rFonts w:ascii="Calibri" w:hAnsi="Calibri"/>
          </w:rPr>
          <w:t>www.aph.gov.au/regords_monitor</w:t>
        </w:r>
      </w:hyperlink>
      <w:r w:rsidRPr="001E00DD">
        <w:rPr>
          <w:rStyle w:val="Hyperlink"/>
          <w:rFonts w:ascii="Calibri" w:hAnsi="Calibri"/>
          <w:u w:val="none"/>
        </w:rPr>
        <w:t>.</w:t>
      </w:r>
      <w:r w:rsidRPr="00EA011E">
        <w:rPr>
          <w:rFonts w:ascii="Calibri" w:hAnsi="Calibri"/>
        </w:rPr>
        <w:t xml:space="preserve"> </w:t>
      </w:r>
    </w:p>
  </w:footnote>
  <w:footnote w:id="4">
    <w:p w:rsidR="002B2721" w:rsidRPr="00EA011E" w:rsidRDefault="002B2721" w:rsidP="00CD18D3">
      <w:pPr>
        <w:pStyle w:val="FootnoteText"/>
        <w:spacing w:after="120"/>
        <w:rPr>
          <w:rFonts w:ascii="Calibri" w:hAnsi="Calibri"/>
        </w:rPr>
      </w:pPr>
      <w:r w:rsidRPr="00EA011E">
        <w:rPr>
          <w:rStyle w:val="FootnoteReference"/>
          <w:rFonts w:ascii="Calibri" w:hAnsi="Calibri"/>
          <w:vertAlign w:val="baseline"/>
        </w:rPr>
        <w:footnoteRef/>
      </w:r>
      <w:r w:rsidRPr="00EA011E">
        <w:rPr>
          <w:rFonts w:ascii="Calibri" w:hAnsi="Calibri"/>
        </w:rPr>
        <w:t xml:space="preserve"> </w:t>
      </w:r>
      <w:r w:rsidRPr="00EA011E">
        <w:rPr>
          <w:rFonts w:ascii="Calibri" w:hAnsi="Calibri"/>
        </w:rPr>
        <w:tab/>
      </w:r>
      <w:r>
        <w:rPr>
          <w:rFonts w:ascii="Calibri" w:hAnsi="Calibri"/>
        </w:rPr>
        <w:t xml:space="preserve">See </w:t>
      </w:r>
      <w:hyperlink r:id="rId3" w:history="1">
        <w:r w:rsidRPr="00EA011E">
          <w:rPr>
            <w:rStyle w:val="Hyperlink"/>
            <w:rFonts w:ascii="Calibri" w:hAnsi="Calibri"/>
          </w:rPr>
          <w:t>www.aph.gov.au/Parliamentary_Business/Committees/Senate/Regulations_and_</w:t>
        </w:r>
        <w:r w:rsidRPr="00EA011E">
          <w:rPr>
            <w:rStyle w:val="Hyperlink"/>
            <w:rFonts w:ascii="Calibri" w:hAnsi="Calibri"/>
          </w:rPr>
          <w:br/>
          <w:t>Ordinances/Guidelines</w:t>
        </w:r>
      </w:hyperlink>
      <w:r w:rsidRPr="001E00DD">
        <w:rPr>
          <w:rStyle w:val="Hyperlink"/>
          <w:rFonts w:ascii="Calibri" w:hAnsi="Calibri"/>
          <w:u w:val="none"/>
        </w:rPr>
        <w:t>.</w:t>
      </w:r>
    </w:p>
  </w:footnote>
  <w:footnote w:id="5">
    <w:p w:rsidR="002B2721" w:rsidRPr="008109C8" w:rsidRDefault="002B2721" w:rsidP="00CD18D3">
      <w:pPr>
        <w:pStyle w:val="FootnoteText"/>
        <w:spacing w:after="80"/>
        <w:rPr>
          <w:rFonts w:asciiTheme="minorHAnsi" w:hAnsiTheme="minorHAnsi"/>
        </w:rPr>
      </w:pPr>
      <w:r w:rsidRPr="006C4B8B">
        <w:rPr>
          <w:rStyle w:val="FootnoteReference"/>
          <w:rFonts w:ascii="Calibri" w:hAnsi="Calibri"/>
          <w:vertAlign w:val="baseline"/>
        </w:rPr>
        <w:footnoteRef/>
      </w:r>
      <w:r w:rsidRPr="006C4B8B">
        <w:rPr>
          <w:rFonts w:ascii="Calibri" w:hAnsi="Calibri"/>
        </w:rPr>
        <w:t xml:space="preserve"> </w:t>
      </w:r>
      <w:r w:rsidRPr="006C4B8B">
        <w:rPr>
          <w:rFonts w:ascii="Calibri" w:hAnsi="Calibri"/>
        </w:rPr>
        <w:tab/>
        <w:t>Se</w:t>
      </w:r>
      <w:r w:rsidRPr="008109C8">
        <w:rPr>
          <w:rFonts w:asciiTheme="minorHAnsi" w:hAnsiTheme="minorHAnsi"/>
        </w:rPr>
        <w:t xml:space="preserve">e Australian Government, Federal Register of Legislation, </w:t>
      </w:r>
      <w:hyperlink r:id="rId4" w:history="1">
        <w:r w:rsidRPr="008109C8">
          <w:rPr>
            <w:rStyle w:val="Hyperlink"/>
            <w:rFonts w:asciiTheme="minorHAnsi" w:hAnsiTheme="minorHAnsi"/>
          </w:rPr>
          <w:t>www.legislation.gov.au</w:t>
        </w:r>
      </w:hyperlink>
      <w:r w:rsidRPr="008109C8">
        <w:rPr>
          <w:rFonts w:asciiTheme="minorHAnsi" w:hAnsiTheme="minorHAnsi"/>
        </w:rPr>
        <w:t xml:space="preserve">. </w:t>
      </w:r>
    </w:p>
  </w:footnote>
  <w:footnote w:id="6">
    <w:p w:rsidR="002B2721" w:rsidRPr="006C4B8B" w:rsidRDefault="002B2721" w:rsidP="00CD18D3">
      <w:pPr>
        <w:pStyle w:val="FootnoteText"/>
        <w:spacing w:after="80"/>
        <w:rPr>
          <w:rFonts w:ascii="Calibri" w:hAnsi="Calibri"/>
        </w:rPr>
      </w:pPr>
      <w:r w:rsidRPr="006C4B8B">
        <w:rPr>
          <w:rStyle w:val="FootnoteReference"/>
          <w:rFonts w:ascii="Calibri" w:hAnsi="Calibri"/>
          <w:vertAlign w:val="baseline"/>
        </w:rPr>
        <w:footnoteRef/>
      </w:r>
      <w:r w:rsidRPr="006C4B8B">
        <w:rPr>
          <w:rFonts w:ascii="Calibri" w:hAnsi="Calibri"/>
        </w:rPr>
        <w:t xml:space="preserve"> </w:t>
      </w:r>
      <w:r w:rsidRPr="006C4B8B">
        <w:rPr>
          <w:rFonts w:ascii="Calibri" w:hAnsi="Calibri"/>
        </w:rPr>
        <w:tab/>
        <w:t xml:space="preserve">Parliament of Australia, </w:t>
      </w:r>
      <w:r w:rsidRPr="006C4B8B">
        <w:rPr>
          <w:rFonts w:ascii="Calibri" w:hAnsi="Calibri"/>
          <w:i/>
        </w:rPr>
        <w:t>Senate Disallowable Instruments List</w:t>
      </w:r>
      <w:r w:rsidRPr="006C4B8B">
        <w:rPr>
          <w:rFonts w:ascii="Calibri" w:hAnsi="Calibri"/>
        </w:rPr>
        <w:t xml:space="preserve">, </w:t>
      </w:r>
      <w:hyperlink r:id="rId5" w:history="1">
        <w:r w:rsidRPr="006C4B8B">
          <w:rPr>
            <w:rStyle w:val="Hyperlink"/>
            <w:rFonts w:ascii="Calibri" w:hAnsi="Calibri"/>
          </w:rPr>
          <w:t>http://www.aph.gov.au/Parli</w:t>
        </w:r>
        <w:r w:rsidRPr="006C4B8B">
          <w:rPr>
            <w:rStyle w:val="Hyperlink"/>
            <w:rFonts w:ascii="Calibri" w:hAnsi="Calibri"/>
          </w:rPr>
          <w:br/>
          <w:t>amentary_Business/Bills_Legislation/leginstruments/Senate_Disallowable_Instruments_List</w:t>
        </w:r>
      </w:hyperlink>
      <w:r w:rsidRPr="006C4B8B">
        <w:rPr>
          <w:rFonts w:ascii="Calibri" w:hAnsi="Calibri"/>
        </w:rPr>
        <w:t>.</w:t>
      </w:r>
    </w:p>
  </w:footnote>
  <w:footnote w:id="7">
    <w:p w:rsidR="002B2721" w:rsidRPr="000274A0" w:rsidRDefault="002B2721" w:rsidP="00CD18D3">
      <w:pPr>
        <w:pStyle w:val="FootnoteText"/>
        <w:spacing w:after="120"/>
      </w:pPr>
      <w:r w:rsidRPr="006C4B8B">
        <w:rPr>
          <w:rStyle w:val="FootnoteReference"/>
          <w:rFonts w:ascii="Calibri" w:hAnsi="Calibri"/>
          <w:vertAlign w:val="baseline"/>
        </w:rPr>
        <w:footnoteRef/>
      </w:r>
      <w:r w:rsidRPr="006C4B8B">
        <w:rPr>
          <w:rFonts w:ascii="Calibri" w:hAnsi="Calibri"/>
        </w:rPr>
        <w:t xml:space="preserve"> </w:t>
      </w:r>
      <w:r w:rsidRPr="006C4B8B">
        <w:rPr>
          <w:rFonts w:ascii="Calibri" w:hAnsi="Calibri"/>
        </w:rPr>
        <w:tab/>
        <w:t xml:space="preserve">Parliament of Australia, Senate Standing Committee on Regulations and Ordinances, </w:t>
      </w:r>
      <w:r w:rsidRPr="006C4B8B">
        <w:rPr>
          <w:rFonts w:ascii="Calibri" w:hAnsi="Calibri"/>
          <w:i/>
        </w:rPr>
        <w:t>Disall</w:t>
      </w:r>
      <w:r w:rsidRPr="00A2076D">
        <w:rPr>
          <w:rFonts w:asciiTheme="minorHAnsi" w:hAnsiTheme="minorHAnsi"/>
          <w:i/>
        </w:rPr>
        <w:t>owance Alert 201</w:t>
      </w:r>
      <w:r>
        <w:rPr>
          <w:rFonts w:asciiTheme="minorHAnsi" w:hAnsiTheme="minorHAnsi"/>
          <w:i/>
        </w:rPr>
        <w:t>7</w:t>
      </w:r>
      <w:r w:rsidRPr="00A2076D">
        <w:rPr>
          <w:rFonts w:asciiTheme="minorHAnsi" w:hAnsiTheme="minorHAnsi"/>
        </w:rPr>
        <w:t xml:space="preserve">, </w:t>
      </w:r>
      <w:hyperlink r:id="rId6" w:history="1">
        <w:r w:rsidRPr="00343DD1">
          <w:rPr>
            <w:rStyle w:val="Hyperlink"/>
            <w:rFonts w:asciiTheme="minorHAnsi" w:hAnsiTheme="minorHAnsi"/>
          </w:rPr>
          <w:t>http://www.aph.gov.au/Parliamentary_Business/Committees/</w:t>
        </w:r>
        <w:r w:rsidRPr="00343DD1">
          <w:rPr>
            <w:rStyle w:val="Hyperlink"/>
            <w:rFonts w:asciiTheme="minorHAnsi" w:hAnsiTheme="minorHAnsi"/>
          </w:rPr>
          <w:br/>
          <w:t>Senate/Regulations_and_Ordinances/Alerts</w:t>
        </w:r>
      </w:hyperlink>
      <w:r w:rsidRPr="00A2076D">
        <w:rPr>
          <w:rFonts w:asciiTheme="minorHAnsi" w:hAnsiTheme="minorHAnsi"/>
        </w:rPr>
        <w:t>.</w:t>
      </w:r>
    </w:p>
  </w:footnote>
  <w:footnote w:id="8">
    <w:p w:rsidR="002B2721" w:rsidRPr="008F580C" w:rsidRDefault="002B2721" w:rsidP="00CD18D3">
      <w:pPr>
        <w:pStyle w:val="FootnoteText"/>
        <w:spacing w:after="120"/>
        <w:rPr>
          <w:rFonts w:ascii="Calibri" w:hAnsi="Calibri"/>
        </w:rPr>
      </w:pPr>
      <w:r w:rsidRPr="008F580C">
        <w:rPr>
          <w:rStyle w:val="FootnoteReference"/>
          <w:rFonts w:ascii="Calibri" w:hAnsi="Calibri"/>
          <w:vertAlign w:val="baseline"/>
        </w:rPr>
        <w:footnoteRef/>
      </w:r>
      <w:r w:rsidRPr="008F580C">
        <w:rPr>
          <w:rFonts w:ascii="Calibri" w:hAnsi="Calibri"/>
        </w:rPr>
        <w:t xml:space="preserve"> </w:t>
      </w:r>
      <w:r w:rsidRPr="008F580C">
        <w:rPr>
          <w:rFonts w:ascii="Calibri" w:hAnsi="Calibri"/>
        </w:rPr>
        <w:tab/>
        <w:t xml:space="preserve">See </w:t>
      </w:r>
      <w:hyperlink r:id="rId7" w:history="1">
        <w:r w:rsidRPr="008F580C">
          <w:rPr>
            <w:rStyle w:val="Hyperlink"/>
            <w:rFonts w:ascii="Calibri" w:hAnsi="Calibri"/>
          </w:rPr>
          <w:t>http://www.aph.gov.au/Parliamentary_Business/Committees/Senate/Regulations_and_</w:t>
        </w:r>
        <w:r w:rsidRPr="008F580C">
          <w:rPr>
            <w:rStyle w:val="Hyperlink"/>
            <w:rFonts w:ascii="Calibri" w:hAnsi="Calibri"/>
          </w:rPr>
          <w:br/>
          <w:t>Ordinances/Guidelines</w:t>
        </w:r>
      </w:hyperlink>
      <w:r w:rsidRPr="00DD1E2D">
        <w:rPr>
          <w:rStyle w:val="Hyperlink"/>
          <w:rFonts w:ascii="Calibri" w:hAnsi="Calibri"/>
          <w:color w:val="auto"/>
          <w:u w:val="none"/>
        </w:rPr>
        <w:t>.</w:t>
      </w:r>
      <w:r w:rsidRPr="00DD1E2D">
        <w:rPr>
          <w:rFonts w:ascii="Calibri" w:hAnsi="Calibri"/>
        </w:rPr>
        <w:t xml:space="preserve"> </w:t>
      </w:r>
    </w:p>
  </w:footnote>
  <w:footnote w:id="9">
    <w:p w:rsidR="002B2721" w:rsidRPr="00DA3536" w:rsidRDefault="002B2721" w:rsidP="00CD18D3">
      <w:pPr>
        <w:pStyle w:val="FootnoteText"/>
        <w:spacing w:after="120"/>
        <w:rPr>
          <w:rFonts w:ascii="Calibri" w:hAnsi="Calibri"/>
        </w:rPr>
      </w:pPr>
      <w:r w:rsidRPr="00DA3536">
        <w:rPr>
          <w:rStyle w:val="FootnoteReference"/>
          <w:rFonts w:ascii="Calibri" w:hAnsi="Calibri"/>
          <w:vertAlign w:val="baseline"/>
        </w:rPr>
        <w:footnoteRef/>
      </w:r>
      <w:r w:rsidRPr="00DA3536">
        <w:rPr>
          <w:rFonts w:ascii="Calibri" w:hAnsi="Calibri"/>
        </w:rPr>
        <w:t xml:space="preserve"> </w:t>
      </w:r>
      <w:r w:rsidRPr="00DA3536">
        <w:rPr>
          <w:rFonts w:ascii="Calibri" w:hAnsi="Calibri"/>
        </w:rPr>
        <w:tab/>
        <w:t>See</w:t>
      </w:r>
      <w:r>
        <w:rPr>
          <w:rFonts w:ascii="Calibri" w:hAnsi="Calibri"/>
        </w:rPr>
        <w:t xml:space="preserve"> </w:t>
      </w:r>
      <w:r w:rsidRPr="00C0761C">
        <w:rPr>
          <w:rFonts w:ascii="Calibri" w:hAnsi="Calibri"/>
        </w:rPr>
        <w:t>Regulations and Ordinances Committee,</w:t>
      </w:r>
      <w:r>
        <w:rPr>
          <w:rFonts w:ascii="Calibri" w:hAnsi="Calibri"/>
        </w:rPr>
        <w:t xml:space="preserve"> </w:t>
      </w:r>
      <w:r>
        <w:rPr>
          <w:rFonts w:ascii="Calibri" w:hAnsi="Calibri"/>
          <w:i/>
        </w:rPr>
        <w:t xml:space="preserve">Guideline on incorporation of documents, </w:t>
      </w:r>
      <w:hyperlink r:id="rId8" w:history="1">
        <w:r w:rsidRPr="009F3A12">
          <w:rPr>
            <w:rStyle w:val="Hyperlink"/>
            <w:rFonts w:ascii="Calibri" w:hAnsi="Calibri"/>
          </w:rPr>
          <w:t>http://www.aph.gov.au/Parliamentary_Business/Committees/Senate/Regulations_and_</w:t>
        </w:r>
        <w:r w:rsidRPr="009F3A12">
          <w:rPr>
            <w:rStyle w:val="Hyperlink"/>
            <w:rFonts w:ascii="Calibri" w:hAnsi="Calibri"/>
          </w:rPr>
          <w:br/>
          <w:t>Ordinances/Guidelines/Guideline_on_incorporation_of_documents</w:t>
        </w:r>
      </w:hyperlink>
      <w:r>
        <w:rPr>
          <w:rFonts w:ascii="Calibri" w:hAnsi="Calibri"/>
        </w:rPr>
        <w:t>.</w:t>
      </w:r>
    </w:p>
  </w:footnote>
  <w:footnote w:id="10">
    <w:p w:rsidR="002B2721" w:rsidRPr="002C3AA0" w:rsidRDefault="002B2721" w:rsidP="00CD18D3">
      <w:pPr>
        <w:pStyle w:val="Footnote"/>
      </w:pPr>
      <w:r w:rsidRPr="002C3AA0">
        <w:rPr>
          <w:rStyle w:val="FootnoteReference"/>
          <w:vertAlign w:val="baseline"/>
        </w:rPr>
        <w:footnoteRef/>
      </w:r>
      <w:r w:rsidRPr="002C3AA0">
        <w:t xml:space="preserve"> </w:t>
      </w:r>
      <w:r>
        <w:tab/>
        <w:t xml:space="preserve">See </w:t>
      </w:r>
      <w:r w:rsidRPr="002C3AA0">
        <w:t>Department of Infrastructure and Regional Development</w:t>
      </w:r>
      <w:r>
        <w:t xml:space="preserve">, </w:t>
      </w:r>
      <w:r w:rsidRPr="002C3AA0">
        <w:rPr>
          <w:i/>
        </w:rPr>
        <w:t>Airport Plan</w:t>
      </w:r>
      <w:r>
        <w:t xml:space="preserve">, available at </w:t>
      </w:r>
      <w:hyperlink r:id="rId9" w:history="1">
        <w:r w:rsidRPr="00426106">
          <w:rPr>
            <w:rStyle w:val="Hyperlink"/>
          </w:rPr>
          <w:t>http://westernsydneyairport.gov.au/about/airport-plan/index.aspx</w:t>
        </w:r>
      </w:hyperlink>
      <w:r>
        <w:t xml:space="preserve"> </w:t>
      </w:r>
      <w:r>
        <w:br/>
        <w:t xml:space="preserve">(accessed 4 September 2017). </w:t>
      </w:r>
    </w:p>
  </w:footnote>
  <w:footnote w:id="11">
    <w:p w:rsidR="002B2721" w:rsidRPr="00DA3536" w:rsidRDefault="002B2721" w:rsidP="00CD18D3">
      <w:pPr>
        <w:pStyle w:val="FootnoteText"/>
        <w:spacing w:after="120"/>
        <w:rPr>
          <w:rFonts w:ascii="Calibri" w:hAnsi="Calibri"/>
        </w:rPr>
      </w:pPr>
      <w:r w:rsidRPr="00DA3536">
        <w:rPr>
          <w:rStyle w:val="FootnoteReference"/>
          <w:rFonts w:ascii="Calibri" w:hAnsi="Calibri"/>
          <w:vertAlign w:val="baseline"/>
        </w:rPr>
        <w:footnoteRef/>
      </w:r>
      <w:r w:rsidRPr="00DA3536">
        <w:rPr>
          <w:rFonts w:ascii="Calibri" w:hAnsi="Calibri"/>
        </w:rPr>
        <w:t xml:space="preserve"> </w:t>
      </w:r>
      <w:r w:rsidRPr="00DA3536">
        <w:rPr>
          <w:rFonts w:ascii="Calibri" w:hAnsi="Calibri"/>
        </w:rPr>
        <w:tab/>
        <w:t>See</w:t>
      </w:r>
      <w:r>
        <w:rPr>
          <w:rFonts w:ascii="Calibri" w:hAnsi="Calibri"/>
        </w:rPr>
        <w:t xml:space="preserve"> </w:t>
      </w:r>
      <w:r w:rsidRPr="00C0761C">
        <w:rPr>
          <w:rFonts w:ascii="Calibri" w:hAnsi="Calibri"/>
        </w:rPr>
        <w:t>Regulations and Ordinances Committee,</w:t>
      </w:r>
      <w:r>
        <w:rPr>
          <w:rFonts w:ascii="Calibri" w:hAnsi="Calibri"/>
        </w:rPr>
        <w:t xml:space="preserve"> </w:t>
      </w:r>
      <w:r>
        <w:rPr>
          <w:rFonts w:ascii="Calibri" w:hAnsi="Calibri"/>
          <w:i/>
        </w:rPr>
        <w:t xml:space="preserve">Guideline on incorporation of documents, </w:t>
      </w:r>
      <w:hyperlink r:id="rId10" w:history="1">
        <w:r w:rsidRPr="009F3A12">
          <w:rPr>
            <w:rStyle w:val="Hyperlink"/>
            <w:rFonts w:ascii="Calibri" w:hAnsi="Calibri"/>
          </w:rPr>
          <w:t>http://www.aph.gov.au/Parliamentary_Business/Committees/Senate/Regulations_and_</w:t>
        </w:r>
        <w:r w:rsidRPr="009F3A12">
          <w:rPr>
            <w:rStyle w:val="Hyperlink"/>
            <w:rFonts w:ascii="Calibri" w:hAnsi="Calibri"/>
          </w:rPr>
          <w:br/>
          <w:t>Ordinances/Guidelines/Guideline_on_incorporation_of_documents</w:t>
        </w:r>
      </w:hyperlink>
      <w:r>
        <w:rPr>
          <w:rFonts w:ascii="Calibri" w:hAnsi="Calibri"/>
        </w:rPr>
        <w:t>.</w:t>
      </w:r>
    </w:p>
  </w:footnote>
  <w:footnote w:id="12">
    <w:p w:rsidR="002B2721" w:rsidRPr="007B697D" w:rsidRDefault="002B2721" w:rsidP="00CD18D3">
      <w:pPr>
        <w:pStyle w:val="Footnote"/>
      </w:pPr>
      <w:r w:rsidRPr="007B697D">
        <w:rPr>
          <w:rStyle w:val="FootnoteReference"/>
          <w:vertAlign w:val="baseline"/>
        </w:rPr>
        <w:footnoteRef/>
      </w:r>
      <w:r w:rsidRPr="007B697D">
        <w:t xml:space="preserve"> </w:t>
      </w:r>
      <w:r>
        <w:tab/>
      </w:r>
      <w:r w:rsidRPr="007B697D">
        <w:rPr>
          <w:i/>
          <w:iCs/>
        </w:rPr>
        <w:t>Brookfield Multiplex Ltd v International Litigation Funding Partners Pte Ltd </w:t>
      </w:r>
      <w:r w:rsidRPr="007B697D">
        <w:t>[2009] FCAFC 147</w:t>
      </w:r>
      <w:r>
        <w:t>.</w:t>
      </w:r>
    </w:p>
  </w:footnote>
  <w:footnote w:id="13">
    <w:p w:rsidR="002B2721" w:rsidRPr="007B697D" w:rsidRDefault="002B2721" w:rsidP="00CD18D3">
      <w:pPr>
        <w:pStyle w:val="Footnote"/>
      </w:pPr>
      <w:r w:rsidRPr="007B697D">
        <w:rPr>
          <w:rStyle w:val="FootnoteReference"/>
          <w:vertAlign w:val="baseline"/>
        </w:rPr>
        <w:footnoteRef/>
      </w:r>
      <w:r w:rsidRPr="007B697D">
        <w:t xml:space="preserve"> </w:t>
      </w:r>
      <w:r>
        <w:tab/>
      </w:r>
      <w:r w:rsidRPr="007B697D">
        <w:rPr>
          <w:i/>
          <w:iCs/>
        </w:rPr>
        <w:t>International Litigation Partners Pte Ltd v Chameleon Mining NL (Receivers and Managers Appointed)</w:t>
      </w:r>
      <w:r w:rsidRPr="007B697D">
        <w:t> [2012] HCA 45</w:t>
      </w:r>
      <w:r>
        <w:t>.</w:t>
      </w:r>
    </w:p>
  </w:footnote>
  <w:footnote w:id="14">
    <w:p w:rsidR="002B2721" w:rsidRPr="00870204" w:rsidRDefault="002B2721" w:rsidP="00CD18D3">
      <w:pPr>
        <w:pStyle w:val="Footnote"/>
      </w:pPr>
      <w:r w:rsidRPr="00870204">
        <w:rPr>
          <w:rStyle w:val="FootnoteReference"/>
          <w:vertAlign w:val="baseline"/>
        </w:rPr>
        <w:footnoteRef/>
      </w:r>
      <w:r w:rsidRPr="00870204">
        <w:t xml:space="preserve"> </w:t>
      </w:r>
      <w:r>
        <w:tab/>
        <w:t xml:space="preserve">See explanatory statements to </w:t>
      </w:r>
      <w:r w:rsidRPr="00870204">
        <w:t>ASIC Class Order [CO 13/18]</w:t>
      </w:r>
      <w:r>
        <w:t xml:space="preserve"> [</w:t>
      </w:r>
      <w:r w:rsidRPr="00870204">
        <w:t>F2013L00043</w:t>
      </w:r>
      <w:r>
        <w:t xml:space="preserve">] and </w:t>
      </w:r>
      <w:r w:rsidRPr="00870204">
        <w:t>ASIC Class Order [CO 13/898]</w:t>
      </w:r>
      <w:r>
        <w:t xml:space="preserve"> [</w:t>
      </w:r>
      <w:r w:rsidRPr="00870204">
        <w:t>F2013L01376</w:t>
      </w:r>
      <w:r>
        <w:t xml:space="preserve">]; and </w:t>
      </w:r>
      <w:r w:rsidRPr="00870204">
        <w:t>ASIC Credit (Amendment) Instrument 2016/632</w:t>
      </w:r>
      <w:r>
        <w:t xml:space="preserve"> [</w:t>
      </w:r>
      <w:r w:rsidRPr="00870204">
        <w:t>F2016L01171</w:t>
      </w:r>
      <w:r>
        <w:t xml:space="preserve">] and </w:t>
      </w:r>
      <w:r w:rsidRPr="00870204">
        <w:t>ASIC Corporations (Amendment) Instrument 2016/476</w:t>
      </w:r>
      <w:r>
        <w:t xml:space="preserve"> [</w:t>
      </w:r>
      <w:r w:rsidRPr="00870204">
        <w:t>F2016L01170</w:t>
      </w:r>
      <w:r>
        <w:t>].</w:t>
      </w:r>
    </w:p>
  </w:footnote>
  <w:footnote w:id="15">
    <w:p w:rsidR="002B2721" w:rsidRPr="002B059C" w:rsidRDefault="002B2721" w:rsidP="00CD18D3">
      <w:pPr>
        <w:pStyle w:val="FootnoteText"/>
        <w:spacing w:after="120"/>
        <w:rPr>
          <w:rFonts w:asciiTheme="minorHAnsi" w:hAnsiTheme="minorHAnsi"/>
        </w:rPr>
      </w:pPr>
      <w:r w:rsidRPr="002B059C">
        <w:rPr>
          <w:rStyle w:val="FootnoteReference"/>
          <w:rFonts w:asciiTheme="minorHAnsi" w:hAnsiTheme="minorHAnsi"/>
          <w:vertAlign w:val="baseline"/>
        </w:rPr>
        <w:footnoteRef/>
      </w:r>
      <w:r w:rsidRPr="002B059C">
        <w:rPr>
          <w:rFonts w:asciiTheme="minorHAnsi" w:hAnsiTheme="minorHAnsi"/>
        </w:rPr>
        <w:t xml:space="preserve"> </w:t>
      </w:r>
      <w:r w:rsidRPr="002B059C">
        <w:rPr>
          <w:rFonts w:asciiTheme="minorHAnsi" w:hAnsiTheme="minorHAnsi"/>
        </w:rPr>
        <w:tab/>
        <w:t xml:space="preserve">See IEEE Standards Association, IEEE Get Program, available at </w:t>
      </w:r>
      <w:hyperlink r:id="rId11" w:history="1">
        <w:r w:rsidRPr="002B059C">
          <w:rPr>
            <w:rStyle w:val="Hyperlink"/>
            <w:rFonts w:asciiTheme="minorHAnsi" w:hAnsiTheme="minorHAnsi"/>
          </w:rPr>
          <w:t>https://standards.ieee.org/about/get/802/802.11.html</w:t>
        </w:r>
      </w:hyperlink>
      <w:r>
        <w:rPr>
          <w:rFonts w:asciiTheme="minorHAnsi" w:hAnsiTheme="minorHAnsi"/>
        </w:rPr>
        <w:t xml:space="preserve"> (accessed 4</w:t>
      </w:r>
      <w:r w:rsidRPr="002B059C">
        <w:rPr>
          <w:rFonts w:asciiTheme="minorHAnsi" w:hAnsiTheme="minorHAnsi"/>
        </w:rPr>
        <w:t xml:space="preserve"> </w:t>
      </w:r>
      <w:r>
        <w:rPr>
          <w:rFonts w:asciiTheme="minorHAnsi" w:hAnsiTheme="minorHAnsi"/>
        </w:rPr>
        <w:t>September</w:t>
      </w:r>
      <w:r w:rsidRPr="002B059C">
        <w:rPr>
          <w:rFonts w:asciiTheme="minorHAnsi" w:hAnsiTheme="minorHAnsi"/>
        </w:rPr>
        <w:t xml:space="preserve"> 2017).</w:t>
      </w:r>
    </w:p>
  </w:footnote>
  <w:footnote w:id="16">
    <w:p w:rsidR="002B2721" w:rsidRPr="00DA3536" w:rsidRDefault="002B2721" w:rsidP="00CD18D3">
      <w:pPr>
        <w:pStyle w:val="FootnoteText"/>
        <w:spacing w:after="120"/>
        <w:rPr>
          <w:rFonts w:ascii="Calibri" w:hAnsi="Calibri"/>
        </w:rPr>
      </w:pPr>
      <w:r w:rsidRPr="00DA3536">
        <w:rPr>
          <w:rStyle w:val="FootnoteReference"/>
          <w:rFonts w:ascii="Calibri" w:hAnsi="Calibri"/>
          <w:vertAlign w:val="baseline"/>
        </w:rPr>
        <w:footnoteRef/>
      </w:r>
      <w:r w:rsidRPr="00DA3536">
        <w:rPr>
          <w:rFonts w:ascii="Calibri" w:hAnsi="Calibri"/>
        </w:rPr>
        <w:t xml:space="preserve"> </w:t>
      </w:r>
      <w:r w:rsidRPr="00DA3536">
        <w:rPr>
          <w:rFonts w:ascii="Calibri" w:hAnsi="Calibri"/>
        </w:rPr>
        <w:tab/>
        <w:t>See</w:t>
      </w:r>
      <w:r>
        <w:rPr>
          <w:rFonts w:ascii="Calibri" w:hAnsi="Calibri"/>
        </w:rPr>
        <w:t xml:space="preserve"> </w:t>
      </w:r>
      <w:r w:rsidRPr="00C0761C">
        <w:rPr>
          <w:rFonts w:ascii="Calibri" w:hAnsi="Calibri"/>
        </w:rPr>
        <w:t>Regulations and Ordinances Committee,</w:t>
      </w:r>
      <w:r>
        <w:rPr>
          <w:rFonts w:ascii="Calibri" w:hAnsi="Calibri"/>
        </w:rPr>
        <w:t xml:space="preserve"> </w:t>
      </w:r>
      <w:r>
        <w:rPr>
          <w:rFonts w:ascii="Calibri" w:hAnsi="Calibri"/>
          <w:i/>
        </w:rPr>
        <w:t xml:space="preserve">Guideline on incorporation of documents, </w:t>
      </w:r>
      <w:hyperlink r:id="rId12" w:history="1">
        <w:r w:rsidRPr="009F3A12">
          <w:rPr>
            <w:rStyle w:val="Hyperlink"/>
            <w:rFonts w:ascii="Calibri" w:hAnsi="Calibri"/>
          </w:rPr>
          <w:t>http://www.aph.gov.au/Parliamentary_Business/Committees/Senate/Regulations_and_</w:t>
        </w:r>
        <w:r w:rsidRPr="009F3A12">
          <w:rPr>
            <w:rStyle w:val="Hyperlink"/>
            <w:rFonts w:ascii="Calibri" w:hAnsi="Calibri"/>
          </w:rPr>
          <w:br/>
          <w:t>Ordinances/Guidelines/Guideline_on_incorporation_of_documents</w:t>
        </w:r>
      </w:hyperlink>
      <w:r>
        <w:rPr>
          <w:rFonts w:ascii="Calibri" w:hAnsi="Calibri"/>
        </w:rPr>
        <w:t>.</w:t>
      </w:r>
    </w:p>
  </w:footnote>
  <w:footnote w:id="17">
    <w:p w:rsidR="002B2721" w:rsidRPr="0026035D" w:rsidRDefault="002B2721" w:rsidP="00CD18D3">
      <w:pPr>
        <w:pStyle w:val="Footnote"/>
      </w:pPr>
      <w:r w:rsidRPr="0026035D">
        <w:rPr>
          <w:rStyle w:val="FootnoteReference"/>
          <w:vertAlign w:val="baseline"/>
        </w:rPr>
        <w:footnoteRef/>
      </w:r>
      <w:r w:rsidRPr="0026035D">
        <w:t xml:space="preserve"> </w:t>
      </w:r>
      <w:r>
        <w:tab/>
        <w:t xml:space="preserve">See </w:t>
      </w:r>
      <w:r w:rsidRPr="00540F8A">
        <w:rPr>
          <w:i/>
        </w:rPr>
        <w:t>Delegated legislation monitors</w:t>
      </w:r>
      <w:r w:rsidRPr="00540F8A">
        <w:t xml:space="preserve"> 6 and 8 of 2016</w:t>
      </w:r>
      <w:r>
        <w:t>; and 1 and 3 of 2017</w:t>
      </w:r>
      <w:r w:rsidRPr="00540F8A">
        <w:t>.</w:t>
      </w:r>
    </w:p>
  </w:footnote>
  <w:footnote w:id="18">
    <w:p w:rsidR="002B2721" w:rsidRPr="00D46EFC" w:rsidRDefault="002B2721" w:rsidP="00CD18D3">
      <w:pPr>
        <w:pStyle w:val="Footnote"/>
      </w:pPr>
      <w:r w:rsidRPr="00D46EFC">
        <w:rPr>
          <w:rStyle w:val="FootnoteReference"/>
          <w:vertAlign w:val="baseline"/>
        </w:rPr>
        <w:footnoteRef/>
      </w:r>
      <w:r w:rsidRPr="00D46EFC">
        <w:t xml:space="preserve"> </w:t>
      </w:r>
      <w:r>
        <w:tab/>
        <w:t xml:space="preserve">See items 10, 13 and 14. </w:t>
      </w:r>
    </w:p>
  </w:footnote>
  <w:footnote w:id="19">
    <w:p w:rsidR="002B2721" w:rsidRPr="00D46EFC" w:rsidRDefault="002B2721" w:rsidP="00CD18D3">
      <w:pPr>
        <w:pStyle w:val="Footnote"/>
      </w:pPr>
      <w:r w:rsidRPr="00D46EFC">
        <w:rPr>
          <w:rStyle w:val="FootnoteReference"/>
          <w:vertAlign w:val="baseline"/>
        </w:rPr>
        <w:footnoteRef/>
      </w:r>
      <w:r w:rsidRPr="00D46EFC">
        <w:t xml:space="preserve"> </w:t>
      </w:r>
      <w:r>
        <w:tab/>
        <w:t>See item 50.</w:t>
      </w:r>
    </w:p>
  </w:footnote>
  <w:footnote w:id="20">
    <w:p w:rsidR="002B2721" w:rsidRPr="00DA3536" w:rsidRDefault="002B2721" w:rsidP="00CD18D3">
      <w:pPr>
        <w:pStyle w:val="FootnoteText"/>
        <w:spacing w:after="120"/>
        <w:rPr>
          <w:rFonts w:ascii="Calibri" w:hAnsi="Calibri"/>
        </w:rPr>
      </w:pPr>
      <w:r w:rsidRPr="00DA3536">
        <w:rPr>
          <w:rStyle w:val="FootnoteReference"/>
          <w:rFonts w:ascii="Calibri" w:hAnsi="Calibri"/>
          <w:vertAlign w:val="baseline"/>
        </w:rPr>
        <w:footnoteRef/>
      </w:r>
      <w:r w:rsidRPr="00DA3536">
        <w:rPr>
          <w:rFonts w:ascii="Calibri" w:hAnsi="Calibri"/>
        </w:rPr>
        <w:t xml:space="preserve"> </w:t>
      </w:r>
      <w:r w:rsidRPr="00DA3536">
        <w:rPr>
          <w:rFonts w:ascii="Calibri" w:hAnsi="Calibri"/>
        </w:rPr>
        <w:tab/>
        <w:t>See</w:t>
      </w:r>
      <w:r>
        <w:rPr>
          <w:rFonts w:ascii="Calibri" w:hAnsi="Calibri"/>
        </w:rPr>
        <w:t xml:space="preserve"> </w:t>
      </w:r>
      <w:r w:rsidRPr="00C0761C">
        <w:rPr>
          <w:rFonts w:ascii="Calibri" w:hAnsi="Calibri"/>
        </w:rPr>
        <w:t>Regulations and Ordinances Committee,</w:t>
      </w:r>
      <w:r>
        <w:rPr>
          <w:rFonts w:ascii="Calibri" w:hAnsi="Calibri"/>
        </w:rPr>
        <w:t xml:space="preserve"> </w:t>
      </w:r>
      <w:r>
        <w:rPr>
          <w:rFonts w:ascii="Calibri" w:hAnsi="Calibri"/>
          <w:i/>
        </w:rPr>
        <w:t xml:space="preserve">Guideline on incorporation of documents, </w:t>
      </w:r>
      <w:hyperlink r:id="rId13" w:history="1">
        <w:r w:rsidRPr="009F3A12">
          <w:rPr>
            <w:rStyle w:val="Hyperlink"/>
            <w:rFonts w:ascii="Calibri" w:hAnsi="Calibri"/>
          </w:rPr>
          <w:t>http://www.aph.gov.au/Parliamentary_Business/Committees/Senate/Regulations_and_</w:t>
        </w:r>
        <w:r w:rsidRPr="009F3A12">
          <w:rPr>
            <w:rStyle w:val="Hyperlink"/>
            <w:rFonts w:ascii="Calibri" w:hAnsi="Calibri"/>
          </w:rPr>
          <w:br/>
          <w:t>Ordinances/Guidelines/Guideline_on_incorporation_of_documents</w:t>
        </w:r>
      </w:hyperlink>
      <w:r>
        <w:rPr>
          <w:rFonts w:ascii="Calibri" w:hAnsi="Calibri"/>
        </w:rPr>
        <w:t>.</w:t>
      </w:r>
    </w:p>
  </w:footnote>
  <w:footnote w:id="21">
    <w:p w:rsidR="002B2721" w:rsidRPr="00984B35" w:rsidRDefault="002B2721" w:rsidP="00CD18D3">
      <w:pPr>
        <w:pStyle w:val="FootnoteText"/>
        <w:spacing w:after="120"/>
        <w:rPr>
          <w:rFonts w:asciiTheme="minorHAnsi" w:hAnsiTheme="minorHAnsi"/>
        </w:rPr>
      </w:pPr>
      <w:r w:rsidRPr="00984B35">
        <w:rPr>
          <w:rStyle w:val="FootnoteReference"/>
          <w:rFonts w:asciiTheme="minorHAnsi" w:hAnsiTheme="minorHAnsi"/>
          <w:vertAlign w:val="baseline"/>
        </w:rPr>
        <w:footnoteRef/>
      </w:r>
      <w:r w:rsidRPr="00984B35">
        <w:rPr>
          <w:rFonts w:asciiTheme="minorHAnsi" w:hAnsiTheme="minorHAnsi"/>
        </w:rPr>
        <w:t xml:space="preserve"> </w:t>
      </w:r>
      <w:r w:rsidRPr="00984B35">
        <w:rPr>
          <w:rFonts w:asciiTheme="minorHAnsi" w:hAnsiTheme="minorHAnsi"/>
        </w:rPr>
        <w:tab/>
        <w:t>See</w:t>
      </w:r>
      <w:r w:rsidRPr="00B41BDD">
        <w:t xml:space="preserve"> </w:t>
      </w:r>
      <w:r w:rsidRPr="00B41BDD">
        <w:rPr>
          <w:rFonts w:asciiTheme="minorHAnsi" w:hAnsiTheme="minorHAnsi"/>
        </w:rPr>
        <w:t>Commission for the Conservation of Antarctic Marine Living Resources</w:t>
      </w:r>
      <w:r>
        <w:rPr>
          <w:rFonts w:asciiTheme="minorHAnsi" w:hAnsiTheme="minorHAnsi"/>
        </w:rPr>
        <w:t>, C</w:t>
      </w:r>
      <w:r w:rsidRPr="00A314FE">
        <w:rPr>
          <w:rFonts w:asciiTheme="minorHAnsi" w:hAnsiTheme="minorHAnsi"/>
          <w:i/>
        </w:rPr>
        <w:t>onservation measures</w:t>
      </w:r>
      <w:r>
        <w:rPr>
          <w:rFonts w:asciiTheme="minorHAnsi" w:hAnsiTheme="minorHAnsi"/>
        </w:rPr>
        <w:t>, available at</w:t>
      </w:r>
      <w:r w:rsidRPr="00984B35">
        <w:rPr>
          <w:rFonts w:asciiTheme="minorHAnsi" w:hAnsiTheme="minorHAnsi"/>
        </w:rPr>
        <w:t xml:space="preserve"> </w:t>
      </w:r>
      <w:hyperlink r:id="rId14" w:history="1">
        <w:r w:rsidRPr="00984B35">
          <w:rPr>
            <w:rStyle w:val="Hyperlink"/>
            <w:rFonts w:asciiTheme="minorHAnsi" w:hAnsiTheme="minorHAnsi"/>
          </w:rPr>
          <w:t>https://www.ccamlr.org/en/conservation-and-management/browse-conservation-measures</w:t>
        </w:r>
      </w:hyperlink>
      <w:r>
        <w:rPr>
          <w:rFonts w:asciiTheme="minorHAnsi" w:hAnsiTheme="minorHAnsi"/>
        </w:rPr>
        <w:t xml:space="preserve">; and </w:t>
      </w:r>
      <w:r w:rsidRPr="00D46EFC">
        <w:rPr>
          <w:rFonts w:asciiTheme="minorHAnsi" w:hAnsiTheme="minorHAnsi"/>
        </w:rPr>
        <w:t>South Pacific Regional Fisheries Management Organisation</w:t>
      </w:r>
      <w:r>
        <w:rPr>
          <w:rFonts w:asciiTheme="minorHAnsi" w:hAnsiTheme="minorHAnsi"/>
        </w:rPr>
        <w:t xml:space="preserve">, </w:t>
      </w:r>
      <w:r>
        <w:rPr>
          <w:rFonts w:asciiTheme="minorHAnsi" w:hAnsiTheme="minorHAnsi"/>
          <w:i/>
        </w:rPr>
        <w:t>2017 Conservation and Management Measures</w:t>
      </w:r>
      <w:r>
        <w:rPr>
          <w:rFonts w:asciiTheme="minorHAnsi" w:hAnsiTheme="minorHAnsi"/>
        </w:rPr>
        <w:t xml:space="preserve">, available at </w:t>
      </w:r>
      <w:hyperlink r:id="rId15" w:history="1">
        <w:r w:rsidRPr="00F351D2">
          <w:rPr>
            <w:rStyle w:val="Hyperlink"/>
            <w:rFonts w:asciiTheme="minorHAnsi" w:hAnsiTheme="minorHAnsi"/>
          </w:rPr>
          <w:t>https://www.sprfmo.int/conservation-measures/</w:t>
        </w:r>
      </w:hyperlink>
      <w:r>
        <w:rPr>
          <w:rFonts w:asciiTheme="minorHAnsi" w:hAnsiTheme="minorHAnsi"/>
        </w:rPr>
        <w:t xml:space="preserve"> </w:t>
      </w:r>
      <w:r w:rsidRPr="00984B35">
        <w:rPr>
          <w:rFonts w:asciiTheme="minorHAnsi" w:hAnsiTheme="minorHAnsi"/>
        </w:rPr>
        <w:t>(accessed 31 August 2017)</w:t>
      </w:r>
      <w:r>
        <w:rPr>
          <w:rFonts w:asciiTheme="minorHAnsi" w:hAnsiTheme="minorHAnsi"/>
        </w:rPr>
        <w:t>.</w:t>
      </w:r>
    </w:p>
  </w:footnote>
  <w:footnote w:id="22">
    <w:p w:rsidR="002B2721" w:rsidRPr="00DA3536" w:rsidRDefault="002B2721" w:rsidP="00CD18D3">
      <w:pPr>
        <w:pStyle w:val="FootnoteText"/>
        <w:spacing w:after="120"/>
        <w:rPr>
          <w:rFonts w:ascii="Calibri" w:hAnsi="Calibri"/>
        </w:rPr>
      </w:pPr>
      <w:r w:rsidRPr="00DA3536">
        <w:rPr>
          <w:rStyle w:val="FootnoteReference"/>
          <w:rFonts w:ascii="Calibri" w:hAnsi="Calibri"/>
          <w:vertAlign w:val="baseline"/>
        </w:rPr>
        <w:footnoteRef/>
      </w:r>
      <w:r w:rsidRPr="00DA3536">
        <w:rPr>
          <w:rFonts w:ascii="Calibri" w:hAnsi="Calibri"/>
        </w:rPr>
        <w:t xml:space="preserve"> </w:t>
      </w:r>
      <w:r w:rsidRPr="00DA3536">
        <w:rPr>
          <w:rFonts w:ascii="Calibri" w:hAnsi="Calibri"/>
        </w:rPr>
        <w:tab/>
        <w:t>See</w:t>
      </w:r>
      <w:r>
        <w:rPr>
          <w:rFonts w:ascii="Calibri" w:hAnsi="Calibri"/>
        </w:rPr>
        <w:t xml:space="preserve"> </w:t>
      </w:r>
      <w:r w:rsidRPr="00C0761C">
        <w:rPr>
          <w:rFonts w:ascii="Calibri" w:hAnsi="Calibri"/>
        </w:rPr>
        <w:t>Regulations and Ordinances Committee,</w:t>
      </w:r>
      <w:r>
        <w:rPr>
          <w:rFonts w:ascii="Calibri" w:hAnsi="Calibri"/>
        </w:rPr>
        <w:t xml:space="preserve"> </w:t>
      </w:r>
      <w:r>
        <w:rPr>
          <w:rFonts w:ascii="Calibri" w:hAnsi="Calibri"/>
          <w:i/>
        </w:rPr>
        <w:t xml:space="preserve">Guideline on incorporation of documents, </w:t>
      </w:r>
      <w:hyperlink r:id="rId16" w:history="1">
        <w:r w:rsidRPr="009F3A12">
          <w:rPr>
            <w:rStyle w:val="Hyperlink"/>
            <w:rFonts w:ascii="Calibri" w:hAnsi="Calibri"/>
          </w:rPr>
          <w:t>http://www.aph.gov.au/Parliamentary_Business/Committees/Senate/Regulations_and_</w:t>
        </w:r>
        <w:r w:rsidRPr="009F3A12">
          <w:rPr>
            <w:rStyle w:val="Hyperlink"/>
            <w:rFonts w:ascii="Calibri" w:hAnsi="Calibri"/>
          </w:rPr>
          <w:br/>
          <w:t>Ordinances/Guidelines/Guideline_on_incorporation_of_documents</w:t>
        </w:r>
      </w:hyperlink>
      <w:r>
        <w:rPr>
          <w:rFonts w:ascii="Calibri" w:hAnsi="Calibri"/>
        </w:rPr>
        <w:t>.</w:t>
      </w:r>
    </w:p>
  </w:footnote>
  <w:footnote w:id="23">
    <w:p w:rsidR="002B2721" w:rsidRPr="008B0EEC" w:rsidRDefault="002B2721" w:rsidP="00CD18D3">
      <w:pPr>
        <w:pStyle w:val="FootnoteText"/>
        <w:spacing w:after="120"/>
      </w:pPr>
      <w:r w:rsidRPr="008B0EEC">
        <w:rPr>
          <w:rStyle w:val="FootnoteReference"/>
          <w:rFonts w:ascii="Calibri" w:hAnsi="Calibri"/>
          <w:vertAlign w:val="baseline"/>
        </w:rPr>
        <w:footnoteRef/>
      </w:r>
      <w:r w:rsidRPr="008B0EEC">
        <w:rPr>
          <w:rFonts w:ascii="Calibri" w:hAnsi="Calibri"/>
        </w:rPr>
        <w:t xml:space="preserve"> </w:t>
      </w:r>
      <w:r w:rsidRPr="008B0EEC">
        <w:rPr>
          <w:rFonts w:ascii="Calibri" w:hAnsi="Calibri"/>
        </w:rPr>
        <w:tab/>
        <w:t>See R</w:t>
      </w:r>
      <w:r w:rsidRPr="00E16AC0">
        <w:rPr>
          <w:rFonts w:asciiTheme="minorHAnsi" w:hAnsiTheme="minorHAnsi"/>
        </w:rPr>
        <w:t xml:space="preserve">egulations and Ordinances Committee, </w:t>
      </w:r>
      <w:r w:rsidRPr="00E16AC0">
        <w:rPr>
          <w:rFonts w:asciiTheme="minorHAnsi" w:hAnsiTheme="minorHAnsi"/>
          <w:i/>
        </w:rPr>
        <w:t xml:space="preserve">Guideline on consultation, </w:t>
      </w:r>
      <w:hyperlink r:id="rId17" w:history="1">
        <w:r w:rsidRPr="00E16AC0">
          <w:rPr>
            <w:rStyle w:val="Hyperlink"/>
            <w:rFonts w:asciiTheme="minorHAnsi" w:hAnsiTheme="minorHAnsi"/>
          </w:rPr>
          <w:t>http://www.aph.gov.</w:t>
        </w:r>
        <w:r w:rsidRPr="00E16AC0">
          <w:rPr>
            <w:rStyle w:val="Hyperlink"/>
            <w:rFonts w:asciiTheme="minorHAnsi" w:hAnsiTheme="minorHAnsi"/>
          </w:rPr>
          <w:br/>
          <w:t>au/Parliamentary_Business/Committees/Senate/Regulations_and_Ordinances/Guidelines/</w:t>
        </w:r>
        <w:r w:rsidRPr="00E16AC0">
          <w:rPr>
            <w:rStyle w:val="Hyperlink"/>
            <w:rFonts w:asciiTheme="minorHAnsi" w:hAnsiTheme="minorHAnsi"/>
          </w:rPr>
          <w:br/>
          <w:t>consultation</w:t>
        </w:r>
      </w:hyperlink>
      <w:r w:rsidRPr="00E16AC0">
        <w:rPr>
          <w:rFonts w:asciiTheme="minorHAnsi" w:hAnsiTheme="minorHAnsi"/>
        </w:rPr>
        <w:t>.</w:t>
      </w:r>
    </w:p>
  </w:footnote>
  <w:footnote w:id="24">
    <w:p w:rsidR="002B2721" w:rsidRPr="000973BE" w:rsidRDefault="002B2721" w:rsidP="00CD18D3">
      <w:pPr>
        <w:pStyle w:val="FootnoteText"/>
        <w:spacing w:after="120"/>
        <w:rPr>
          <w:rFonts w:asciiTheme="minorHAnsi" w:hAnsiTheme="minorHAnsi"/>
        </w:rPr>
      </w:pPr>
      <w:r w:rsidRPr="000973BE">
        <w:rPr>
          <w:rStyle w:val="FootnoteReference"/>
          <w:rFonts w:asciiTheme="minorHAnsi" w:hAnsiTheme="minorHAnsi"/>
          <w:vertAlign w:val="baseline"/>
        </w:rPr>
        <w:footnoteRef/>
      </w:r>
      <w:r w:rsidRPr="000973BE">
        <w:rPr>
          <w:rFonts w:asciiTheme="minorHAnsi" w:hAnsiTheme="minorHAnsi"/>
        </w:rPr>
        <w:t xml:space="preserve"> </w:t>
      </w:r>
      <w:r w:rsidRPr="000973BE">
        <w:rPr>
          <w:rFonts w:asciiTheme="minorHAnsi" w:hAnsiTheme="minorHAnsi"/>
        </w:rPr>
        <w:tab/>
        <w:t xml:space="preserve">See </w:t>
      </w:r>
      <w:hyperlink r:id="rId18" w:history="1">
        <w:r w:rsidRPr="000973BE">
          <w:rPr>
            <w:rStyle w:val="Hyperlink"/>
            <w:rFonts w:asciiTheme="minorHAnsi" w:hAnsiTheme="minorHAnsi"/>
          </w:rPr>
          <w:t>www.aph.gov.au/regords_monitor</w:t>
        </w:r>
      </w:hyperlink>
      <w:r w:rsidRPr="000973BE">
        <w:rPr>
          <w:rStyle w:val="Hyperlink"/>
          <w:rFonts w:asciiTheme="minorHAnsi" w:hAnsiTheme="minorHAnsi"/>
        </w:rPr>
        <w:t>.</w:t>
      </w:r>
    </w:p>
  </w:footnote>
  <w:footnote w:id="25">
    <w:p w:rsidR="002B2721" w:rsidRPr="0057721E" w:rsidRDefault="002B2721" w:rsidP="00CD18D3">
      <w:pPr>
        <w:pStyle w:val="FootnoteText"/>
        <w:spacing w:after="120"/>
        <w:rPr>
          <w:rFonts w:asciiTheme="minorHAnsi" w:hAnsiTheme="minorHAnsi"/>
        </w:rPr>
      </w:pPr>
      <w:r w:rsidRPr="00456461">
        <w:rPr>
          <w:rStyle w:val="FootnoteChar"/>
        </w:rPr>
        <w:footnoteRef/>
      </w:r>
      <w:r w:rsidRPr="00456461">
        <w:rPr>
          <w:rStyle w:val="FootnoteChar"/>
        </w:rPr>
        <w:t xml:space="preserve"> </w:t>
      </w:r>
      <w:r w:rsidRPr="00456461">
        <w:rPr>
          <w:rStyle w:val="FootnoteChar"/>
        </w:rPr>
        <w:tab/>
      </w:r>
      <w:r w:rsidRPr="0057721E">
        <w:rPr>
          <w:rFonts w:asciiTheme="minorHAnsi" w:hAnsiTheme="minorHAnsi"/>
        </w:rPr>
        <w:t xml:space="preserve">See </w:t>
      </w:r>
      <w:r>
        <w:rPr>
          <w:rFonts w:asciiTheme="minorHAnsi" w:hAnsiTheme="minorHAnsi"/>
        </w:rPr>
        <w:t xml:space="preserve">Regulations and Ordinances Committee, </w:t>
      </w:r>
      <w:r>
        <w:rPr>
          <w:rFonts w:asciiTheme="minorHAnsi" w:hAnsiTheme="minorHAnsi"/>
          <w:i/>
        </w:rPr>
        <w:t xml:space="preserve">Disallowance Alert 2017, </w:t>
      </w:r>
      <w:hyperlink r:id="rId19" w:history="1">
        <w:r w:rsidRPr="00923491">
          <w:rPr>
            <w:rStyle w:val="Hyperlink"/>
            <w:rFonts w:asciiTheme="minorHAnsi" w:hAnsiTheme="minorHAnsi"/>
          </w:rPr>
          <w:t>http://www.aph.gov.au/Parliamentary_Business/Committees/Senate/Regulations_and_Ordinances/Alerts</w:t>
        </w:r>
      </w:hyperlink>
      <w:r>
        <w:rPr>
          <w:rFonts w:asciiTheme="minorHAnsi" w:hAnsiTheme="minorHAnsi"/>
        </w:rPr>
        <w:t>.</w:t>
      </w:r>
    </w:p>
  </w:footnote>
  <w:footnote w:id="26">
    <w:p w:rsidR="002B2721" w:rsidRPr="00DA3536" w:rsidRDefault="002B2721" w:rsidP="00CD18D3">
      <w:pPr>
        <w:pStyle w:val="FootnoteText"/>
        <w:spacing w:after="120"/>
        <w:rPr>
          <w:rFonts w:ascii="Calibri" w:hAnsi="Calibri"/>
        </w:rPr>
      </w:pPr>
      <w:r w:rsidRPr="00DA3536">
        <w:rPr>
          <w:rStyle w:val="FootnoteReference"/>
          <w:rFonts w:ascii="Calibri" w:hAnsi="Calibri"/>
          <w:vertAlign w:val="baseline"/>
        </w:rPr>
        <w:footnoteRef/>
      </w:r>
      <w:r w:rsidRPr="00DA3536">
        <w:rPr>
          <w:rFonts w:ascii="Calibri" w:hAnsi="Calibri"/>
        </w:rPr>
        <w:t xml:space="preserve"> </w:t>
      </w:r>
      <w:r w:rsidRPr="00DA3536">
        <w:rPr>
          <w:rFonts w:ascii="Calibri" w:hAnsi="Calibri"/>
        </w:rPr>
        <w:tab/>
        <w:t>See</w:t>
      </w:r>
      <w:r>
        <w:rPr>
          <w:rFonts w:ascii="Calibri" w:hAnsi="Calibri"/>
        </w:rPr>
        <w:t xml:space="preserve"> </w:t>
      </w:r>
      <w:r w:rsidRPr="00C0761C">
        <w:rPr>
          <w:rFonts w:ascii="Calibri" w:hAnsi="Calibri"/>
        </w:rPr>
        <w:t>Regulations and Ordinances Committee,</w:t>
      </w:r>
      <w:r>
        <w:rPr>
          <w:rFonts w:ascii="Calibri" w:hAnsi="Calibri"/>
        </w:rPr>
        <w:t xml:space="preserve"> </w:t>
      </w:r>
      <w:r>
        <w:rPr>
          <w:rFonts w:ascii="Calibri" w:hAnsi="Calibri"/>
          <w:i/>
        </w:rPr>
        <w:t xml:space="preserve">Guideline on incorporation of documents, </w:t>
      </w:r>
      <w:hyperlink r:id="rId20" w:history="1">
        <w:r w:rsidRPr="009F3A12">
          <w:rPr>
            <w:rStyle w:val="Hyperlink"/>
            <w:rFonts w:ascii="Calibri" w:hAnsi="Calibri"/>
          </w:rPr>
          <w:t>http://www.aph.gov.au/Parliamentary_Business/Committees/Senate/Regulations_and_</w:t>
        </w:r>
        <w:r w:rsidRPr="009F3A12">
          <w:rPr>
            <w:rStyle w:val="Hyperlink"/>
            <w:rFonts w:ascii="Calibri" w:hAnsi="Calibri"/>
          </w:rPr>
          <w:br/>
          <w:t>Ordinances/Guidelines/Guideline_on_incorporation_of_documents</w:t>
        </w:r>
      </w:hyperlink>
      <w:r>
        <w:rPr>
          <w:rFonts w:ascii="Calibri" w:hAnsi="Calibri"/>
        </w:rPr>
        <w:t>.</w:t>
      </w:r>
    </w:p>
  </w:footnote>
  <w:footnote w:id="27">
    <w:p w:rsidR="002B2721" w:rsidRPr="002173B8" w:rsidRDefault="002B2721" w:rsidP="00CD18D3">
      <w:pPr>
        <w:pStyle w:val="Footnote"/>
      </w:pPr>
      <w:r w:rsidRPr="00CF617F">
        <w:rPr>
          <w:rStyle w:val="FootnoteReference"/>
          <w:vertAlign w:val="baseline"/>
        </w:rPr>
        <w:footnoteRef/>
      </w:r>
      <w:r w:rsidRPr="002173B8">
        <w:t xml:space="preserve"> </w:t>
      </w:r>
      <w:r>
        <w:tab/>
        <w:t xml:space="preserve">See The Treasury, Discussion Paper </w:t>
      </w:r>
      <w:r w:rsidRPr="004C2770">
        <w:rPr>
          <w:i/>
        </w:rPr>
        <w:t>Proposed Financial Institutions Supervisory Levies For 2017-18</w:t>
      </w:r>
      <w:r>
        <w:rPr>
          <w:i/>
        </w:rPr>
        <w:t xml:space="preserve"> </w:t>
      </w:r>
      <w:r>
        <w:t xml:space="preserve">(26 May 2017) available at </w:t>
      </w:r>
      <w:hyperlink r:id="rId21" w:history="1">
        <w:r w:rsidRPr="002173B8">
          <w:rPr>
            <w:rStyle w:val="Hyperlink"/>
          </w:rPr>
          <w:t>http://treasury.gov.au/ConsultationsandReviews/Consult</w:t>
        </w:r>
        <w:r w:rsidRPr="002173B8">
          <w:rPr>
            <w:rStyle w:val="Hyperlink"/>
          </w:rPr>
          <w:br/>
          <w:t>ations/2017/Proposed-Financial-Institutions-Supervisory-Levies-for-201718</w:t>
        </w:r>
      </w:hyperlink>
      <w:r>
        <w:t xml:space="preserve"> (accessed 28 August 2017). </w:t>
      </w:r>
    </w:p>
  </w:footnote>
  <w:footnote w:id="28">
    <w:p w:rsidR="002B2721" w:rsidRPr="005A5FBD" w:rsidRDefault="002B2721" w:rsidP="00CD18D3">
      <w:pPr>
        <w:pStyle w:val="FootnoteText"/>
        <w:spacing w:after="120"/>
        <w:rPr>
          <w:rFonts w:asciiTheme="minorHAnsi" w:hAnsiTheme="minorHAnsi"/>
        </w:rPr>
      </w:pPr>
      <w:r w:rsidRPr="005A5FBD">
        <w:rPr>
          <w:rStyle w:val="FootnoteReference"/>
          <w:rFonts w:asciiTheme="minorHAnsi" w:hAnsiTheme="minorHAnsi"/>
          <w:vertAlign w:val="baseline"/>
        </w:rPr>
        <w:footnoteRef/>
      </w:r>
      <w:r w:rsidRPr="005A5FBD">
        <w:rPr>
          <w:rFonts w:asciiTheme="minorHAnsi" w:hAnsiTheme="minorHAnsi"/>
        </w:rPr>
        <w:t xml:space="preserve"> </w:t>
      </w:r>
      <w:r w:rsidRPr="005A5FBD">
        <w:rPr>
          <w:rFonts w:asciiTheme="minorHAnsi" w:hAnsiTheme="minorHAnsi"/>
        </w:rPr>
        <w:tab/>
        <w:t xml:space="preserve">The committee notes that it previously commented on similar issues on an advice-only basis. See </w:t>
      </w:r>
      <w:r>
        <w:rPr>
          <w:rFonts w:asciiTheme="minorHAnsi" w:hAnsiTheme="minorHAnsi"/>
          <w:i/>
        </w:rPr>
        <w:t>Delegated l</w:t>
      </w:r>
      <w:r w:rsidRPr="005A5FBD">
        <w:rPr>
          <w:rFonts w:asciiTheme="minorHAnsi" w:hAnsiTheme="minorHAnsi"/>
          <w:i/>
        </w:rPr>
        <w:t xml:space="preserve">egislation </w:t>
      </w:r>
      <w:r>
        <w:rPr>
          <w:rFonts w:asciiTheme="minorHAnsi" w:hAnsiTheme="minorHAnsi"/>
          <w:i/>
        </w:rPr>
        <w:t>m</w:t>
      </w:r>
      <w:r w:rsidRPr="005A5FBD">
        <w:rPr>
          <w:rFonts w:asciiTheme="minorHAnsi" w:hAnsiTheme="minorHAnsi"/>
          <w:i/>
        </w:rPr>
        <w:t xml:space="preserve">onitor </w:t>
      </w:r>
      <w:r w:rsidRPr="004148DD">
        <w:rPr>
          <w:rFonts w:asciiTheme="minorHAnsi" w:hAnsiTheme="minorHAnsi"/>
        </w:rPr>
        <w:t>2 of 2017,</w:t>
      </w:r>
      <w:r w:rsidRPr="005A5FBD">
        <w:rPr>
          <w:rFonts w:asciiTheme="minorHAnsi" w:hAnsiTheme="minorHAnsi"/>
          <w:i/>
        </w:rPr>
        <w:t xml:space="preserve"> </w:t>
      </w:r>
      <w:r w:rsidRPr="005A5FBD">
        <w:rPr>
          <w:rFonts w:asciiTheme="minorHAnsi" w:hAnsiTheme="minorHAnsi"/>
        </w:rPr>
        <w:t>pp</w:t>
      </w:r>
      <w:r>
        <w:rPr>
          <w:rFonts w:asciiTheme="minorHAnsi" w:hAnsiTheme="minorHAnsi"/>
        </w:rPr>
        <w:t>.</w:t>
      </w:r>
      <w:r w:rsidRPr="005A5FBD">
        <w:rPr>
          <w:rFonts w:asciiTheme="minorHAnsi" w:hAnsiTheme="minorHAnsi"/>
        </w:rPr>
        <w:t xml:space="preserve"> 21-22.</w:t>
      </w:r>
    </w:p>
  </w:footnote>
  <w:footnote w:id="29">
    <w:p w:rsidR="002B2721" w:rsidRPr="008B0EEC" w:rsidRDefault="002B2721" w:rsidP="00CD18D3">
      <w:pPr>
        <w:pStyle w:val="FootnoteText"/>
        <w:spacing w:after="120"/>
      </w:pPr>
      <w:r w:rsidRPr="008B0EEC">
        <w:rPr>
          <w:rStyle w:val="FootnoteReference"/>
          <w:rFonts w:ascii="Calibri" w:hAnsi="Calibri"/>
          <w:vertAlign w:val="baseline"/>
        </w:rPr>
        <w:footnoteRef/>
      </w:r>
      <w:r w:rsidRPr="008B0EEC">
        <w:rPr>
          <w:rFonts w:ascii="Calibri" w:hAnsi="Calibri"/>
        </w:rPr>
        <w:t xml:space="preserve"> </w:t>
      </w:r>
      <w:r w:rsidRPr="008B0EEC">
        <w:rPr>
          <w:rFonts w:ascii="Calibri" w:hAnsi="Calibri"/>
        </w:rPr>
        <w:tab/>
        <w:t>See R</w:t>
      </w:r>
      <w:r w:rsidRPr="00E16AC0">
        <w:rPr>
          <w:rFonts w:asciiTheme="minorHAnsi" w:hAnsiTheme="minorHAnsi"/>
        </w:rPr>
        <w:t xml:space="preserve">egulations and Ordinances Committee, </w:t>
      </w:r>
      <w:r w:rsidRPr="00E16AC0">
        <w:rPr>
          <w:rFonts w:asciiTheme="minorHAnsi" w:hAnsiTheme="minorHAnsi"/>
          <w:i/>
        </w:rPr>
        <w:t xml:space="preserve">Guideline on consultation, </w:t>
      </w:r>
      <w:hyperlink r:id="rId22" w:history="1">
        <w:r w:rsidRPr="00E16AC0">
          <w:rPr>
            <w:rStyle w:val="Hyperlink"/>
            <w:rFonts w:asciiTheme="minorHAnsi" w:hAnsiTheme="minorHAnsi"/>
          </w:rPr>
          <w:t>http://www.aph.gov.</w:t>
        </w:r>
        <w:r w:rsidRPr="00E16AC0">
          <w:rPr>
            <w:rStyle w:val="Hyperlink"/>
            <w:rFonts w:asciiTheme="minorHAnsi" w:hAnsiTheme="minorHAnsi"/>
          </w:rPr>
          <w:br/>
          <w:t>au/Parliamentary_Business/Committees/Senate/Regulations_and_Ordinances/Guidelines/</w:t>
        </w:r>
        <w:r w:rsidRPr="00E16AC0">
          <w:rPr>
            <w:rStyle w:val="Hyperlink"/>
            <w:rFonts w:asciiTheme="minorHAnsi" w:hAnsiTheme="minorHAnsi"/>
          </w:rPr>
          <w:br/>
          <w:t>consultation</w:t>
        </w:r>
      </w:hyperlink>
      <w:r w:rsidRPr="00E16AC0">
        <w:rPr>
          <w:rFonts w:asciiTheme="minorHAnsi" w:hAnsiTheme="minorHAnsi"/>
        </w:rPr>
        <w:t>.</w:t>
      </w:r>
    </w:p>
  </w:footnote>
  <w:footnote w:id="30">
    <w:p w:rsidR="002B2721" w:rsidRPr="00BF1720" w:rsidRDefault="002B2721" w:rsidP="00CD18D3">
      <w:pPr>
        <w:pStyle w:val="Footnote"/>
      </w:pPr>
      <w:r w:rsidRPr="00BF1720">
        <w:rPr>
          <w:rStyle w:val="FootnoteReference"/>
          <w:vertAlign w:val="baseline"/>
        </w:rPr>
        <w:footnoteRef/>
      </w:r>
      <w:r w:rsidRPr="00BF1720">
        <w:t xml:space="preserve"> </w:t>
      </w:r>
      <w:r>
        <w:tab/>
      </w:r>
      <w:r w:rsidRPr="00BF1720">
        <w:t xml:space="preserve">Senate Standing Committee for the Scrutiny of Bills, </w:t>
      </w:r>
      <w:r w:rsidRPr="00BF1720">
        <w:rPr>
          <w:i/>
        </w:rPr>
        <w:t xml:space="preserve">Scrutiny Digest </w:t>
      </w:r>
      <w:r>
        <w:rPr>
          <w:i/>
        </w:rPr>
        <w:t>6</w:t>
      </w:r>
      <w:r w:rsidRPr="00BF1720">
        <w:rPr>
          <w:i/>
        </w:rPr>
        <w:t xml:space="preserve"> of 2017</w:t>
      </w:r>
      <w:r w:rsidRPr="00BF1720">
        <w:t>, pp</w:t>
      </w:r>
      <w:r>
        <w:t xml:space="preserve"> 120-123.</w:t>
      </w:r>
    </w:p>
  </w:footnote>
  <w:footnote w:id="31">
    <w:p w:rsidR="002B2721" w:rsidRPr="00663859" w:rsidRDefault="002B2721" w:rsidP="00CD18D3">
      <w:pPr>
        <w:pStyle w:val="Footnote"/>
      </w:pPr>
      <w:r w:rsidRPr="00663859">
        <w:rPr>
          <w:rStyle w:val="FootnoteReference"/>
          <w:vertAlign w:val="baseline"/>
        </w:rPr>
        <w:footnoteRef/>
      </w:r>
      <w:r w:rsidRPr="00663859">
        <w:t xml:space="preserve"> </w:t>
      </w:r>
      <w:r>
        <w:tab/>
        <w:t xml:space="preserve">Senate Standing Committee for the Scrutiny of Bills, </w:t>
      </w:r>
      <w:r>
        <w:rPr>
          <w:i/>
        </w:rPr>
        <w:t>Eighth Report of 2016</w:t>
      </w:r>
      <w:r>
        <w:t>, pp 504-516.</w:t>
      </w:r>
    </w:p>
  </w:footnote>
  <w:footnote w:id="32">
    <w:p w:rsidR="002B2721" w:rsidRPr="008B0EEC" w:rsidRDefault="002B2721" w:rsidP="00CD18D3">
      <w:pPr>
        <w:pStyle w:val="FootnoteText"/>
        <w:spacing w:after="120"/>
      </w:pPr>
      <w:r w:rsidRPr="008B0EEC">
        <w:rPr>
          <w:rStyle w:val="FootnoteReference"/>
          <w:rFonts w:ascii="Calibri" w:hAnsi="Calibri"/>
          <w:vertAlign w:val="baseline"/>
        </w:rPr>
        <w:footnoteRef/>
      </w:r>
      <w:r w:rsidRPr="008B0EEC">
        <w:rPr>
          <w:rFonts w:ascii="Calibri" w:hAnsi="Calibri"/>
        </w:rPr>
        <w:t xml:space="preserve"> </w:t>
      </w:r>
      <w:r w:rsidRPr="008B0EEC">
        <w:rPr>
          <w:rFonts w:ascii="Calibri" w:hAnsi="Calibri"/>
        </w:rPr>
        <w:tab/>
        <w:t>See R</w:t>
      </w:r>
      <w:r w:rsidRPr="00E16AC0">
        <w:rPr>
          <w:rFonts w:asciiTheme="minorHAnsi" w:hAnsiTheme="minorHAnsi"/>
        </w:rPr>
        <w:t xml:space="preserve">egulations and Ordinances Committee, </w:t>
      </w:r>
      <w:r w:rsidRPr="00E16AC0">
        <w:rPr>
          <w:rFonts w:asciiTheme="minorHAnsi" w:hAnsiTheme="minorHAnsi"/>
          <w:i/>
        </w:rPr>
        <w:t xml:space="preserve">Guideline on consultation, </w:t>
      </w:r>
      <w:hyperlink r:id="rId23" w:history="1">
        <w:r w:rsidRPr="00E16AC0">
          <w:rPr>
            <w:rStyle w:val="Hyperlink"/>
            <w:rFonts w:asciiTheme="minorHAnsi" w:hAnsiTheme="minorHAnsi"/>
          </w:rPr>
          <w:t>http://www.aph.gov.</w:t>
        </w:r>
        <w:r w:rsidRPr="00E16AC0">
          <w:rPr>
            <w:rStyle w:val="Hyperlink"/>
            <w:rFonts w:asciiTheme="minorHAnsi" w:hAnsiTheme="minorHAnsi"/>
          </w:rPr>
          <w:br/>
          <w:t>au/Parliamentary_Business/Committees/Senate/Regulations_and_Ordinances/Guidelines/</w:t>
        </w:r>
        <w:r w:rsidRPr="00E16AC0">
          <w:rPr>
            <w:rStyle w:val="Hyperlink"/>
            <w:rFonts w:asciiTheme="minorHAnsi" w:hAnsiTheme="minorHAnsi"/>
          </w:rPr>
          <w:br/>
          <w:t>consultation</w:t>
        </w:r>
      </w:hyperlink>
      <w:r w:rsidRPr="00E16AC0">
        <w:rPr>
          <w:rFonts w:asciiTheme="minorHAnsi" w:hAnsiTheme="minorHAnsi"/>
        </w:rPr>
        <w:t>.</w:t>
      </w:r>
    </w:p>
  </w:footnote>
  <w:footnote w:id="33">
    <w:p w:rsidR="002B2721" w:rsidRPr="00DA3536" w:rsidRDefault="002B2721" w:rsidP="00CD18D3">
      <w:pPr>
        <w:pStyle w:val="FootnoteText"/>
        <w:spacing w:after="120"/>
        <w:rPr>
          <w:rFonts w:ascii="Calibri" w:hAnsi="Calibri"/>
        </w:rPr>
      </w:pPr>
      <w:r w:rsidRPr="00DA3536">
        <w:rPr>
          <w:rStyle w:val="FootnoteReference"/>
          <w:rFonts w:ascii="Calibri" w:hAnsi="Calibri"/>
          <w:vertAlign w:val="baseline"/>
        </w:rPr>
        <w:footnoteRef/>
      </w:r>
      <w:r w:rsidRPr="00DA3536">
        <w:rPr>
          <w:rFonts w:ascii="Calibri" w:hAnsi="Calibri"/>
        </w:rPr>
        <w:t xml:space="preserve"> </w:t>
      </w:r>
      <w:r w:rsidRPr="00DA3536">
        <w:rPr>
          <w:rFonts w:ascii="Calibri" w:hAnsi="Calibri"/>
        </w:rPr>
        <w:tab/>
        <w:t>See</w:t>
      </w:r>
      <w:r>
        <w:rPr>
          <w:rFonts w:ascii="Calibri" w:hAnsi="Calibri"/>
        </w:rPr>
        <w:t xml:space="preserve"> </w:t>
      </w:r>
      <w:r w:rsidRPr="00C0761C">
        <w:rPr>
          <w:rFonts w:ascii="Calibri" w:hAnsi="Calibri"/>
        </w:rPr>
        <w:t>Regulations and Ordinances Committee,</w:t>
      </w:r>
      <w:r>
        <w:rPr>
          <w:rFonts w:ascii="Calibri" w:hAnsi="Calibri"/>
        </w:rPr>
        <w:t xml:space="preserve"> </w:t>
      </w:r>
      <w:r>
        <w:rPr>
          <w:rFonts w:ascii="Calibri" w:hAnsi="Calibri"/>
          <w:i/>
        </w:rPr>
        <w:t xml:space="preserve">Guideline on incorporation of documents, </w:t>
      </w:r>
      <w:hyperlink r:id="rId24" w:history="1">
        <w:r w:rsidRPr="009F3A12">
          <w:rPr>
            <w:rStyle w:val="Hyperlink"/>
            <w:rFonts w:ascii="Calibri" w:hAnsi="Calibri"/>
          </w:rPr>
          <w:t>http://www.aph.gov.au/Parliamentary_Business/Committees/Senate/Regulations_and_</w:t>
        </w:r>
        <w:r w:rsidRPr="009F3A12">
          <w:rPr>
            <w:rStyle w:val="Hyperlink"/>
            <w:rFonts w:ascii="Calibri" w:hAnsi="Calibri"/>
          </w:rPr>
          <w:br/>
          <w:t>Ordinances/Guidelines/Guideline_on_incorporation_of_documents</w:t>
        </w:r>
      </w:hyperlink>
      <w:r>
        <w:rPr>
          <w:rFonts w:ascii="Calibri" w:hAnsi="Calibri"/>
        </w:rPr>
        <w:t>.</w:t>
      </w:r>
    </w:p>
  </w:footnote>
  <w:footnote w:id="34">
    <w:p w:rsidR="002B2721" w:rsidRPr="008F580C" w:rsidRDefault="002B2721" w:rsidP="00CD18D3">
      <w:pPr>
        <w:pStyle w:val="FootnoteText"/>
        <w:spacing w:after="120"/>
        <w:rPr>
          <w:rFonts w:ascii="Calibri" w:hAnsi="Calibri"/>
        </w:rPr>
      </w:pPr>
      <w:r w:rsidRPr="008F580C">
        <w:rPr>
          <w:rStyle w:val="FootnoteReference"/>
          <w:rFonts w:ascii="Calibri" w:hAnsi="Calibri"/>
          <w:vertAlign w:val="baseline"/>
        </w:rPr>
        <w:footnoteRef/>
      </w:r>
      <w:r w:rsidRPr="008F580C">
        <w:rPr>
          <w:rFonts w:ascii="Calibri" w:hAnsi="Calibri"/>
        </w:rPr>
        <w:t xml:space="preserve"> </w:t>
      </w:r>
      <w:r w:rsidRPr="008F580C">
        <w:rPr>
          <w:rFonts w:ascii="Calibri" w:hAnsi="Calibri"/>
        </w:rPr>
        <w:tab/>
        <w:t>See</w:t>
      </w:r>
      <w:r>
        <w:rPr>
          <w:rFonts w:ascii="Calibri" w:hAnsi="Calibri"/>
        </w:rPr>
        <w:t xml:space="preserve"> Regulations and Ordinances Committee, </w:t>
      </w:r>
      <w:r>
        <w:rPr>
          <w:rFonts w:ascii="Calibri" w:hAnsi="Calibri"/>
          <w:i/>
        </w:rPr>
        <w:t>Guideline on incorporation of documents,</w:t>
      </w:r>
      <w:r w:rsidRPr="008F580C">
        <w:rPr>
          <w:rFonts w:ascii="Calibri" w:hAnsi="Calibri"/>
        </w:rPr>
        <w:t xml:space="preserve"> </w:t>
      </w:r>
      <w:hyperlink r:id="rId25" w:history="1">
        <w:r w:rsidRPr="00A54E91">
          <w:rPr>
            <w:rStyle w:val="Hyperlink"/>
            <w:rFonts w:ascii="Calibri" w:hAnsi="Calibri"/>
          </w:rPr>
          <w:t>http://www.aph.gov.au/Parliamentary_Business/Committees/Senate/Regulations_and_</w:t>
        </w:r>
        <w:r w:rsidRPr="00A54E91">
          <w:rPr>
            <w:rStyle w:val="Hyperlink"/>
            <w:rFonts w:ascii="Calibri" w:hAnsi="Calibri"/>
          </w:rPr>
          <w:br/>
          <w:t>Ordinances/Guidelines/Guideline_on_incorporation_of_documents</w:t>
        </w:r>
      </w:hyperlink>
      <w:r>
        <w:rPr>
          <w:rFonts w:ascii="Calibri" w:hAnsi="Calibri"/>
        </w:rPr>
        <w:t>.</w:t>
      </w:r>
    </w:p>
  </w:footnote>
  <w:footnote w:id="35">
    <w:p w:rsidR="002B2721" w:rsidRPr="000827A8" w:rsidRDefault="002B2721" w:rsidP="00CD18D3">
      <w:pPr>
        <w:pStyle w:val="FootnoteText"/>
        <w:spacing w:after="120"/>
      </w:pPr>
      <w:r w:rsidRPr="000827A8">
        <w:rPr>
          <w:rStyle w:val="FootnoteReference"/>
          <w:rFonts w:asciiTheme="minorHAnsi" w:hAnsiTheme="minorHAnsi"/>
          <w:vertAlign w:val="baseline"/>
        </w:rPr>
        <w:footnoteRef/>
      </w:r>
      <w:r w:rsidRPr="000827A8">
        <w:rPr>
          <w:rFonts w:asciiTheme="minorHAnsi" w:hAnsiTheme="minorHAnsi"/>
        </w:rPr>
        <w:t xml:space="preserve"> </w:t>
      </w:r>
      <w:r w:rsidRPr="000827A8">
        <w:rPr>
          <w:rFonts w:asciiTheme="minorHAnsi" w:hAnsiTheme="minorHAnsi"/>
        </w:rPr>
        <w:tab/>
        <w:t xml:space="preserve">For more extensive comment on this issue, see </w:t>
      </w:r>
      <w:r w:rsidRPr="000827A8">
        <w:rPr>
          <w:rFonts w:asciiTheme="minorHAnsi" w:hAnsiTheme="minorHAnsi"/>
          <w:i/>
        </w:rPr>
        <w:t>Delegated legislation monitor</w:t>
      </w:r>
      <w:r w:rsidRPr="000827A8">
        <w:rPr>
          <w:rFonts w:asciiTheme="minorHAnsi" w:hAnsiTheme="minorHAnsi"/>
        </w:rPr>
        <w:t xml:space="preserve"> 8 of 2013, p. 511</w:t>
      </w:r>
      <w:r w:rsidRPr="00C612E1">
        <w:t>.</w:t>
      </w:r>
    </w:p>
  </w:footnote>
  <w:footnote w:id="36">
    <w:p w:rsidR="002B2721" w:rsidRPr="00A34E35" w:rsidRDefault="002B2721" w:rsidP="00934437">
      <w:pPr>
        <w:pStyle w:val="FootnoteText"/>
        <w:spacing w:after="120"/>
        <w:rPr>
          <w:rFonts w:asciiTheme="minorHAnsi" w:hAnsiTheme="minorHAnsi"/>
        </w:rPr>
      </w:pPr>
      <w:r w:rsidRPr="00A34E35">
        <w:rPr>
          <w:rStyle w:val="FootnoteReference"/>
          <w:rFonts w:asciiTheme="minorHAnsi" w:hAnsiTheme="minorHAnsi"/>
          <w:vertAlign w:val="baseline"/>
        </w:rPr>
        <w:footnoteRef/>
      </w:r>
      <w:r w:rsidRPr="00A34E35">
        <w:rPr>
          <w:rFonts w:asciiTheme="minorHAnsi" w:hAnsiTheme="minorHAnsi"/>
        </w:rPr>
        <w:t xml:space="preserve"> </w:t>
      </w:r>
      <w:r w:rsidRPr="00A34E35">
        <w:rPr>
          <w:rFonts w:asciiTheme="minorHAnsi" w:hAnsiTheme="minorHAnsi"/>
        </w:rPr>
        <w:tab/>
      </w:r>
      <w:r w:rsidRPr="008E494F">
        <w:rPr>
          <w:rFonts w:asciiTheme="minorHAnsi" w:hAnsiTheme="minorHAnsi"/>
        </w:rPr>
        <w:t xml:space="preserve">See </w:t>
      </w:r>
      <w:hyperlink r:id="rId26" w:history="1">
        <w:r w:rsidRPr="008E494F">
          <w:rPr>
            <w:rStyle w:val="Hyperlink"/>
            <w:rFonts w:asciiTheme="minorHAnsi" w:hAnsiTheme="minorHAnsi"/>
          </w:rPr>
          <w:t>www.aph.gov.au/regords_monitor</w:t>
        </w:r>
      </w:hyperlink>
      <w:r w:rsidRPr="008E494F">
        <w:rPr>
          <w:rStyle w:val="Hyperlink"/>
          <w:rFonts w:asciiTheme="minorHAnsi" w:hAnsiTheme="minorHAnsi"/>
        </w:rPr>
        <w:t>.</w:t>
      </w:r>
    </w:p>
  </w:footnote>
  <w:footnote w:id="37">
    <w:p w:rsidR="002B2721" w:rsidRPr="00DA3536" w:rsidRDefault="002B2721" w:rsidP="0038147A">
      <w:pPr>
        <w:pStyle w:val="FootnoteText"/>
        <w:spacing w:after="120"/>
        <w:rPr>
          <w:rFonts w:ascii="Calibri" w:hAnsi="Calibri"/>
        </w:rPr>
      </w:pPr>
      <w:r w:rsidRPr="00DA3536">
        <w:rPr>
          <w:rStyle w:val="FootnoteReference"/>
          <w:rFonts w:ascii="Calibri" w:hAnsi="Calibri"/>
          <w:vertAlign w:val="baseline"/>
        </w:rPr>
        <w:footnoteRef/>
      </w:r>
      <w:r w:rsidRPr="00DA3536">
        <w:rPr>
          <w:rFonts w:ascii="Calibri" w:hAnsi="Calibri"/>
        </w:rPr>
        <w:t xml:space="preserve"> </w:t>
      </w:r>
      <w:r w:rsidRPr="00DA3536">
        <w:rPr>
          <w:rFonts w:ascii="Calibri" w:hAnsi="Calibri"/>
        </w:rPr>
        <w:tab/>
        <w:t>See</w:t>
      </w:r>
      <w:r>
        <w:rPr>
          <w:rFonts w:ascii="Calibri" w:hAnsi="Calibri"/>
        </w:rPr>
        <w:t xml:space="preserve"> </w:t>
      </w:r>
      <w:r w:rsidRPr="00C0761C">
        <w:rPr>
          <w:rFonts w:ascii="Calibri" w:hAnsi="Calibri"/>
        </w:rPr>
        <w:t>Regulations and Ordinances Committee,</w:t>
      </w:r>
      <w:r>
        <w:rPr>
          <w:rFonts w:ascii="Calibri" w:hAnsi="Calibri"/>
        </w:rPr>
        <w:t xml:space="preserve"> </w:t>
      </w:r>
      <w:r>
        <w:rPr>
          <w:rFonts w:ascii="Calibri" w:hAnsi="Calibri"/>
          <w:i/>
        </w:rPr>
        <w:t xml:space="preserve">Guideline on incorporation of documents, </w:t>
      </w:r>
      <w:hyperlink r:id="rId27" w:history="1">
        <w:r w:rsidRPr="009F3A12">
          <w:rPr>
            <w:rStyle w:val="Hyperlink"/>
            <w:rFonts w:ascii="Calibri" w:hAnsi="Calibri"/>
          </w:rPr>
          <w:t>http://www.aph.gov.au/Parliamentary_Business/Committees/Senate/Regulations_and_</w:t>
        </w:r>
        <w:r w:rsidRPr="009F3A12">
          <w:rPr>
            <w:rStyle w:val="Hyperlink"/>
            <w:rFonts w:ascii="Calibri" w:hAnsi="Calibri"/>
          </w:rPr>
          <w:br/>
          <w:t>Ordinances/Guidelines/Guideline_on_incorporation_of_documents</w:t>
        </w:r>
      </w:hyperlink>
      <w:r>
        <w:rPr>
          <w:rFonts w:ascii="Calibri" w:hAnsi="Calibri"/>
        </w:rPr>
        <w:t>.</w:t>
      </w:r>
    </w:p>
  </w:footnote>
  <w:footnote w:id="38">
    <w:p w:rsidR="002B2721" w:rsidRPr="00821E80" w:rsidRDefault="002B2721" w:rsidP="00821E80">
      <w:pPr>
        <w:pStyle w:val="FootnoteText"/>
        <w:spacing w:after="120"/>
      </w:pPr>
      <w:r w:rsidRPr="00821E80">
        <w:rPr>
          <w:rStyle w:val="FootnoteReference"/>
          <w:rFonts w:ascii="Calibri" w:hAnsi="Calibri"/>
          <w:vertAlign w:val="baseline"/>
        </w:rPr>
        <w:footnoteRef/>
      </w:r>
      <w:r w:rsidRPr="00821E80">
        <w:rPr>
          <w:rFonts w:ascii="Calibri" w:hAnsi="Calibri"/>
        </w:rPr>
        <w:t xml:space="preserve"> </w:t>
      </w:r>
      <w:r>
        <w:tab/>
      </w:r>
      <w:r w:rsidRPr="006B4325">
        <w:rPr>
          <w:rFonts w:asciiTheme="minorHAnsi" w:hAnsiTheme="minorHAnsi"/>
        </w:rPr>
        <w:t>Joint Standing Comm</w:t>
      </w:r>
      <w:r>
        <w:rPr>
          <w:rFonts w:asciiTheme="minorHAnsi" w:hAnsiTheme="minorHAnsi"/>
        </w:rPr>
        <w:t>ittee on Delegated Legislation, Parliament of Western Australia,</w:t>
      </w:r>
      <w:r>
        <w:rPr>
          <w:rFonts w:asciiTheme="minorHAnsi" w:hAnsiTheme="minorHAnsi"/>
        </w:rPr>
        <w:br/>
      </w:r>
      <w:r w:rsidRPr="00FC62F7">
        <w:rPr>
          <w:rFonts w:asciiTheme="minorHAnsi" w:hAnsiTheme="minorHAnsi"/>
          <w:i/>
        </w:rPr>
        <w:t>Access to Australian Standards Adopted in Delegated Legislation</w:t>
      </w:r>
      <w:r>
        <w:rPr>
          <w:rFonts w:asciiTheme="minorHAnsi" w:hAnsiTheme="minorHAnsi"/>
          <w:i/>
        </w:rPr>
        <w:t xml:space="preserve">, </w:t>
      </w:r>
      <w:r w:rsidRPr="006B4325">
        <w:rPr>
          <w:rFonts w:asciiTheme="minorHAnsi" w:hAnsiTheme="minorHAnsi"/>
        </w:rPr>
        <w:t>Thirty-Ninth Parliament, Report 84,</w:t>
      </w:r>
      <w:r>
        <w:rPr>
          <w:rFonts w:asciiTheme="minorHAnsi" w:hAnsiTheme="minorHAnsi"/>
        </w:rPr>
        <w:t xml:space="preserve"> June 2016,</w:t>
      </w:r>
      <w:r w:rsidRPr="006B4325">
        <w:rPr>
          <w:rFonts w:asciiTheme="minorHAnsi" w:hAnsiTheme="minorHAnsi"/>
        </w:rPr>
        <w:t xml:space="preserve"> </w:t>
      </w:r>
      <w:hyperlink r:id="rId28" w:history="1">
        <w:r w:rsidRPr="00BF2428">
          <w:rPr>
            <w:rStyle w:val="Hyperlink"/>
            <w:rFonts w:asciiTheme="minorHAnsi" w:hAnsiTheme="minorHAnsi"/>
          </w:rPr>
          <w:t>http://www.parliament.wa.gov.au/Parliament/commit.nsf/ (Report+Lookup+by+Com+ID)/416D0BF968BDB17048257FDB0009BEF9/$file/dg.asa.160616.rpf.084.xx.pdf</w:t>
        </w:r>
      </w:hyperlink>
      <w:r>
        <w:rPr>
          <w:rFonts w:asciiTheme="minorHAnsi" w:hAnsiTheme="minorHAnsi"/>
        </w:rPr>
        <w:t xml:space="preserve"> (accessed 28 August</w:t>
      </w:r>
      <w:r w:rsidRPr="00FC62F7">
        <w:rPr>
          <w:rFonts w:asciiTheme="minorHAnsi" w:hAnsiTheme="minorHAnsi"/>
        </w:rPr>
        <w:t xml:space="preserve"> 2017).</w:t>
      </w:r>
    </w:p>
  </w:footnote>
  <w:footnote w:id="39">
    <w:p w:rsidR="002B2721" w:rsidRPr="00DA3536" w:rsidRDefault="002B2721" w:rsidP="008D31FD">
      <w:pPr>
        <w:pStyle w:val="FootnoteText"/>
        <w:spacing w:after="120"/>
        <w:rPr>
          <w:rFonts w:ascii="Calibri" w:hAnsi="Calibri"/>
        </w:rPr>
      </w:pPr>
      <w:r w:rsidRPr="00DA3536">
        <w:rPr>
          <w:rStyle w:val="FootnoteReference"/>
          <w:rFonts w:ascii="Calibri" w:hAnsi="Calibri"/>
          <w:vertAlign w:val="baseline"/>
        </w:rPr>
        <w:footnoteRef/>
      </w:r>
      <w:r w:rsidRPr="00DA3536">
        <w:rPr>
          <w:rFonts w:ascii="Calibri" w:hAnsi="Calibri"/>
        </w:rPr>
        <w:t xml:space="preserve"> </w:t>
      </w:r>
      <w:r w:rsidRPr="00DA3536">
        <w:rPr>
          <w:rFonts w:ascii="Calibri" w:hAnsi="Calibri"/>
        </w:rPr>
        <w:tab/>
        <w:t>See</w:t>
      </w:r>
      <w:r>
        <w:rPr>
          <w:rFonts w:ascii="Calibri" w:hAnsi="Calibri"/>
        </w:rPr>
        <w:t xml:space="preserve"> </w:t>
      </w:r>
      <w:r w:rsidRPr="00C0761C">
        <w:rPr>
          <w:rFonts w:ascii="Calibri" w:hAnsi="Calibri"/>
        </w:rPr>
        <w:t>Regulations and Ordinances Committee,</w:t>
      </w:r>
      <w:r>
        <w:rPr>
          <w:rFonts w:ascii="Calibri" w:hAnsi="Calibri"/>
        </w:rPr>
        <w:t xml:space="preserve"> </w:t>
      </w:r>
      <w:r>
        <w:rPr>
          <w:rFonts w:ascii="Calibri" w:hAnsi="Calibri"/>
          <w:i/>
        </w:rPr>
        <w:t xml:space="preserve">Guideline on incorporation of documents, </w:t>
      </w:r>
      <w:hyperlink r:id="rId29" w:history="1">
        <w:r w:rsidRPr="009F3A12">
          <w:rPr>
            <w:rStyle w:val="Hyperlink"/>
            <w:rFonts w:ascii="Calibri" w:hAnsi="Calibri"/>
          </w:rPr>
          <w:t>http://www.aph.gov.au/Parliamentary_Business/Committees/Senate/Regulations_and_</w:t>
        </w:r>
        <w:r w:rsidRPr="009F3A12">
          <w:rPr>
            <w:rStyle w:val="Hyperlink"/>
            <w:rFonts w:ascii="Calibri" w:hAnsi="Calibri"/>
          </w:rPr>
          <w:br/>
          <w:t>Ordinances/Guidelines/Guideline_on_incorporation_of_documents</w:t>
        </w:r>
      </w:hyperlink>
      <w:r>
        <w:rPr>
          <w:rFonts w:ascii="Calibri" w:hAnsi="Calibri"/>
        </w:rPr>
        <w:t>.</w:t>
      </w:r>
    </w:p>
  </w:footnote>
  <w:footnote w:id="40">
    <w:p w:rsidR="002B2721" w:rsidRPr="00821E80" w:rsidRDefault="002B2721" w:rsidP="008D272A">
      <w:pPr>
        <w:pStyle w:val="FootnoteText"/>
        <w:spacing w:after="120"/>
      </w:pPr>
      <w:r w:rsidRPr="00821E80">
        <w:rPr>
          <w:rStyle w:val="FootnoteReference"/>
          <w:rFonts w:ascii="Calibri" w:hAnsi="Calibri"/>
          <w:vertAlign w:val="baseline"/>
        </w:rPr>
        <w:footnoteRef/>
      </w:r>
      <w:r w:rsidRPr="00821E80">
        <w:rPr>
          <w:rFonts w:ascii="Calibri" w:hAnsi="Calibri"/>
        </w:rPr>
        <w:t xml:space="preserve"> </w:t>
      </w:r>
      <w:r>
        <w:tab/>
      </w:r>
      <w:r w:rsidRPr="006B4325">
        <w:rPr>
          <w:rFonts w:asciiTheme="minorHAnsi" w:hAnsiTheme="minorHAnsi"/>
        </w:rPr>
        <w:t>Joint Standing Comm</w:t>
      </w:r>
      <w:r>
        <w:rPr>
          <w:rFonts w:asciiTheme="minorHAnsi" w:hAnsiTheme="minorHAnsi"/>
        </w:rPr>
        <w:t>ittee on Delegated Legislation, Parliament of Western Australia,</w:t>
      </w:r>
      <w:r>
        <w:rPr>
          <w:rFonts w:asciiTheme="minorHAnsi" w:hAnsiTheme="minorHAnsi"/>
        </w:rPr>
        <w:br/>
      </w:r>
      <w:r w:rsidRPr="00FC62F7">
        <w:rPr>
          <w:rFonts w:asciiTheme="minorHAnsi" w:hAnsiTheme="minorHAnsi"/>
          <w:i/>
        </w:rPr>
        <w:t>Access to Australian Standards Adopted in Delegated Legislation</w:t>
      </w:r>
      <w:r>
        <w:rPr>
          <w:rFonts w:asciiTheme="minorHAnsi" w:hAnsiTheme="minorHAnsi"/>
        </w:rPr>
        <w:t xml:space="preserve">, </w:t>
      </w:r>
      <w:r w:rsidRPr="006B4325">
        <w:rPr>
          <w:rFonts w:asciiTheme="minorHAnsi" w:hAnsiTheme="minorHAnsi"/>
        </w:rPr>
        <w:t xml:space="preserve">Thirty-Ninth Parliament, Report 84, </w:t>
      </w:r>
      <w:r>
        <w:rPr>
          <w:rFonts w:asciiTheme="minorHAnsi" w:hAnsiTheme="minorHAnsi"/>
        </w:rPr>
        <w:t>June 2016,</w:t>
      </w:r>
      <w:r w:rsidRPr="006B4325">
        <w:rPr>
          <w:rFonts w:asciiTheme="minorHAnsi" w:hAnsiTheme="minorHAnsi"/>
        </w:rPr>
        <w:t xml:space="preserve"> </w:t>
      </w:r>
      <w:hyperlink r:id="rId30" w:history="1">
        <w:r w:rsidRPr="00BF2428">
          <w:rPr>
            <w:rStyle w:val="Hyperlink"/>
            <w:rFonts w:asciiTheme="minorHAnsi" w:hAnsiTheme="minorHAnsi"/>
          </w:rPr>
          <w:t>http://www.parliament.wa.gov.au/Parliament/commit.nsf/ (Report+Lookup+by+Com+ID)/416D0BF968BDB17048257FDB0009BEF9/$file/dg.asa.160616.rpf.084.xx.pdf</w:t>
        </w:r>
      </w:hyperlink>
      <w:r>
        <w:rPr>
          <w:rFonts w:asciiTheme="minorHAnsi" w:hAnsiTheme="minorHAnsi"/>
        </w:rPr>
        <w:t xml:space="preserve"> (accessed 28 August</w:t>
      </w:r>
      <w:r w:rsidRPr="00FC62F7">
        <w:rPr>
          <w:rFonts w:asciiTheme="minorHAnsi" w:hAnsiTheme="minorHAnsi"/>
        </w:rPr>
        <w:t xml:space="preserve"> 2017).</w:t>
      </w:r>
    </w:p>
  </w:footnote>
  <w:footnote w:id="41">
    <w:p w:rsidR="002B2721" w:rsidRPr="00703A02" w:rsidRDefault="002B2721" w:rsidP="00ED67B3">
      <w:pPr>
        <w:pStyle w:val="FootnoteText"/>
        <w:jc w:val="both"/>
        <w:rPr>
          <w:rFonts w:asciiTheme="minorHAnsi" w:hAnsiTheme="minorHAnsi"/>
        </w:rPr>
      </w:pPr>
      <w:r w:rsidRPr="00703A02">
        <w:rPr>
          <w:rStyle w:val="FootnoteReference"/>
          <w:rFonts w:asciiTheme="minorHAnsi" w:hAnsiTheme="minorHAnsi"/>
          <w:vertAlign w:val="baseline"/>
        </w:rPr>
        <w:footnoteRef/>
      </w:r>
      <w:r w:rsidRPr="00703A02">
        <w:rPr>
          <w:rFonts w:asciiTheme="minorHAnsi" w:hAnsiTheme="minorHAnsi"/>
        </w:rPr>
        <w:t xml:space="preserve"> </w:t>
      </w:r>
      <w:r w:rsidRPr="00703A02">
        <w:rPr>
          <w:rFonts w:asciiTheme="minorHAnsi" w:hAnsiTheme="minorHAnsi"/>
        </w:rPr>
        <w:tab/>
      </w:r>
      <w:r w:rsidRPr="00BB2747">
        <w:rPr>
          <w:rFonts w:asciiTheme="minorHAnsi" w:hAnsiTheme="minorHAnsi"/>
        </w:rPr>
        <w:t>The committee notes that it</w:t>
      </w:r>
      <w:r>
        <w:rPr>
          <w:rFonts w:asciiTheme="minorHAnsi" w:hAnsiTheme="minorHAnsi"/>
        </w:rPr>
        <w:t xml:space="preserve"> has</w:t>
      </w:r>
      <w:r w:rsidRPr="00BB2747">
        <w:rPr>
          <w:rFonts w:asciiTheme="minorHAnsi" w:hAnsiTheme="minorHAnsi"/>
        </w:rPr>
        <w:t xml:space="preserve"> previously commented on a similar issue</w:t>
      </w:r>
      <w:r>
        <w:rPr>
          <w:rFonts w:asciiTheme="minorHAnsi" w:hAnsiTheme="minorHAnsi"/>
        </w:rPr>
        <w:t xml:space="preserve">. See </w:t>
      </w:r>
      <w:r>
        <w:rPr>
          <w:rFonts w:asciiTheme="minorHAnsi" w:hAnsiTheme="minorHAnsi"/>
          <w:i/>
        </w:rPr>
        <w:t xml:space="preserve">Delegated legislation monitor </w:t>
      </w:r>
      <w:r>
        <w:rPr>
          <w:rFonts w:asciiTheme="minorHAnsi" w:hAnsiTheme="minorHAnsi"/>
        </w:rPr>
        <w:t>10 of 2016,</w:t>
      </w:r>
      <w:r>
        <w:rPr>
          <w:rFonts w:asciiTheme="minorHAnsi" w:hAnsiTheme="minorHAnsi"/>
          <w:i/>
        </w:rPr>
        <w:t xml:space="preserve"> </w:t>
      </w:r>
      <w:r w:rsidRPr="00BB2747">
        <w:rPr>
          <w:rFonts w:asciiTheme="minorHAnsi" w:hAnsiTheme="minorHAnsi"/>
        </w:rPr>
        <w:t>Banking, Insurance and Life Insurance (prudential</w:t>
      </w:r>
      <w:r>
        <w:rPr>
          <w:rFonts w:asciiTheme="minorHAnsi" w:hAnsiTheme="minorHAnsi"/>
        </w:rPr>
        <w:t xml:space="preserve"> </w:t>
      </w:r>
      <w:r w:rsidRPr="00BB2747">
        <w:rPr>
          <w:rFonts w:asciiTheme="minorHAnsi" w:hAnsiTheme="minorHAnsi"/>
        </w:rPr>
        <w:t xml:space="preserve">standard) determination No. 4 of 2016 </w:t>
      </w:r>
      <w:r>
        <w:rPr>
          <w:rFonts w:asciiTheme="minorHAnsi" w:hAnsiTheme="minorHAnsi"/>
        </w:rPr>
        <w:t>–</w:t>
      </w:r>
      <w:r w:rsidRPr="00BB2747">
        <w:rPr>
          <w:rFonts w:asciiTheme="minorHAnsi" w:hAnsiTheme="minorHAnsi"/>
        </w:rPr>
        <w:t xml:space="preserve"> Prudential</w:t>
      </w:r>
      <w:r>
        <w:rPr>
          <w:rFonts w:asciiTheme="minorHAnsi" w:hAnsiTheme="minorHAnsi"/>
        </w:rPr>
        <w:t xml:space="preserve"> </w:t>
      </w:r>
      <w:r w:rsidRPr="00BB2747">
        <w:rPr>
          <w:rFonts w:asciiTheme="minorHAnsi" w:hAnsiTheme="minorHAnsi"/>
        </w:rPr>
        <w:t>Standard 3PS 310 - Audit and Related Matters</w:t>
      </w:r>
      <w:r>
        <w:rPr>
          <w:rFonts w:asciiTheme="minorHAnsi" w:hAnsiTheme="minorHAnsi"/>
        </w:rPr>
        <w:t xml:space="preserve"> </w:t>
      </w:r>
      <w:r w:rsidRPr="00BB2747">
        <w:rPr>
          <w:rFonts w:asciiTheme="minorHAnsi" w:hAnsiTheme="minorHAnsi"/>
        </w:rPr>
        <w:t>[F2016L01437]</w:t>
      </w:r>
      <w:r>
        <w:rPr>
          <w:rFonts w:asciiTheme="minorHAnsi" w:hAnsiTheme="minorHAnsi"/>
        </w:rPr>
        <w:t xml:space="preserve"> and </w:t>
      </w:r>
      <w:r w:rsidRPr="00BB2747">
        <w:rPr>
          <w:rFonts w:asciiTheme="minorHAnsi" w:hAnsiTheme="minorHAnsi"/>
        </w:rPr>
        <w:t>Banking, Insurance and Life Insurance (prudential</w:t>
      </w:r>
      <w:r>
        <w:rPr>
          <w:rFonts w:asciiTheme="minorHAnsi" w:hAnsiTheme="minorHAnsi"/>
        </w:rPr>
        <w:t xml:space="preserve"> </w:t>
      </w:r>
      <w:r w:rsidRPr="00BB2747">
        <w:rPr>
          <w:rFonts w:asciiTheme="minorHAnsi" w:hAnsiTheme="minorHAnsi"/>
        </w:rPr>
        <w:t xml:space="preserve">standard) determination No. 8 of 2016 </w:t>
      </w:r>
      <w:r>
        <w:rPr>
          <w:rFonts w:asciiTheme="minorHAnsi" w:hAnsiTheme="minorHAnsi"/>
        </w:rPr>
        <w:t>–</w:t>
      </w:r>
      <w:r w:rsidRPr="00BB2747">
        <w:rPr>
          <w:rFonts w:asciiTheme="minorHAnsi" w:hAnsiTheme="minorHAnsi"/>
        </w:rPr>
        <w:t xml:space="preserve"> Prudential</w:t>
      </w:r>
      <w:r>
        <w:rPr>
          <w:rFonts w:asciiTheme="minorHAnsi" w:hAnsiTheme="minorHAnsi"/>
        </w:rPr>
        <w:t xml:space="preserve"> </w:t>
      </w:r>
      <w:r w:rsidRPr="00BB2747">
        <w:rPr>
          <w:rFonts w:asciiTheme="minorHAnsi" w:hAnsiTheme="minorHAnsi"/>
        </w:rPr>
        <w:t>Standard CPS 510 Governance [F2016L01432]</w:t>
      </w:r>
      <w:r>
        <w:rPr>
          <w:rFonts w:asciiTheme="minorHAnsi" w:hAnsiTheme="minorHAnsi"/>
        </w:rPr>
        <w:t>, pp 29-32.</w:t>
      </w:r>
    </w:p>
  </w:footnote>
  <w:footnote w:id="42">
    <w:p w:rsidR="002B2721" w:rsidRPr="00C711A4" w:rsidRDefault="002B2721" w:rsidP="00ED67B3">
      <w:pPr>
        <w:pStyle w:val="FootnoteText"/>
        <w:spacing w:after="120"/>
        <w:jc w:val="both"/>
        <w:rPr>
          <w:rFonts w:ascii="Calibri" w:hAnsi="Calibri"/>
        </w:rPr>
      </w:pPr>
      <w:r w:rsidRPr="00C711A4">
        <w:rPr>
          <w:rStyle w:val="FootnoteReference"/>
          <w:rFonts w:ascii="Calibri" w:hAnsi="Calibri"/>
          <w:vertAlign w:val="baseline"/>
        </w:rPr>
        <w:footnoteRef/>
      </w:r>
      <w:r w:rsidRPr="00C711A4">
        <w:rPr>
          <w:rFonts w:ascii="Calibri" w:hAnsi="Calibri"/>
        </w:rPr>
        <w:t xml:space="preserve"> </w:t>
      </w:r>
      <w:r w:rsidRPr="00C711A4">
        <w:rPr>
          <w:rFonts w:ascii="Calibri" w:hAnsi="Calibri"/>
        </w:rPr>
        <w:tab/>
      </w:r>
      <w:r>
        <w:rPr>
          <w:rFonts w:ascii="Calibri" w:hAnsi="Calibri"/>
        </w:rPr>
        <w:t>See</w:t>
      </w:r>
      <w:r w:rsidRPr="003F7497">
        <w:t xml:space="preserve"> </w:t>
      </w:r>
      <w:r w:rsidRPr="003F7497">
        <w:rPr>
          <w:rFonts w:ascii="Calibri" w:hAnsi="Calibri"/>
        </w:rPr>
        <w:t>Auditing and Assurance Standards Board</w:t>
      </w:r>
      <w:r>
        <w:rPr>
          <w:rFonts w:ascii="Calibri" w:hAnsi="Calibri"/>
        </w:rPr>
        <w:t xml:space="preserve">, </w:t>
      </w:r>
      <w:r w:rsidRPr="003F7497">
        <w:rPr>
          <w:rFonts w:ascii="Calibri" w:hAnsi="Calibri"/>
          <w:i/>
        </w:rPr>
        <w:t>Framework for Assurance Engagements</w:t>
      </w:r>
      <w:r>
        <w:rPr>
          <w:rFonts w:ascii="Calibri" w:hAnsi="Calibri"/>
        </w:rPr>
        <w:t>,</w:t>
      </w:r>
      <w:r w:rsidRPr="003F7497">
        <w:rPr>
          <w:rFonts w:ascii="Calibri" w:hAnsi="Calibri"/>
          <w:i/>
        </w:rPr>
        <w:t xml:space="preserve"> </w:t>
      </w:r>
      <w:hyperlink r:id="rId31" w:history="1">
        <w:r w:rsidRPr="00C711A4">
          <w:rPr>
            <w:rStyle w:val="Hyperlink"/>
            <w:rFonts w:ascii="Calibri" w:hAnsi="Calibri"/>
          </w:rPr>
          <w:t>http://www.auasb.gov.au/Pronouncements/Framework-for-Assurance-engagements.aspx</w:t>
        </w:r>
      </w:hyperlink>
      <w:r w:rsidRPr="00C711A4">
        <w:rPr>
          <w:rFonts w:ascii="Calibri" w:hAnsi="Calibri"/>
        </w:rPr>
        <w:t xml:space="preserve"> (accessed 21 July 2017)</w:t>
      </w:r>
      <w:r>
        <w:rPr>
          <w:rFonts w:ascii="Calibri" w:hAnsi="Calibri"/>
        </w:rPr>
        <w:t>.</w:t>
      </w:r>
    </w:p>
  </w:footnote>
  <w:footnote w:id="43">
    <w:p w:rsidR="002B2721" w:rsidRPr="00DA3536" w:rsidRDefault="002B2721" w:rsidP="00ED67B3">
      <w:pPr>
        <w:pStyle w:val="FootnoteText"/>
        <w:spacing w:after="120"/>
        <w:rPr>
          <w:rFonts w:ascii="Calibri" w:hAnsi="Calibri"/>
        </w:rPr>
      </w:pPr>
      <w:r w:rsidRPr="00DA3536">
        <w:rPr>
          <w:rStyle w:val="FootnoteReference"/>
          <w:rFonts w:ascii="Calibri" w:hAnsi="Calibri"/>
          <w:vertAlign w:val="baseline"/>
        </w:rPr>
        <w:footnoteRef/>
      </w:r>
      <w:r w:rsidRPr="00DA3536">
        <w:rPr>
          <w:rFonts w:ascii="Calibri" w:hAnsi="Calibri"/>
        </w:rPr>
        <w:t xml:space="preserve"> </w:t>
      </w:r>
      <w:r w:rsidRPr="00DA3536">
        <w:rPr>
          <w:rFonts w:ascii="Calibri" w:hAnsi="Calibri"/>
        </w:rPr>
        <w:tab/>
        <w:t>See</w:t>
      </w:r>
      <w:r>
        <w:rPr>
          <w:rFonts w:ascii="Calibri" w:hAnsi="Calibri"/>
        </w:rPr>
        <w:t xml:space="preserve"> </w:t>
      </w:r>
      <w:r w:rsidRPr="00C0761C">
        <w:rPr>
          <w:rFonts w:ascii="Calibri" w:hAnsi="Calibri"/>
        </w:rPr>
        <w:t>Regulations and Ordinances Committee,</w:t>
      </w:r>
      <w:r>
        <w:rPr>
          <w:rFonts w:ascii="Calibri" w:hAnsi="Calibri"/>
        </w:rPr>
        <w:t xml:space="preserve"> </w:t>
      </w:r>
      <w:r>
        <w:rPr>
          <w:rFonts w:ascii="Calibri" w:hAnsi="Calibri"/>
          <w:i/>
        </w:rPr>
        <w:t xml:space="preserve">Guideline on incorporation of documents, </w:t>
      </w:r>
      <w:hyperlink r:id="rId32" w:history="1">
        <w:r w:rsidRPr="009F3A12">
          <w:rPr>
            <w:rStyle w:val="Hyperlink"/>
            <w:rFonts w:ascii="Calibri" w:hAnsi="Calibri"/>
          </w:rPr>
          <w:t>http://www.aph.gov.au/Parliamentary_Business/Committees/Senate/Regulations_and_</w:t>
        </w:r>
        <w:r w:rsidRPr="009F3A12">
          <w:rPr>
            <w:rStyle w:val="Hyperlink"/>
            <w:rFonts w:ascii="Calibri" w:hAnsi="Calibri"/>
          </w:rPr>
          <w:br/>
          <w:t>Ordinances/Guidelines/Guideline_on_incorporation_of_documents</w:t>
        </w:r>
      </w:hyperlink>
      <w:r>
        <w:rPr>
          <w:rFonts w:ascii="Calibri" w:hAnsi="Calibri"/>
        </w:rPr>
        <w:t>.</w:t>
      </w:r>
    </w:p>
  </w:footnote>
  <w:footnote w:id="44">
    <w:p w:rsidR="002B2721" w:rsidRPr="00DA3536" w:rsidRDefault="002B2721" w:rsidP="009A39A3">
      <w:pPr>
        <w:pStyle w:val="FootnoteText"/>
        <w:spacing w:after="120"/>
        <w:rPr>
          <w:rFonts w:ascii="Calibri" w:hAnsi="Calibri"/>
        </w:rPr>
      </w:pPr>
      <w:r w:rsidRPr="00DA3536">
        <w:rPr>
          <w:rStyle w:val="FootnoteReference"/>
          <w:rFonts w:ascii="Calibri" w:hAnsi="Calibri"/>
          <w:vertAlign w:val="baseline"/>
        </w:rPr>
        <w:footnoteRef/>
      </w:r>
      <w:r w:rsidRPr="00DA3536">
        <w:rPr>
          <w:rFonts w:ascii="Calibri" w:hAnsi="Calibri"/>
        </w:rPr>
        <w:t xml:space="preserve"> </w:t>
      </w:r>
      <w:r w:rsidRPr="00DA3536">
        <w:rPr>
          <w:rFonts w:ascii="Calibri" w:hAnsi="Calibri"/>
        </w:rPr>
        <w:tab/>
        <w:t>See</w:t>
      </w:r>
      <w:r>
        <w:rPr>
          <w:rFonts w:ascii="Calibri" w:hAnsi="Calibri"/>
        </w:rPr>
        <w:t xml:space="preserve"> </w:t>
      </w:r>
      <w:r w:rsidRPr="00C0761C">
        <w:rPr>
          <w:rFonts w:ascii="Calibri" w:hAnsi="Calibri"/>
        </w:rPr>
        <w:t>Regulations and Ordinances Committee,</w:t>
      </w:r>
      <w:r>
        <w:rPr>
          <w:rFonts w:ascii="Calibri" w:hAnsi="Calibri"/>
        </w:rPr>
        <w:t xml:space="preserve"> </w:t>
      </w:r>
      <w:r>
        <w:rPr>
          <w:rFonts w:ascii="Calibri" w:hAnsi="Calibri"/>
          <w:i/>
        </w:rPr>
        <w:t xml:space="preserve">Guideline on incorporation of documents, </w:t>
      </w:r>
      <w:hyperlink r:id="rId33" w:history="1">
        <w:r w:rsidRPr="009F3A12">
          <w:rPr>
            <w:rStyle w:val="Hyperlink"/>
            <w:rFonts w:ascii="Calibri" w:hAnsi="Calibri"/>
          </w:rPr>
          <w:t>http://www.aph.gov.au/Parliamentary_Business/Committees/Senate/Regulations_and_</w:t>
        </w:r>
        <w:r w:rsidRPr="009F3A12">
          <w:rPr>
            <w:rStyle w:val="Hyperlink"/>
            <w:rFonts w:ascii="Calibri" w:hAnsi="Calibri"/>
          </w:rPr>
          <w:br/>
          <w:t>Ordinances/Guidelines/Guideline_on_incorporation_of_documents</w:t>
        </w:r>
      </w:hyperlink>
      <w:r>
        <w:rPr>
          <w:rFonts w:ascii="Calibri" w:hAnsi="Calibri"/>
        </w:rPr>
        <w:t>.</w:t>
      </w:r>
    </w:p>
  </w:footnote>
  <w:footnote w:id="45">
    <w:p w:rsidR="002B2721" w:rsidRPr="00DA3536" w:rsidRDefault="002B2721" w:rsidP="009A39A3">
      <w:pPr>
        <w:pStyle w:val="FootnoteText"/>
        <w:spacing w:after="120"/>
        <w:rPr>
          <w:rFonts w:ascii="Calibri" w:hAnsi="Calibri"/>
        </w:rPr>
      </w:pPr>
      <w:r w:rsidRPr="00DA3536">
        <w:rPr>
          <w:rStyle w:val="FootnoteReference"/>
          <w:rFonts w:ascii="Calibri" w:hAnsi="Calibri"/>
          <w:vertAlign w:val="baseline"/>
        </w:rPr>
        <w:footnoteRef/>
      </w:r>
      <w:r w:rsidRPr="00DA3536">
        <w:rPr>
          <w:rFonts w:ascii="Calibri" w:hAnsi="Calibri"/>
        </w:rPr>
        <w:t xml:space="preserve"> </w:t>
      </w:r>
      <w:r w:rsidRPr="00DA3536">
        <w:rPr>
          <w:rFonts w:ascii="Calibri" w:hAnsi="Calibri"/>
        </w:rPr>
        <w:tab/>
        <w:t>See</w:t>
      </w:r>
      <w:r>
        <w:rPr>
          <w:rFonts w:ascii="Calibri" w:hAnsi="Calibri"/>
        </w:rPr>
        <w:t xml:space="preserve"> </w:t>
      </w:r>
      <w:r w:rsidRPr="00C0761C">
        <w:rPr>
          <w:rFonts w:ascii="Calibri" w:hAnsi="Calibri"/>
        </w:rPr>
        <w:t>Regulations and Ordinances Committee,</w:t>
      </w:r>
      <w:r>
        <w:rPr>
          <w:rFonts w:ascii="Calibri" w:hAnsi="Calibri"/>
        </w:rPr>
        <w:t xml:space="preserve"> </w:t>
      </w:r>
      <w:r>
        <w:rPr>
          <w:rFonts w:ascii="Calibri" w:hAnsi="Calibri"/>
          <w:i/>
        </w:rPr>
        <w:t xml:space="preserve">Guideline on incorporation of documents, </w:t>
      </w:r>
      <w:hyperlink r:id="rId34" w:history="1">
        <w:r w:rsidRPr="009F3A12">
          <w:rPr>
            <w:rStyle w:val="Hyperlink"/>
            <w:rFonts w:ascii="Calibri" w:hAnsi="Calibri"/>
          </w:rPr>
          <w:t>http://www.aph.gov.au/Parliamentary_Business/Committees/Senate/Regulations_and_</w:t>
        </w:r>
        <w:r w:rsidRPr="009F3A12">
          <w:rPr>
            <w:rStyle w:val="Hyperlink"/>
            <w:rFonts w:ascii="Calibri" w:hAnsi="Calibri"/>
          </w:rPr>
          <w:br/>
          <w:t>Ordinances/Guidelines/Guideline_on_incorporation_of_documents</w:t>
        </w:r>
      </w:hyperlink>
      <w:r>
        <w:rPr>
          <w:rFonts w:ascii="Calibri" w:hAnsi="Calibri"/>
        </w:rPr>
        <w:t>.</w:t>
      </w:r>
    </w:p>
  </w:footnote>
  <w:footnote w:id="46">
    <w:p w:rsidR="002B2721" w:rsidRPr="00FF68F3" w:rsidRDefault="002B2721" w:rsidP="00213021">
      <w:pPr>
        <w:pStyle w:val="FootnoteText"/>
        <w:spacing w:after="120"/>
        <w:jc w:val="both"/>
        <w:rPr>
          <w:rFonts w:asciiTheme="minorHAnsi" w:hAnsiTheme="minorHAnsi"/>
        </w:rPr>
      </w:pPr>
      <w:r w:rsidRPr="00FF68F3">
        <w:rPr>
          <w:rStyle w:val="FootnoteReference"/>
          <w:rFonts w:asciiTheme="minorHAnsi" w:hAnsiTheme="minorHAnsi"/>
          <w:vertAlign w:val="baseline"/>
        </w:rPr>
        <w:footnoteRef/>
      </w:r>
      <w:r w:rsidRPr="00FF68F3">
        <w:rPr>
          <w:rFonts w:asciiTheme="minorHAnsi" w:hAnsiTheme="minorHAnsi"/>
        </w:rPr>
        <w:t xml:space="preserve"> </w:t>
      </w:r>
      <w:r w:rsidRPr="00FF68F3">
        <w:rPr>
          <w:rFonts w:asciiTheme="minorHAnsi" w:hAnsiTheme="minorHAnsi"/>
        </w:rPr>
        <w:tab/>
        <w:t>The committee understands that the Australian Airspace Policy Statement 2015 [F2015L01133] is a legislative instrument that is not subject to disallowance</w:t>
      </w:r>
      <w:r>
        <w:rPr>
          <w:rFonts w:asciiTheme="minorHAnsi" w:hAnsiTheme="minorHAnsi"/>
        </w:rPr>
        <w:t xml:space="preserve">. </w:t>
      </w:r>
    </w:p>
  </w:footnote>
  <w:footnote w:id="47">
    <w:p w:rsidR="002B2721" w:rsidRPr="00DA3536" w:rsidRDefault="002B2721" w:rsidP="00213021">
      <w:pPr>
        <w:pStyle w:val="FootnoteText"/>
        <w:spacing w:after="120"/>
        <w:rPr>
          <w:rFonts w:ascii="Calibri" w:hAnsi="Calibri"/>
        </w:rPr>
      </w:pPr>
      <w:r w:rsidRPr="00DA3536">
        <w:rPr>
          <w:rStyle w:val="FootnoteReference"/>
          <w:rFonts w:ascii="Calibri" w:hAnsi="Calibri"/>
          <w:vertAlign w:val="baseline"/>
        </w:rPr>
        <w:footnoteRef/>
      </w:r>
      <w:r w:rsidRPr="00DA3536">
        <w:rPr>
          <w:rFonts w:ascii="Calibri" w:hAnsi="Calibri"/>
        </w:rPr>
        <w:t xml:space="preserve"> </w:t>
      </w:r>
      <w:r w:rsidRPr="00DA3536">
        <w:rPr>
          <w:rFonts w:ascii="Calibri" w:hAnsi="Calibri"/>
        </w:rPr>
        <w:tab/>
        <w:t>See</w:t>
      </w:r>
      <w:r>
        <w:rPr>
          <w:rFonts w:ascii="Calibri" w:hAnsi="Calibri"/>
        </w:rPr>
        <w:t xml:space="preserve"> </w:t>
      </w:r>
      <w:r w:rsidRPr="00C0761C">
        <w:rPr>
          <w:rFonts w:ascii="Calibri" w:hAnsi="Calibri"/>
        </w:rPr>
        <w:t>Regulations and Ordinances Committee,</w:t>
      </w:r>
      <w:r>
        <w:rPr>
          <w:rFonts w:ascii="Calibri" w:hAnsi="Calibri"/>
        </w:rPr>
        <w:t xml:space="preserve"> </w:t>
      </w:r>
      <w:r>
        <w:rPr>
          <w:rFonts w:ascii="Calibri" w:hAnsi="Calibri"/>
          <w:i/>
        </w:rPr>
        <w:t xml:space="preserve">Guideline on incorporation of documents, </w:t>
      </w:r>
      <w:hyperlink r:id="rId35" w:history="1">
        <w:r w:rsidRPr="009F3A12">
          <w:rPr>
            <w:rStyle w:val="Hyperlink"/>
            <w:rFonts w:ascii="Calibri" w:hAnsi="Calibri"/>
          </w:rPr>
          <w:t>http://www.aph.gov.au/Parliamentary_Business/Committees/Senate/Regulations_and_</w:t>
        </w:r>
        <w:r w:rsidRPr="009F3A12">
          <w:rPr>
            <w:rStyle w:val="Hyperlink"/>
            <w:rFonts w:ascii="Calibri" w:hAnsi="Calibri"/>
          </w:rPr>
          <w:br/>
          <w:t>Ordinances/Guidelines/Guideline_on_incorporation_of_documents</w:t>
        </w:r>
      </w:hyperlink>
      <w:r>
        <w:rPr>
          <w:rFonts w:ascii="Calibri" w:hAnsi="Calibri"/>
        </w:rPr>
        <w:t>.</w:t>
      </w:r>
    </w:p>
  </w:footnote>
  <w:footnote w:id="48">
    <w:p w:rsidR="002B2721" w:rsidRPr="00FD2423" w:rsidRDefault="002B2721" w:rsidP="00C70A30">
      <w:pPr>
        <w:pStyle w:val="Footnote"/>
      </w:pPr>
      <w:r w:rsidRPr="00151B6A">
        <w:rPr>
          <w:rStyle w:val="FootnoteReference"/>
          <w:rFonts w:asciiTheme="minorHAnsi" w:hAnsiTheme="minorHAnsi"/>
          <w:szCs w:val="22"/>
          <w:vertAlign w:val="baseline"/>
        </w:rPr>
        <w:footnoteRef/>
      </w:r>
      <w:r w:rsidRPr="00151B6A">
        <w:rPr>
          <w:szCs w:val="22"/>
        </w:rPr>
        <w:t xml:space="preserve"> </w:t>
      </w:r>
      <w:r w:rsidRPr="00151B6A">
        <w:rPr>
          <w:szCs w:val="22"/>
        </w:rPr>
        <w:tab/>
      </w:r>
      <w:r w:rsidRPr="00FD2423">
        <w:t xml:space="preserve">The committee notes that a </w:t>
      </w:r>
      <w:r>
        <w:t xml:space="preserve">separate </w:t>
      </w:r>
      <w:r w:rsidRPr="00FD2423">
        <w:t xml:space="preserve">notice of motion to disallow </w:t>
      </w:r>
      <w:r>
        <w:t>this instrument was given on 15 </w:t>
      </w:r>
      <w:r w:rsidRPr="00FD2423">
        <w:t>August 2017. See</w:t>
      </w:r>
      <w:r w:rsidRPr="00FD2423">
        <w:rPr>
          <w:i/>
        </w:rPr>
        <w:t xml:space="preserve"> Disallowance Alert 2017</w:t>
      </w:r>
      <w:r w:rsidRPr="00FD2423">
        <w:t xml:space="preserve">, </w:t>
      </w:r>
      <w:hyperlink r:id="rId36" w:history="1">
        <w:r w:rsidRPr="00FA001C">
          <w:rPr>
            <w:rStyle w:val="Hyperlink"/>
            <w:rFonts w:asciiTheme="minorHAnsi" w:hAnsiTheme="minorHAnsi"/>
            <w:szCs w:val="22"/>
          </w:rPr>
          <w:t>http://www.aph.gov.au/Parliamentary</w:t>
        </w:r>
        <w:r w:rsidRPr="00FA001C">
          <w:rPr>
            <w:rStyle w:val="Hyperlink"/>
            <w:rFonts w:asciiTheme="minorHAnsi" w:hAnsiTheme="minorHAnsi"/>
            <w:szCs w:val="22"/>
          </w:rPr>
          <w:br/>
          <w:t>_Business/Committees/Senate/Regulations_and_Ordinances/Alerts</w:t>
        </w:r>
      </w:hyperlink>
      <w:r w:rsidRPr="00FD2423">
        <w:rPr>
          <w:szCs w:val="22"/>
        </w:rPr>
        <w:t>.</w:t>
      </w:r>
    </w:p>
  </w:footnote>
  <w:footnote w:id="49">
    <w:p w:rsidR="002B2721" w:rsidRPr="00877EB2" w:rsidRDefault="002B2721" w:rsidP="00877EB2">
      <w:pPr>
        <w:pStyle w:val="FootnoteText"/>
        <w:spacing w:after="120"/>
      </w:pPr>
      <w:r w:rsidRPr="00877EB2">
        <w:rPr>
          <w:rStyle w:val="FootnoteReference"/>
          <w:rFonts w:asciiTheme="minorHAnsi" w:hAnsiTheme="minorHAnsi"/>
          <w:vertAlign w:val="baseline"/>
        </w:rPr>
        <w:footnoteRef/>
      </w:r>
      <w:r w:rsidRPr="00877EB2">
        <w:rPr>
          <w:rFonts w:asciiTheme="minorHAnsi" w:hAnsiTheme="minorHAnsi"/>
        </w:rPr>
        <w:t xml:space="preserve"> </w:t>
      </w:r>
      <w:r w:rsidRPr="00877EB2">
        <w:rPr>
          <w:rFonts w:asciiTheme="minorHAnsi" w:hAnsiTheme="minorHAnsi"/>
        </w:rPr>
        <w:tab/>
        <w:t>S</w:t>
      </w:r>
      <w:r w:rsidRPr="001F14E7">
        <w:rPr>
          <w:rFonts w:asciiTheme="minorHAnsi" w:hAnsiTheme="minorHAnsi"/>
        </w:rPr>
        <w:t xml:space="preserve">ee </w:t>
      </w:r>
      <w:r>
        <w:rPr>
          <w:rFonts w:asciiTheme="minorHAnsi" w:hAnsiTheme="minorHAnsi"/>
        </w:rPr>
        <w:t>Regulations and Ordinances Committee</w:t>
      </w:r>
      <w:r w:rsidRPr="001F14E7">
        <w:rPr>
          <w:rFonts w:asciiTheme="minorHAnsi" w:hAnsiTheme="minorHAnsi"/>
        </w:rPr>
        <w:t xml:space="preserve">, </w:t>
      </w:r>
      <w:r w:rsidRPr="001F14E7">
        <w:rPr>
          <w:rFonts w:asciiTheme="minorHAnsi" w:hAnsiTheme="minorHAnsi"/>
          <w:i/>
        </w:rPr>
        <w:t>Disallowance Alert 2017</w:t>
      </w:r>
      <w:r w:rsidRPr="001F14E7">
        <w:rPr>
          <w:rFonts w:asciiTheme="minorHAnsi" w:hAnsiTheme="minorHAnsi"/>
        </w:rPr>
        <w:t xml:space="preserve">, </w:t>
      </w:r>
      <w:hyperlink r:id="rId37" w:history="1">
        <w:r w:rsidRPr="00BB3478">
          <w:rPr>
            <w:rStyle w:val="Hyperlink"/>
            <w:rFonts w:asciiTheme="minorHAnsi" w:hAnsiTheme="minorHAnsi"/>
          </w:rPr>
          <w:t>http://www.aph.gov.au/Parliamentary_Business/Committees/Senate/Regulations_and_Ordinances/Alerts</w:t>
        </w:r>
      </w:hyperlink>
      <w:r w:rsidRPr="001F14E7">
        <w:rPr>
          <w:rFonts w:asciiTheme="minorHAnsi" w:hAnsiTheme="minorHAnsi"/>
        </w:rPr>
        <w:t>.</w:t>
      </w:r>
    </w:p>
  </w:footnote>
  <w:footnote w:id="50">
    <w:p w:rsidR="002B2721" w:rsidRPr="00760A4E" w:rsidRDefault="002B2721" w:rsidP="00C70A30">
      <w:pPr>
        <w:pStyle w:val="Footnote"/>
        <w:jc w:val="both"/>
      </w:pPr>
      <w:r w:rsidRPr="00303A90">
        <w:rPr>
          <w:rStyle w:val="FootnoteReference"/>
          <w:vertAlign w:val="baseline"/>
        </w:rPr>
        <w:footnoteRef/>
      </w:r>
      <w:r w:rsidRPr="00760A4E">
        <w:t xml:space="preserve"> </w:t>
      </w:r>
      <w:r>
        <w:tab/>
        <w:t xml:space="preserve">Australian Government, Department of Prime Minister and Cabinet, </w:t>
      </w:r>
      <w:r w:rsidRPr="005D54B2">
        <w:rPr>
          <w:i/>
        </w:rPr>
        <w:t>Prime Minister's exemption – Sugar Industry Code</w:t>
      </w:r>
      <w:r>
        <w:t xml:space="preserve">, 5 April 2017, </w:t>
      </w:r>
      <w:hyperlink r:id="rId38" w:history="1">
        <w:r w:rsidRPr="00724B28">
          <w:rPr>
            <w:rStyle w:val="Hyperlink"/>
          </w:rPr>
          <w:t>http://ris.pmc.gov.au/2017/04/05/prime-minister%E2%80%99s-exemption-%E2%80%93-sugar-industry-code</w:t>
        </w:r>
      </w:hyperlink>
      <w:r>
        <w:t xml:space="preserve"> (accessed 5 May 2017).</w:t>
      </w:r>
    </w:p>
  </w:footnote>
  <w:footnote w:id="51">
    <w:p w:rsidR="002B2721" w:rsidRPr="00243D5C" w:rsidRDefault="002B2721" w:rsidP="00DB4521">
      <w:pPr>
        <w:pStyle w:val="Footnote"/>
      </w:pPr>
      <w:r w:rsidRPr="00243D5C">
        <w:rPr>
          <w:rStyle w:val="FootnoteReference"/>
          <w:vertAlign w:val="baseline"/>
        </w:rPr>
        <w:footnoteRef/>
      </w:r>
      <w:r w:rsidRPr="00243D5C">
        <w:t xml:space="preserve"> </w:t>
      </w:r>
      <w:r>
        <w:tab/>
      </w:r>
      <w:r w:rsidRPr="00B42D1F">
        <w:t xml:space="preserve">On 5 March 2016 the </w:t>
      </w:r>
      <w:r w:rsidRPr="00E73AE3">
        <w:rPr>
          <w:i/>
        </w:rPr>
        <w:t>Legislative Instruments Act 2003</w:t>
      </w:r>
      <w:r w:rsidRPr="00B42D1F">
        <w:t xml:space="preserve"> became the </w:t>
      </w:r>
      <w:r w:rsidRPr="00E73AE3">
        <w:rPr>
          <w:i/>
        </w:rPr>
        <w:t>Legislation Act 2003</w:t>
      </w:r>
      <w:r w:rsidRPr="00B42D1F">
        <w:t xml:space="preserve"> due to amendments made by the</w:t>
      </w:r>
      <w:r w:rsidRPr="00E73AE3">
        <w:rPr>
          <w:i/>
        </w:rPr>
        <w:t xml:space="preserve"> Acts and Instruments (Framework Reform) Act 2015</w:t>
      </w:r>
      <w:r w:rsidRPr="00B42D1F">
        <w:t>.</w:t>
      </w:r>
    </w:p>
  </w:footnote>
  <w:footnote w:id="52">
    <w:p w:rsidR="002B2721" w:rsidRPr="00BF5041" w:rsidRDefault="002B2721" w:rsidP="00DB4521">
      <w:pPr>
        <w:pStyle w:val="FootnoteText"/>
        <w:spacing w:after="120"/>
        <w:jc w:val="both"/>
        <w:rPr>
          <w:rFonts w:asciiTheme="minorHAnsi" w:hAnsiTheme="minorHAnsi"/>
        </w:rPr>
      </w:pPr>
      <w:r w:rsidRPr="00FA72BB">
        <w:rPr>
          <w:rStyle w:val="FootnoteReference"/>
          <w:rFonts w:asciiTheme="minorHAnsi" w:hAnsiTheme="minorHAnsi"/>
          <w:vertAlign w:val="baseline"/>
        </w:rPr>
        <w:footnoteRef/>
      </w:r>
      <w:r w:rsidRPr="00FA72BB">
        <w:rPr>
          <w:rFonts w:asciiTheme="minorHAnsi" w:hAnsiTheme="minorHAnsi"/>
        </w:rPr>
        <w:t xml:space="preserve"> </w:t>
      </w:r>
      <w:r w:rsidRPr="00FA72BB">
        <w:rPr>
          <w:rFonts w:asciiTheme="minorHAnsi" w:hAnsiTheme="minorHAnsi"/>
        </w:rPr>
        <w:tab/>
        <w:t>The egg standard is made under section 134 of the ACL which</w:t>
      </w:r>
      <w:r w:rsidRPr="00FA72BB">
        <w:rPr>
          <w:rFonts w:asciiTheme="minorHAnsi" w:hAnsiTheme="minorHAnsi"/>
          <w:noProof/>
        </w:rPr>
        <w:t xml:space="preserve"> authorises information standards to be made for the purposes of the ACL scheme. As the egg standard is not a regulation and does not appear to be disallowable under the CCA, ACL or another Act, it appears to be exempt from disallowance.</w:t>
      </w:r>
    </w:p>
  </w:footnote>
  <w:footnote w:id="53">
    <w:p w:rsidR="002B2721" w:rsidRPr="00DA3536" w:rsidRDefault="002B2721" w:rsidP="008575B2">
      <w:pPr>
        <w:pStyle w:val="FootnoteText"/>
        <w:spacing w:after="120"/>
        <w:rPr>
          <w:rFonts w:ascii="Calibri" w:hAnsi="Calibri"/>
        </w:rPr>
      </w:pPr>
      <w:r w:rsidRPr="00DA3536">
        <w:rPr>
          <w:rStyle w:val="FootnoteReference"/>
          <w:rFonts w:ascii="Calibri" w:hAnsi="Calibri"/>
          <w:vertAlign w:val="baseline"/>
        </w:rPr>
        <w:footnoteRef/>
      </w:r>
      <w:r w:rsidRPr="00DA3536">
        <w:rPr>
          <w:rFonts w:ascii="Calibri" w:hAnsi="Calibri"/>
        </w:rPr>
        <w:t xml:space="preserve"> </w:t>
      </w:r>
      <w:r w:rsidRPr="00DA3536">
        <w:rPr>
          <w:rFonts w:ascii="Calibri" w:hAnsi="Calibri"/>
        </w:rPr>
        <w:tab/>
        <w:t>See</w:t>
      </w:r>
      <w:r>
        <w:rPr>
          <w:rFonts w:ascii="Calibri" w:hAnsi="Calibri"/>
        </w:rPr>
        <w:t xml:space="preserve"> </w:t>
      </w:r>
      <w:r w:rsidRPr="00C0761C">
        <w:rPr>
          <w:rFonts w:ascii="Calibri" w:hAnsi="Calibri"/>
        </w:rPr>
        <w:t>Regulations and Ordinances Committee,</w:t>
      </w:r>
      <w:r>
        <w:rPr>
          <w:rFonts w:ascii="Calibri" w:hAnsi="Calibri"/>
        </w:rPr>
        <w:t xml:space="preserve"> </w:t>
      </w:r>
      <w:r>
        <w:rPr>
          <w:rFonts w:ascii="Calibri" w:hAnsi="Calibri"/>
          <w:i/>
        </w:rPr>
        <w:t xml:space="preserve">Guideline on incorporation of documents, </w:t>
      </w:r>
      <w:hyperlink r:id="rId39" w:history="1">
        <w:r w:rsidRPr="009F3A12">
          <w:rPr>
            <w:rStyle w:val="Hyperlink"/>
            <w:rFonts w:ascii="Calibri" w:hAnsi="Calibri"/>
          </w:rPr>
          <w:t>http://www.aph.gov.au/Parliamentary_Business/Committees/Senate/Regulations_and_</w:t>
        </w:r>
        <w:r w:rsidRPr="009F3A12">
          <w:rPr>
            <w:rStyle w:val="Hyperlink"/>
            <w:rFonts w:ascii="Calibri" w:hAnsi="Calibri"/>
          </w:rPr>
          <w:br/>
          <w:t>Ordinances/Guidelines/Guideline_on_incorporation_of_documents</w:t>
        </w:r>
      </w:hyperlink>
      <w:r>
        <w:rPr>
          <w:rFonts w:ascii="Calibri" w:hAnsi="Calibri"/>
        </w:rPr>
        <w:t>.</w:t>
      </w:r>
    </w:p>
  </w:footnote>
  <w:footnote w:id="54">
    <w:p w:rsidR="002B2721" w:rsidRPr="000D4B4B" w:rsidRDefault="002B2721" w:rsidP="00DB4521">
      <w:pPr>
        <w:pStyle w:val="FootnoteText"/>
        <w:spacing w:after="120"/>
        <w:rPr>
          <w:rFonts w:asciiTheme="minorHAnsi" w:hAnsiTheme="minorHAnsi"/>
        </w:rPr>
      </w:pPr>
      <w:r w:rsidRPr="00DA3536">
        <w:rPr>
          <w:rStyle w:val="FootnoteReference"/>
          <w:rFonts w:ascii="Calibri" w:hAnsi="Calibri"/>
          <w:vertAlign w:val="baseline"/>
        </w:rPr>
        <w:footnoteRef/>
      </w:r>
      <w:r w:rsidRPr="00DA3536">
        <w:rPr>
          <w:rFonts w:ascii="Calibri" w:hAnsi="Calibri"/>
        </w:rPr>
        <w:t xml:space="preserve"> </w:t>
      </w:r>
      <w:r w:rsidRPr="00DA3536">
        <w:rPr>
          <w:rFonts w:ascii="Calibri" w:hAnsi="Calibri"/>
        </w:rPr>
        <w:tab/>
      </w:r>
      <w:r w:rsidRPr="000D4B4B">
        <w:rPr>
          <w:rFonts w:asciiTheme="minorHAnsi" w:hAnsiTheme="minorHAnsi"/>
        </w:rPr>
        <w:t xml:space="preserve">See Regulations and Ordinances Committee, </w:t>
      </w:r>
      <w:r w:rsidRPr="000D4B4B">
        <w:rPr>
          <w:rFonts w:asciiTheme="minorHAnsi" w:hAnsiTheme="minorHAnsi"/>
          <w:i/>
        </w:rPr>
        <w:t>Guideline on consultation</w:t>
      </w:r>
      <w:r>
        <w:rPr>
          <w:rFonts w:asciiTheme="minorHAnsi" w:hAnsiTheme="minorHAnsi"/>
          <w:i/>
        </w:rPr>
        <w:t xml:space="preserve">, </w:t>
      </w:r>
      <w:hyperlink r:id="rId40" w:history="1">
        <w:r w:rsidRPr="00EE0D38">
          <w:rPr>
            <w:rStyle w:val="Hyperlink"/>
            <w:rFonts w:asciiTheme="minorHAnsi" w:hAnsiTheme="minorHAnsi"/>
          </w:rPr>
          <w:t>http://www.aph.gov.</w:t>
        </w:r>
        <w:r>
          <w:rPr>
            <w:rStyle w:val="Hyperlink"/>
            <w:rFonts w:asciiTheme="minorHAnsi" w:hAnsiTheme="minorHAnsi"/>
          </w:rPr>
          <w:br/>
        </w:r>
        <w:r w:rsidRPr="00EE0D38">
          <w:rPr>
            <w:rStyle w:val="Hyperlink"/>
            <w:rFonts w:asciiTheme="minorHAnsi" w:hAnsiTheme="minorHAnsi"/>
          </w:rPr>
          <w:t>au/Parliamentary_Business/Committees/Senate/Regulations_and_Ordinances/Guidelines/</w:t>
        </w:r>
        <w:r>
          <w:rPr>
            <w:rStyle w:val="Hyperlink"/>
            <w:rFonts w:asciiTheme="minorHAnsi" w:hAnsiTheme="minorHAnsi"/>
          </w:rPr>
          <w:br/>
        </w:r>
        <w:r w:rsidRPr="00EE0D38">
          <w:rPr>
            <w:rStyle w:val="Hyperlink"/>
            <w:rFonts w:asciiTheme="minorHAnsi" w:hAnsiTheme="minorHAnsi"/>
          </w:rPr>
          <w:t>consultation</w:t>
        </w:r>
      </w:hyperlink>
      <w:r w:rsidRPr="000D4B4B">
        <w:rPr>
          <w:rFonts w:asciiTheme="minorHAnsi" w:hAnsiTheme="minorHAnsi"/>
        </w:rPr>
        <w:t>.</w:t>
      </w:r>
    </w:p>
  </w:footnote>
  <w:footnote w:id="55">
    <w:p w:rsidR="002B2721" w:rsidRPr="00117C20" w:rsidRDefault="002B2721" w:rsidP="00DB4521">
      <w:pPr>
        <w:pStyle w:val="FootnoteText"/>
        <w:spacing w:after="120"/>
        <w:rPr>
          <w:rFonts w:asciiTheme="minorHAnsi" w:hAnsiTheme="minorHAnsi"/>
        </w:rPr>
      </w:pPr>
      <w:r w:rsidRPr="00117C20">
        <w:rPr>
          <w:rStyle w:val="FootnoteReference"/>
          <w:rFonts w:asciiTheme="minorHAnsi" w:hAnsiTheme="minorHAnsi"/>
          <w:vertAlign w:val="baseline"/>
        </w:rPr>
        <w:footnoteRef/>
      </w:r>
      <w:r w:rsidRPr="00117C20">
        <w:rPr>
          <w:rFonts w:asciiTheme="minorHAnsi" w:hAnsiTheme="minorHAnsi"/>
        </w:rPr>
        <w:t xml:space="preserve"> </w:t>
      </w:r>
      <w:r w:rsidRPr="00117C20">
        <w:rPr>
          <w:rFonts w:asciiTheme="minorHAnsi" w:hAnsiTheme="minorHAnsi"/>
        </w:rPr>
        <w:tab/>
        <w:t>The committee notes that the Senate Standing Committee for the Scrutiny of Bills commented on item 14 of the Hazardous Waste (Regulation of Exports and Imports) Amendment Bill 2016</w:t>
      </w:r>
      <w:r>
        <w:rPr>
          <w:rFonts w:asciiTheme="minorHAnsi" w:hAnsiTheme="minorHAnsi"/>
        </w:rPr>
        <w:t>,</w:t>
      </w:r>
      <w:r w:rsidRPr="00117C20">
        <w:rPr>
          <w:rFonts w:asciiTheme="minorHAnsi" w:hAnsiTheme="minorHAnsi"/>
        </w:rPr>
        <w:t xml:space="preserve"> which amended section 60 of the Act</w:t>
      </w:r>
      <w:r>
        <w:rPr>
          <w:rFonts w:asciiTheme="minorHAnsi" w:hAnsiTheme="minorHAnsi"/>
        </w:rPr>
        <w:t>,</w:t>
      </w:r>
      <w:r w:rsidRPr="00117C20">
        <w:rPr>
          <w:rFonts w:asciiTheme="minorHAnsi" w:hAnsiTheme="minorHAnsi"/>
        </w:rPr>
        <w:t xml:space="preserve"> in </w:t>
      </w:r>
      <w:r w:rsidRPr="00117C20">
        <w:rPr>
          <w:rFonts w:asciiTheme="minorHAnsi" w:hAnsiTheme="minorHAnsi"/>
          <w:i/>
        </w:rPr>
        <w:t>Scrutiny Digest 1 of 2017</w:t>
      </w:r>
      <w:r w:rsidRPr="00117C20">
        <w:rPr>
          <w:rFonts w:asciiTheme="minorHAnsi" w:hAnsiTheme="minorHAnsi"/>
        </w:rPr>
        <w:t>, pp 83-86.</w:t>
      </w:r>
    </w:p>
  </w:footnote>
  <w:footnote w:id="56">
    <w:p w:rsidR="002B2721" w:rsidRPr="00EF403C" w:rsidRDefault="002B2721" w:rsidP="0038147A">
      <w:pPr>
        <w:pStyle w:val="FootnoteText"/>
        <w:spacing w:after="120"/>
        <w:rPr>
          <w:rFonts w:asciiTheme="minorHAnsi" w:hAnsiTheme="minorHAnsi"/>
        </w:rPr>
      </w:pPr>
      <w:r w:rsidRPr="00EF403C">
        <w:rPr>
          <w:rStyle w:val="FootnoteReference"/>
          <w:rFonts w:asciiTheme="minorHAnsi" w:hAnsiTheme="minorHAnsi"/>
          <w:vertAlign w:val="baseline"/>
        </w:rPr>
        <w:footnoteRef/>
      </w:r>
      <w:r w:rsidRPr="00EF403C">
        <w:rPr>
          <w:rFonts w:asciiTheme="minorHAnsi" w:hAnsiTheme="minorHAnsi"/>
        </w:rPr>
        <w:t xml:space="preserve"> </w:t>
      </w:r>
      <w:r w:rsidRPr="00EF403C">
        <w:rPr>
          <w:rFonts w:asciiTheme="minorHAnsi" w:hAnsiTheme="minorHAnsi"/>
        </w:rPr>
        <w:tab/>
        <w:t xml:space="preserve">The committee notes that it previously commented on a similar issue on an advice-only basis. See </w:t>
      </w:r>
      <w:r w:rsidRPr="00EF403C">
        <w:rPr>
          <w:rFonts w:asciiTheme="minorHAnsi" w:hAnsiTheme="minorHAnsi"/>
          <w:i/>
        </w:rPr>
        <w:t xml:space="preserve">Delegated legislation monitor </w:t>
      </w:r>
      <w:r w:rsidRPr="00EF403C">
        <w:rPr>
          <w:rFonts w:asciiTheme="minorHAnsi" w:hAnsiTheme="minorHAnsi"/>
        </w:rPr>
        <w:t xml:space="preserve">1 of 2017, </w:t>
      </w:r>
      <w:r w:rsidRPr="00572900">
        <w:rPr>
          <w:rFonts w:asciiTheme="minorHAnsi" w:hAnsiTheme="minorHAnsi"/>
        </w:rPr>
        <w:t>National Health (Weighted average disclosed price – April 2017 reduction day) Determination 2016 [F2016L01963]</w:t>
      </w:r>
      <w:r>
        <w:rPr>
          <w:rFonts w:asciiTheme="minorHAnsi" w:hAnsiTheme="minorHAnsi"/>
        </w:rPr>
        <w:t xml:space="preserve">, </w:t>
      </w:r>
      <w:r w:rsidRPr="00EF403C">
        <w:rPr>
          <w:rFonts w:asciiTheme="minorHAnsi" w:hAnsiTheme="minorHAnsi"/>
        </w:rPr>
        <w:t>pp 61-62.</w:t>
      </w:r>
    </w:p>
  </w:footnote>
  <w:footnote w:id="57">
    <w:p w:rsidR="002B2721" w:rsidRPr="000D4B4B" w:rsidRDefault="002B2721" w:rsidP="0038147A">
      <w:pPr>
        <w:pStyle w:val="FootnoteText"/>
        <w:spacing w:after="120"/>
        <w:jc w:val="both"/>
        <w:rPr>
          <w:rFonts w:asciiTheme="minorHAnsi" w:hAnsiTheme="minorHAnsi"/>
        </w:rPr>
      </w:pPr>
      <w:r w:rsidRPr="00DA3536">
        <w:rPr>
          <w:rStyle w:val="FootnoteReference"/>
          <w:rFonts w:ascii="Calibri" w:hAnsi="Calibri"/>
          <w:vertAlign w:val="baseline"/>
        </w:rPr>
        <w:footnoteRef/>
      </w:r>
      <w:r w:rsidRPr="00DA3536">
        <w:rPr>
          <w:rFonts w:ascii="Calibri" w:hAnsi="Calibri"/>
        </w:rPr>
        <w:t xml:space="preserve"> </w:t>
      </w:r>
      <w:r w:rsidRPr="00DA3536">
        <w:rPr>
          <w:rFonts w:ascii="Calibri" w:hAnsi="Calibri"/>
        </w:rPr>
        <w:tab/>
      </w:r>
      <w:r w:rsidRPr="000D4B4B">
        <w:rPr>
          <w:rFonts w:asciiTheme="minorHAnsi" w:hAnsiTheme="minorHAnsi"/>
        </w:rPr>
        <w:t xml:space="preserve">See Regulations and Ordinances Committee, </w:t>
      </w:r>
      <w:r w:rsidRPr="000D4B4B">
        <w:rPr>
          <w:rFonts w:asciiTheme="minorHAnsi" w:hAnsiTheme="minorHAnsi"/>
          <w:i/>
        </w:rPr>
        <w:t>Guideline on consultation</w:t>
      </w:r>
      <w:r>
        <w:rPr>
          <w:rFonts w:asciiTheme="minorHAnsi" w:hAnsiTheme="minorHAnsi"/>
          <w:i/>
        </w:rPr>
        <w:t xml:space="preserve">, </w:t>
      </w:r>
      <w:hyperlink r:id="rId41" w:history="1">
        <w:r w:rsidRPr="00E12533">
          <w:rPr>
            <w:rStyle w:val="Hyperlink"/>
            <w:rFonts w:asciiTheme="minorHAnsi" w:hAnsiTheme="minorHAnsi"/>
          </w:rPr>
          <w:t>http://www.aph.</w:t>
        </w:r>
        <w:r w:rsidRPr="00E12533">
          <w:rPr>
            <w:rStyle w:val="Hyperlink"/>
            <w:rFonts w:asciiTheme="minorHAnsi" w:hAnsiTheme="minorHAnsi"/>
          </w:rPr>
          <w:br/>
          <w:t>gov.au/Parliamentary_Business/Committees/Senate/Regulations_and_Ordinances/Guidelines/consultation</w:t>
        </w:r>
      </w:hyperlink>
      <w:r w:rsidRPr="000D4B4B">
        <w:rPr>
          <w:rFonts w:asciiTheme="minorHAnsi" w:hAnsiTheme="minorHAnsi"/>
        </w:rPr>
        <w:t>.</w:t>
      </w:r>
    </w:p>
  </w:footnote>
  <w:footnote w:id="58">
    <w:p w:rsidR="002B2721" w:rsidRPr="00E71B5B" w:rsidRDefault="002B2721" w:rsidP="000E76D9">
      <w:pPr>
        <w:pStyle w:val="FootnoteText"/>
        <w:jc w:val="both"/>
        <w:rPr>
          <w:rFonts w:asciiTheme="minorHAnsi" w:hAnsiTheme="minorHAnsi"/>
        </w:rPr>
      </w:pPr>
      <w:r w:rsidRPr="00E83F2A">
        <w:rPr>
          <w:rStyle w:val="FootnoteReference"/>
          <w:rFonts w:asciiTheme="minorHAnsi" w:hAnsiTheme="minorHAnsi"/>
          <w:vertAlign w:val="baseline"/>
        </w:rPr>
        <w:footnoteRef/>
      </w:r>
      <w:r w:rsidRPr="00E83F2A">
        <w:rPr>
          <w:rFonts w:asciiTheme="minorHAnsi" w:hAnsiTheme="minorHAnsi"/>
        </w:rPr>
        <w:t xml:space="preserve"> </w:t>
      </w:r>
      <w:r w:rsidRPr="00E83F2A">
        <w:rPr>
          <w:rFonts w:asciiTheme="minorHAnsi" w:hAnsiTheme="minorHAnsi"/>
        </w:rPr>
        <w:tab/>
        <w:t xml:space="preserve">The committee notes that it has previously commented on a similar issue. See </w:t>
      </w:r>
      <w:r w:rsidRPr="00E83F2A">
        <w:rPr>
          <w:rFonts w:asciiTheme="minorHAnsi" w:hAnsiTheme="minorHAnsi"/>
          <w:i/>
        </w:rPr>
        <w:t>Delegated legislation monitor</w:t>
      </w:r>
      <w:r w:rsidRPr="00E83F2A">
        <w:rPr>
          <w:rFonts w:asciiTheme="minorHAnsi" w:hAnsiTheme="minorHAnsi"/>
        </w:rPr>
        <w:t xml:space="preserve"> 6 of 2015, Occupational Health and Safety (Maritime Industry) (Prescribed Ship or Unit — Intra-State Trade) Declaration 2015 [F2015L00335]; and Seafarers Rehabilitation and Compensation (Prescribed Ship — Intra-State Trade) Declaration 2015 [F2015L00336], pp 21-24.</w:t>
      </w:r>
    </w:p>
  </w:footnote>
  <w:footnote w:id="59">
    <w:p w:rsidR="002B2721" w:rsidRPr="00DA3536" w:rsidRDefault="002B2721" w:rsidP="00324919">
      <w:pPr>
        <w:pStyle w:val="FootnoteText"/>
        <w:spacing w:after="120"/>
        <w:rPr>
          <w:rFonts w:ascii="Calibri" w:hAnsi="Calibri"/>
        </w:rPr>
      </w:pPr>
      <w:r w:rsidRPr="00DA3536">
        <w:rPr>
          <w:rStyle w:val="FootnoteReference"/>
          <w:rFonts w:ascii="Calibri" w:hAnsi="Calibri"/>
          <w:vertAlign w:val="baseline"/>
        </w:rPr>
        <w:footnoteRef/>
      </w:r>
      <w:r w:rsidRPr="00DA3536">
        <w:rPr>
          <w:rFonts w:ascii="Calibri" w:hAnsi="Calibri"/>
        </w:rPr>
        <w:t xml:space="preserve"> </w:t>
      </w:r>
      <w:r w:rsidRPr="00DA3536">
        <w:rPr>
          <w:rFonts w:ascii="Calibri" w:hAnsi="Calibri"/>
        </w:rPr>
        <w:tab/>
        <w:t>See</w:t>
      </w:r>
      <w:r>
        <w:rPr>
          <w:rFonts w:ascii="Calibri" w:hAnsi="Calibri"/>
        </w:rPr>
        <w:t xml:space="preserve"> </w:t>
      </w:r>
      <w:r w:rsidRPr="00C0761C">
        <w:rPr>
          <w:rFonts w:ascii="Calibri" w:hAnsi="Calibri"/>
        </w:rPr>
        <w:t>Regulations and Ordinances Committee,</w:t>
      </w:r>
      <w:r>
        <w:rPr>
          <w:rFonts w:ascii="Calibri" w:hAnsi="Calibri"/>
        </w:rPr>
        <w:t xml:space="preserve"> </w:t>
      </w:r>
      <w:r>
        <w:rPr>
          <w:rFonts w:ascii="Calibri" w:hAnsi="Calibri"/>
          <w:i/>
        </w:rPr>
        <w:t xml:space="preserve">Guideline on incorporation of documents, </w:t>
      </w:r>
      <w:hyperlink r:id="rId42" w:history="1">
        <w:r w:rsidRPr="009F3A12">
          <w:rPr>
            <w:rStyle w:val="Hyperlink"/>
            <w:rFonts w:ascii="Calibri" w:hAnsi="Calibri"/>
          </w:rPr>
          <w:t>http://www.aph.gov.au/Parliamentary_Business/Committees/Senate/Regulations_and_</w:t>
        </w:r>
        <w:r w:rsidRPr="009F3A12">
          <w:rPr>
            <w:rStyle w:val="Hyperlink"/>
            <w:rFonts w:ascii="Calibri" w:hAnsi="Calibri"/>
          </w:rPr>
          <w:br/>
          <w:t>Ordinances/Guidelines/Guideline_on_incorporation_of_documents</w:t>
        </w:r>
      </w:hyperlink>
      <w:r>
        <w:rPr>
          <w:rFonts w:ascii="Calibri" w:hAnsi="Calibr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721" w:rsidRPr="00F710D5" w:rsidRDefault="002B2721">
    <w:pPr>
      <w:pStyle w:val="Header"/>
      <w:pBdr>
        <w:bottom w:val="single" w:sz="4" w:space="1" w:color="auto"/>
      </w:pBdr>
      <w:tabs>
        <w:tab w:val="clear" w:pos="8306"/>
        <w:tab w:val="right" w:pos="9000"/>
      </w:tabs>
    </w:pPr>
    <w:r>
      <w:fldChar w:fldCharType="begin"/>
    </w:r>
    <w:r>
      <w:instrText xml:space="preserve"> PAGE </w:instrText>
    </w:r>
    <w:r>
      <w:fldChar w:fldCharType="separate"/>
    </w:r>
    <w:r w:rsidR="006C6921">
      <w:rPr>
        <w:noProof/>
      </w:rPr>
      <w:t>iv</w:t>
    </w:r>
    <w:r>
      <w:rPr>
        <w:noProof/>
      </w:rPr>
      <w:fldChar w:fldCharType="end"/>
    </w:r>
    <w: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721" w:rsidRDefault="002B2721">
    <w:pPr>
      <w:pStyle w:val="Header"/>
      <w:tabs>
        <w:tab w:val="clear" w:pos="8306"/>
        <w:tab w:val="right" w:pos="900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721" w:rsidRDefault="002B2721">
    <w:pPr>
      <w:pStyle w:val="Header"/>
      <w:tabs>
        <w:tab w:val="clear" w:pos="8306"/>
        <w:tab w:val="right" w:pos="900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721" w:rsidRDefault="002B2721" w:rsidP="00CD18D3">
    <w:pPr>
      <w:pStyle w:val="Header"/>
      <w:pBdr>
        <w:bottom w:val="single" w:sz="4" w:space="1" w:color="auto"/>
      </w:pBdr>
      <w:tabs>
        <w:tab w:val="clear" w:pos="8306"/>
        <w:tab w:val="right" w:pos="9000"/>
      </w:tabs>
    </w:pPr>
    <w:r>
      <w:fldChar w:fldCharType="begin"/>
    </w:r>
    <w:r>
      <w:instrText xml:space="preserve"> PAGE </w:instrText>
    </w:r>
    <w:r>
      <w:fldChar w:fldCharType="separate"/>
    </w:r>
    <w:r w:rsidR="006C6921">
      <w:rPr>
        <w:noProof/>
      </w:rPr>
      <w:t>iii</w:t>
    </w:r>
    <w:r>
      <w:rPr>
        <w:noProof/>
      </w:rPr>
      <w:fldChar w:fldCharType="end"/>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721" w:rsidRDefault="002B2721" w:rsidP="00CD18D3">
    <w:pPr>
      <w:pStyle w:val="Header"/>
      <w:pBdr>
        <w:bottom w:val="single" w:sz="4" w:space="1" w:color="auto"/>
      </w:pBdr>
      <w:tabs>
        <w:tab w:val="clear" w:pos="8306"/>
        <w:tab w:val="right" w:pos="9000"/>
      </w:tabs>
    </w:pPr>
    <w:r>
      <w:fldChar w:fldCharType="begin"/>
    </w:r>
    <w:r>
      <w:instrText xml:space="preserve"> PAGE </w:instrText>
    </w:r>
    <w:r>
      <w:fldChar w:fldCharType="separate"/>
    </w:r>
    <w:r w:rsidR="006C6921">
      <w:rPr>
        <w:noProof/>
      </w:rPr>
      <w:t>vii</w:t>
    </w:r>
    <w:r>
      <w:rPr>
        <w:noProof/>
      </w:rPr>
      <w:fldChar w:fldCharType="end"/>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721" w:rsidRPr="00F710D5" w:rsidRDefault="002B2721">
    <w:pPr>
      <w:pStyle w:val="Header"/>
      <w:pBdr>
        <w:bottom w:val="single" w:sz="4" w:space="1" w:color="auto"/>
      </w:pBdr>
      <w:tabs>
        <w:tab w:val="clear" w:pos="8306"/>
        <w:tab w:val="right" w:pos="9000"/>
      </w:tabs>
    </w:pPr>
    <w:r>
      <w:fldChar w:fldCharType="begin"/>
    </w:r>
    <w:r>
      <w:instrText xml:space="preserve"> PAGE </w:instrText>
    </w:r>
    <w:r>
      <w:fldChar w:fldCharType="separate"/>
    </w:r>
    <w:r w:rsidR="006C6921">
      <w:rPr>
        <w:noProof/>
      </w:rPr>
      <w:t>90</w:t>
    </w:r>
    <w:r>
      <w:rPr>
        <w:noProof/>
      </w:rPr>
      <w:fldChar w:fldCharType="end"/>
    </w:r>
    <w:r>
      <w:tab/>
    </w:r>
    <w:r>
      <w:rPr>
        <w:b/>
      </w:rPr>
      <w:t>Monitor 11</w:t>
    </w:r>
    <w:r w:rsidRPr="00E634E0">
      <w:rPr>
        <w:b/>
      </w:rPr>
      <w:t>/17</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721" w:rsidRDefault="002B2721">
    <w:pPr>
      <w:pStyle w:val="Header"/>
      <w:pBdr>
        <w:bottom w:val="single" w:sz="4" w:space="1" w:color="auto"/>
      </w:pBdr>
      <w:tabs>
        <w:tab w:val="clear" w:pos="8306"/>
        <w:tab w:val="right" w:pos="9000"/>
      </w:tabs>
    </w:pPr>
    <w:r>
      <w:rPr>
        <w:b/>
      </w:rPr>
      <w:t>Monitor 11</w:t>
    </w:r>
    <w:r w:rsidRPr="00E634E0">
      <w:rPr>
        <w:b/>
      </w:rPr>
      <w:t>/17</w:t>
    </w:r>
    <w:r>
      <w:tab/>
    </w:r>
    <w:r>
      <w:fldChar w:fldCharType="begin"/>
    </w:r>
    <w:r>
      <w:instrText xml:space="preserve"> PAGE </w:instrText>
    </w:r>
    <w:r>
      <w:fldChar w:fldCharType="separate"/>
    </w:r>
    <w:r w:rsidR="006C6921">
      <w:rPr>
        <w:noProof/>
      </w:rPr>
      <w:t>91</w:t>
    </w:r>
    <w:r>
      <w:rPr>
        <w:noProof/>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721" w:rsidRDefault="002B2721">
    <w:pPr>
      <w:pStyle w:val="Header"/>
      <w:tabs>
        <w:tab w:val="clear" w:pos="8306"/>
        <w:tab w:val="right" w:pos="9000"/>
      </w:tabs>
    </w:pPr>
    <w: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721" w:rsidRDefault="002B2721">
    <w:pPr>
      <w:pStyle w:val="Header"/>
      <w:tabs>
        <w:tab w:val="clear" w:pos="8306"/>
        <w:tab w:val="right" w:pos="9000"/>
      </w:tabs>
    </w:pPr>
    <w: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721" w:rsidRDefault="002B2721">
    <w:pPr>
      <w:pStyle w:val="Header"/>
      <w:tabs>
        <w:tab w:val="clear" w:pos="8306"/>
        <w:tab w:val="right" w:pos="900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2E5AC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E1801B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6349106"/>
    <w:lvl w:ilvl="0">
      <w:start w:val="1"/>
      <w:numFmt w:val="decimal"/>
      <w:pStyle w:val="ListNumber3"/>
      <w:lvlText w:val="%1."/>
      <w:lvlJc w:val="left"/>
      <w:pPr>
        <w:tabs>
          <w:tab w:val="num" w:pos="926"/>
        </w:tabs>
        <w:ind w:left="926" w:hanging="360"/>
      </w:pPr>
    </w:lvl>
  </w:abstractNum>
  <w:abstractNum w:abstractNumId="3">
    <w:nsid w:val="FFFFFF7F"/>
    <w:multiLevelType w:val="singleLevel"/>
    <w:tmpl w:val="0178DB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C510917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AEEA3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D80D43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C307A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D3A8B68"/>
    <w:lvl w:ilvl="0">
      <w:start w:val="1"/>
      <w:numFmt w:val="decimal"/>
      <w:pStyle w:val="ListNumber"/>
      <w:lvlText w:val="%1."/>
      <w:lvlJc w:val="left"/>
      <w:pPr>
        <w:tabs>
          <w:tab w:val="num" w:pos="360"/>
        </w:tabs>
        <w:ind w:left="360" w:hanging="360"/>
      </w:pPr>
    </w:lvl>
  </w:abstractNum>
  <w:abstractNum w:abstractNumId="9">
    <w:nsid w:val="FFFFFF89"/>
    <w:multiLevelType w:val="singleLevel"/>
    <w:tmpl w:val="44CE294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BC5F38"/>
    <w:multiLevelType w:val="singleLevel"/>
    <w:tmpl w:val="C34277B6"/>
    <w:name w:val="Recommendations"/>
    <w:lvl w:ilvl="0">
      <w:start w:val="1"/>
      <w:numFmt w:val="decimal"/>
      <w:lvlText w:val="%1"/>
      <w:lvlJc w:val="left"/>
      <w:pPr>
        <w:tabs>
          <w:tab w:val="num" w:pos="360"/>
        </w:tabs>
        <w:ind w:left="360" w:hanging="360"/>
      </w:pPr>
    </w:lvl>
  </w:abstractNum>
  <w:abstractNum w:abstractNumId="11">
    <w:nsid w:val="0A4B0C1E"/>
    <w:multiLevelType w:val="hybridMultilevel"/>
    <w:tmpl w:val="2500D1C6"/>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2">
    <w:nsid w:val="1ADB67D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D2B3D71"/>
    <w:multiLevelType w:val="hybridMultilevel"/>
    <w:tmpl w:val="C57EF480"/>
    <w:lvl w:ilvl="0" w:tplc="F4980F64">
      <w:start w:val="1"/>
      <w:numFmt w:val="bullet"/>
      <w:lvlText w:val=""/>
      <w:lvlJc w:val="left"/>
      <w:pPr>
        <w:ind w:left="1466" w:hanging="615"/>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02017D9"/>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1EA593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23B87646"/>
    <w:multiLevelType w:val="singleLevel"/>
    <w:tmpl w:val="807C9A06"/>
    <w:lvl w:ilvl="0">
      <w:start w:val="1"/>
      <w:numFmt w:val="bullet"/>
      <w:pStyle w:val="Bullet2"/>
      <w:lvlText w:val=""/>
      <w:lvlJc w:val="left"/>
      <w:pPr>
        <w:tabs>
          <w:tab w:val="num" w:pos="1134"/>
        </w:tabs>
        <w:ind w:left="1134" w:hanging="567"/>
      </w:pPr>
      <w:rPr>
        <w:rFonts w:ascii="Symbol" w:hAnsi="Symbol" w:hint="default"/>
        <w:color w:val="auto"/>
        <w:sz w:val="20"/>
      </w:rPr>
    </w:lvl>
  </w:abstractNum>
  <w:abstractNum w:abstractNumId="17">
    <w:nsid w:val="26792033"/>
    <w:multiLevelType w:val="multilevel"/>
    <w:tmpl w:val="EBDA910C"/>
    <w:lvl w:ilvl="0">
      <w:start w:val="1"/>
      <w:numFmt w:val="decimal"/>
      <w:lvlText w:val="1.%1"/>
      <w:lvlJc w:val="left"/>
      <w:pPr>
        <w:tabs>
          <w:tab w:val="num" w:pos="283"/>
        </w:tabs>
        <w:ind w:left="-567" w:firstLine="0"/>
      </w:pPr>
      <w:rPr>
        <w:rFonts w:hint="default"/>
      </w:rPr>
    </w:lvl>
    <w:lvl w:ilvl="1">
      <w:start w:val="1"/>
      <w:numFmt w:val="lowerLetter"/>
      <w:lvlText w:val="(%2)"/>
      <w:lvlJc w:val="left"/>
      <w:pPr>
        <w:tabs>
          <w:tab w:val="num" w:pos="1134"/>
        </w:tabs>
        <w:ind w:left="283" w:firstLine="0"/>
      </w:pPr>
      <w:rPr>
        <w:rFonts w:hint="default"/>
      </w:rPr>
    </w:lvl>
    <w:lvl w:ilvl="2">
      <w:start w:val="1"/>
      <w:numFmt w:val="lowerRoman"/>
      <w:lvlText w:val="(%3)"/>
      <w:lvlJc w:val="left"/>
      <w:pPr>
        <w:tabs>
          <w:tab w:val="num" w:pos="1984"/>
        </w:tabs>
        <w:ind w:left="1134" w:firstLine="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8">
    <w:nsid w:val="2869769B"/>
    <w:multiLevelType w:val="hybridMultilevel"/>
    <w:tmpl w:val="CE4CDA8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9">
    <w:nsid w:val="2CC94E2D"/>
    <w:multiLevelType w:val="singleLevel"/>
    <w:tmpl w:val="0B9CBC52"/>
    <w:lvl w:ilvl="0">
      <w:start w:val="3"/>
      <w:numFmt w:val="bullet"/>
      <w:pStyle w:val="Bullet4"/>
      <w:lvlText w:val="-"/>
      <w:lvlJc w:val="left"/>
      <w:pPr>
        <w:tabs>
          <w:tab w:val="num" w:pos="1701"/>
        </w:tabs>
        <w:ind w:left="1701" w:hanging="567"/>
      </w:pPr>
      <w:rPr>
        <w:rFonts w:ascii="Times New Roman" w:eastAsia="Times New Roman" w:hAnsi="Times New Roman" w:cs="Times New Roman" w:hint="default"/>
        <w:sz w:val="20"/>
      </w:rPr>
    </w:lvl>
  </w:abstractNum>
  <w:abstractNum w:abstractNumId="20">
    <w:nsid w:val="2D084103"/>
    <w:multiLevelType w:val="hybridMultilevel"/>
    <w:tmpl w:val="B9EC1DCE"/>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1">
    <w:nsid w:val="2F964642"/>
    <w:multiLevelType w:val="hybridMultilevel"/>
    <w:tmpl w:val="3CAE2854"/>
    <w:lvl w:ilvl="0" w:tplc="0C090001">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22">
    <w:nsid w:val="2FB975B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8D3446A"/>
    <w:multiLevelType w:val="multilevel"/>
    <w:tmpl w:val="A8927DE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4">
    <w:nsid w:val="3EBB4E6C"/>
    <w:multiLevelType w:val="hybridMultilevel"/>
    <w:tmpl w:val="6DCC9194"/>
    <w:lvl w:ilvl="0" w:tplc="833294B6">
      <w:numFmt w:val="bullet"/>
      <w:lvlText w:val="•"/>
      <w:lvlJc w:val="left"/>
      <w:pPr>
        <w:ind w:left="1353" w:hanging="360"/>
      </w:pPr>
      <w:rPr>
        <w:rFonts w:ascii="Calibri" w:eastAsia="Times New Roman" w:hAnsi="Calibri" w:cs="Times New Roman"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25">
    <w:nsid w:val="3FFA0B3D"/>
    <w:multiLevelType w:val="multilevel"/>
    <w:tmpl w:val="D67E243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6">
    <w:nsid w:val="4EC220F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500B6A40"/>
    <w:multiLevelType w:val="hybridMultilevel"/>
    <w:tmpl w:val="8FB6D036"/>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24F7341"/>
    <w:multiLevelType w:val="hybridMultilevel"/>
    <w:tmpl w:val="0574B65E"/>
    <w:lvl w:ilvl="0" w:tplc="E64EC966">
      <w:start w:val="1"/>
      <w:numFmt w:val="lowerLetter"/>
      <w:lvlText w:val="(%1)"/>
      <w:lvlJc w:val="left"/>
      <w:pPr>
        <w:ind w:left="1316" w:hanging="465"/>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9">
    <w:nsid w:val="5D2D588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nsid w:val="6347757B"/>
    <w:multiLevelType w:val="multilevel"/>
    <w:tmpl w:val="6F48AB08"/>
    <w:lvl w:ilvl="0">
      <w:start w:val="1"/>
      <w:numFmt w:val="decimal"/>
      <w:lvlText w:val="2.%1"/>
      <w:lvlJc w:val="left"/>
      <w:pPr>
        <w:tabs>
          <w:tab w:val="num" w:pos="850"/>
        </w:tabs>
        <w:ind w:left="0" w:firstLine="0"/>
      </w:pPr>
    </w:lvl>
    <w:lvl w:ilvl="1">
      <w:start w:val="1"/>
      <w:numFmt w:val="lowerLetter"/>
      <w:lvlText w:val="(%2)"/>
      <w:lvlJc w:val="left"/>
      <w:pPr>
        <w:tabs>
          <w:tab w:val="num" w:pos="1417"/>
        </w:tabs>
        <w:ind w:left="1417" w:hanging="567"/>
      </w:pPr>
    </w:lvl>
    <w:lvl w:ilvl="2">
      <w:start w:val="1"/>
      <w:numFmt w:val="lowerRoman"/>
      <w:lvlText w:val="(%3)"/>
      <w:lvlJc w:val="left"/>
      <w:pPr>
        <w:tabs>
          <w:tab w:val="num" w:pos="1984"/>
        </w:tabs>
        <w:ind w:left="1984" w:hanging="567"/>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nsid w:val="63D2471F"/>
    <w:multiLevelType w:val="multilevel"/>
    <w:tmpl w:val="8B607D76"/>
    <w:lvl w:ilvl="0">
      <w:start w:val="1"/>
      <w:numFmt w:val="decimal"/>
      <w:pStyle w:val="Level1"/>
      <w:lvlText w:val="1.%1"/>
      <w:lvlJc w:val="left"/>
      <w:pPr>
        <w:tabs>
          <w:tab w:val="num" w:pos="850"/>
        </w:tabs>
        <w:ind w:left="0" w:firstLine="0"/>
      </w:pPr>
      <w:rPr>
        <w:rFonts w:hint="default"/>
      </w:rPr>
    </w:lvl>
    <w:lvl w:ilvl="1">
      <w:start w:val="1"/>
      <w:numFmt w:val="lowerLetter"/>
      <w:pStyle w:val="Level2"/>
      <w:lvlText w:val="(%2)"/>
      <w:lvlJc w:val="left"/>
      <w:pPr>
        <w:tabs>
          <w:tab w:val="num" w:pos="1417"/>
        </w:tabs>
        <w:ind w:left="1417" w:hanging="567"/>
      </w:pPr>
      <w:rPr>
        <w:rFonts w:hint="default"/>
      </w:rPr>
    </w:lvl>
    <w:lvl w:ilvl="2">
      <w:start w:val="1"/>
      <w:numFmt w:val="lowerRoman"/>
      <w:pStyle w:val="Level3"/>
      <w:lvlText w:val="(%3)"/>
      <w:lvlJc w:val="left"/>
      <w:pPr>
        <w:tabs>
          <w:tab w:val="num" w:pos="1984"/>
        </w:tabs>
        <w:ind w:left="1984" w:hanging="567"/>
      </w:pPr>
      <w:rPr>
        <w:rFonts w:hint="default"/>
      </w:rPr>
    </w:lvl>
    <w:lvl w:ilvl="3">
      <w:start w:val="1"/>
      <w:numFmt w:val="none"/>
      <w:pStyle w:val="Heading4"/>
      <w:suff w:val="nothing"/>
      <w:lvlText w:val=""/>
      <w:lvlJc w:val="left"/>
      <w:pPr>
        <w:ind w:left="0" w:firstLine="0"/>
      </w:pPr>
      <w:rPr>
        <w:rFonts w:hint="default"/>
        <w:b/>
        <w:i w:val="0"/>
        <w:sz w:val="4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2">
    <w:nsid w:val="6B404A55"/>
    <w:multiLevelType w:val="multilevel"/>
    <w:tmpl w:val="2F38C578"/>
    <w:lvl w:ilvl="0">
      <w:start w:val="1"/>
      <w:numFmt w:val="decimal"/>
      <w:lvlText w:val="23.%1"/>
      <w:lvlJc w:val="left"/>
      <w:pPr>
        <w:tabs>
          <w:tab w:val="num" w:pos="850"/>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33">
    <w:nsid w:val="71813148"/>
    <w:multiLevelType w:val="hybridMultilevel"/>
    <w:tmpl w:val="FEAEF128"/>
    <w:lvl w:ilvl="0" w:tplc="B62EAD3A">
      <w:start w:val="1"/>
      <w:numFmt w:val="lowerLetter"/>
      <w:lvlText w:val="(%1)"/>
      <w:lvlJc w:val="left"/>
      <w:pPr>
        <w:ind w:left="1316" w:hanging="465"/>
      </w:pPr>
      <w:rPr>
        <w:rFonts w:hint="default"/>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4">
    <w:nsid w:val="71DD7E28"/>
    <w:multiLevelType w:val="hybridMultilevel"/>
    <w:tmpl w:val="20AA5EF4"/>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35">
    <w:nsid w:val="7C9B222F"/>
    <w:multiLevelType w:val="hybridMultilevel"/>
    <w:tmpl w:val="46EAF91C"/>
    <w:lvl w:ilvl="0" w:tplc="A9AEFD4E">
      <w:start w:val="1"/>
      <w:numFmt w:val="bullet"/>
      <w:pStyle w:val="Bullet3"/>
      <w:lvlText w:val=""/>
      <w:lvlJc w:val="left"/>
      <w:pPr>
        <w:tabs>
          <w:tab w:val="num" w:pos="1701"/>
        </w:tabs>
        <w:ind w:left="1701" w:hanging="567"/>
      </w:pPr>
      <w:rPr>
        <w:rFonts w:ascii="Symbol" w:hAnsi="Symbol" w:hint="default"/>
        <w:color w:val="auto"/>
        <w:sz w:val="20"/>
      </w:rPr>
    </w:lvl>
    <w:lvl w:ilvl="1" w:tplc="0C090003" w:tentative="1">
      <w:start w:val="1"/>
      <w:numFmt w:val="bullet"/>
      <w:lvlText w:val="o"/>
      <w:lvlJc w:val="left"/>
      <w:pPr>
        <w:tabs>
          <w:tab w:val="num" w:pos="2574"/>
        </w:tabs>
        <w:ind w:left="2574" w:hanging="360"/>
      </w:pPr>
      <w:rPr>
        <w:rFonts w:ascii="Courier New" w:hAnsi="Courier New" w:cs="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36">
    <w:nsid w:val="7EBE1BF6"/>
    <w:multiLevelType w:val="multilevel"/>
    <w:tmpl w:val="F8F8FC80"/>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num w:numId="1">
    <w:abstractNumId w:val="29"/>
  </w:num>
  <w:num w:numId="2">
    <w:abstractNumId w:val="14"/>
  </w:num>
  <w:num w:numId="3">
    <w:abstractNumId w:val="15"/>
  </w:num>
  <w:num w:numId="4">
    <w:abstractNumId w:val="16"/>
  </w:num>
  <w:num w:numId="5">
    <w:abstractNumId w:val="19"/>
  </w:num>
  <w:num w:numId="6">
    <w:abstractNumId w:val="17"/>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6"/>
  </w:num>
  <w:num w:numId="18">
    <w:abstractNumId w:val="12"/>
  </w:num>
  <w:num w:numId="19">
    <w:abstractNumId w:val="35"/>
  </w:num>
  <w:num w:numId="20">
    <w:abstractNumId w:val="10"/>
  </w:num>
  <w:num w:numId="21">
    <w:abstractNumId w:val="31"/>
  </w:num>
  <w:num w:numId="22">
    <w:abstractNumId w:val="22"/>
  </w:num>
  <w:num w:numId="23">
    <w:abstractNumId w:val="32"/>
  </w:num>
  <w:num w:numId="24">
    <w:abstractNumId w:val="23"/>
  </w:num>
  <w:num w:numId="25">
    <w:abstractNumId w:val="25"/>
  </w:num>
  <w:num w:numId="26">
    <w:abstractNumId w:val="31"/>
  </w:num>
  <w:num w:numId="27">
    <w:abstractNumId w:val="31"/>
  </w:num>
  <w:num w:numId="28">
    <w:abstractNumId w:val="36"/>
  </w:num>
  <w:num w:numId="29">
    <w:abstractNumId w:val="36"/>
  </w:num>
  <w:num w:numId="30">
    <w:abstractNumId w:val="36"/>
  </w:num>
  <w:num w:numId="31">
    <w:abstractNumId w:val="31"/>
  </w:num>
  <w:num w:numId="32">
    <w:abstractNumId w:val="31"/>
  </w:num>
  <w:num w:numId="33">
    <w:abstractNumId w:val="18"/>
  </w:num>
  <w:num w:numId="34">
    <w:abstractNumId w:val="28"/>
  </w:num>
  <w:num w:numId="35">
    <w:abstractNumId w:val="13"/>
  </w:num>
  <w:num w:numId="36">
    <w:abstractNumId w:val="34"/>
  </w:num>
  <w:num w:numId="37">
    <w:abstractNumId w:val="21"/>
  </w:num>
  <w:num w:numId="38">
    <w:abstractNumId w:val="24"/>
  </w:num>
  <w:num w:numId="39">
    <w:abstractNumId w:val="11"/>
  </w:num>
  <w:num w:numId="40">
    <w:abstractNumId w:val="20"/>
  </w:num>
  <w:num w:numId="41">
    <w:abstractNumId w:val="30"/>
  </w:num>
  <w:num w:numId="42">
    <w:abstractNumId w:val="27"/>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attachedTemplate r:id="rId1"/>
  <w:linkStyle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05B"/>
    <w:rsid w:val="000003C1"/>
    <w:rsid w:val="00004825"/>
    <w:rsid w:val="000150E3"/>
    <w:rsid w:val="00031176"/>
    <w:rsid w:val="000470C0"/>
    <w:rsid w:val="00053F87"/>
    <w:rsid w:val="00056D45"/>
    <w:rsid w:val="00072727"/>
    <w:rsid w:val="000729E3"/>
    <w:rsid w:val="00094432"/>
    <w:rsid w:val="000A00BB"/>
    <w:rsid w:val="000A1408"/>
    <w:rsid w:val="000A2085"/>
    <w:rsid w:val="000A43C2"/>
    <w:rsid w:val="000B139D"/>
    <w:rsid w:val="000B1EB4"/>
    <w:rsid w:val="000B484C"/>
    <w:rsid w:val="000B5953"/>
    <w:rsid w:val="000C2F79"/>
    <w:rsid w:val="000C32D7"/>
    <w:rsid w:val="000D36AB"/>
    <w:rsid w:val="000D37C1"/>
    <w:rsid w:val="000D56E8"/>
    <w:rsid w:val="000D62E9"/>
    <w:rsid w:val="000E76D9"/>
    <w:rsid w:val="000F5BD0"/>
    <w:rsid w:val="00100E10"/>
    <w:rsid w:val="00110E6B"/>
    <w:rsid w:val="00117C30"/>
    <w:rsid w:val="00125489"/>
    <w:rsid w:val="001273B0"/>
    <w:rsid w:val="001428C3"/>
    <w:rsid w:val="00162130"/>
    <w:rsid w:val="00162C29"/>
    <w:rsid w:val="0018124A"/>
    <w:rsid w:val="00183995"/>
    <w:rsid w:val="00187DF9"/>
    <w:rsid w:val="00192053"/>
    <w:rsid w:val="00192B8B"/>
    <w:rsid w:val="00194588"/>
    <w:rsid w:val="001C5375"/>
    <w:rsid w:val="001C7078"/>
    <w:rsid w:val="001D583D"/>
    <w:rsid w:val="001F18BE"/>
    <w:rsid w:val="001F2B7F"/>
    <w:rsid w:val="001F7D4F"/>
    <w:rsid w:val="00213021"/>
    <w:rsid w:val="00213477"/>
    <w:rsid w:val="00214603"/>
    <w:rsid w:val="00220811"/>
    <w:rsid w:val="00220A32"/>
    <w:rsid w:val="00222D25"/>
    <w:rsid w:val="00223AD3"/>
    <w:rsid w:val="0024681D"/>
    <w:rsid w:val="00266779"/>
    <w:rsid w:val="00284F5D"/>
    <w:rsid w:val="00296ADC"/>
    <w:rsid w:val="002B2721"/>
    <w:rsid w:val="002B4E6F"/>
    <w:rsid w:val="002B71A2"/>
    <w:rsid w:val="002C3CB1"/>
    <w:rsid w:val="002D79CC"/>
    <w:rsid w:val="002F4D4C"/>
    <w:rsid w:val="002F6B9E"/>
    <w:rsid w:val="003012C0"/>
    <w:rsid w:val="00312055"/>
    <w:rsid w:val="003168FA"/>
    <w:rsid w:val="0032459A"/>
    <w:rsid w:val="0032480A"/>
    <w:rsid w:val="00324919"/>
    <w:rsid w:val="00325264"/>
    <w:rsid w:val="0033254C"/>
    <w:rsid w:val="00333EC9"/>
    <w:rsid w:val="00350769"/>
    <w:rsid w:val="00350996"/>
    <w:rsid w:val="003511A2"/>
    <w:rsid w:val="0037105B"/>
    <w:rsid w:val="0038147A"/>
    <w:rsid w:val="00386B23"/>
    <w:rsid w:val="003A691A"/>
    <w:rsid w:val="003B2C53"/>
    <w:rsid w:val="003D63A0"/>
    <w:rsid w:val="003E0C8F"/>
    <w:rsid w:val="003E40C8"/>
    <w:rsid w:val="003F4BA1"/>
    <w:rsid w:val="003F4D42"/>
    <w:rsid w:val="00401F51"/>
    <w:rsid w:val="00404FB9"/>
    <w:rsid w:val="00405249"/>
    <w:rsid w:val="004138A7"/>
    <w:rsid w:val="00415869"/>
    <w:rsid w:val="00420018"/>
    <w:rsid w:val="0044126A"/>
    <w:rsid w:val="00464949"/>
    <w:rsid w:val="00475291"/>
    <w:rsid w:val="00482E72"/>
    <w:rsid w:val="00486432"/>
    <w:rsid w:val="00487E84"/>
    <w:rsid w:val="004A0F2E"/>
    <w:rsid w:val="004A7CC9"/>
    <w:rsid w:val="004D4E07"/>
    <w:rsid w:val="004E4C5D"/>
    <w:rsid w:val="00501FBB"/>
    <w:rsid w:val="00502EDC"/>
    <w:rsid w:val="005106CB"/>
    <w:rsid w:val="00520991"/>
    <w:rsid w:val="00530724"/>
    <w:rsid w:val="0053695B"/>
    <w:rsid w:val="00536C10"/>
    <w:rsid w:val="005370AD"/>
    <w:rsid w:val="00561AAB"/>
    <w:rsid w:val="0056550E"/>
    <w:rsid w:val="00577D8C"/>
    <w:rsid w:val="00594D6F"/>
    <w:rsid w:val="005A0442"/>
    <w:rsid w:val="005A254A"/>
    <w:rsid w:val="005B3AF3"/>
    <w:rsid w:val="005B3BA3"/>
    <w:rsid w:val="005D07D1"/>
    <w:rsid w:val="005D0D64"/>
    <w:rsid w:val="005D51BB"/>
    <w:rsid w:val="005E77C4"/>
    <w:rsid w:val="006007DB"/>
    <w:rsid w:val="00601FBD"/>
    <w:rsid w:val="006027EC"/>
    <w:rsid w:val="00614E6C"/>
    <w:rsid w:val="00616C16"/>
    <w:rsid w:val="006248BA"/>
    <w:rsid w:val="00636559"/>
    <w:rsid w:val="00640A68"/>
    <w:rsid w:val="00644DBA"/>
    <w:rsid w:val="00651B5E"/>
    <w:rsid w:val="00651E15"/>
    <w:rsid w:val="00662C0A"/>
    <w:rsid w:val="00664D88"/>
    <w:rsid w:val="00672B2B"/>
    <w:rsid w:val="00676FBB"/>
    <w:rsid w:val="00677DB9"/>
    <w:rsid w:val="006A6599"/>
    <w:rsid w:val="006B792B"/>
    <w:rsid w:val="006B7ADA"/>
    <w:rsid w:val="006C6921"/>
    <w:rsid w:val="006D545C"/>
    <w:rsid w:val="006F0F4B"/>
    <w:rsid w:val="007007A9"/>
    <w:rsid w:val="00701019"/>
    <w:rsid w:val="00713133"/>
    <w:rsid w:val="00734C2E"/>
    <w:rsid w:val="00744BD7"/>
    <w:rsid w:val="00750F05"/>
    <w:rsid w:val="00773E2C"/>
    <w:rsid w:val="00777DA8"/>
    <w:rsid w:val="0078200D"/>
    <w:rsid w:val="00792C72"/>
    <w:rsid w:val="007A062B"/>
    <w:rsid w:val="007C4CE2"/>
    <w:rsid w:val="007E1770"/>
    <w:rsid w:val="007E2601"/>
    <w:rsid w:val="007E3921"/>
    <w:rsid w:val="007F18BB"/>
    <w:rsid w:val="007F2233"/>
    <w:rsid w:val="007F5E17"/>
    <w:rsid w:val="00803389"/>
    <w:rsid w:val="00804C7B"/>
    <w:rsid w:val="0081513F"/>
    <w:rsid w:val="00821E80"/>
    <w:rsid w:val="008326C3"/>
    <w:rsid w:val="008370AB"/>
    <w:rsid w:val="00837D9C"/>
    <w:rsid w:val="00841609"/>
    <w:rsid w:val="008466A1"/>
    <w:rsid w:val="008524CC"/>
    <w:rsid w:val="00854AE4"/>
    <w:rsid w:val="008575B2"/>
    <w:rsid w:val="0086298C"/>
    <w:rsid w:val="0086421B"/>
    <w:rsid w:val="00870B53"/>
    <w:rsid w:val="00877EB2"/>
    <w:rsid w:val="008974BD"/>
    <w:rsid w:val="008A1C03"/>
    <w:rsid w:val="008A4617"/>
    <w:rsid w:val="008A50F7"/>
    <w:rsid w:val="008A66DD"/>
    <w:rsid w:val="008A71E2"/>
    <w:rsid w:val="008D272A"/>
    <w:rsid w:val="008D31FD"/>
    <w:rsid w:val="008F6E9C"/>
    <w:rsid w:val="00904536"/>
    <w:rsid w:val="00915217"/>
    <w:rsid w:val="00921E12"/>
    <w:rsid w:val="00926B4B"/>
    <w:rsid w:val="00930631"/>
    <w:rsid w:val="00931095"/>
    <w:rsid w:val="00934437"/>
    <w:rsid w:val="009406FB"/>
    <w:rsid w:val="00973C00"/>
    <w:rsid w:val="00995BBB"/>
    <w:rsid w:val="009A1299"/>
    <w:rsid w:val="009A39A3"/>
    <w:rsid w:val="009A5729"/>
    <w:rsid w:val="009B6309"/>
    <w:rsid w:val="009D4E49"/>
    <w:rsid w:val="009E1E5F"/>
    <w:rsid w:val="009E2473"/>
    <w:rsid w:val="009F2A67"/>
    <w:rsid w:val="00A01296"/>
    <w:rsid w:val="00A05394"/>
    <w:rsid w:val="00A27907"/>
    <w:rsid w:val="00A31357"/>
    <w:rsid w:val="00A315D3"/>
    <w:rsid w:val="00A32EF2"/>
    <w:rsid w:val="00A411B1"/>
    <w:rsid w:val="00A47F7C"/>
    <w:rsid w:val="00A56754"/>
    <w:rsid w:val="00A6293C"/>
    <w:rsid w:val="00A6315C"/>
    <w:rsid w:val="00A640E6"/>
    <w:rsid w:val="00A6429C"/>
    <w:rsid w:val="00A6738A"/>
    <w:rsid w:val="00A70CEF"/>
    <w:rsid w:val="00A87FCF"/>
    <w:rsid w:val="00A936BB"/>
    <w:rsid w:val="00AA0AC5"/>
    <w:rsid w:val="00AA1410"/>
    <w:rsid w:val="00AB1DFB"/>
    <w:rsid w:val="00AB3DF0"/>
    <w:rsid w:val="00AC1950"/>
    <w:rsid w:val="00AC3A8E"/>
    <w:rsid w:val="00AD7848"/>
    <w:rsid w:val="00AE08B6"/>
    <w:rsid w:val="00B0092F"/>
    <w:rsid w:val="00B0142C"/>
    <w:rsid w:val="00B04A05"/>
    <w:rsid w:val="00B07AC7"/>
    <w:rsid w:val="00B14A2A"/>
    <w:rsid w:val="00B15BA5"/>
    <w:rsid w:val="00B21544"/>
    <w:rsid w:val="00B36B5B"/>
    <w:rsid w:val="00B37C37"/>
    <w:rsid w:val="00B428BB"/>
    <w:rsid w:val="00B542B0"/>
    <w:rsid w:val="00B73EDC"/>
    <w:rsid w:val="00B76317"/>
    <w:rsid w:val="00B92FCA"/>
    <w:rsid w:val="00BA08D4"/>
    <w:rsid w:val="00BB3F3B"/>
    <w:rsid w:val="00BC1E70"/>
    <w:rsid w:val="00BC4A3F"/>
    <w:rsid w:val="00BC7983"/>
    <w:rsid w:val="00BD229F"/>
    <w:rsid w:val="00BE7B57"/>
    <w:rsid w:val="00C16E4E"/>
    <w:rsid w:val="00C17E58"/>
    <w:rsid w:val="00C25B02"/>
    <w:rsid w:val="00C273A1"/>
    <w:rsid w:val="00C30B77"/>
    <w:rsid w:val="00C340DF"/>
    <w:rsid w:val="00C60D0E"/>
    <w:rsid w:val="00C70A30"/>
    <w:rsid w:val="00C77954"/>
    <w:rsid w:val="00C82795"/>
    <w:rsid w:val="00C91304"/>
    <w:rsid w:val="00C924AB"/>
    <w:rsid w:val="00CA1312"/>
    <w:rsid w:val="00CA7234"/>
    <w:rsid w:val="00CB2C79"/>
    <w:rsid w:val="00CC3A7E"/>
    <w:rsid w:val="00CC63BA"/>
    <w:rsid w:val="00CC6AFB"/>
    <w:rsid w:val="00CD18D3"/>
    <w:rsid w:val="00CF5203"/>
    <w:rsid w:val="00CF6A75"/>
    <w:rsid w:val="00D2194C"/>
    <w:rsid w:val="00D303AB"/>
    <w:rsid w:val="00D31724"/>
    <w:rsid w:val="00D35325"/>
    <w:rsid w:val="00D4535E"/>
    <w:rsid w:val="00D62B93"/>
    <w:rsid w:val="00D7654A"/>
    <w:rsid w:val="00D81750"/>
    <w:rsid w:val="00D921B0"/>
    <w:rsid w:val="00D933A1"/>
    <w:rsid w:val="00DA1837"/>
    <w:rsid w:val="00DA62D1"/>
    <w:rsid w:val="00DB4521"/>
    <w:rsid w:val="00DC4229"/>
    <w:rsid w:val="00DC42CD"/>
    <w:rsid w:val="00DC5E8E"/>
    <w:rsid w:val="00DD5FFC"/>
    <w:rsid w:val="00DE1781"/>
    <w:rsid w:val="00DE1CA5"/>
    <w:rsid w:val="00DE70D3"/>
    <w:rsid w:val="00E00595"/>
    <w:rsid w:val="00E0235E"/>
    <w:rsid w:val="00E06972"/>
    <w:rsid w:val="00E11B94"/>
    <w:rsid w:val="00E21712"/>
    <w:rsid w:val="00E5016F"/>
    <w:rsid w:val="00E577D1"/>
    <w:rsid w:val="00E84D21"/>
    <w:rsid w:val="00E90EBE"/>
    <w:rsid w:val="00E930BE"/>
    <w:rsid w:val="00E95F6F"/>
    <w:rsid w:val="00EA577D"/>
    <w:rsid w:val="00EA5E62"/>
    <w:rsid w:val="00EA72D3"/>
    <w:rsid w:val="00EB5055"/>
    <w:rsid w:val="00ED240B"/>
    <w:rsid w:val="00ED67B3"/>
    <w:rsid w:val="00EE73FC"/>
    <w:rsid w:val="00EF4874"/>
    <w:rsid w:val="00F110A9"/>
    <w:rsid w:val="00F267EB"/>
    <w:rsid w:val="00F3656E"/>
    <w:rsid w:val="00F43D54"/>
    <w:rsid w:val="00F6067E"/>
    <w:rsid w:val="00F66DFE"/>
    <w:rsid w:val="00F919CA"/>
    <w:rsid w:val="00F92443"/>
    <w:rsid w:val="00FA7E73"/>
    <w:rsid w:val="00FB00B6"/>
    <w:rsid w:val="00FB0332"/>
    <w:rsid w:val="00FC0196"/>
    <w:rsid w:val="00FC16DE"/>
    <w:rsid w:val="00FC3FAF"/>
    <w:rsid w:val="00FC7ECE"/>
    <w:rsid w:val="00FF3D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footer" w:uiPriority="99"/>
    <w:lsdException w:name="caption" w:semiHidden="0" w:unhideWhenUsed="0"/>
    <w:lsdException w:name="Title" w:semiHidden="0" w:unhideWhenUsed="0"/>
    <w:lsdException w:name="Default Paragraph Font" w:uiPriority="1"/>
    <w:lsdException w:name="Subtitle" w:semiHidden="0" w:unhideWhenUsed="0"/>
    <w:lsdException w:name="Hyperlink" w:uiPriority="99"/>
    <w:lsdException w:name="Strong" w:semiHidden="0" w:unhideWhenUsed="0"/>
    <w:lsdException w:name="Emphasis" w:semiHidden="0" w:unhideWhenUsed="0"/>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D18D3"/>
    <w:pPr>
      <w:spacing w:before="120" w:after="120"/>
      <w:jc w:val="both"/>
    </w:pPr>
    <w:rPr>
      <w:rFonts w:ascii="Calibri" w:hAnsi="Calibri"/>
      <w:sz w:val="26"/>
      <w:lang w:eastAsia="en-US"/>
    </w:rPr>
  </w:style>
  <w:style w:type="paragraph" w:styleId="Heading1">
    <w:name w:val="heading 1"/>
    <w:basedOn w:val="Normal"/>
    <w:next w:val="Normal"/>
    <w:link w:val="Heading1Char"/>
    <w:qFormat/>
    <w:rsid w:val="00CD18D3"/>
    <w:pPr>
      <w:keepNext/>
      <w:spacing w:before="240"/>
      <w:jc w:val="center"/>
      <w:outlineLvl w:val="0"/>
    </w:pPr>
    <w:rPr>
      <w:b/>
      <w:kern w:val="28"/>
      <w:sz w:val="40"/>
    </w:rPr>
  </w:style>
  <w:style w:type="paragraph" w:styleId="Heading2">
    <w:name w:val="heading 2"/>
    <w:basedOn w:val="Normal"/>
    <w:next w:val="Normal"/>
    <w:link w:val="Heading2Char"/>
    <w:qFormat/>
    <w:rsid w:val="00CD18D3"/>
    <w:pPr>
      <w:keepNext/>
      <w:jc w:val="center"/>
      <w:outlineLvl w:val="1"/>
    </w:pPr>
    <w:rPr>
      <w:b/>
      <w:sz w:val="36"/>
    </w:rPr>
  </w:style>
  <w:style w:type="paragraph" w:styleId="Heading3">
    <w:name w:val="heading 3"/>
    <w:basedOn w:val="Normal"/>
    <w:next w:val="Normal"/>
    <w:link w:val="Heading3Char"/>
    <w:qFormat/>
    <w:rsid w:val="00CD18D3"/>
    <w:pPr>
      <w:keepNext/>
      <w:outlineLvl w:val="2"/>
    </w:pPr>
    <w:rPr>
      <w:b/>
      <w:sz w:val="28"/>
    </w:rPr>
  </w:style>
  <w:style w:type="paragraph" w:styleId="Heading4">
    <w:name w:val="heading 4"/>
    <w:basedOn w:val="Normal"/>
    <w:next w:val="Normal"/>
    <w:link w:val="Heading4Char"/>
    <w:qFormat/>
    <w:rsid w:val="00CD18D3"/>
    <w:pPr>
      <w:keepNext/>
      <w:numPr>
        <w:ilvl w:val="3"/>
        <w:numId w:val="21"/>
      </w:numPr>
      <w:outlineLvl w:val="3"/>
    </w:pPr>
    <w:rPr>
      <w:b/>
      <w:i/>
    </w:rPr>
  </w:style>
  <w:style w:type="paragraph" w:styleId="Heading5">
    <w:name w:val="heading 5"/>
    <w:basedOn w:val="Normal"/>
    <w:next w:val="Normal"/>
    <w:link w:val="Heading5Char"/>
    <w:qFormat/>
    <w:rsid w:val="00CD18D3"/>
    <w:pPr>
      <w:keepNext/>
      <w:numPr>
        <w:ilvl w:val="4"/>
        <w:numId w:val="21"/>
      </w:numPr>
      <w:jc w:val="left"/>
      <w:outlineLvl w:val="4"/>
    </w:pPr>
    <w:rPr>
      <w:i/>
    </w:rPr>
  </w:style>
  <w:style w:type="paragraph" w:styleId="Heading6">
    <w:name w:val="heading 6"/>
    <w:basedOn w:val="Normal"/>
    <w:next w:val="Normal"/>
    <w:link w:val="Heading6Char"/>
    <w:locked/>
    <w:rsid w:val="00CD18D3"/>
    <w:pPr>
      <w:numPr>
        <w:ilvl w:val="5"/>
        <w:numId w:val="21"/>
      </w:numPr>
      <w:spacing w:before="240" w:after="60"/>
      <w:outlineLvl w:val="5"/>
    </w:pPr>
    <w:rPr>
      <w:i/>
      <w:sz w:val="22"/>
    </w:rPr>
  </w:style>
  <w:style w:type="paragraph" w:styleId="Heading7">
    <w:name w:val="heading 7"/>
    <w:basedOn w:val="Normal"/>
    <w:next w:val="Normal"/>
    <w:link w:val="Heading7Char"/>
    <w:locked/>
    <w:rsid w:val="00CD18D3"/>
    <w:pPr>
      <w:numPr>
        <w:ilvl w:val="6"/>
        <w:numId w:val="21"/>
      </w:numPr>
      <w:spacing w:before="240" w:after="60"/>
      <w:outlineLvl w:val="6"/>
    </w:pPr>
    <w:rPr>
      <w:rFonts w:ascii="Arial" w:hAnsi="Arial"/>
      <w:sz w:val="20"/>
    </w:rPr>
  </w:style>
  <w:style w:type="paragraph" w:styleId="Heading8">
    <w:name w:val="heading 8"/>
    <w:basedOn w:val="Normal"/>
    <w:next w:val="Normal"/>
    <w:link w:val="Heading8Char"/>
    <w:locked/>
    <w:rsid w:val="00CD18D3"/>
    <w:pPr>
      <w:numPr>
        <w:ilvl w:val="7"/>
        <w:numId w:val="21"/>
      </w:numPr>
      <w:spacing w:before="240" w:after="60"/>
      <w:outlineLvl w:val="7"/>
    </w:pPr>
    <w:rPr>
      <w:rFonts w:ascii="Arial" w:hAnsi="Arial"/>
      <w:i/>
      <w:sz w:val="20"/>
    </w:rPr>
  </w:style>
  <w:style w:type="paragraph" w:styleId="Heading9">
    <w:name w:val="heading 9"/>
    <w:basedOn w:val="Normal"/>
    <w:next w:val="Normal"/>
    <w:link w:val="Heading9Char"/>
    <w:locked/>
    <w:rsid w:val="00CD18D3"/>
    <w:pPr>
      <w:numPr>
        <w:ilvl w:val="8"/>
        <w:numId w:val="21"/>
      </w:numPr>
      <w:spacing w:before="240" w:after="60"/>
      <w:outlineLvl w:val="8"/>
    </w:pPr>
    <w:rPr>
      <w:rFonts w:ascii="Arial" w:hAnsi="Arial"/>
      <w:b/>
      <w:i/>
      <w:sz w:val="18"/>
    </w:rPr>
  </w:style>
  <w:style w:type="character" w:default="1" w:styleId="DefaultParagraphFont">
    <w:name w:val="Default Paragraph Font"/>
    <w:uiPriority w:val="1"/>
    <w:semiHidden/>
    <w:unhideWhenUsed/>
    <w:rsid w:val="00CD18D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D18D3"/>
  </w:style>
  <w:style w:type="paragraph" w:customStyle="1" w:styleId="Level1">
    <w:name w:val="Level1"/>
    <w:basedOn w:val="Normal"/>
    <w:rsid w:val="00CD18D3"/>
    <w:pPr>
      <w:numPr>
        <w:numId w:val="21"/>
      </w:numPr>
    </w:pPr>
  </w:style>
  <w:style w:type="paragraph" w:customStyle="1" w:styleId="Level2">
    <w:name w:val="Level2"/>
    <w:basedOn w:val="Normal"/>
    <w:rsid w:val="00CD18D3"/>
    <w:pPr>
      <w:numPr>
        <w:ilvl w:val="1"/>
        <w:numId w:val="21"/>
      </w:numPr>
      <w:spacing w:before="0"/>
    </w:pPr>
  </w:style>
  <w:style w:type="paragraph" w:customStyle="1" w:styleId="Level3">
    <w:name w:val="Level3"/>
    <w:basedOn w:val="Normal"/>
    <w:link w:val="Level3Char"/>
    <w:rsid w:val="00CD18D3"/>
    <w:pPr>
      <w:numPr>
        <w:ilvl w:val="2"/>
        <w:numId w:val="21"/>
      </w:numPr>
      <w:spacing w:before="0"/>
    </w:pPr>
  </w:style>
  <w:style w:type="paragraph" w:styleId="FootnoteText">
    <w:name w:val="footnote text"/>
    <w:link w:val="FootnoteTextChar"/>
    <w:rsid w:val="00CD18D3"/>
    <w:pPr>
      <w:keepLines/>
      <w:spacing w:after="60"/>
      <w:ind w:left="567" w:hanging="567"/>
    </w:pPr>
    <w:rPr>
      <w:sz w:val="22"/>
      <w:lang w:eastAsia="en-US"/>
    </w:rPr>
  </w:style>
  <w:style w:type="character" w:styleId="FootnoteReference">
    <w:name w:val="footnote reference"/>
    <w:basedOn w:val="DefaultParagraphFont"/>
    <w:semiHidden/>
    <w:rsid w:val="00CD18D3"/>
    <w:rPr>
      <w:vertAlign w:val="superscript"/>
    </w:rPr>
  </w:style>
  <w:style w:type="paragraph" w:styleId="Header">
    <w:name w:val="header"/>
    <w:basedOn w:val="Normal"/>
    <w:link w:val="HeaderChar"/>
    <w:semiHidden/>
    <w:rsid w:val="00CD18D3"/>
    <w:pPr>
      <w:tabs>
        <w:tab w:val="center" w:pos="8306"/>
      </w:tabs>
    </w:pPr>
    <w:rPr>
      <w:sz w:val="22"/>
    </w:rPr>
  </w:style>
  <w:style w:type="paragraph" w:styleId="Footer">
    <w:name w:val="footer"/>
    <w:basedOn w:val="Normal"/>
    <w:link w:val="FooterChar"/>
    <w:uiPriority w:val="99"/>
    <w:rsid w:val="00CD18D3"/>
    <w:pPr>
      <w:tabs>
        <w:tab w:val="center" w:pos="4153"/>
        <w:tab w:val="right" w:pos="8306"/>
      </w:tabs>
    </w:pPr>
    <w:rPr>
      <w:sz w:val="22"/>
    </w:rPr>
  </w:style>
  <w:style w:type="paragraph" w:customStyle="1" w:styleId="Bullet2">
    <w:name w:val="Bullet2"/>
    <w:basedOn w:val="Normal"/>
    <w:rsid w:val="00CD18D3"/>
    <w:pPr>
      <w:numPr>
        <w:numId w:val="4"/>
      </w:numPr>
      <w:tabs>
        <w:tab w:val="clear" w:pos="1134"/>
        <w:tab w:val="left" w:pos="1418"/>
      </w:tabs>
      <w:spacing w:before="0"/>
      <w:ind w:left="1418"/>
    </w:pPr>
  </w:style>
  <w:style w:type="paragraph" w:customStyle="1" w:styleId="Bullet3">
    <w:name w:val="Bullet3"/>
    <w:basedOn w:val="Bullet2"/>
    <w:rsid w:val="00CD18D3"/>
    <w:pPr>
      <w:numPr>
        <w:numId w:val="19"/>
      </w:numPr>
      <w:tabs>
        <w:tab w:val="clear" w:pos="1418"/>
        <w:tab w:val="clear" w:pos="1701"/>
        <w:tab w:val="left" w:pos="1985"/>
      </w:tabs>
      <w:ind w:left="1985"/>
    </w:pPr>
  </w:style>
  <w:style w:type="paragraph" w:customStyle="1" w:styleId="Indent">
    <w:name w:val="Indent"/>
    <w:basedOn w:val="Normal"/>
    <w:semiHidden/>
    <w:locked/>
    <w:rsid w:val="00CD18D3"/>
    <w:pPr>
      <w:ind w:left="851" w:right="799"/>
    </w:pPr>
  </w:style>
  <w:style w:type="paragraph" w:styleId="Quote">
    <w:name w:val="Quote"/>
    <w:basedOn w:val="Indent"/>
    <w:link w:val="QuoteChar"/>
    <w:rsid w:val="00CD18D3"/>
    <w:pPr>
      <w:spacing w:before="0"/>
      <w:ind w:right="851"/>
    </w:pPr>
    <w:rPr>
      <w:sz w:val="24"/>
    </w:rPr>
  </w:style>
  <w:style w:type="paragraph" w:customStyle="1" w:styleId="REC">
    <w:name w:val="REC"/>
    <w:basedOn w:val="Normal"/>
    <w:rsid w:val="00CD18D3"/>
    <w:rPr>
      <w:b/>
    </w:rPr>
  </w:style>
  <w:style w:type="character" w:styleId="PageNumber">
    <w:name w:val="page number"/>
    <w:basedOn w:val="DefaultParagraphFont"/>
    <w:semiHidden/>
    <w:locked/>
    <w:rsid w:val="00CD18D3"/>
  </w:style>
  <w:style w:type="paragraph" w:styleId="Caption">
    <w:name w:val="caption"/>
    <w:basedOn w:val="Normal"/>
    <w:next w:val="Normal"/>
    <w:locked/>
    <w:rsid w:val="00CD18D3"/>
    <w:rPr>
      <w:i/>
    </w:rPr>
  </w:style>
  <w:style w:type="paragraph" w:styleId="EndnoteText">
    <w:name w:val="endnote text"/>
    <w:basedOn w:val="Normal"/>
    <w:link w:val="EndnoteTextChar"/>
    <w:semiHidden/>
    <w:locked/>
    <w:rsid w:val="00CD18D3"/>
    <w:rPr>
      <w:sz w:val="20"/>
    </w:rPr>
  </w:style>
  <w:style w:type="character" w:styleId="EndnoteReference">
    <w:name w:val="endnote reference"/>
    <w:basedOn w:val="DefaultParagraphFont"/>
    <w:semiHidden/>
    <w:locked/>
    <w:rsid w:val="00CD18D3"/>
    <w:rPr>
      <w:vertAlign w:val="superscript"/>
    </w:rPr>
  </w:style>
  <w:style w:type="paragraph" w:styleId="TOC1">
    <w:name w:val="toc 1"/>
    <w:basedOn w:val="Normal"/>
    <w:next w:val="Normal"/>
    <w:uiPriority w:val="39"/>
    <w:rsid w:val="00CD18D3"/>
    <w:pPr>
      <w:spacing w:before="240"/>
    </w:pPr>
    <w:rPr>
      <w:rFonts w:ascii="Times" w:hAnsi="Times"/>
      <w:b/>
      <w:sz w:val="28"/>
      <w:szCs w:val="28"/>
    </w:rPr>
  </w:style>
  <w:style w:type="paragraph" w:styleId="TOC2">
    <w:name w:val="toc 2"/>
    <w:basedOn w:val="Normal"/>
    <w:next w:val="Normal"/>
    <w:uiPriority w:val="39"/>
    <w:rsid w:val="00CD18D3"/>
    <w:pPr>
      <w:ind w:left="261"/>
    </w:pPr>
    <w:rPr>
      <w:rFonts w:ascii="Times" w:hAnsi="Times"/>
      <w:b/>
      <w:szCs w:val="26"/>
    </w:rPr>
  </w:style>
  <w:style w:type="paragraph" w:styleId="TOC3">
    <w:name w:val="toc 3"/>
    <w:basedOn w:val="Normal"/>
    <w:next w:val="Normal"/>
    <w:uiPriority w:val="39"/>
    <w:rsid w:val="00CD18D3"/>
    <w:pPr>
      <w:spacing w:after="60"/>
      <w:ind w:left="522"/>
    </w:pPr>
    <w:rPr>
      <w:rFonts w:ascii="Times" w:hAnsi="Times"/>
      <w:szCs w:val="26"/>
    </w:rPr>
  </w:style>
  <w:style w:type="paragraph" w:styleId="TOC4">
    <w:name w:val="toc 4"/>
    <w:basedOn w:val="Normal"/>
    <w:next w:val="Normal"/>
    <w:semiHidden/>
    <w:locked/>
    <w:rsid w:val="00CD18D3"/>
    <w:pPr>
      <w:spacing w:after="60"/>
      <w:ind w:left="720"/>
    </w:pPr>
    <w:rPr>
      <w:rFonts w:ascii="Times" w:hAnsi="Times"/>
      <w:szCs w:val="26"/>
    </w:rPr>
  </w:style>
  <w:style w:type="paragraph" w:styleId="TOC5">
    <w:name w:val="toc 5"/>
    <w:basedOn w:val="Normal"/>
    <w:next w:val="Normal"/>
    <w:semiHidden/>
    <w:locked/>
    <w:rsid w:val="00CD18D3"/>
    <w:pPr>
      <w:spacing w:after="60"/>
      <w:ind w:left="958"/>
    </w:pPr>
    <w:rPr>
      <w:rFonts w:ascii="Times" w:hAnsi="Times"/>
      <w:szCs w:val="26"/>
    </w:rPr>
  </w:style>
  <w:style w:type="paragraph" w:styleId="TOC6">
    <w:name w:val="toc 6"/>
    <w:basedOn w:val="Normal"/>
    <w:next w:val="Normal"/>
    <w:semiHidden/>
    <w:locked/>
    <w:rsid w:val="00CD18D3"/>
    <w:pPr>
      <w:ind w:left="1200"/>
    </w:pPr>
  </w:style>
  <w:style w:type="paragraph" w:styleId="TOC7">
    <w:name w:val="toc 7"/>
    <w:basedOn w:val="Normal"/>
    <w:next w:val="Normal"/>
    <w:semiHidden/>
    <w:locked/>
    <w:rsid w:val="00CD18D3"/>
    <w:pPr>
      <w:ind w:left="1440"/>
    </w:pPr>
  </w:style>
  <w:style w:type="paragraph" w:styleId="TOC8">
    <w:name w:val="toc 8"/>
    <w:basedOn w:val="Normal"/>
    <w:next w:val="Normal"/>
    <w:semiHidden/>
    <w:locked/>
    <w:rsid w:val="00CD18D3"/>
    <w:pPr>
      <w:tabs>
        <w:tab w:val="left" w:pos="851"/>
      </w:tabs>
      <w:spacing w:before="0"/>
    </w:pPr>
    <w:rPr>
      <w:b/>
    </w:rPr>
  </w:style>
  <w:style w:type="paragraph" w:styleId="TOC9">
    <w:name w:val="toc 9"/>
    <w:basedOn w:val="Normal"/>
    <w:next w:val="Normal"/>
    <w:semiHidden/>
    <w:locked/>
    <w:rsid w:val="00CD18D3"/>
    <w:pPr>
      <w:tabs>
        <w:tab w:val="left" w:pos="1418"/>
      </w:tabs>
      <w:spacing w:before="0"/>
      <w:ind w:left="1418" w:hanging="567"/>
    </w:pPr>
    <w:rPr>
      <w:b/>
    </w:rPr>
  </w:style>
  <w:style w:type="numbering" w:styleId="111111">
    <w:name w:val="Outline List 2"/>
    <w:basedOn w:val="NoList"/>
    <w:semiHidden/>
    <w:locked/>
    <w:rsid w:val="00CD18D3"/>
    <w:pPr>
      <w:numPr>
        <w:numId w:val="1"/>
      </w:numPr>
    </w:pPr>
  </w:style>
  <w:style w:type="numbering" w:styleId="1ai">
    <w:name w:val="Outline List 1"/>
    <w:basedOn w:val="NoList"/>
    <w:semiHidden/>
    <w:locked/>
    <w:rsid w:val="00CD18D3"/>
    <w:pPr>
      <w:numPr>
        <w:numId w:val="2"/>
      </w:numPr>
    </w:pPr>
  </w:style>
  <w:style w:type="numbering" w:styleId="ArticleSection">
    <w:name w:val="Outline List 3"/>
    <w:basedOn w:val="NoList"/>
    <w:semiHidden/>
    <w:locked/>
    <w:rsid w:val="00CD18D3"/>
    <w:pPr>
      <w:numPr>
        <w:numId w:val="3"/>
      </w:numPr>
    </w:pPr>
  </w:style>
  <w:style w:type="paragraph" w:styleId="BalloonText">
    <w:name w:val="Balloon Text"/>
    <w:basedOn w:val="Normal"/>
    <w:link w:val="BalloonTextChar"/>
    <w:semiHidden/>
    <w:rsid w:val="00CD18D3"/>
    <w:rPr>
      <w:rFonts w:ascii="Tahoma" w:hAnsi="Tahoma" w:cs="Tahoma"/>
      <w:sz w:val="16"/>
      <w:szCs w:val="16"/>
    </w:rPr>
  </w:style>
  <w:style w:type="paragraph" w:styleId="BlockText">
    <w:name w:val="Block Text"/>
    <w:basedOn w:val="Normal"/>
    <w:semiHidden/>
    <w:locked/>
    <w:rsid w:val="00CD18D3"/>
    <w:pPr>
      <w:ind w:left="1440" w:right="1440"/>
    </w:pPr>
  </w:style>
  <w:style w:type="paragraph" w:styleId="BodyText">
    <w:name w:val="Body Text"/>
    <w:basedOn w:val="Normal"/>
    <w:link w:val="BodyTextChar"/>
    <w:semiHidden/>
    <w:locked/>
    <w:rsid w:val="00CD18D3"/>
  </w:style>
  <w:style w:type="paragraph" w:styleId="BodyText2">
    <w:name w:val="Body Text 2"/>
    <w:basedOn w:val="Normal"/>
    <w:link w:val="BodyText2Char"/>
    <w:semiHidden/>
    <w:locked/>
    <w:rsid w:val="00CD18D3"/>
    <w:pPr>
      <w:spacing w:line="480" w:lineRule="auto"/>
    </w:pPr>
  </w:style>
  <w:style w:type="paragraph" w:styleId="BodyText3">
    <w:name w:val="Body Text 3"/>
    <w:basedOn w:val="Normal"/>
    <w:link w:val="BodyText3Char"/>
    <w:semiHidden/>
    <w:locked/>
    <w:rsid w:val="00CD18D3"/>
    <w:rPr>
      <w:sz w:val="16"/>
      <w:szCs w:val="16"/>
    </w:rPr>
  </w:style>
  <w:style w:type="paragraph" w:styleId="BodyTextFirstIndent">
    <w:name w:val="Body Text First Indent"/>
    <w:basedOn w:val="BodyText"/>
    <w:link w:val="BodyTextFirstIndentChar"/>
    <w:semiHidden/>
    <w:locked/>
    <w:rsid w:val="00CD18D3"/>
    <w:pPr>
      <w:ind w:firstLine="210"/>
    </w:pPr>
  </w:style>
  <w:style w:type="paragraph" w:styleId="BodyTextIndent">
    <w:name w:val="Body Text Indent"/>
    <w:basedOn w:val="Normal"/>
    <w:link w:val="BodyTextIndentChar"/>
    <w:semiHidden/>
    <w:locked/>
    <w:rsid w:val="00CD18D3"/>
    <w:pPr>
      <w:ind w:left="283"/>
    </w:pPr>
  </w:style>
  <w:style w:type="paragraph" w:styleId="BodyTextFirstIndent2">
    <w:name w:val="Body Text First Indent 2"/>
    <w:basedOn w:val="BodyTextIndent"/>
    <w:link w:val="BodyTextFirstIndent2Char"/>
    <w:semiHidden/>
    <w:locked/>
    <w:rsid w:val="00CD18D3"/>
    <w:pPr>
      <w:ind w:firstLine="210"/>
    </w:pPr>
  </w:style>
  <w:style w:type="paragraph" w:styleId="BodyTextIndent2">
    <w:name w:val="Body Text Indent 2"/>
    <w:basedOn w:val="Normal"/>
    <w:link w:val="BodyTextIndent2Char"/>
    <w:semiHidden/>
    <w:locked/>
    <w:rsid w:val="00CD18D3"/>
    <w:pPr>
      <w:spacing w:line="480" w:lineRule="auto"/>
      <w:ind w:left="283"/>
    </w:pPr>
  </w:style>
  <w:style w:type="paragraph" w:styleId="BodyTextIndent3">
    <w:name w:val="Body Text Indent 3"/>
    <w:basedOn w:val="Normal"/>
    <w:link w:val="BodyTextIndent3Char"/>
    <w:semiHidden/>
    <w:locked/>
    <w:rsid w:val="00CD18D3"/>
    <w:pPr>
      <w:ind w:left="283"/>
    </w:pPr>
    <w:rPr>
      <w:sz w:val="16"/>
      <w:szCs w:val="16"/>
    </w:rPr>
  </w:style>
  <w:style w:type="paragraph" w:styleId="Closing">
    <w:name w:val="Closing"/>
    <w:basedOn w:val="Normal"/>
    <w:link w:val="ClosingChar"/>
    <w:semiHidden/>
    <w:locked/>
    <w:rsid w:val="00CD18D3"/>
    <w:pPr>
      <w:ind w:left="4252"/>
    </w:pPr>
  </w:style>
  <w:style w:type="character" w:styleId="CommentReference">
    <w:name w:val="annotation reference"/>
    <w:basedOn w:val="DefaultParagraphFont"/>
    <w:semiHidden/>
    <w:locked/>
    <w:rsid w:val="00CD18D3"/>
    <w:rPr>
      <w:sz w:val="16"/>
      <w:szCs w:val="16"/>
    </w:rPr>
  </w:style>
  <w:style w:type="paragraph" w:styleId="CommentText">
    <w:name w:val="annotation text"/>
    <w:basedOn w:val="Normal"/>
    <w:link w:val="CommentTextChar"/>
    <w:semiHidden/>
    <w:locked/>
    <w:rsid w:val="00CD18D3"/>
    <w:rPr>
      <w:sz w:val="20"/>
    </w:rPr>
  </w:style>
  <w:style w:type="paragraph" w:styleId="CommentSubject">
    <w:name w:val="annotation subject"/>
    <w:basedOn w:val="CommentText"/>
    <w:next w:val="CommentText"/>
    <w:link w:val="CommentSubjectChar"/>
    <w:semiHidden/>
    <w:locked/>
    <w:rsid w:val="00CD18D3"/>
    <w:rPr>
      <w:b/>
      <w:bCs/>
    </w:rPr>
  </w:style>
  <w:style w:type="paragraph" w:styleId="Date">
    <w:name w:val="Date"/>
    <w:basedOn w:val="Normal"/>
    <w:next w:val="Normal"/>
    <w:link w:val="DateChar"/>
    <w:semiHidden/>
    <w:locked/>
    <w:rsid w:val="00CD18D3"/>
  </w:style>
  <w:style w:type="paragraph" w:styleId="DocumentMap">
    <w:name w:val="Document Map"/>
    <w:basedOn w:val="Normal"/>
    <w:link w:val="DocumentMapChar"/>
    <w:semiHidden/>
    <w:locked/>
    <w:rsid w:val="00CD18D3"/>
    <w:pPr>
      <w:shd w:val="clear" w:color="auto" w:fill="000080"/>
    </w:pPr>
    <w:rPr>
      <w:rFonts w:ascii="Tahoma" w:hAnsi="Tahoma" w:cs="Tahoma"/>
      <w:sz w:val="20"/>
    </w:rPr>
  </w:style>
  <w:style w:type="paragraph" w:styleId="E-mailSignature">
    <w:name w:val="E-mail Signature"/>
    <w:basedOn w:val="Normal"/>
    <w:link w:val="E-mailSignatureChar"/>
    <w:semiHidden/>
    <w:locked/>
    <w:rsid w:val="00CD18D3"/>
  </w:style>
  <w:style w:type="character" w:styleId="Emphasis">
    <w:name w:val="Emphasis"/>
    <w:basedOn w:val="DefaultParagraphFont"/>
    <w:locked/>
    <w:rsid w:val="00CD18D3"/>
    <w:rPr>
      <w:i/>
      <w:iCs/>
    </w:rPr>
  </w:style>
  <w:style w:type="paragraph" w:styleId="EnvelopeAddress">
    <w:name w:val="envelope address"/>
    <w:basedOn w:val="Normal"/>
    <w:semiHidden/>
    <w:locked/>
    <w:rsid w:val="00CD18D3"/>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CD18D3"/>
    <w:rPr>
      <w:rFonts w:ascii="Arial" w:hAnsi="Arial" w:cs="Arial"/>
      <w:sz w:val="20"/>
    </w:rPr>
  </w:style>
  <w:style w:type="character" w:styleId="FollowedHyperlink">
    <w:name w:val="FollowedHyperlink"/>
    <w:basedOn w:val="DefaultParagraphFont"/>
    <w:semiHidden/>
    <w:locked/>
    <w:rsid w:val="00CD18D3"/>
    <w:rPr>
      <w:color w:val="800080"/>
      <w:u w:val="single"/>
    </w:rPr>
  </w:style>
  <w:style w:type="character" w:styleId="HTMLAcronym">
    <w:name w:val="HTML Acronym"/>
    <w:basedOn w:val="DefaultParagraphFont"/>
    <w:semiHidden/>
    <w:locked/>
    <w:rsid w:val="00CD18D3"/>
  </w:style>
  <w:style w:type="paragraph" w:styleId="HTMLAddress">
    <w:name w:val="HTML Address"/>
    <w:basedOn w:val="Normal"/>
    <w:link w:val="HTMLAddressChar"/>
    <w:semiHidden/>
    <w:locked/>
    <w:rsid w:val="00CD18D3"/>
    <w:rPr>
      <w:i/>
      <w:iCs/>
    </w:rPr>
  </w:style>
  <w:style w:type="character" w:styleId="HTMLCite">
    <w:name w:val="HTML Cite"/>
    <w:basedOn w:val="DefaultParagraphFont"/>
    <w:semiHidden/>
    <w:locked/>
    <w:rsid w:val="00CD18D3"/>
    <w:rPr>
      <w:i/>
      <w:iCs/>
    </w:rPr>
  </w:style>
  <w:style w:type="character" w:styleId="HTMLCode">
    <w:name w:val="HTML Code"/>
    <w:basedOn w:val="DefaultParagraphFont"/>
    <w:semiHidden/>
    <w:locked/>
    <w:rsid w:val="00CD18D3"/>
    <w:rPr>
      <w:rFonts w:ascii="Courier New" w:hAnsi="Courier New" w:cs="Courier New"/>
      <w:sz w:val="20"/>
      <w:szCs w:val="20"/>
    </w:rPr>
  </w:style>
  <w:style w:type="character" w:styleId="HTMLDefinition">
    <w:name w:val="HTML Definition"/>
    <w:basedOn w:val="DefaultParagraphFont"/>
    <w:semiHidden/>
    <w:locked/>
    <w:rsid w:val="00CD18D3"/>
    <w:rPr>
      <w:i/>
      <w:iCs/>
    </w:rPr>
  </w:style>
  <w:style w:type="character" w:styleId="HTMLKeyboard">
    <w:name w:val="HTML Keyboard"/>
    <w:basedOn w:val="DefaultParagraphFont"/>
    <w:semiHidden/>
    <w:locked/>
    <w:rsid w:val="00CD18D3"/>
    <w:rPr>
      <w:rFonts w:ascii="Courier New" w:hAnsi="Courier New" w:cs="Courier New"/>
      <w:sz w:val="20"/>
      <w:szCs w:val="20"/>
    </w:rPr>
  </w:style>
  <w:style w:type="paragraph" w:styleId="HTMLPreformatted">
    <w:name w:val="HTML Preformatted"/>
    <w:basedOn w:val="Normal"/>
    <w:link w:val="HTMLPreformattedChar"/>
    <w:semiHidden/>
    <w:locked/>
    <w:rsid w:val="00CD18D3"/>
    <w:rPr>
      <w:rFonts w:ascii="Courier New" w:hAnsi="Courier New" w:cs="Courier New"/>
      <w:sz w:val="20"/>
    </w:rPr>
  </w:style>
  <w:style w:type="character" w:styleId="HTMLSample">
    <w:name w:val="HTML Sample"/>
    <w:basedOn w:val="DefaultParagraphFont"/>
    <w:semiHidden/>
    <w:locked/>
    <w:rsid w:val="00CD18D3"/>
    <w:rPr>
      <w:rFonts w:ascii="Courier New" w:hAnsi="Courier New" w:cs="Courier New"/>
    </w:rPr>
  </w:style>
  <w:style w:type="character" w:styleId="HTMLTypewriter">
    <w:name w:val="HTML Typewriter"/>
    <w:basedOn w:val="DefaultParagraphFont"/>
    <w:semiHidden/>
    <w:locked/>
    <w:rsid w:val="00CD18D3"/>
    <w:rPr>
      <w:rFonts w:ascii="Courier New" w:hAnsi="Courier New" w:cs="Courier New"/>
      <w:sz w:val="20"/>
      <w:szCs w:val="20"/>
    </w:rPr>
  </w:style>
  <w:style w:type="character" w:styleId="HTMLVariable">
    <w:name w:val="HTML Variable"/>
    <w:basedOn w:val="DefaultParagraphFont"/>
    <w:semiHidden/>
    <w:locked/>
    <w:rsid w:val="00CD18D3"/>
    <w:rPr>
      <w:i/>
      <w:iCs/>
    </w:rPr>
  </w:style>
  <w:style w:type="character" w:styleId="Hyperlink">
    <w:name w:val="Hyperlink"/>
    <w:basedOn w:val="DefaultParagraphFont"/>
    <w:uiPriority w:val="99"/>
    <w:rsid w:val="00CD18D3"/>
    <w:rPr>
      <w:color w:val="0000FF"/>
      <w:u w:val="single"/>
    </w:rPr>
  </w:style>
  <w:style w:type="paragraph" w:styleId="Index1">
    <w:name w:val="index 1"/>
    <w:basedOn w:val="Normal"/>
    <w:next w:val="Normal"/>
    <w:semiHidden/>
    <w:locked/>
    <w:rsid w:val="00CD18D3"/>
    <w:pPr>
      <w:ind w:left="260" w:hanging="260"/>
    </w:pPr>
  </w:style>
  <w:style w:type="paragraph" w:styleId="Index2">
    <w:name w:val="index 2"/>
    <w:basedOn w:val="Normal"/>
    <w:next w:val="Normal"/>
    <w:semiHidden/>
    <w:locked/>
    <w:rsid w:val="00CD18D3"/>
    <w:pPr>
      <w:ind w:left="520" w:hanging="260"/>
    </w:pPr>
  </w:style>
  <w:style w:type="paragraph" w:styleId="Index3">
    <w:name w:val="index 3"/>
    <w:basedOn w:val="Normal"/>
    <w:next w:val="Normal"/>
    <w:semiHidden/>
    <w:locked/>
    <w:rsid w:val="00CD18D3"/>
    <w:pPr>
      <w:ind w:left="780" w:hanging="260"/>
    </w:pPr>
  </w:style>
  <w:style w:type="paragraph" w:styleId="Index4">
    <w:name w:val="index 4"/>
    <w:basedOn w:val="Normal"/>
    <w:next w:val="Normal"/>
    <w:semiHidden/>
    <w:locked/>
    <w:rsid w:val="00CD18D3"/>
    <w:pPr>
      <w:ind w:left="1040" w:hanging="260"/>
    </w:pPr>
  </w:style>
  <w:style w:type="paragraph" w:styleId="Index5">
    <w:name w:val="index 5"/>
    <w:basedOn w:val="Normal"/>
    <w:next w:val="Normal"/>
    <w:semiHidden/>
    <w:locked/>
    <w:rsid w:val="00CD18D3"/>
    <w:pPr>
      <w:ind w:left="1300" w:hanging="260"/>
    </w:pPr>
  </w:style>
  <w:style w:type="paragraph" w:styleId="Index6">
    <w:name w:val="index 6"/>
    <w:basedOn w:val="Normal"/>
    <w:next w:val="Normal"/>
    <w:semiHidden/>
    <w:locked/>
    <w:rsid w:val="00CD18D3"/>
    <w:pPr>
      <w:ind w:left="1560" w:hanging="260"/>
    </w:pPr>
  </w:style>
  <w:style w:type="paragraph" w:styleId="Index7">
    <w:name w:val="index 7"/>
    <w:basedOn w:val="Normal"/>
    <w:next w:val="Normal"/>
    <w:semiHidden/>
    <w:locked/>
    <w:rsid w:val="00CD18D3"/>
    <w:pPr>
      <w:ind w:left="1820" w:hanging="260"/>
    </w:pPr>
  </w:style>
  <w:style w:type="paragraph" w:styleId="Index8">
    <w:name w:val="index 8"/>
    <w:basedOn w:val="Normal"/>
    <w:next w:val="Normal"/>
    <w:semiHidden/>
    <w:locked/>
    <w:rsid w:val="00CD18D3"/>
    <w:pPr>
      <w:ind w:left="2080" w:hanging="260"/>
    </w:pPr>
  </w:style>
  <w:style w:type="paragraph" w:styleId="Index9">
    <w:name w:val="index 9"/>
    <w:basedOn w:val="Normal"/>
    <w:next w:val="Normal"/>
    <w:semiHidden/>
    <w:locked/>
    <w:rsid w:val="00CD18D3"/>
    <w:pPr>
      <w:ind w:left="2340" w:hanging="260"/>
    </w:pPr>
  </w:style>
  <w:style w:type="paragraph" w:styleId="IndexHeading">
    <w:name w:val="index heading"/>
    <w:basedOn w:val="Normal"/>
    <w:next w:val="Index1"/>
    <w:semiHidden/>
    <w:locked/>
    <w:rsid w:val="00CD18D3"/>
    <w:rPr>
      <w:rFonts w:ascii="Arial" w:hAnsi="Arial" w:cs="Arial"/>
      <w:b/>
      <w:bCs/>
    </w:rPr>
  </w:style>
  <w:style w:type="character" w:styleId="LineNumber">
    <w:name w:val="line number"/>
    <w:basedOn w:val="DefaultParagraphFont"/>
    <w:semiHidden/>
    <w:locked/>
    <w:rsid w:val="00CD18D3"/>
  </w:style>
  <w:style w:type="paragraph" w:styleId="List">
    <w:name w:val="List"/>
    <w:basedOn w:val="Normal"/>
    <w:semiHidden/>
    <w:locked/>
    <w:rsid w:val="00CD18D3"/>
    <w:pPr>
      <w:ind w:left="283" w:hanging="283"/>
    </w:pPr>
  </w:style>
  <w:style w:type="paragraph" w:styleId="List2">
    <w:name w:val="List 2"/>
    <w:basedOn w:val="Normal"/>
    <w:semiHidden/>
    <w:locked/>
    <w:rsid w:val="00CD18D3"/>
    <w:pPr>
      <w:ind w:left="566" w:hanging="283"/>
    </w:pPr>
  </w:style>
  <w:style w:type="paragraph" w:styleId="List3">
    <w:name w:val="List 3"/>
    <w:basedOn w:val="Normal"/>
    <w:semiHidden/>
    <w:locked/>
    <w:rsid w:val="00CD18D3"/>
    <w:pPr>
      <w:ind w:left="849" w:hanging="283"/>
    </w:pPr>
  </w:style>
  <w:style w:type="paragraph" w:styleId="List4">
    <w:name w:val="List 4"/>
    <w:basedOn w:val="Normal"/>
    <w:semiHidden/>
    <w:locked/>
    <w:rsid w:val="00CD18D3"/>
    <w:pPr>
      <w:ind w:left="1132" w:hanging="283"/>
    </w:pPr>
  </w:style>
  <w:style w:type="paragraph" w:styleId="List5">
    <w:name w:val="List 5"/>
    <w:basedOn w:val="Normal"/>
    <w:semiHidden/>
    <w:locked/>
    <w:rsid w:val="00CD18D3"/>
    <w:pPr>
      <w:ind w:left="1415" w:hanging="283"/>
    </w:pPr>
  </w:style>
  <w:style w:type="paragraph" w:styleId="ListBullet">
    <w:name w:val="List Bullet"/>
    <w:basedOn w:val="Normal"/>
    <w:semiHidden/>
    <w:locked/>
    <w:rsid w:val="00CD18D3"/>
    <w:pPr>
      <w:numPr>
        <w:numId w:val="7"/>
      </w:numPr>
    </w:pPr>
  </w:style>
  <w:style w:type="paragraph" w:styleId="ListBullet2">
    <w:name w:val="List Bullet 2"/>
    <w:basedOn w:val="Normal"/>
    <w:semiHidden/>
    <w:locked/>
    <w:rsid w:val="00CD18D3"/>
    <w:pPr>
      <w:numPr>
        <w:numId w:val="8"/>
      </w:numPr>
    </w:pPr>
  </w:style>
  <w:style w:type="paragraph" w:styleId="ListBullet3">
    <w:name w:val="List Bullet 3"/>
    <w:basedOn w:val="Normal"/>
    <w:semiHidden/>
    <w:locked/>
    <w:rsid w:val="00CD18D3"/>
    <w:pPr>
      <w:numPr>
        <w:numId w:val="9"/>
      </w:numPr>
    </w:pPr>
  </w:style>
  <w:style w:type="paragraph" w:styleId="ListBullet4">
    <w:name w:val="List Bullet 4"/>
    <w:basedOn w:val="Normal"/>
    <w:semiHidden/>
    <w:locked/>
    <w:rsid w:val="00CD18D3"/>
    <w:pPr>
      <w:numPr>
        <w:numId w:val="10"/>
      </w:numPr>
    </w:pPr>
  </w:style>
  <w:style w:type="paragraph" w:styleId="ListBullet5">
    <w:name w:val="List Bullet 5"/>
    <w:basedOn w:val="Normal"/>
    <w:semiHidden/>
    <w:locked/>
    <w:rsid w:val="00CD18D3"/>
    <w:pPr>
      <w:numPr>
        <w:numId w:val="11"/>
      </w:numPr>
    </w:pPr>
  </w:style>
  <w:style w:type="paragraph" w:styleId="ListContinue">
    <w:name w:val="List Continue"/>
    <w:basedOn w:val="Normal"/>
    <w:semiHidden/>
    <w:locked/>
    <w:rsid w:val="00CD18D3"/>
    <w:pPr>
      <w:ind w:left="283"/>
    </w:pPr>
  </w:style>
  <w:style w:type="paragraph" w:styleId="ListContinue2">
    <w:name w:val="List Continue 2"/>
    <w:basedOn w:val="Normal"/>
    <w:semiHidden/>
    <w:locked/>
    <w:rsid w:val="00CD18D3"/>
    <w:pPr>
      <w:ind w:left="566"/>
    </w:pPr>
  </w:style>
  <w:style w:type="paragraph" w:styleId="ListContinue3">
    <w:name w:val="List Continue 3"/>
    <w:basedOn w:val="Normal"/>
    <w:semiHidden/>
    <w:locked/>
    <w:rsid w:val="00CD18D3"/>
    <w:pPr>
      <w:ind w:left="849"/>
    </w:pPr>
  </w:style>
  <w:style w:type="paragraph" w:styleId="ListContinue4">
    <w:name w:val="List Continue 4"/>
    <w:basedOn w:val="Normal"/>
    <w:semiHidden/>
    <w:locked/>
    <w:rsid w:val="00CD18D3"/>
    <w:pPr>
      <w:ind w:left="1132"/>
    </w:pPr>
  </w:style>
  <w:style w:type="paragraph" w:styleId="ListContinue5">
    <w:name w:val="List Continue 5"/>
    <w:basedOn w:val="Normal"/>
    <w:semiHidden/>
    <w:locked/>
    <w:rsid w:val="00CD18D3"/>
    <w:pPr>
      <w:ind w:left="1415"/>
    </w:pPr>
  </w:style>
  <w:style w:type="paragraph" w:styleId="ListNumber">
    <w:name w:val="List Number"/>
    <w:basedOn w:val="Normal"/>
    <w:semiHidden/>
    <w:locked/>
    <w:rsid w:val="00CD18D3"/>
    <w:pPr>
      <w:numPr>
        <w:numId w:val="12"/>
      </w:numPr>
    </w:pPr>
  </w:style>
  <w:style w:type="paragraph" w:styleId="ListNumber2">
    <w:name w:val="List Number 2"/>
    <w:basedOn w:val="Normal"/>
    <w:semiHidden/>
    <w:locked/>
    <w:rsid w:val="00CD18D3"/>
    <w:pPr>
      <w:numPr>
        <w:numId w:val="13"/>
      </w:numPr>
    </w:pPr>
  </w:style>
  <w:style w:type="paragraph" w:styleId="ListNumber3">
    <w:name w:val="List Number 3"/>
    <w:basedOn w:val="Normal"/>
    <w:semiHidden/>
    <w:locked/>
    <w:rsid w:val="00CD18D3"/>
    <w:pPr>
      <w:numPr>
        <w:numId w:val="14"/>
      </w:numPr>
    </w:pPr>
  </w:style>
  <w:style w:type="paragraph" w:styleId="ListNumber4">
    <w:name w:val="List Number 4"/>
    <w:basedOn w:val="Normal"/>
    <w:semiHidden/>
    <w:locked/>
    <w:rsid w:val="00CD18D3"/>
    <w:pPr>
      <w:numPr>
        <w:numId w:val="15"/>
      </w:numPr>
    </w:pPr>
  </w:style>
  <w:style w:type="paragraph" w:styleId="ListNumber5">
    <w:name w:val="List Number 5"/>
    <w:basedOn w:val="Normal"/>
    <w:semiHidden/>
    <w:locked/>
    <w:rsid w:val="00CD18D3"/>
    <w:pPr>
      <w:numPr>
        <w:numId w:val="16"/>
      </w:numPr>
    </w:pPr>
  </w:style>
  <w:style w:type="paragraph" w:styleId="MacroText">
    <w:name w:val="macro"/>
    <w:link w:val="MacroTextChar"/>
    <w:semiHidden/>
    <w:locked/>
    <w:rsid w:val="00CD18D3"/>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link w:val="MessageHeaderChar"/>
    <w:semiHidden/>
    <w:locked/>
    <w:rsid w:val="00CD18D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CD18D3"/>
    <w:rPr>
      <w:sz w:val="24"/>
      <w:szCs w:val="24"/>
    </w:rPr>
  </w:style>
  <w:style w:type="paragraph" w:styleId="NormalIndent">
    <w:name w:val="Normal Indent"/>
    <w:basedOn w:val="Normal"/>
    <w:semiHidden/>
    <w:locked/>
    <w:rsid w:val="00CD18D3"/>
    <w:pPr>
      <w:ind w:left="720"/>
    </w:pPr>
  </w:style>
  <w:style w:type="paragraph" w:styleId="NoteHeading">
    <w:name w:val="Note Heading"/>
    <w:basedOn w:val="Normal"/>
    <w:next w:val="Normal"/>
    <w:link w:val="NoteHeadingChar"/>
    <w:semiHidden/>
    <w:locked/>
    <w:rsid w:val="00CD18D3"/>
  </w:style>
  <w:style w:type="paragraph" w:styleId="PlainText">
    <w:name w:val="Plain Text"/>
    <w:basedOn w:val="Normal"/>
    <w:link w:val="PlainTextChar"/>
    <w:semiHidden/>
    <w:locked/>
    <w:rsid w:val="00CD18D3"/>
    <w:rPr>
      <w:rFonts w:ascii="Courier New" w:hAnsi="Courier New" w:cs="Courier New"/>
      <w:sz w:val="20"/>
    </w:rPr>
  </w:style>
  <w:style w:type="paragraph" w:styleId="Salutation">
    <w:name w:val="Salutation"/>
    <w:basedOn w:val="Normal"/>
    <w:next w:val="Normal"/>
    <w:link w:val="SalutationChar"/>
    <w:semiHidden/>
    <w:locked/>
    <w:rsid w:val="00CD18D3"/>
  </w:style>
  <w:style w:type="paragraph" w:styleId="Signature">
    <w:name w:val="Signature"/>
    <w:basedOn w:val="Normal"/>
    <w:link w:val="SignatureChar"/>
    <w:semiHidden/>
    <w:locked/>
    <w:rsid w:val="00CD18D3"/>
    <w:pPr>
      <w:ind w:left="4252"/>
    </w:pPr>
  </w:style>
  <w:style w:type="character" w:styleId="Strong">
    <w:name w:val="Strong"/>
    <w:basedOn w:val="DefaultParagraphFont"/>
    <w:locked/>
    <w:rsid w:val="00CD18D3"/>
    <w:rPr>
      <w:b/>
      <w:bCs/>
    </w:rPr>
  </w:style>
  <w:style w:type="paragraph" w:styleId="Subtitle">
    <w:name w:val="Subtitle"/>
    <w:basedOn w:val="Normal"/>
    <w:link w:val="SubtitleChar"/>
    <w:locked/>
    <w:rsid w:val="00CD18D3"/>
    <w:pPr>
      <w:spacing w:after="60"/>
      <w:jc w:val="center"/>
    </w:pPr>
    <w:rPr>
      <w:rFonts w:ascii="Arial" w:hAnsi="Arial" w:cs="Arial"/>
      <w:sz w:val="24"/>
      <w:szCs w:val="24"/>
    </w:rPr>
  </w:style>
  <w:style w:type="table" w:styleId="Table3Deffects1">
    <w:name w:val="Table 3D effects 1"/>
    <w:basedOn w:val="TableNormal"/>
    <w:semiHidden/>
    <w:locked/>
    <w:rsid w:val="00CD18D3"/>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CD18D3"/>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CD18D3"/>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CD18D3"/>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CD18D3"/>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CD18D3"/>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CD18D3"/>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CD18D3"/>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CD18D3"/>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CD18D3"/>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CD18D3"/>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CD18D3"/>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CD18D3"/>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CD18D3"/>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CD18D3"/>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CD18D3"/>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CD18D3"/>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CD18D3"/>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CD18D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CD18D3"/>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CD18D3"/>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CD18D3"/>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CD18D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CD18D3"/>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CD18D3"/>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CD18D3"/>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CD18D3"/>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CD18D3"/>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CD18D3"/>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CD18D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CD18D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CD18D3"/>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CD18D3"/>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CD18D3"/>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CD18D3"/>
    <w:pPr>
      <w:ind w:left="260" w:hanging="260"/>
    </w:pPr>
  </w:style>
  <w:style w:type="paragraph" w:styleId="TableofFigures">
    <w:name w:val="table of figures"/>
    <w:basedOn w:val="Normal"/>
    <w:next w:val="Normal"/>
    <w:semiHidden/>
    <w:locked/>
    <w:rsid w:val="00CD18D3"/>
  </w:style>
  <w:style w:type="table" w:styleId="TableProfessional">
    <w:name w:val="Table Professional"/>
    <w:basedOn w:val="TableNormal"/>
    <w:semiHidden/>
    <w:locked/>
    <w:rsid w:val="00CD18D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CD18D3"/>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CD18D3"/>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CD18D3"/>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CD18D3"/>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CD18D3"/>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CD18D3"/>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CD18D3"/>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CD18D3"/>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CD18D3"/>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locked/>
    <w:rsid w:val="00CD18D3"/>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CD18D3"/>
    <w:rPr>
      <w:rFonts w:ascii="Arial" w:hAnsi="Arial" w:cs="Arial"/>
      <w:b/>
      <w:bCs/>
      <w:sz w:val="24"/>
      <w:szCs w:val="24"/>
    </w:rPr>
  </w:style>
  <w:style w:type="paragraph" w:customStyle="1" w:styleId="Bullet4">
    <w:name w:val="Bullet4"/>
    <w:basedOn w:val="Bullet3"/>
    <w:rsid w:val="00CD18D3"/>
    <w:pPr>
      <w:numPr>
        <w:numId w:val="5"/>
      </w:numPr>
      <w:tabs>
        <w:tab w:val="clear" w:pos="1701"/>
      </w:tabs>
      <w:ind w:left="1985"/>
    </w:pPr>
  </w:style>
  <w:style w:type="paragraph" w:customStyle="1" w:styleId="RecLevel1">
    <w:name w:val="RecLevel1"/>
    <w:basedOn w:val="Level1"/>
    <w:rsid w:val="00CD18D3"/>
    <w:pPr>
      <w:spacing w:before="0"/>
    </w:pPr>
    <w:rPr>
      <w:b/>
    </w:rPr>
  </w:style>
  <w:style w:type="character" w:customStyle="1" w:styleId="Level3Char">
    <w:name w:val="Level3 Char"/>
    <w:basedOn w:val="DefaultParagraphFont"/>
    <w:link w:val="Level3"/>
    <w:rsid w:val="00CD18D3"/>
    <w:rPr>
      <w:rFonts w:ascii="Calibri" w:hAnsi="Calibri"/>
      <w:sz w:val="26"/>
      <w:lang w:eastAsia="en-US"/>
    </w:rPr>
  </w:style>
  <w:style w:type="paragraph" w:customStyle="1" w:styleId="Bullet1">
    <w:name w:val="Bullet1"/>
    <w:basedOn w:val="Bullet2"/>
    <w:rsid w:val="00CD18D3"/>
    <w:pPr>
      <w:tabs>
        <w:tab w:val="clear" w:pos="1418"/>
        <w:tab w:val="left" w:pos="851"/>
      </w:tabs>
      <w:ind w:left="851" w:hanging="851"/>
    </w:pPr>
  </w:style>
  <w:style w:type="paragraph" w:customStyle="1" w:styleId="RecBullet1">
    <w:name w:val="RecBullet1"/>
    <w:basedOn w:val="Bullet1"/>
    <w:rsid w:val="00CD18D3"/>
    <w:rPr>
      <w:b/>
    </w:rPr>
  </w:style>
  <w:style w:type="paragraph" w:customStyle="1" w:styleId="RecBullet2">
    <w:name w:val="RecBullet2"/>
    <w:basedOn w:val="Bullet2"/>
    <w:rsid w:val="00CD18D3"/>
    <w:rPr>
      <w:b/>
    </w:rPr>
  </w:style>
  <w:style w:type="paragraph" w:styleId="Bibliography">
    <w:name w:val="Bibliography"/>
    <w:basedOn w:val="Normal"/>
    <w:next w:val="Normal"/>
    <w:uiPriority w:val="37"/>
    <w:semiHidden/>
    <w:unhideWhenUsed/>
    <w:rsid w:val="00CD18D3"/>
  </w:style>
  <w:style w:type="character" w:styleId="BookTitle">
    <w:name w:val="Book Title"/>
    <w:basedOn w:val="DefaultParagraphFont"/>
    <w:uiPriority w:val="33"/>
    <w:rsid w:val="00CD18D3"/>
    <w:rPr>
      <w:b/>
      <w:bCs/>
      <w:smallCaps/>
      <w:spacing w:val="5"/>
    </w:rPr>
  </w:style>
  <w:style w:type="table" w:styleId="ColorfulGrid">
    <w:name w:val="Colorful Grid"/>
    <w:basedOn w:val="TableNormal"/>
    <w:uiPriority w:val="73"/>
    <w:rsid w:val="00CD18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D18D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D18D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D18D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D18D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D18D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D18D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CD18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D18D3"/>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D18D3"/>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D18D3"/>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D18D3"/>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D18D3"/>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D18D3"/>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CD18D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D18D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D18D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D18D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D18D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D18D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D18D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CD18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D18D3"/>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D18D3"/>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D18D3"/>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D18D3"/>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D18D3"/>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D18D3"/>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CD18D3"/>
    <w:rPr>
      <w:b/>
      <w:bCs/>
      <w:i/>
      <w:iCs/>
      <w:color w:val="4F81BD" w:themeColor="accent1"/>
    </w:rPr>
  </w:style>
  <w:style w:type="paragraph" w:styleId="IntenseQuote">
    <w:name w:val="Intense Quote"/>
    <w:basedOn w:val="Normal"/>
    <w:next w:val="Normal"/>
    <w:link w:val="IntenseQuoteChar"/>
    <w:uiPriority w:val="30"/>
    <w:rsid w:val="00CD18D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D18D3"/>
    <w:rPr>
      <w:rFonts w:ascii="Calibri" w:hAnsi="Calibri"/>
      <w:b/>
      <w:bCs/>
      <w:i/>
      <w:iCs/>
      <w:color w:val="4F81BD" w:themeColor="accent1"/>
      <w:sz w:val="26"/>
      <w:lang w:eastAsia="en-US"/>
    </w:rPr>
  </w:style>
  <w:style w:type="character" w:styleId="IntenseReference">
    <w:name w:val="Intense Reference"/>
    <w:basedOn w:val="DefaultParagraphFont"/>
    <w:uiPriority w:val="32"/>
    <w:rsid w:val="00CD18D3"/>
    <w:rPr>
      <w:b/>
      <w:bCs/>
      <w:smallCaps/>
      <w:color w:val="C0504D" w:themeColor="accent2"/>
      <w:spacing w:val="5"/>
      <w:u w:val="single"/>
    </w:rPr>
  </w:style>
  <w:style w:type="table" w:styleId="LightGrid">
    <w:name w:val="Light Grid"/>
    <w:basedOn w:val="TableNormal"/>
    <w:uiPriority w:val="62"/>
    <w:rsid w:val="00CD18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D18D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D18D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D18D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D18D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D18D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D18D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CD18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CD18D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D18D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D18D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D18D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D18D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D18D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CD18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CD18D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CD18D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CD18D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CD18D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CD18D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CD18D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CD18D3"/>
    <w:pPr>
      <w:ind w:left="720"/>
    </w:pPr>
  </w:style>
  <w:style w:type="table" w:styleId="MediumGrid1">
    <w:name w:val="Medium Grid 1"/>
    <w:basedOn w:val="TableNormal"/>
    <w:uiPriority w:val="67"/>
    <w:rsid w:val="00CD18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D18D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D18D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D18D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D18D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D18D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D18D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D18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D18D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D18D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D18D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D18D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D18D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D18D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D18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D18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D18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D18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D18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D18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D18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CD18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D18D3"/>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D18D3"/>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D18D3"/>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D18D3"/>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D18D3"/>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D18D3"/>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D18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D18D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D18D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D18D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D18D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D18D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D18D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CD18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D18D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D18D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D18D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D18D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D18D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D18D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D1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D1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D1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D1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D1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D1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D1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CD18D3"/>
    <w:pPr>
      <w:jc w:val="both"/>
    </w:pPr>
    <w:rPr>
      <w:sz w:val="26"/>
      <w:lang w:eastAsia="en-US"/>
    </w:rPr>
  </w:style>
  <w:style w:type="character" w:styleId="PlaceholderText">
    <w:name w:val="Placeholder Text"/>
    <w:basedOn w:val="DefaultParagraphFont"/>
    <w:uiPriority w:val="99"/>
    <w:semiHidden/>
    <w:rsid w:val="00CD18D3"/>
    <w:rPr>
      <w:color w:val="808080"/>
    </w:rPr>
  </w:style>
  <w:style w:type="character" w:styleId="SubtleEmphasis">
    <w:name w:val="Subtle Emphasis"/>
    <w:basedOn w:val="DefaultParagraphFont"/>
    <w:uiPriority w:val="19"/>
    <w:rsid w:val="00CD18D3"/>
    <w:rPr>
      <w:i/>
      <w:iCs/>
      <w:color w:val="808080" w:themeColor="text1" w:themeTint="7F"/>
    </w:rPr>
  </w:style>
  <w:style w:type="character" w:styleId="SubtleReference">
    <w:name w:val="Subtle Reference"/>
    <w:basedOn w:val="DefaultParagraphFont"/>
    <w:uiPriority w:val="31"/>
    <w:rsid w:val="00CD18D3"/>
    <w:rPr>
      <w:smallCaps/>
      <w:color w:val="C0504D" w:themeColor="accent2"/>
      <w:u w:val="single"/>
    </w:rPr>
  </w:style>
  <w:style w:type="paragraph" w:styleId="TOCHeading">
    <w:name w:val="TOC Heading"/>
    <w:basedOn w:val="Heading1"/>
    <w:next w:val="Normal"/>
    <w:uiPriority w:val="39"/>
    <w:semiHidden/>
    <w:unhideWhenUsed/>
    <w:qFormat/>
    <w:rsid w:val="00CD18D3"/>
    <w:pPr>
      <w:spacing w:after="60"/>
      <w:jc w:val="both"/>
      <w:outlineLvl w:val="9"/>
    </w:pPr>
    <w:rPr>
      <w:rFonts w:asciiTheme="majorHAnsi" w:eastAsiaTheme="majorEastAsia" w:hAnsiTheme="majorHAnsi" w:cstheme="majorBidi"/>
      <w:bCs/>
      <w:kern w:val="32"/>
      <w:sz w:val="32"/>
      <w:szCs w:val="32"/>
    </w:rPr>
  </w:style>
  <w:style w:type="character" w:customStyle="1" w:styleId="FootnoteTextChar">
    <w:name w:val="Footnote Text Char"/>
    <w:basedOn w:val="DefaultParagraphFont"/>
    <w:link w:val="FootnoteText"/>
    <w:rsid w:val="00CD18D3"/>
    <w:rPr>
      <w:sz w:val="22"/>
      <w:lang w:eastAsia="en-US"/>
    </w:rPr>
  </w:style>
  <w:style w:type="character" w:customStyle="1" w:styleId="QuoteChar">
    <w:name w:val="Quote Char"/>
    <w:basedOn w:val="DefaultParagraphFont"/>
    <w:link w:val="Quote"/>
    <w:rsid w:val="00A27907"/>
    <w:rPr>
      <w:rFonts w:ascii="Calibri" w:hAnsi="Calibri"/>
      <w:sz w:val="24"/>
      <w:lang w:eastAsia="en-US"/>
    </w:rPr>
  </w:style>
  <w:style w:type="paragraph" w:customStyle="1" w:styleId="Footnote">
    <w:name w:val="Footnote"/>
    <w:basedOn w:val="FootnoteText"/>
    <w:link w:val="FootnoteChar"/>
    <w:qFormat/>
    <w:rsid w:val="00CD18D3"/>
    <w:pPr>
      <w:spacing w:after="120"/>
    </w:pPr>
    <w:rPr>
      <w:rFonts w:ascii="Calibri" w:hAnsi="Calibri"/>
    </w:rPr>
  </w:style>
  <w:style w:type="character" w:customStyle="1" w:styleId="FootnoteChar">
    <w:name w:val="Footnote Char"/>
    <w:basedOn w:val="FootnoteTextChar"/>
    <w:link w:val="Footnote"/>
    <w:rsid w:val="00CD18D3"/>
    <w:rPr>
      <w:rFonts w:ascii="Calibri" w:hAnsi="Calibri"/>
      <w:sz w:val="22"/>
      <w:lang w:eastAsia="en-US"/>
    </w:rPr>
  </w:style>
  <w:style w:type="character" w:customStyle="1" w:styleId="Heading3Char">
    <w:name w:val="Heading 3 Char"/>
    <w:basedOn w:val="DefaultParagraphFont"/>
    <w:link w:val="Heading3"/>
    <w:rsid w:val="000A1408"/>
    <w:rPr>
      <w:rFonts w:ascii="Calibri" w:hAnsi="Calibri"/>
      <w:b/>
      <w:sz w:val="28"/>
      <w:lang w:eastAsia="en-US"/>
    </w:rPr>
  </w:style>
  <w:style w:type="character" w:customStyle="1" w:styleId="Heading1Char">
    <w:name w:val="Heading 1 Char"/>
    <w:basedOn w:val="DefaultParagraphFont"/>
    <w:link w:val="Heading1"/>
    <w:rsid w:val="00CD18D3"/>
    <w:rPr>
      <w:rFonts w:ascii="Calibri" w:hAnsi="Calibri"/>
      <w:b/>
      <w:kern w:val="28"/>
      <w:sz w:val="40"/>
      <w:lang w:eastAsia="en-US"/>
    </w:rPr>
  </w:style>
  <w:style w:type="character" w:customStyle="1" w:styleId="Heading2Char">
    <w:name w:val="Heading 2 Char"/>
    <w:basedOn w:val="DefaultParagraphFont"/>
    <w:link w:val="Heading2"/>
    <w:rsid w:val="00CD18D3"/>
    <w:rPr>
      <w:rFonts w:ascii="Calibri" w:hAnsi="Calibri"/>
      <w:b/>
      <w:sz w:val="36"/>
      <w:lang w:eastAsia="en-US"/>
    </w:rPr>
  </w:style>
  <w:style w:type="character" w:customStyle="1" w:styleId="Heading4Char">
    <w:name w:val="Heading 4 Char"/>
    <w:basedOn w:val="DefaultParagraphFont"/>
    <w:link w:val="Heading4"/>
    <w:rsid w:val="00CD18D3"/>
    <w:rPr>
      <w:rFonts w:ascii="Calibri" w:hAnsi="Calibri"/>
      <w:b/>
      <w:i/>
      <w:sz w:val="26"/>
      <w:lang w:eastAsia="en-US"/>
    </w:rPr>
  </w:style>
  <w:style w:type="character" w:customStyle="1" w:styleId="Heading5Char">
    <w:name w:val="Heading 5 Char"/>
    <w:basedOn w:val="DefaultParagraphFont"/>
    <w:link w:val="Heading5"/>
    <w:rsid w:val="00CD18D3"/>
    <w:rPr>
      <w:rFonts w:ascii="Calibri" w:hAnsi="Calibri"/>
      <w:i/>
      <w:sz w:val="26"/>
      <w:lang w:eastAsia="en-US"/>
    </w:rPr>
  </w:style>
  <w:style w:type="character" w:customStyle="1" w:styleId="Heading6Char">
    <w:name w:val="Heading 6 Char"/>
    <w:basedOn w:val="DefaultParagraphFont"/>
    <w:link w:val="Heading6"/>
    <w:rsid w:val="00CD18D3"/>
    <w:rPr>
      <w:rFonts w:ascii="Calibri" w:hAnsi="Calibri"/>
      <w:i/>
      <w:sz w:val="22"/>
      <w:lang w:eastAsia="en-US"/>
    </w:rPr>
  </w:style>
  <w:style w:type="character" w:customStyle="1" w:styleId="Heading7Char">
    <w:name w:val="Heading 7 Char"/>
    <w:basedOn w:val="DefaultParagraphFont"/>
    <w:link w:val="Heading7"/>
    <w:rsid w:val="00CD18D3"/>
    <w:rPr>
      <w:rFonts w:ascii="Arial" w:hAnsi="Arial"/>
      <w:lang w:eastAsia="en-US"/>
    </w:rPr>
  </w:style>
  <w:style w:type="character" w:customStyle="1" w:styleId="Heading8Char">
    <w:name w:val="Heading 8 Char"/>
    <w:basedOn w:val="DefaultParagraphFont"/>
    <w:link w:val="Heading8"/>
    <w:rsid w:val="00CD18D3"/>
    <w:rPr>
      <w:rFonts w:ascii="Arial" w:hAnsi="Arial"/>
      <w:i/>
      <w:lang w:eastAsia="en-US"/>
    </w:rPr>
  </w:style>
  <w:style w:type="character" w:customStyle="1" w:styleId="Heading9Char">
    <w:name w:val="Heading 9 Char"/>
    <w:basedOn w:val="DefaultParagraphFont"/>
    <w:link w:val="Heading9"/>
    <w:rsid w:val="00CD18D3"/>
    <w:rPr>
      <w:rFonts w:ascii="Arial" w:hAnsi="Arial"/>
      <w:b/>
      <w:i/>
      <w:sz w:val="18"/>
      <w:lang w:eastAsia="en-US"/>
    </w:rPr>
  </w:style>
  <w:style w:type="character" w:customStyle="1" w:styleId="HeaderChar">
    <w:name w:val="Header Char"/>
    <w:basedOn w:val="DefaultParagraphFont"/>
    <w:link w:val="Header"/>
    <w:semiHidden/>
    <w:rsid w:val="00CD18D3"/>
    <w:rPr>
      <w:rFonts w:ascii="Calibri" w:hAnsi="Calibri"/>
      <w:sz w:val="22"/>
      <w:lang w:eastAsia="en-US"/>
    </w:rPr>
  </w:style>
  <w:style w:type="character" w:customStyle="1" w:styleId="FooterChar">
    <w:name w:val="Footer Char"/>
    <w:basedOn w:val="DefaultParagraphFont"/>
    <w:link w:val="Footer"/>
    <w:uiPriority w:val="99"/>
    <w:rsid w:val="00CD18D3"/>
    <w:rPr>
      <w:rFonts w:ascii="Calibri" w:hAnsi="Calibri"/>
      <w:sz w:val="22"/>
      <w:lang w:eastAsia="en-US"/>
    </w:rPr>
  </w:style>
  <w:style w:type="character" w:customStyle="1" w:styleId="EndnoteTextChar">
    <w:name w:val="Endnote Text Char"/>
    <w:basedOn w:val="DefaultParagraphFont"/>
    <w:link w:val="EndnoteText"/>
    <w:semiHidden/>
    <w:rsid w:val="00CD18D3"/>
    <w:rPr>
      <w:rFonts w:ascii="Calibri" w:hAnsi="Calibri"/>
      <w:lang w:eastAsia="en-US"/>
    </w:rPr>
  </w:style>
  <w:style w:type="character" w:customStyle="1" w:styleId="BalloonTextChar">
    <w:name w:val="Balloon Text Char"/>
    <w:basedOn w:val="DefaultParagraphFont"/>
    <w:link w:val="BalloonText"/>
    <w:semiHidden/>
    <w:rsid w:val="00CD18D3"/>
    <w:rPr>
      <w:rFonts w:ascii="Tahoma" w:hAnsi="Tahoma" w:cs="Tahoma"/>
      <w:sz w:val="16"/>
      <w:szCs w:val="16"/>
      <w:lang w:eastAsia="en-US"/>
    </w:rPr>
  </w:style>
  <w:style w:type="character" w:customStyle="1" w:styleId="BodyTextChar">
    <w:name w:val="Body Text Char"/>
    <w:basedOn w:val="DefaultParagraphFont"/>
    <w:link w:val="BodyText"/>
    <w:semiHidden/>
    <w:rsid w:val="00CD18D3"/>
    <w:rPr>
      <w:rFonts w:ascii="Calibri" w:hAnsi="Calibri"/>
      <w:sz w:val="26"/>
      <w:lang w:eastAsia="en-US"/>
    </w:rPr>
  </w:style>
  <w:style w:type="character" w:customStyle="1" w:styleId="BodyText2Char">
    <w:name w:val="Body Text 2 Char"/>
    <w:basedOn w:val="DefaultParagraphFont"/>
    <w:link w:val="BodyText2"/>
    <w:semiHidden/>
    <w:rsid w:val="00CD18D3"/>
    <w:rPr>
      <w:rFonts w:ascii="Calibri" w:hAnsi="Calibri"/>
      <w:sz w:val="26"/>
      <w:lang w:eastAsia="en-US"/>
    </w:rPr>
  </w:style>
  <w:style w:type="character" w:customStyle="1" w:styleId="BodyText3Char">
    <w:name w:val="Body Text 3 Char"/>
    <w:basedOn w:val="DefaultParagraphFont"/>
    <w:link w:val="BodyText3"/>
    <w:semiHidden/>
    <w:rsid w:val="00CD18D3"/>
    <w:rPr>
      <w:rFonts w:ascii="Calibri" w:hAnsi="Calibri"/>
      <w:sz w:val="16"/>
      <w:szCs w:val="16"/>
      <w:lang w:eastAsia="en-US"/>
    </w:rPr>
  </w:style>
  <w:style w:type="character" w:customStyle="1" w:styleId="BodyTextFirstIndentChar">
    <w:name w:val="Body Text First Indent Char"/>
    <w:basedOn w:val="BodyTextChar"/>
    <w:link w:val="BodyTextFirstIndent"/>
    <w:semiHidden/>
    <w:rsid w:val="00CD18D3"/>
    <w:rPr>
      <w:rFonts w:ascii="Calibri" w:hAnsi="Calibri"/>
      <w:sz w:val="26"/>
      <w:lang w:eastAsia="en-US"/>
    </w:rPr>
  </w:style>
  <w:style w:type="character" w:customStyle="1" w:styleId="BodyTextIndentChar">
    <w:name w:val="Body Text Indent Char"/>
    <w:basedOn w:val="DefaultParagraphFont"/>
    <w:link w:val="BodyTextIndent"/>
    <w:semiHidden/>
    <w:rsid w:val="00CD18D3"/>
    <w:rPr>
      <w:rFonts w:ascii="Calibri" w:hAnsi="Calibri"/>
      <w:sz w:val="26"/>
      <w:lang w:eastAsia="en-US"/>
    </w:rPr>
  </w:style>
  <w:style w:type="character" w:customStyle="1" w:styleId="BodyTextFirstIndent2Char">
    <w:name w:val="Body Text First Indent 2 Char"/>
    <w:basedOn w:val="BodyTextIndentChar"/>
    <w:link w:val="BodyTextFirstIndent2"/>
    <w:semiHidden/>
    <w:rsid w:val="00CD18D3"/>
    <w:rPr>
      <w:rFonts w:ascii="Calibri" w:hAnsi="Calibri"/>
      <w:sz w:val="26"/>
      <w:lang w:eastAsia="en-US"/>
    </w:rPr>
  </w:style>
  <w:style w:type="character" w:customStyle="1" w:styleId="BodyTextIndent2Char">
    <w:name w:val="Body Text Indent 2 Char"/>
    <w:basedOn w:val="DefaultParagraphFont"/>
    <w:link w:val="BodyTextIndent2"/>
    <w:semiHidden/>
    <w:rsid w:val="00CD18D3"/>
    <w:rPr>
      <w:rFonts w:ascii="Calibri" w:hAnsi="Calibri"/>
      <w:sz w:val="26"/>
      <w:lang w:eastAsia="en-US"/>
    </w:rPr>
  </w:style>
  <w:style w:type="character" w:customStyle="1" w:styleId="BodyTextIndent3Char">
    <w:name w:val="Body Text Indent 3 Char"/>
    <w:basedOn w:val="DefaultParagraphFont"/>
    <w:link w:val="BodyTextIndent3"/>
    <w:semiHidden/>
    <w:rsid w:val="00CD18D3"/>
    <w:rPr>
      <w:rFonts w:ascii="Calibri" w:hAnsi="Calibri"/>
      <w:sz w:val="16"/>
      <w:szCs w:val="16"/>
      <w:lang w:eastAsia="en-US"/>
    </w:rPr>
  </w:style>
  <w:style w:type="character" w:customStyle="1" w:styleId="ClosingChar">
    <w:name w:val="Closing Char"/>
    <w:basedOn w:val="DefaultParagraphFont"/>
    <w:link w:val="Closing"/>
    <w:semiHidden/>
    <w:rsid w:val="00CD18D3"/>
    <w:rPr>
      <w:rFonts w:ascii="Calibri" w:hAnsi="Calibri"/>
      <w:sz w:val="26"/>
      <w:lang w:eastAsia="en-US"/>
    </w:rPr>
  </w:style>
  <w:style w:type="character" w:customStyle="1" w:styleId="CommentTextChar">
    <w:name w:val="Comment Text Char"/>
    <w:basedOn w:val="DefaultParagraphFont"/>
    <w:link w:val="CommentText"/>
    <w:semiHidden/>
    <w:rsid w:val="00CD18D3"/>
    <w:rPr>
      <w:rFonts w:ascii="Calibri" w:hAnsi="Calibri"/>
      <w:lang w:eastAsia="en-US"/>
    </w:rPr>
  </w:style>
  <w:style w:type="character" w:customStyle="1" w:styleId="CommentSubjectChar">
    <w:name w:val="Comment Subject Char"/>
    <w:basedOn w:val="CommentTextChar"/>
    <w:link w:val="CommentSubject"/>
    <w:semiHidden/>
    <w:rsid w:val="00CD18D3"/>
    <w:rPr>
      <w:rFonts w:ascii="Calibri" w:hAnsi="Calibri"/>
      <w:b/>
      <w:bCs/>
      <w:lang w:eastAsia="en-US"/>
    </w:rPr>
  </w:style>
  <w:style w:type="character" w:customStyle="1" w:styleId="DateChar">
    <w:name w:val="Date Char"/>
    <w:basedOn w:val="DefaultParagraphFont"/>
    <w:link w:val="Date"/>
    <w:semiHidden/>
    <w:rsid w:val="00CD18D3"/>
    <w:rPr>
      <w:rFonts w:ascii="Calibri" w:hAnsi="Calibri"/>
      <w:sz w:val="26"/>
      <w:lang w:eastAsia="en-US"/>
    </w:rPr>
  </w:style>
  <w:style w:type="character" w:customStyle="1" w:styleId="DocumentMapChar">
    <w:name w:val="Document Map Char"/>
    <w:basedOn w:val="DefaultParagraphFont"/>
    <w:link w:val="DocumentMap"/>
    <w:semiHidden/>
    <w:rsid w:val="00CD18D3"/>
    <w:rPr>
      <w:rFonts w:ascii="Tahoma" w:hAnsi="Tahoma" w:cs="Tahoma"/>
      <w:shd w:val="clear" w:color="auto" w:fill="000080"/>
      <w:lang w:eastAsia="en-US"/>
    </w:rPr>
  </w:style>
  <w:style w:type="character" w:customStyle="1" w:styleId="E-mailSignatureChar">
    <w:name w:val="E-mail Signature Char"/>
    <w:basedOn w:val="DefaultParagraphFont"/>
    <w:link w:val="E-mailSignature"/>
    <w:semiHidden/>
    <w:rsid w:val="00CD18D3"/>
    <w:rPr>
      <w:rFonts w:ascii="Calibri" w:hAnsi="Calibri"/>
      <w:sz w:val="26"/>
      <w:lang w:eastAsia="en-US"/>
    </w:rPr>
  </w:style>
  <w:style w:type="character" w:customStyle="1" w:styleId="HTMLAddressChar">
    <w:name w:val="HTML Address Char"/>
    <w:basedOn w:val="DefaultParagraphFont"/>
    <w:link w:val="HTMLAddress"/>
    <w:semiHidden/>
    <w:rsid w:val="00CD18D3"/>
    <w:rPr>
      <w:rFonts w:ascii="Calibri" w:hAnsi="Calibri"/>
      <w:i/>
      <w:iCs/>
      <w:sz w:val="26"/>
      <w:lang w:eastAsia="en-US"/>
    </w:rPr>
  </w:style>
  <w:style w:type="character" w:customStyle="1" w:styleId="HTMLPreformattedChar">
    <w:name w:val="HTML Preformatted Char"/>
    <w:basedOn w:val="DefaultParagraphFont"/>
    <w:link w:val="HTMLPreformatted"/>
    <w:semiHidden/>
    <w:rsid w:val="00CD18D3"/>
    <w:rPr>
      <w:rFonts w:ascii="Courier New" w:hAnsi="Courier New" w:cs="Courier New"/>
      <w:lang w:eastAsia="en-US"/>
    </w:rPr>
  </w:style>
  <w:style w:type="character" w:customStyle="1" w:styleId="MacroTextChar">
    <w:name w:val="Macro Text Char"/>
    <w:basedOn w:val="DefaultParagraphFont"/>
    <w:link w:val="MacroText"/>
    <w:semiHidden/>
    <w:rsid w:val="00CD18D3"/>
    <w:rPr>
      <w:rFonts w:ascii="Courier New" w:hAnsi="Courier New" w:cs="Courier New"/>
      <w:lang w:eastAsia="en-US"/>
    </w:rPr>
  </w:style>
  <w:style w:type="character" w:customStyle="1" w:styleId="MessageHeaderChar">
    <w:name w:val="Message Header Char"/>
    <w:basedOn w:val="DefaultParagraphFont"/>
    <w:link w:val="MessageHeader"/>
    <w:semiHidden/>
    <w:rsid w:val="00CD18D3"/>
    <w:rPr>
      <w:rFonts w:ascii="Arial" w:hAnsi="Arial" w:cs="Arial"/>
      <w:sz w:val="24"/>
      <w:szCs w:val="24"/>
      <w:shd w:val="pct20" w:color="auto" w:fill="auto"/>
      <w:lang w:eastAsia="en-US"/>
    </w:rPr>
  </w:style>
  <w:style w:type="character" w:customStyle="1" w:styleId="NoteHeadingChar">
    <w:name w:val="Note Heading Char"/>
    <w:basedOn w:val="DefaultParagraphFont"/>
    <w:link w:val="NoteHeading"/>
    <w:semiHidden/>
    <w:rsid w:val="00CD18D3"/>
    <w:rPr>
      <w:rFonts w:ascii="Calibri" w:hAnsi="Calibri"/>
      <w:sz w:val="26"/>
      <w:lang w:eastAsia="en-US"/>
    </w:rPr>
  </w:style>
  <w:style w:type="character" w:customStyle="1" w:styleId="PlainTextChar">
    <w:name w:val="Plain Text Char"/>
    <w:basedOn w:val="DefaultParagraphFont"/>
    <w:link w:val="PlainText"/>
    <w:semiHidden/>
    <w:rsid w:val="00CD18D3"/>
    <w:rPr>
      <w:rFonts w:ascii="Courier New" w:hAnsi="Courier New" w:cs="Courier New"/>
      <w:lang w:eastAsia="en-US"/>
    </w:rPr>
  </w:style>
  <w:style w:type="character" w:customStyle="1" w:styleId="SalutationChar">
    <w:name w:val="Salutation Char"/>
    <w:basedOn w:val="DefaultParagraphFont"/>
    <w:link w:val="Salutation"/>
    <w:semiHidden/>
    <w:rsid w:val="00CD18D3"/>
    <w:rPr>
      <w:rFonts w:ascii="Calibri" w:hAnsi="Calibri"/>
      <w:sz w:val="26"/>
      <w:lang w:eastAsia="en-US"/>
    </w:rPr>
  </w:style>
  <w:style w:type="character" w:customStyle="1" w:styleId="SignatureChar">
    <w:name w:val="Signature Char"/>
    <w:basedOn w:val="DefaultParagraphFont"/>
    <w:link w:val="Signature"/>
    <w:semiHidden/>
    <w:rsid w:val="00CD18D3"/>
    <w:rPr>
      <w:rFonts w:ascii="Calibri" w:hAnsi="Calibri"/>
      <w:sz w:val="26"/>
      <w:lang w:eastAsia="en-US"/>
    </w:rPr>
  </w:style>
  <w:style w:type="character" w:customStyle="1" w:styleId="SubtitleChar">
    <w:name w:val="Subtitle Char"/>
    <w:basedOn w:val="DefaultParagraphFont"/>
    <w:link w:val="Subtitle"/>
    <w:rsid w:val="00CD18D3"/>
    <w:rPr>
      <w:rFonts w:ascii="Arial" w:hAnsi="Arial" w:cs="Arial"/>
      <w:sz w:val="24"/>
      <w:szCs w:val="24"/>
      <w:lang w:eastAsia="en-US"/>
    </w:rPr>
  </w:style>
  <w:style w:type="character" w:customStyle="1" w:styleId="TitleChar">
    <w:name w:val="Title Char"/>
    <w:basedOn w:val="DefaultParagraphFont"/>
    <w:link w:val="Title"/>
    <w:rsid w:val="00CD18D3"/>
    <w:rPr>
      <w:rFonts w:ascii="Arial" w:hAnsi="Arial" w:cs="Arial"/>
      <w:b/>
      <w:bCs/>
      <w:kern w:val="28"/>
      <w:sz w:val="32"/>
      <w:szCs w:val="32"/>
      <w:lang w:eastAsia="en-US"/>
    </w:rPr>
  </w:style>
  <w:style w:type="table" w:customStyle="1" w:styleId="TableGrid10">
    <w:name w:val="Table Grid1"/>
    <w:basedOn w:val="TableNormal"/>
    <w:next w:val="TableGrid"/>
    <w:locked/>
    <w:rsid w:val="00CD18D3"/>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NP2">
    <w:name w:val="JNP2"/>
    <w:basedOn w:val="Normal"/>
    <w:rsid w:val="00CD18D3"/>
    <w:pPr>
      <w:spacing w:before="0" w:after="0"/>
      <w:ind w:left="2268"/>
    </w:pPr>
    <w:rPr>
      <w:rFonts w:ascii="Times New Roman" w:hAnsi="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footer" w:uiPriority="99"/>
    <w:lsdException w:name="caption" w:semiHidden="0" w:unhideWhenUsed="0"/>
    <w:lsdException w:name="Title" w:semiHidden="0" w:unhideWhenUsed="0"/>
    <w:lsdException w:name="Default Paragraph Font" w:uiPriority="1"/>
    <w:lsdException w:name="Subtitle" w:semiHidden="0" w:unhideWhenUsed="0"/>
    <w:lsdException w:name="Hyperlink" w:uiPriority="99"/>
    <w:lsdException w:name="Strong" w:semiHidden="0" w:unhideWhenUsed="0"/>
    <w:lsdException w:name="Emphasis" w:semiHidden="0" w:unhideWhenUsed="0"/>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D18D3"/>
    <w:pPr>
      <w:spacing w:before="120" w:after="120"/>
      <w:jc w:val="both"/>
    </w:pPr>
    <w:rPr>
      <w:rFonts w:ascii="Calibri" w:hAnsi="Calibri"/>
      <w:sz w:val="26"/>
      <w:lang w:eastAsia="en-US"/>
    </w:rPr>
  </w:style>
  <w:style w:type="paragraph" w:styleId="Heading1">
    <w:name w:val="heading 1"/>
    <w:basedOn w:val="Normal"/>
    <w:next w:val="Normal"/>
    <w:link w:val="Heading1Char"/>
    <w:qFormat/>
    <w:rsid w:val="00CD18D3"/>
    <w:pPr>
      <w:keepNext/>
      <w:spacing w:before="240"/>
      <w:jc w:val="center"/>
      <w:outlineLvl w:val="0"/>
    </w:pPr>
    <w:rPr>
      <w:b/>
      <w:kern w:val="28"/>
      <w:sz w:val="40"/>
    </w:rPr>
  </w:style>
  <w:style w:type="paragraph" w:styleId="Heading2">
    <w:name w:val="heading 2"/>
    <w:basedOn w:val="Normal"/>
    <w:next w:val="Normal"/>
    <w:link w:val="Heading2Char"/>
    <w:qFormat/>
    <w:rsid w:val="00CD18D3"/>
    <w:pPr>
      <w:keepNext/>
      <w:jc w:val="center"/>
      <w:outlineLvl w:val="1"/>
    </w:pPr>
    <w:rPr>
      <w:b/>
      <w:sz w:val="36"/>
    </w:rPr>
  </w:style>
  <w:style w:type="paragraph" w:styleId="Heading3">
    <w:name w:val="heading 3"/>
    <w:basedOn w:val="Normal"/>
    <w:next w:val="Normal"/>
    <w:link w:val="Heading3Char"/>
    <w:qFormat/>
    <w:rsid w:val="00CD18D3"/>
    <w:pPr>
      <w:keepNext/>
      <w:outlineLvl w:val="2"/>
    </w:pPr>
    <w:rPr>
      <w:b/>
      <w:sz w:val="28"/>
    </w:rPr>
  </w:style>
  <w:style w:type="paragraph" w:styleId="Heading4">
    <w:name w:val="heading 4"/>
    <w:basedOn w:val="Normal"/>
    <w:next w:val="Normal"/>
    <w:link w:val="Heading4Char"/>
    <w:qFormat/>
    <w:rsid w:val="00CD18D3"/>
    <w:pPr>
      <w:keepNext/>
      <w:numPr>
        <w:ilvl w:val="3"/>
        <w:numId w:val="21"/>
      </w:numPr>
      <w:outlineLvl w:val="3"/>
    </w:pPr>
    <w:rPr>
      <w:b/>
      <w:i/>
    </w:rPr>
  </w:style>
  <w:style w:type="paragraph" w:styleId="Heading5">
    <w:name w:val="heading 5"/>
    <w:basedOn w:val="Normal"/>
    <w:next w:val="Normal"/>
    <w:link w:val="Heading5Char"/>
    <w:qFormat/>
    <w:rsid w:val="00CD18D3"/>
    <w:pPr>
      <w:keepNext/>
      <w:numPr>
        <w:ilvl w:val="4"/>
        <w:numId w:val="21"/>
      </w:numPr>
      <w:jc w:val="left"/>
      <w:outlineLvl w:val="4"/>
    </w:pPr>
    <w:rPr>
      <w:i/>
    </w:rPr>
  </w:style>
  <w:style w:type="paragraph" w:styleId="Heading6">
    <w:name w:val="heading 6"/>
    <w:basedOn w:val="Normal"/>
    <w:next w:val="Normal"/>
    <w:link w:val="Heading6Char"/>
    <w:locked/>
    <w:rsid w:val="00CD18D3"/>
    <w:pPr>
      <w:numPr>
        <w:ilvl w:val="5"/>
        <w:numId w:val="21"/>
      </w:numPr>
      <w:spacing w:before="240" w:after="60"/>
      <w:outlineLvl w:val="5"/>
    </w:pPr>
    <w:rPr>
      <w:i/>
      <w:sz w:val="22"/>
    </w:rPr>
  </w:style>
  <w:style w:type="paragraph" w:styleId="Heading7">
    <w:name w:val="heading 7"/>
    <w:basedOn w:val="Normal"/>
    <w:next w:val="Normal"/>
    <w:link w:val="Heading7Char"/>
    <w:locked/>
    <w:rsid w:val="00CD18D3"/>
    <w:pPr>
      <w:numPr>
        <w:ilvl w:val="6"/>
        <w:numId w:val="21"/>
      </w:numPr>
      <w:spacing w:before="240" w:after="60"/>
      <w:outlineLvl w:val="6"/>
    </w:pPr>
    <w:rPr>
      <w:rFonts w:ascii="Arial" w:hAnsi="Arial"/>
      <w:sz w:val="20"/>
    </w:rPr>
  </w:style>
  <w:style w:type="paragraph" w:styleId="Heading8">
    <w:name w:val="heading 8"/>
    <w:basedOn w:val="Normal"/>
    <w:next w:val="Normal"/>
    <w:link w:val="Heading8Char"/>
    <w:locked/>
    <w:rsid w:val="00CD18D3"/>
    <w:pPr>
      <w:numPr>
        <w:ilvl w:val="7"/>
        <w:numId w:val="21"/>
      </w:numPr>
      <w:spacing w:before="240" w:after="60"/>
      <w:outlineLvl w:val="7"/>
    </w:pPr>
    <w:rPr>
      <w:rFonts w:ascii="Arial" w:hAnsi="Arial"/>
      <w:i/>
      <w:sz w:val="20"/>
    </w:rPr>
  </w:style>
  <w:style w:type="paragraph" w:styleId="Heading9">
    <w:name w:val="heading 9"/>
    <w:basedOn w:val="Normal"/>
    <w:next w:val="Normal"/>
    <w:link w:val="Heading9Char"/>
    <w:locked/>
    <w:rsid w:val="00CD18D3"/>
    <w:pPr>
      <w:numPr>
        <w:ilvl w:val="8"/>
        <w:numId w:val="21"/>
      </w:numPr>
      <w:spacing w:before="240" w:after="60"/>
      <w:outlineLvl w:val="8"/>
    </w:pPr>
    <w:rPr>
      <w:rFonts w:ascii="Arial" w:hAnsi="Arial"/>
      <w:b/>
      <w:i/>
      <w:sz w:val="18"/>
    </w:rPr>
  </w:style>
  <w:style w:type="character" w:default="1" w:styleId="DefaultParagraphFont">
    <w:name w:val="Default Paragraph Font"/>
    <w:uiPriority w:val="1"/>
    <w:semiHidden/>
    <w:unhideWhenUsed/>
    <w:rsid w:val="00CD18D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D18D3"/>
  </w:style>
  <w:style w:type="paragraph" w:customStyle="1" w:styleId="Level1">
    <w:name w:val="Level1"/>
    <w:basedOn w:val="Normal"/>
    <w:rsid w:val="00CD18D3"/>
    <w:pPr>
      <w:numPr>
        <w:numId w:val="21"/>
      </w:numPr>
    </w:pPr>
  </w:style>
  <w:style w:type="paragraph" w:customStyle="1" w:styleId="Level2">
    <w:name w:val="Level2"/>
    <w:basedOn w:val="Normal"/>
    <w:rsid w:val="00CD18D3"/>
    <w:pPr>
      <w:numPr>
        <w:ilvl w:val="1"/>
        <w:numId w:val="21"/>
      </w:numPr>
      <w:spacing w:before="0"/>
    </w:pPr>
  </w:style>
  <w:style w:type="paragraph" w:customStyle="1" w:styleId="Level3">
    <w:name w:val="Level3"/>
    <w:basedOn w:val="Normal"/>
    <w:link w:val="Level3Char"/>
    <w:rsid w:val="00CD18D3"/>
    <w:pPr>
      <w:numPr>
        <w:ilvl w:val="2"/>
        <w:numId w:val="21"/>
      </w:numPr>
      <w:spacing w:before="0"/>
    </w:pPr>
  </w:style>
  <w:style w:type="paragraph" w:styleId="FootnoteText">
    <w:name w:val="footnote text"/>
    <w:link w:val="FootnoteTextChar"/>
    <w:rsid w:val="00CD18D3"/>
    <w:pPr>
      <w:keepLines/>
      <w:spacing w:after="60"/>
      <w:ind w:left="567" w:hanging="567"/>
    </w:pPr>
    <w:rPr>
      <w:sz w:val="22"/>
      <w:lang w:eastAsia="en-US"/>
    </w:rPr>
  </w:style>
  <w:style w:type="character" w:styleId="FootnoteReference">
    <w:name w:val="footnote reference"/>
    <w:basedOn w:val="DefaultParagraphFont"/>
    <w:semiHidden/>
    <w:rsid w:val="00CD18D3"/>
    <w:rPr>
      <w:vertAlign w:val="superscript"/>
    </w:rPr>
  </w:style>
  <w:style w:type="paragraph" w:styleId="Header">
    <w:name w:val="header"/>
    <w:basedOn w:val="Normal"/>
    <w:link w:val="HeaderChar"/>
    <w:semiHidden/>
    <w:rsid w:val="00CD18D3"/>
    <w:pPr>
      <w:tabs>
        <w:tab w:val="center" w:pos="8306"/>
      </w:tabs>
    </w:pPr>
    <w:rPr>
      <w:sz w:val="22"/>
    </w:rPr>
  </w:style>
  <w:style w:type="paragraph" w:styleId="Footer">
    <w:name w:val="footer"/>
    <w:basedOn w:val="Normal"/>
    <w:link w:val="FooterChar"/>
    <w:uiPriority w:val="99"/>
    <w:rsid w:val="00CD18D3"/>
    <w:pPr>
      <w:tabs>
        <w:tab w:val="center" w:pos="4153"/>
        <w:tab w:val="right" w:pos="8306"/>
      </w:tabs>
    </w:pPr>
    <w:rPr>
      <w:sz w:val="22"/>
    </w:rPr>
  </w:style>
  <w:style w:type="paragraph" w:customStyle="1" w:styleId="Bullet2">
    <w:name w:val="Bullet2"/>
    <w:basedOn w:val="Normal"/>
    <w:rsid w:val="00CD18D3"/>
    <w:pPr>
      <w:numPr>
        <w:numId w:val="4"/>
      </w:numPr>
      <w:tabs>
        <w:tab w:val="clear" w:pos="1134"/>
        <w:tab w:val="left" w:pos="1418"/>
      </w:tabs>
      <w:spacing w:before="0"/>
      <w:ind w:left="1418"/>
    </w:pPr>
  </w:style>
  <w:style w:type="paragraph" w:customStyle="1" w:styleId="Bullet3">
    <w:name w:val="Bullet3"/>
    <w:basedOn w:val="Bullet2"/>
    <w:rsid w:val="00CD18D3"/>
    <w:pPr>
      <w:numPr>
        <w:numId w:val="19"/>
      </w:numPr>
      <w:tabs>
        <w:tab w:val="clear" w:pos="1418"/>
        <w:tab w:val="clear" w:pos="1701"/>
        <w:tab w:val="left" w:pos="1985"/>
      </w:tabs>
      <w:ind w:left="1985"/>
    </w:pPr>
  </w:style>
  <w:style w:type="paragraph" w:customStyle="1" w:styleId="Indent">
    <w:name w:val="Indent"/>
    <w:basedOn w:val="Normal"/>
    <w:semiHidden/>
    <w:locked/>
    <w:rsid w:val="00CD18D3"/>
    <w:pPr>
      <w:ind w:left="851" w:right="799"/>
    </w:pPr>
  </w:style>
  <w:style w:type="paragraph" w:styleId="Quote">
    <w:name w:val="Quote"/>
    <w:basedOn w:val="Indent"/>
    <w:link w:val="QuoteChar"/>
    <w:rsid w:val="00CD18D3"/>
    <w:pPr>
      <w:spacing w:before="0"/>
      <w:ind w:right="851"/>
    </w:pPr>
    <w:rPr>
      <w:sz w:val="24"/>
    </w:rPr>
  </w:style>
  <w:style w:type="paragraph" w:customStyle="1" w:styleId="REC">
    <w:name w:val="REC"/>
    <w:basedOn w:val="Normal"/>
    <w:rsid w:val="00CD18D3"/>
    <w:rPr>
      <w:b/>
    </w:rPr>
  </w:style>
  <w:style w:type="character" w:styleId="PageNumber">
    <w:name w:val="page number"/>
    <w:basedOn w:val="DefaultParagraphFont"/>
    <w:semiHidden/>
    <w:locked/>
    <w:rsid w:val="00CD18D3"/>
  </w:style>
  <w:style w:type="paragraph" w:styleId="Caption">
    <w:name w:val="caption"/>
    <w:basedOn w:val="Normal"/>
    <w:next w:val="Normal"/>
    <w:locked/>
    <w:rsid w:val="00CD18D3"/>
    <w:rPr>
      <w:i/>
    </w:rPr>
  </w:style>
  <w:style w:type="paragraph" w:styleId="EndnoteText">
    <w:name w:val="endnote text"/>
    <w:basedOn w:val="Normal"/>
    <w:link w:val="EndnoteTextChar"/>
    <w:semiHidden/>
    <w:locked/>
    <w:rsid w:val="00CD18D3"/>
    <w:rPr>
      <w:sz w:val="20"/>
    </w:rPr>
  </w:style>
  <w:style w:type="character" w:styleId="EndnoteReference">
    <w:name w:val="endnote reference"/>
    <w:basedOn w:val="DefaultParagraphFont"/>
    <w:semiHidden/>
    <w:locked/>
    <w:rsid w:val="00CD18D3"/>
    <w:rPr>
      <w:vertAlign w:val="superscript"/>
    </w:rPr>
  </w:style>
  <w:style w:type="paragraph" w:styleId="TOC1">
    <w:name w:val="toc 1"/>
    <w:basedOn w:val="Normal"/>
    <w:next w:val="Normal"/>
    <w:uiPriority w:val="39"/>
    <w:rsid w:val="00CD18D3"/>
    <w:pPr>
      <w:spacing w:before="240"/>
    </w:pPr>
    <w:rPr>
      <w:rFonts w:ascii="Times" w:hAnsi="Times"/>
      <w:b/>
      <w:sz w:val="28"/>
      <w:szCs w:val="28"/>
    </w:rPr>
  </w:style>
  <w:style w:type="paragraph" w:styleId="TOC2">
    <w:name w:val="toc 2"/>
    <w:basedOn w:val="Normal"/>
    <w:next w:val="Normal"/>
    <w:uiPriority w:val="39"/>
    <w:rsid w:val="00CD18D3"/>
    <w:pPr>
      <w:ind w:left="261"/>
    </w:pPr>
    <w:rPr>
      <w:rFonts w:ascii="Times" w:hAnsi="Times"/>
      <w:b/>
      <w:szCs w:val="26"/>
    </w:rPr>
  </w:style>
  <w:style w:type="paragraph" w:styleId="TOC3">
    <w:name w:val="toc 3"/>
    <w:basedOn w:val="Normal"/>
    <w:next w:val="Normal"/>
    <w:uiPriority w:val="39"/>
    <w:rsid w:val="00CD18D3"/>
    <w:pPr>
      <w:spacing w:after="60"/>
      <w:ind w:left="522"/>
    </w:pPr>
    <w:rPr>
      <w:rFonts w:ascii="Times" w:hAnsi="Times"/>
      <w:szCs w:val="26"/>
    </w:rPr>
  </w:style>
  <w:style w:type="paragraph" w:styleId="TOC4">
    <w:name w:val="toc 4"/>
    <w:basedOn w:val="Normal"/>
    <w:next w:val="Normal"/>
    <w:semiHidden/>
    <w:locked/>
    <w:rsid w:val="00CD18D3"/>
    <w:pPr>
      <w:spacing w:after="60"/>
      <w:ind w:left="720"/>
    </w:pPr>
    <w:rPr>
      <w:rFonts w:ascii="Times" w:hAnsi="Times"/>
      <w:szCs w:val="26"/>
    </w:rPr>
  </w:style>
  <w:style w:type="paragraph" w:styleId="TOC5">
    <w:name w:val="toc 5"/>
    <w:basedOn w:val="Normal"/>
    <w:next w:val="Normal"/>
    <w:semiHidden/>
    <w:locked/>
    <w:rsid w:val="00CD18D3"/>
    <w:pPr>
      <w:spacing w:after="60"/>
      <w:ind w:left="958"/>
    </w:pPr>
    <w:rPr>
      <w:rFonts w:ascii="Times" w:hAnsi="Times"/>
      <w:szCs w:val="26"/>
    </w:rPr>
  </w:style>
  <w:style w:type="paragraph" w:styleId="TOC6">
    <w:name w:val="toc 6"/>
    <w:basedOn w:val="Normal"/>
    <w:next w:val="Normal"/>
    <w:semiHidden/>
    <w:locked/>
    <w:rsid w:val="00CD18D3"/>
    <w:pPr>
      <w:ind w:left="1200"/>
    </w:pPr>
  </w:style>
  <w:style w:type="paragraph" w:styleId="TOC7">
    <w:name w:val="toc 7"/>
    <w:basedOn w:val="Normal"/>
    <w:next w:val="Normal"/>
    <w:semiHidden/>
    <w:locked/>
    <w:rsid w:val="00CD18D3"/>
    <w:pPr>
      <w:ind w:left="1440"/>
    </w:pPr>
  </w:style>
  <w:style w:type="paragraph" w:styleId="TOC8">
    <w:name w:val="toc 8"/>
    <w:basedOn w:val="Normal"/>
    <w:next w:val="Normal"/>
    <w:semiHidden/>
    <w:locked/>
    <w:rsid w:val="00CD18D3"/>
    <w:pPr>
      <w:tabs>
        <w:tab w:val="left" w:pos="851"/>
      </w:tabs>
      <w:spacing w:before="0"/>
    </w:pPr>
    <w:rPr>
      <w:b/>
    </w:rPr>
  </w:style>
  <w:style w:type="paragraph" w:styleId="TOC9">
    <w:name w:val="toc 9"/>
    <w:basedOn w:val="Normal"/>
    <w:next w:val="Normal"/>
    <w:semiHidden/>
    <w:locked/>
    <w:rsid w:val="00CD18D3"/>
    <w:pPr>
      <w:tabs>
        <w:tab w:val="left" w:pos="1418"/>
      </w:tabs>
      <w:spacing w:before="0"/>
      <w:ind w:left="1418" w:hanging="567"/>
    </w:pPr>
    <w:rPr>
      <w:b/>
    </w:rPr>
  </w:style>
  <w:style w:type="numbering" w:styleId="111111">
    <w:name w:val="Outline List 2"/>
    <w:basedOn w:val="NoList"/>
    <w:semiHidden/>
    <w:locked/>
    <w:rsid w:val="00CD18D3"/>
    <w:pPr>
      <w:numPr>
        <w:numId w:val="1"/>
      </w:numPr>
    </w:pPr>
  </w:style>
  <w:style w:type="numbering" w:styleId="1ai">
    <w:name w:val="Outline List 1"/>
    <w:basedOn w:val="NoList"/>
    <w:semiHidden/>
    <w:locked/>
    <w:rsid w:val="00CD18D3"/>
    <w:pPr>
      <w:numPr>
        <w:numId w:val="2"/>
      </w:numPr>
    </w:pPr>
  </w:style>
  <w:style w:type="numbering" w:styleId="ArticleSection">
    <w:name w:val="Outline List 3"/>
    <w:basedOn w:val="NoList"/>
    <w:semiHidden/>
    <w:locked/>
    <w:rsid w:val="00CD18D3"/>
    <w:pPr>
      <w:numPr>
        <w:numId w:val="3"/>
      </w:numPr>
    </w:pPr>
  </w:style>
  <w:style w:type="paragraph" w:styleId="BalloonText">
    <w:name w:val="Balloon Text"/>
    <w:basedOn w:val="Normal"/>
    <w:link w:val="BalloonTextChar"/>
    <w:semiHidden/>
    <w:rsid w:val="00CD18D3"/>
    <w:rPr>
      <w:rFonts w:ascii="Tahoma" w:hAnsi="Tahoma" w:cs="Tahoma"/>
      <w:sz w:val="16"/>
      <w:szCs w:val="16"/>
    </w:rPr>
  </w:style>
  <w:style w:type="paragraph" w:styleId="BlockText">
    <w:name w:val="Block Text"/>
    <w:basedOn w:val="Normal"/>
    <w:semiHidden/>
    <w:locked/>
    <w:rsid w:val="00CD18D3"/>
    <w:pPr>
      <w:ind w:left="1440" w:right="1440"/>
    </w:pPr>
  </w:style>
  <w:style w:type="paragraph" w:styleId="BodyText">
    <w:name w:val="Body Text"/>
    <w:basedOn w:val="Normal"/>
    <w:link w:val="BodyTextChar"/>
    <w:semiHidden/>
    <w:locked/>
    <w:rsid w:val="00CD18D3"/>
  </w:style>
  <w:style w:type="paragraph" w:styleId="BodyText2">
    <w:name w:val="Body Text 2"/>
    <w:basedOn w:val="Normal"/>
    <w:link w:val="BodyText2Char"/>
    <w:semiHidden/>
    <w:locked/>
    <w:rsid w:val="00CD18D3"/>
    <w:pPr>
      <w:spacing w:line="480" w:lineRule="auto"/>
    </w:pPr>
  </w:style>
  <w:style w:type="paragraph" w:styleId="BodyText3">
    <w:name w:val="Body Text 3"/>
    <w:basedOn w:val="Normal"/>
    <w:link w:val="BodyText3Char"/>
    <w:semiHidden/>
    <w:locked/>
    <w:rsid w:val="00CD18D3"/>
    <w:rPr>
      <w:sz w:val="16"/>
      <w:szCs w:val="16"/>
    </w:rPr>
  </w:style>
  <w:style w:type="paragraph" w:styleId="BodyTextFirstIndent">
    <w:name w:val="Body Text First Indent"/>
    <w:basedOn w:val="BodyText"/>
    <w:link w:val="BodyTextFirstIndentChar"/>
    <w:semiHidden/>
    <w:locked/>
    <w:rsid w:val="00CD18D3"/>
    <w:pPr>
      <w:ind w:firstLine="210"/>
    </w:pPr>
  </w:style>
  <w:style w:type="paragraph" w:styleId="BodyTextIndent">
    <w:name w:val="Body Text Indent"/>
    <w:basedOn w:val="Normal"/>
    <w:link w:val="BodyTextIndentChar"/>
    <w:semiHidden/>
    <w:locked/>
    <w:rsid w:val="00CD18D3"/>
    <w:pPr>
      <w:ind w:left="283"/>
    </w:pPr>
  </w:style>
  <w:style w:type="paragraph" w:styleId="BodyTextFirstIndent2">
    <w:name w:val="Body Text First Indent 2"/>
    <w:basedOn w:val="BodyTextIndent"/>
    <w:link w:val="BodyTextFirstIndent2Char"/>
    <w:semiHidden/>
    <w:locked/>
    <w:rsid w:val="00CD18D3"/>
    <w:pPr>
      <w:ind w:firstLine="210"/>
    </w:pPr>
  </w:style>
  <w:style w:type="paragraph" w:styleId="BodyTextIndent2">
    <w:name w:val="Body Text Indent 2"/>
    <w:basedOn w:val="Normal"/>
    <w:link w:val="BodyTextIndent2Char"/>
    <w:semiHidden/>
    <w:locked/>
    <w:rsid w:val="00CD18D3"/>
    <w:pPr>
      <w:spacing w:line="480" w:lineRule="auto"/>
      <w:ind w:left="283"/>
    </w:pPr>
  </w:style>
  <w:style w:type="paragraph" w:styleId="BodyTextIndent3">
    <w:name w:val="Body Text Indent 3"/>
    <w:basedOn w:val="Normal"/>
    <w:link w:val="BodyTextIndent3Char"/>
    <w:semiHidden/>
    <w:locked/>
    <w:rsid w:val="00CD18D3"/>
    <w:pPr>
      <w:ind w:left="283"/>
    </w:pPr>
    <w:rPr>
      <w:sz w:val="16"/>
      <w:szCs w:val="16"/>
    </w:rPr>
  </w:style>
  <w:style w:type="paragraph" w:styleId="Closing">
    <w:name w:val="Closing"/>
    <w:basedOn w:val="Normal"/>
    <w:link w:val="ClosingChar"/>
    <w:semiHidden/>
    <w:locked/>
    <w:rsid w:val="00CD18D3"/>
    <w:pPr>
      <w:ind w:left="4252"/>
    </w:pPr>
  </w:style>
  <w:style w:type="character" w:styleId="CommentReference">
    <w:name w:val="annotation reference"/>
    <w:basedOn w:val="DefaultParagraphFont"/>
    <w:semiHidden/>
    <w:locked/>
    <w:rsid w:val="00CD18D3"/>
    <w:rPr>
      <w:sz w:val="16"/>
      <w:szCs w:val="16"/>
    </w:rPr>
  </w:style>
  <w:style w:type="paragraph" w:styleId="CommentText">
    <w:name w:val="annotation text"/>
    <w:basedOn w:val="Normal"/>
    <w:link w:val="CommentTextChar"/>
    <w:semiHidden/>
    <w:locked/>
    <w:rsid w:val="00CD18D3"/>
    <w:rPr>
      <w:sz w:val="20"/>
    </w:rPr>
  </w:style>
  <w:style w:type="paragraph" w:styleId="CommentSubject">
    <w:name w:val="annotation subject"/>
    <w:basedOn w:val="CommentText"/>
    <w:next w:val="CommentText"/>
    <w:link w:val="CommentSubjectChar"/>
    <w:semiHidden/>
    <w:locked/>
    <w:rsid w:val="00CD18D3"/>
    <w:rPr>
      <w:b/>
      <w:bCs/>
    </w:rPr>
  </w:style>
  <w:style w:type="paragraph" w:styleId="Date">
    <w:name w:val="Date"/>
    <w:basedOn w:val="Normal"/>
    <w:next w:val="Normal"/>
    <w:link w:val="DateChar"/>
    <w:semiHidden/>
    <w:locked/>
    <w:rsid w:val="00CD18D3"/>
  </w:style>
  <w:style w:type="paragraph" w:styleId="DocumentMap">
    <w:name w:val="Document Map"/>
    <w:basedOn w:val="Normal"/>
    <w:link w:val="DocumentMapChar"/>
    <w:semiHidden/>
    <w:locked/>
    <w:rsid w:val="00CD18D3"/>
    <w:pPr>
      <w:shd w:val="clear" w:color="auto" w:fill="000080"/>
    </w:pPr>
    <w:rPr>
      <w:rFonts w:ascii="Tahoma" w:hAnsi="Tahoma" w:cs="Tahoma"/>
      <w:sz w:val="20"/>
    </w:rPr>
  </w:style>
  <w:style w:type="paragraph" w:styleId="E-mailSignature">
    <w:name w:val="E-mail Signature"/>
    <w:basedOn w:val="Normal"/>
    <w:link w:val="E-mailSignatureChar"/>
    <w:semiHidden/>
    <w:locked/>
    <w:rsid w:val="00CD18D3"/>
  </w:style>
  <w:style w:type="character" w:styleId="Emphasis">
    <w:name w:val="Emphasis"/>
    <w:basedOn w:val="DefaultParagraphFont"/>
    <w:locked/>
    <w:rsid w:val="00CD18D3"/>
    <w:rPr>
      <w:i/>
      <w:iCs/>
    </w:rPr>
  </w:style>
  <w:style w:type="paragraph" w:styleId="EnvelopeAddress">
    <w:name w:val="envelope address"/>
    <w:basedOn w:val="Normal"/>
    <w:semiHidden/>
    <w:locked/>
    <w:rsid w:val="00CD18D3"/>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CD18D3"/>
    <w:rPr>
      <w:rFonts w:ascii="Arial" w:hAnsi="Arial" w:cs="Arial"/>
      <w:sz w:val="20"/>
    </w:rPr>
  </w:style>
  <w:style w:type="character" w:styleId="FollowedHyperlink">
    <w:name w:val="FollowedHyperlink"/>
    <w:basedOn w:val="DefaultParagraphFont"/>
    <w:semiHidden/>
    <w:locked/>
    <w:rsid w:val="00CD18D3"/>
    <w:rPr>
      <w:color w:val="800080"/>
      <w:u w:val="single"/>
    </w:rPr>
  </w:style>
  <w:style w:type="character" w:styleId="HTMLAcronym">
    <w:name w:val="HTML Acronym"/>
    <w:basedOn w:val="DefaultParagraphFont"/>
    <w:semiHidden/>
    <w:locked/>
    <w:rsid w:val="00CD18D3"/>
  </w:style>
  <w:style w:type="paragraph" w:styleId="HTMLAddress">
    <w:name w:val="HTML Address"/>
    <w:basedOn w:val="Normal"/>
    <w:link w:val="HTMLAddressChar"/>
    <w:semiHidden/>
    <w:locked/>
    <w:rsid w:val="00CD18D3"/>
    <w:rPr>
      <w:i/>
      <w:iCs/>
    </w:rPr>
  </w:style>
  <w:style w:type="character" w:styleId="HTMLCite">
    <w:name w:val="HTML Cite"/>
    <w:basedOn w:val="DefaultParagraphFont"/>
    <w:semiHidden/>
    <w:locked/>
    <w:rsid w:val="00CD18D3"/>
    <w:rPr>
      <w:i/>
      <w:iCs/>
    </w:rPr>
  </w:style>
  <w:style w:type="character" w:styleId="HTMLCode">
    <w:name w:val="HTML Code"/>
    <w:basedOn w:val="DefaultParagraphFont"/>
    <w:semiHidden/>
    <w:locked/>
    <w:rsid w:val="00CD18D3"/>
    <w:rPr>
      <w:rFonts w:ascii="Courier New" w:hAnsi="Courier New" w:cs="Courier New"/>
      <w:sz w:val="20"/>
      <w:szCs w:val="20"/>
    </w:rPr>
  </w:style>
  <w:style w:type="character" w:styleId="HTMLDefinition">
    <w:name w:val="HTML Definition"/>
    <w:basedOn w:val="DefaultParagraphFont"/>
    <w:semiHidden/>
    <w:locked/>
    <w:rsid w:val="00CD18D3"/>
    <w:rPr>
      <w:i/>
      <w:iCs/>
    </w:rPr>
  </w:style>
  <w:style w:type="character" w:styleId="HTMLKeyboard">
    <w:name w:val="HTML Keyboard"/>
    <w:basedOn w:val="DefaultParagraphFont"/>
    <w:semiHidden/>
    <w:locked/>
    <w:rsid w:val="00CD18D3"/>
    <w:rPr>
      <w:rFonts w:ascii="Courier New" w:hAnsi="Courier New" w:cs="Courier New"/>
      <w:sz w:val="20"/>
      <w:szCs w:val="20"/>
    </w:rPr>
  </w:style>
  <w:style w:type="paragraph" w:styleId="HTMLPreformatted">
    <w:name w:val="HTML Preformatted"/>
    <w:basedOn w:val="Normal"/>
    <w:link w:val="HTMLPreformattedChar"/>
    <w:semiHidden/>
    <w:locked/>
    <w:rsid w:val="00CD18D3"/>
    <w:rPr>
      <w:rFonts w:ascii="Courier New" w:hAnsi="Courier New" w:cs="Courier New"/>
      <w:sz w:val="20"/>
    </w:rPr>
  </w:style>
  <w:style w:type="character" w:styleId="HTMLSample">
    <w:name w:val="HTML Sample"/>
    <w:basedOn w:val="DefaultParagraphFont"/>
    <w:semiHidden/>
    <w:locked/>
    <w:rsid w:val="00CD18D3"/>
    <w:rPr>
      <w:rFonts w:ascii="Courier New" w:hAnsi="Courier New" w:cs="Courier New"/>
    </w:rPr>
  </w:style>
  <w:style w:type="character" w:styleId="HTMLTypewriter">
    <w:name w:val="HTML Typewriter"/>
    <w:basedOn w:val="DefaultParagraphFont"/>
    <w:semiHidden/>
    <w:locked/>
    <w:rsid w:val="00CD18D3"/>
    <w:rPr>
      <w:rFonts w:ascii="Courier New" w:hAnsi="Courier New" w:cs="Courier New"/>
      <w:sz w:val="20"/>
      <w:szCs w:val="20"/>
    </w:rPr>
  </w:style>
  <w:style w:type="character" w:styleId="HTMLVariable">
    <w:name w:val="HTML Variable"/>
    <w:basedOn w:val="DefaultParagraphFont"/>
    <w:semiHidden/>
    <w:locked/>
    <w:rsid w:val="00CD18D3"/>
    <w:rPr>
      <w:i/>
      <w:iCs/>
    </w:rPr>
  </w:style>
  <w:style w:type="character" w:styleId="Hyperlink">
    <w:name w:val="Hyperlink"/>
    <w:basedOn w:val="DefaultParagraphFont"/>
    <w:uiPriority w:val="99"/>
    <w:rsid w:val="00CD18D3"/>
    <w:rPr>
      <w:color w:val="0000FF"/>
      <w:u w:val="single"/>
    </w:rPr>
  </w:style>
  <w:style w:type="paragraph" w:styleId="Index1">
    <w:name w:val="index 1"/>
    <w:basedOn w:val="Normal"/>
    <w:next w:val="Normal"/>
    <w:semiHidden/>
    <w:locked/>
    <w:rsid w:val="00CD18D3"/>
    <w:pPr>
      <w:ind w:left="260" w:hanging="260"/>
    </w:pPr>
  </w:style>
  <w:style w:type="paragraph" w:styleId="Index2">
    <w:name w:val="index 2"/>
    <w:basedOn w:val="Normal"/>
    <w:next w:val="Normal"/>
    <w:semiHidden/>
    <w:locked/>
    <w:rsid w:val="00CD18D3"/>
    <w:pPr>
      <w:ind w:left="520" w:hanging="260"/>
    </w:pPr>
  </w:style>
  <w:style w:type="paragraph" w:styleId="Index3">
    <w:name w:val="index 3"/>
    <w:basedOn w:val="Normal"/>
    <w:next w:val="Normal"/>
    <w:semiHidden/>
    <w:locked/>
    <w:rsid w:val="00CD18D3"/>
    <w:pPr>
      <w:ind w:left="780" w:hanging="260"/>
    </w:pPr>
  </w:style>
  <w:style w:type="paragraph" w:styleId="Index4">
    <w:name w:val="index 4"/>
    <w:basedOn w:val="Normal"/>
    <w:next w:val="Normal"/>
    <w:semiHidden/>
    <w:locked/>
    <w:rsid w:val="00CD18D3"/>
    <w:pPr>
      <w:ind w:left="1040" w:hanging="260"/>
    </w:pPr>
  </w:style>
  <w:style w:type="paragraph" w:styleId="Index5">
    <w:name w:val="index 5"/>
    <w:basedOn w:val="Normal"/>
    <w:next w:val="Normal"/>
    <w:semiHidden/>
    <w:locked/>
    <w:rsid w:val="00CD18D3"/>
    <w:pPr>
      <w:ind w:left="1300" w:hanging="260"/>
    </w:pPr>
  </w:style>
  <w:style w:type="paragraph" w:styleId="Index6">
    <w:name w:val="index 6"/>
    <w:basedOn w:val="Normal"/>
    <w:next w:val="Normal"/>
    <w:semiHidden/>
    <w:locked/>
    <w:rsid w:val="00CD18D3"/>
    <w:pPr>
      <w:ind w:left="1560" w:hanging="260"/>
    </w:pPr>
  </w:style>
  <w:style w:type="paragraph" w:styleId="Index7">
    <w:name w:val="index 7"/>
    <w:basedOn w:val="Normal"/>
    <w:next w:val="Normal"/>
    <w:semiHidden/>
    <w:locked/>
    <w:rsid w:val="00CD18D3"/>
    <w:pPr>
      <w:ind w:left="1820" w:hanging="260"/>
    </w:pPr>
  </w:style>
  <w:style w:type="paragraph" w:styleId="Index8">
    <w:name w:val="index 8"/>
    <w:basedOn w:val="Normal"/>
    <w:next w:val="Normal"/>
    <w:semiHidden/>
    <w:locked/>
    <w:rsid w:val="00CD18D3"/>
    <w:pPr>
      <w:ind w:left="2080" w:hanging="260"/>
    </w:pPr>
  </w:style>
  <w:style w:type="paragraph" w:styleId="Index9">
    <w:name w:val="index 9"/>
    <w:basedOn w:val="Normal"/>
    <w:next w:val="Normal"/>
    <w:semiHidden/>
    <w:locked/>
    <w:rsid w:val="00CD18D3"/>
    <w:pPr>
      <w:ind w:left="2340" w:hanging="260"/>
    </w:pPr>
  </w:style>
  <w:style w:type="paragraph" w:styleId="IndexHeading">
    <w:name w:val="index heading"/>
    <w:basedOn w:val="Normal"/>
    <w:next w:val="Index1"/>
    <w:semiHidden/>
    <w:locked/>
    <w:rsid w:val="00CD18D3"/>
    <w:rPr>
      <w:rFonts w:ascii="Arial" w:hAnsi="Arial" w:cs="Arial"/>
      <w:b/>
      <w:bCs/>
    </w:rPr>
  </w:style>
  <w:style w:type="character" w:styleId="LineNumber">
    <w:name w:val="line number"/>
    <w:basedOn w:val="DefaultParagraphFont"/>
    <w:semiHidden/>
    <w:locked/>
    <w:rsid w:val="00CD18D3"/>
  </w:style>
  <w:style w:type="paragraph" w:styleId="List">
    <w:name w:val="List"/>
    <w:basedOn w:val="Normal"/>
    <w:semiHidden/>
    <w:locked/>
    <w:rsid w:val="00CD18D3"/>
    <w:pPr>
      <w:ind w:left="283" w:hanging="283"/>
    </w:pPr>
  </w:style>
  <w:style w:type="paragraph" w:styleId="List2">
    <w:name w:val="List 2"/>
    <w:basedOn w:val="Normal"/>
    <w:semiHidden/>
    <w:locked/>
    <w:rsid w:val="00CD18D3"/>
    <w:pPr>
      <w:ind w:left="566" w:hanging="283"/>
    </w:pPr>
  </w:style>
  <w:style w:type="paragraph" w:styleId="List3">
    <w:name w:val="List 3"/>
    <w:basedOn w:val="Normal"/>
    <w:semiHidden/>
    <w:locked/>
    <w:rsid w:val="00CD18D3"/>
    <w:pPr>
      <w:ind w:left="849" w:hanging="283"/>
    </w:pPr>
  </w:style>
  <w:style w:type="paragraph" w:styleId="List4">
    <w:name w:val="List 4"/>
    <w:basedOn w:val="Normal"/>
    <w:semiHidden/>
    <w:locked/>
    <w:rsid w:val="00CD18D3"/>
    <w:pPr>
      <w:ind w:left="1132" w:hanging="283"/>
    </w:pPr>
  </w:style>
  <w:style w:type="paragraph" w:styleId="List5">
    <w:name w:val="List 5"/>
    <w:basedOn w:val="Normal"/>
    <w:semiHidden/>
    <w:locked/>
    <w:rsid w:val="00CD18D3"/>
    <w:pPr>
      <w:ind w:left="1415" w:hanging="283"/>
    </w:pPr>
  </w:style>
  <w:style w:type="paragraph" w:styleId="ListBullet">
    <w:name w:val="List Bullet"/>
    <w:basedOn w:val="Normal"/>
    <w:semiHidden/>
    <w:locked/>
    <w:rsid w:val="00CD18D3"/>
    <w:pPr>
      <w:numPr>
        <w:numId w:val="7"/>
      </w:numPr>
    </w:pPr>
  </w:style>
  <w:style w:type="paragraph" w:styleId="ListBullet2">
    <w:name w:val="List Bullet 2"/>
    <w:basedOn w:val="Normal"/>
    <w:semiHidden/>
    <w:locked/>
    <w:rsid w:val="00CD18D3"/>
    <w:pPr>
      <w:numPr>
        <w:numId w:val="8"/>
      </w:numPr>
    </w:pPr>
  </w:style>
  <w:style w:type="paragraph" w:styleId="ListBullet3">
    <w:name w:val="List Bullet 3"/>
    <w:basedOn w:val="Normal"/>
    <w:semiHidden/>
    <w:locked/>
    <w:rsid w:val="00CD18D3"/>
    <w:pPr>
      <w:numPr>
        <w:numId w:val="9"/>
      </w:numPr>
    </w:pPr>
  </w:style>
  <w:style w:type="paragraph" w:styleId="ListBullet4">
    <w:name w:val="List Bullet 4"/>
    <w:basedOn w:val="Normal"/>
    <w:semiHidden/>
    <w:locked/>
    <w:rsid w:val="00CD18D3"/>
    <w:pPr>
      <w:numPr>
        <w:numId w:val="10"/>
      </w:numPr>
    </w:pPr>
  </w:style>
  <w:style w:type="paragraph" w:styleId="ListBullet5">
    <w:name w:val="List Bullet 5"/>
    <w:basedOn w:val="Normal"/>
    <w:semiHidden/>
    <w:locked/>
    <w:rsid w:val="00CD18D3"/>
    <w:pPr>
      <w:numPr>
        <w:numId w:val="11"/>
      </w:numPr>
    </w:pPr>
  </w:style>
  <w:style w:type="paragraph" w:styleId="ListContinue">
    <w:name w:val="List Continue"/>
    <w:basedOn w:val="Normal"/>
    <w:semiHidden/>
    <w:locked/>
    <w:rsid w:val="00CD18D3"/>
    <w:pPr>
      <w:ind w:left="283"/>
    </w:pPr>
  </w:style>
  <w:style w:type="paragraph" w:styleId="ListContinue2">
    <w:name w:val="List Continue 2"/>
    <w:basedOn w:val="Normal"/>
    <w:semiHidden/>
    <w:locked/>
    <w:rsid w:val="00CD18D3"/>
    <w:pPr>
      <w:ind w:left="566"/>
    </w:pPr>
  </w:style>
  <w:style w:type="paragraph" w:styleId="ListContinue3">
    <w:name w:val="List Continue 3"/>
    <w:basedOn w:val="Normal"/>
    <w:semiHidden/>
    <w:locked/>
    <w:rsid w:val="00CD18D3"/>
    <w:pPr>
      <w:ind w:left="849"/>
    </w:pPr>
  </w:style>
  <w:style w:type="paragraph" w:styleId="ListContinue4">
    <w:name w:val="List Continue 4"/>
    <w:basedOn w:val="Normal"/>
    <w:semiHidden/>
    <w:locked/>
    <w:rsid w:val="00CD18D3"/>
    <w:pPr>
      <w:ind w:left="1132"/>
    </w:pPr>
  </w:style>
  <w:style w:type="paragraph" w:styleId="ListContinue5">
    <w:name w:val="List Continue 5"/>
    <w:basedOn w:val="Normal"/>
    <w:semiHidden/>
    <w:locked/>
    <w:rsid w:val="00CD18D3"/>
    <w:pPr>
      <w:ind w:left="1415"/>
    </w:pPr>
  </w:style>
  <w:style w:type="paragraph" w:styleId="ListNumber">
    <w:name w:val="List Number"/>
    <w:basedOn w:val="Normal"/>
    <w:semiHidden/>
    <w:locked/>
    <w:rsid w:val="00CD18D3"/>
    <w:pPr>
      <w:numPr>
        <w:numId w:val="12"/>
      </w:numPr>
    </w:pPr>
  </w:style>
  <w:style w:type="paragraph" w:styleId="ListNumber2">
    <w:name w:val="List Number 2"/>
    <w:basedOn w:val="Normal"/>
    <w:semiHidden/>
    <w:locked/>
    <w:rsid w:val="00CD18D3"/>
    <w:pPr>
      <w:numPr>
        <w:numId w:val="13"/>
      </w:numPr>
    </w:pPr>
  </w:style>
  <w:style w:type="paragraph" w:styleId="ListNumber3">
    <w:name w:val="List Number 3"/>
    <w:basedOn w:val="Normal"/>
    <w:semiHidden/>
    <w:locked/>
    <w:rsid w:val="00CD18D3"/>
    <w:pPr>
      <w:numPr>
        <w:numId w:val="14"/>
      </w:numPr>
    </w:pPr>
  </w:style>
  <w:style w:type="paragraph" w:styleId="ListNumber4">
    <w:name w:val="List Number 4"/>
    <w:basedOn w:val="Normal"/>
    <w:semiHidden/>
    <w:locked/>
    <w:rsid w:val="00CD18D3"/>
    <w:pPr>
      <w:numPr>
        <w:numId w:val="15"/>
      </w:numPr>
    </w:pPr>
  </w:style>
  <w:style w:type="paragraph" w:styleId="ListNumber5">
    <w:name w:val="List Number 5"/>
    <w:basedOn w:val="Normal"/>
    <w:semiHidden/>
    <w:locked/>
    <w:rsid w:val="00CD18D3"/>
    <w:pPr>
      <w:numPr>
        <w:numId w:val="16"/>
      </w:numPr>
    </w:pPr>
  </w:style>
  <w:style w:type="paragraph" w:styleId="MacroText">
    <w:name w:val="macro"/>
    <w:link w:val="MacroTextChar"/>
    <w:semiHidden/>
    <w:locked/>
    <w:rsid w:val="00CD18D3"/>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link w:val="MessageHeaderChar"/>
    <w:semiHidden/>
    <w:locked/>
    <w:rsid w:val="00CD18D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CD18D3"/>
    <w:rPr>
      <w:sz w:val="24"/>
      <w:szCs w:val="24"/>
    </w:rPr>
  </w:style>
  <w:style w:type="paragraph" w:styleId="NormalIndent">
    <w:name w:val="Normal Indent"/>
    <w:basedOn w:val="Normal"/>
    <w:semiHidden/>
    <w:locked/>
    <w:rsid w:val="00CD18D3"/>
    <w:pPr>
      <w:ind w:left="720"/>
    </w:pPr>
  </w:style>
  <w:style w:type="paragraph" w:styleId="NoteHeading">
    <w:name w:val="Note Heading"/>
    <w:basedOn w:val="Normal"/>
    <w:next w:val="Normal"/>
    <w:link w:val="NoteHeadingChar"/>
    <w:semiHidden/>
    <w:locked/>
    <w:rsid w:val="00CD18D3"/>
  </w:style>
  <w:style w:type="paragraph" w:styleId="PlainText">
    <w:name w:val="Plain Text"/>
    <w:basedOn w:val="Normal"/>
    <w:link w:val="PlainTextChar"/>
    <w:semiHidden/>
    <w:locked/>
    <w:rsid w:val="00CD18D3"/>
    <w:rPr>
      <w:rFonts w:ascii="Courier New" w:hAnsi="Courier New" w:cs="Courier New"/>
      <w:sz w:val="20"/>
    </w:rPr>
  </w:style>
  <w:style w:type="paragraph" w:styleId="Salutation">
    <w:name w:val="Salutation"/>
    <w:basedOn w:val="Normal"/>
    <w:next w:val="Normal"/>
    <w:link w:val="SalutationChar"/>
    <w:semiHidden/>
    <w:locked/>
    <w:rsid w:val="00CD18D3"/>
  </w:style>
  <w:style w:type="paragraph" w:styleId="Signature">
    <w:name w:val="Signature"/>
    <w:basedOn w:val="Normal"/>
    <w:link w:val="SignatureChar"/>
    <w:semiHidden/>
    <w:locked/>
    <w:rsid w:val="00CD18D3"/>
    <w:pPr>
      <w:ind w:left="4252"/>
    </w:pPr>
  </w:style>
  <w:style w:type="character" w:styleId="Strong">
    <w:name w:val="Strong"/>
    <w:basedOn w:val="DefaultParagraphFont"/>
    <w:locked/>
    <w:rsid w:val="00CD18D3"/>
    <w:rPr>
      <w:b/>
      <w:bCs/>
    </w:rPr>
  </w:style>
  <w:style w:type="paragraph" w:styleId="Subtitle">
    <w:name w:val="Subtitle"/>
    <w:basedOn w:val="Normal"/>
    <w:link w:val="SubtitleChar"/>
    <w:locked/>
    <w:rsid w:val="00CD18D3"/>
    <w:pPr>
      <w:spacing w:after="60"/>
      <w:jc w:val="center"/>
    </w:pPr>
    <w:rPr>
      <w:rFonts w:ascii="Arial" w:hAnsi="Arial" w:cs="Arial"/>
      <w:sz w:val="24"/>
      <w:szCs w:val="24"/>
    </w:rPr>
  </w:style>
  <w:style w:type="table" w:styleId="Table3Deffects1">
    <w:name w:val="Table 3D effects 1"/>
    <w:basedOn w:val="TableNormal"/>
    <w:semiHidden/>
    <w:locked/>
    <w:rsid w:val="00CD18D3"/>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CD18D3"/>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CD18D3"/>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CD18D3"/>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CD18D3"/>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CD18D3"/>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CD18D3"/>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CD18D3"/>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CD18D3"/>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CD18D3"/>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CD18D3"/>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CD18D3"/>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CD18D3"/>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CD18D3"/>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CD18D3"/>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CD18D3"/>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CD18D3"/>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CD18D3"/>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CD18D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CD18D3"/>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CD18D3"/>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CD18D3"/>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CD18D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CD18D3"/>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CD18D3"/>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CD18D3"/>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CD18D3"/>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CD18D3"/>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CD18D3"/>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CD18D3"/>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CD18D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CD18D3"/>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CD18D3"/>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CD18D3"/>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CD18D3"/>
    <w:pPr>
      <w:ind w:left="260" w:hanging="260"/>
    </w:pPr>
  </w:style>
  <w:style w:type="paragraph" w:styleId="TableofFigures">
    <w:name w:val="table of figures"/>
    <w:basedOn w:val="Normal"/>
    <w:next w:val="Normal"/>
    <w:semiHidden/>
    <w:locked/>
    <w:rsid w:val="00CD18D3"/>
  </w:style>
  <w:style w:type="table" w:styleId="TableProfessional">
    <w:name w:val="Table Professional"/>
    <w:basedOn w:val="TableNormal"/>
    <w:semiHidden/>
    <w:locked/>
    <w:rsid w:val="00CD18D3"/>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CD18D3"/>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CD18D3"/>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CD18D3"/>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CD18D3"/>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CD18D3"/>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CD18D3"/>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CD18D3"/>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CD18D3"/>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CD18D3"/>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locked/>
    <w:rsid w:val="00CD18D3"/>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CD18D3"/>
    <w:rPr>
      <w:rFonts w:ascii="Arial" w:hAnsi="Arial" w:cs="Arial"/>
      <w:b/>
      <w:bCs/>
      <w:sz w:val="24"/>
      <w:szCs w:val="24"/>
    </w:rPr>
  </w:style>
  <w:style w:type="paragraph" w:customStyle="1" w:styleId="Bullet4">
    <w:name w:val="Bullet4"/>
    <w:basedOn w:val="Bullet3"/>
    <w:rsid w:val="00CD18D3"/>
    <w:pPr>
      <w:numPr>
        <w:numId w:val="5"/>
      </w:numPr>
      <w:tabs>
        <w:tab w:val="clear" w:pos="1701"/>
      </w:tabs>
      <w:ind w:left="1985"/>
    </w:pPr>
  </w:style>
  <w:style w:type="paragraph" w:customStyle="1" w:styleId="RecLevel1">
    <w:name w:val="RecLevel1"/>
    <w:basedOn w:val="Level1"/>
    <w:rsid w:val="00CD18D3"/>
    <w:pPr>
      <w:spacing w:before="0"/>
    </w:pPr>
    <w:rPr>
      <w:b/>
    </w:rPr>
  </w:style>
  <w:style w:type="character" w:customStyle="1" w:styleId="Level3Char">
    <w:name w:val="Level3 Char"/>
    <w:basedOn w:val="DefaultParagraphFont"/>
    <w:link w:val="Level3"/>
    <w:rsid w:val="00CD18D3"/>
    <w:rPr>
      <w:rFonts w:ascii="Calibri" w:hAnsi="Calibri"/>
      <w:sz w:val="26"/>
      <w:lang w:eastAsia="en-US"/>
    </w:rPr>
  </w:style>
  <w:style w:type="paragraph" w:customStyle="1" w:styleId="Bullet1">
    <w:name w:val="Bullet1"/>
    <w:basedOn w:val="Bullet2"/>
    <w:rsid w:val="00CD18D3"/>
    <w:pPr>
      <w:tabs>
        <w:tab w:val="clear" w:pos="1418"/>
        <w:tab w:val="left" w:pos="851"/>
      </w:tabs>
      <w:ind w:left="851" w:hanging="851"/>
    </w:pPr>
  </w:style>
  <w:style w:type="paragraph" w:customStyle="1" w:styleId="RecBullet1">
    <w:name w:val="RecBullet1"/>
    <w:basedOn w:val="Bullet1"/>
    <w:rsid w:val="00CD18D3"/>
    <w:rPr>
      <w:b/>
    </w:rPr>
  </w:style>
  <w:style w:type="paragraph" w:customStyle="1" w:styleId="RecBullet2">
    <w:name w:val="RecBullet2"/>
    <w:basedOn w:val="Bullet2"/>
    <w:rsid w:val="00CD18D3"/>
    <w:rPr>
      <w:b/>
    </w:rPr>
  </w:style>
  <w:style w:type="paragraph" w:styleId="Bibliography">
    <w:name w:val="Bibliography"/>
    <w:basedOn w:val="Normal"/>
    <w:next w:val="Normal"/>
    <w:uiPriority w:val="37"/>
    <w:semiHidden/>
    <w:unhideWhenUsed/>
    <w:rsid w:val="00CD18D3"/>
  </w:style>
  <w:style w:type="character" w:styleId="BookTitle">
    <w:name w:val="Book Title"/>
    <w:basedOn w:val="DefaultParagraphFont"/>
    <w:uiPriority w:val="33"/>
    <w:rsid w:val="00CD18D3"/>
    <w:rPr>
      <w:b/>
      <w:bCs/>
      <w:smallCaps/>
      <w:spacing w:val="5"/>
    </w:rPr>
  </w:style>
  <w:style w:type="table" w:styleId="ColorfulGrid">
    <w:name w:val="Colorful Grid"/>
    <w:basedOn w:val="TableNormal"/>
    <w:uiPriority w:val="73"/>
    <w:rsid w:val="00CD18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D18D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D18D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D18D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D18D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D18D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D18D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CD18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D18D3"/>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D18D3"/>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D18D3"/>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D18D3"/>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D18D3"/>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D18D3"/>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CD18D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D18D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D18D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D18D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D18D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D18D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D18D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CD18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D18D3"/>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D18D3"/>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D18D3"/>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D18D3"/>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D18D3"/>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D18D3"/>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CD18D3"/>
    <w:rPr>
      <w:b/>
      <w:bCs/>
      <w:i/>
      <w:iCs/>
      <w:color w:val="4F81BD" w:themeColor="accent1"/>
    </w:rPr>
  </w:style>
  <w:style w:type="paragraph" w:styleId="IntenseQuote">
    <w:name w:val="Intense Quote"/>
    <w:basedOn w:val="Normal"/>
    <w:next w:val="Normal"/>
    <w:link w:val="IntenseQuoteChar"/>
    <w:uiPriority w:val="30"/>
    <w:rsid w:val="00CD18D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D18D3"/>
    <w:rPr>
      <w:rFonts w:ascii="Calibri" w:hAnsi="Calibri"/>
      <w:b/>
      <w:bCs/>
      <w:i/>
      <w:iCs/>
      <w:color w:val="4F81BD" w:themeColor="accent1"/>
      <w:sz w:val="26"/>
      <w:lang w:eastAsia="en-US"/>
    </w:rPr>
  </w:style>
  <w:style w:type="character" w:styleId="IntenseReference">
    <w:name w:val="Intense Reference"/>
    <w:basedOn w:val="DefaultParagraphFont"/>
    <w:uiPriority w:val="32"/>
    <w:rsid w:val="00CD18D3"/>
    <w:rPr>
      <w:b/>
      <w:bCs/>
      <w:smallCaps/>
      <w:color w:val="C0504D" w:themeColor="accent2"/>
      <w:spacing w:val="5"/>
      <w:u w:val="single"/>
    </w:rPr>
  </w:style>
  <w:style w:type="table" w:styleId="LightGrid">
    <w:name w:val="Light Grid"/>
    <w:basedOn w:val="TableNormal"/>
    <w:uiPriority w:val="62"/>
    <w:rsid w:val="00CD18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D18D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D18D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D18D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D18D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D18D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D18D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CD18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CD18D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D18D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D18D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D18D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D18D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D18D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CD18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CD18D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CD18D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CD18D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CD18D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CD18D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CD18D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CD18D3"/>
    <w:pPr>
      <w:ind w:left="720"/>
    </w:pPr>
  </w:style>
  <w:style w:type="table" w:styleId="MediumGrid1">
    <w:name w:val="Medium Grid 1"/>
    <w:basedOn w:val="TableNormal"/>
    <w:uiPriority w:val="67"/>
    <w:rsid w:val="00CD18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D18D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D18D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D18D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D18D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D18D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D18D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D18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D18D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D18D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D18D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D18D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D18D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D18D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D18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D18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D18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D18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D18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D18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D18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CD18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D18D3"/>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D18D3"/>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D18D3"/>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D18D3"/>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D18D3"/>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D18D3"/>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D18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D18D3"/>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D18D3"/>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D18D3"/>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D18D3"/>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D18D3"/>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D18D3"/>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CD18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D18D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D18D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D18D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D18D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D18D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D18D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D1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D1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D1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D1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D1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D1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D18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CD18D3"/>
    <w:pPr>
      <w:jc w:val="both"/>
    </w:pPr>
    <w:rPr>
      <w:sz w:val="26"/>
      <w:lang w:eastAsia="en-US"/>
    </w:rPr>
  </w:style>
  <w:style w:type="character" w:styleId="PlaceholderText">
    <w:name w:val="Placeholder Text"/>
    <w:basedOn w:val="DefaultParagraphFont"/>
    <w:uiPriority w:val="99"/>
    <w:semiHidden/>
    <w:rsid w:val="00CD18D3"/>
    <w:rPr>
      <w:color w:val="808080"/>
    </w:rPr>
  </w:style>
  <w:style w:type="character" w:styleId="SubtleEmphasis">
    <w:name w:val="Subtle Emphasis"/>
    <w:basedOn w:val="DefaultParagraphFont"/>
    <w:uiPriority w:val="19"/>
    <w:rsid w:val="00CD18D3"/>
    <w:rPr>
      <w:i/>
      <w:iCs/>
      <w:color w:val="808080" w:themeColor="text1" w:themeTint="7F"/>
    </w:rPr>
  </w:style>
  <w:style w:type="character" w:styleId="SubtleReference">
    <w:name w:val="Subtle Reference"/>
    <w:basedOn w:val="DefaultParagraphFont"/>
    <w:uiPriority w:val="31"/>
    <w:rsid w:val="00CD18D3"/>
    <w:rPr>
      <w:smallCaps/>
      <w:color w:val="C0504D" w:themeColor="accent2"/>
      <w:u w:val="single"/>
    </w:rPr>
  </w:style>
  <w:style w:type="paragraph" w:styleId="TOCHeading">
    <w:name w:val="TOC Heading"/>
    <w:basedOn w:val="Heading1"/>
    <w:next w:val="Normal"/>
    <w:uiPriority w:val="39"/>
    <w:semiHidden/>
    <w:unhideWhenUsed/>
    <w:qFormat/>
    <w:rsid w:val="00CD18D3"/>
    <w:pPr>
      <w:spacing w:after="60"/>
      <w:jc w:val="both"/>
      <w:outlineLvl w:val="9"/>
    </w:pPr>
    <w:rPr>
      <w:rFonts w:asciiTheme="majorHAnsi" w:eastAsiaTheme="majorEastAsia" w:hAnsiTheme="majorHAnsi" w:cstheme="majorBidi"/>
      <w:bCs/>
      <w:kern w:val="32"/>
      <w:sz w:val="32"/>
      <w:szCs w:val="32"/>
    </w:rPr>
  </w:style>
  <w:style w:type="character" w:customStyle="1" w:styleId="FootnoteTextChar">
    <w:name w:val="Footnote Text Char"/>
    <w:basedOn w:val="DefaultParagraphFont"/>
    <w:link w:val="FootnoteText"/>
    <w:rsid w:val="00CD18D3"/>
    <w:rPr>
      <w:sz w:val="22"/>
      <w:lang w:eastAsia="en-US"/>
    </w:rPr>
  </w:style>
  <w:style w:type="character" w:customStyle="1" w:styleId="QuoteChar">
    <w:name w:val="Quote Char"/>
    <w:basedOn w:val="DefaultParagraphFont"/>
    <w:link w:val="Quote"/>
    <w:rsid w:val="00A27907"/>
    <w:rPr>
      <w:rFonts w:ascii="Calibri" w:hAnsi="Calibri"/>
      <w:sz w:val="24"/>
      <w:lang w:eastAsia="en-US"/>
    </w:rPr>
  </w:style>
  <w:style w:type="paragraph" w:customStyle="1" w:styleId="Footnote">
    <w:name w:val="Footnote"/>
    <w:basedOn w:val="FootnoteText"/>
    <w:link w:val="FootnoteChar"/>
    <w:qFormat/>
    <w:rsid w:val="00CD18D3"/>
    <w:pPr>
      <w:spacing w:after="120"/>
    </w:pPr>
    <w:rPr>
      <w:rFonts w:ascii="Calibri" w:hAnsi="Calibri"/>
    </w:rPr>
  </w:style>
  <w:style w:type="character" w:customStyle="1" w:styleId="FootnoteChar">
    <w:name w:val="Footnote Char"/>
    <w:basedOn w:val="FootnoteTextChar"/>
    <w:link w:val="Footnote"/>
    <w:rsid w:val="00CD18D3"/>
    <w:rPr>
      <w:rFonts w:ascii="Calibri" w:hAnsi="Calibri"/>
      <w:sz w:val="22"/>
      <w:lang w:eastAsia="en-US"/>
    </w:rPr>
  </w:style>
  <w:style w:type="character" w:customStyle="1" w:styleId="Heading3Char">
    <w:name w:val="Heading 3 Char"/>
    <w:basedOn w:val="DefaultParagraphFont"/>
    <w:link w:val="Heading3"/>
    <w:rsid w:val="000A1408"/>
    <w:rPr>
      <w:rFonts w:ascii="Calibri" w:hAnsi="Calibri"/>
      <w:b/>
      <w:sz w:val="28"/>
      <w:lang w:eastAsia="en-US"/>
    </w:rPr>
  </w:style>
  <w:style w:type="character" w:customStyle="1" w:styleId="Heading1Char">
    <w:name w:val="Heading 1 Char"/>
    <w:basedOn w:val="DefaultParagraphFont"/>
    <w:link w:val="Heading1"/>
    <w:rsid w:val="00CD18D3"/>
    <w:rPr>
      <w:rFonts w:ascii="Calibri" w:hAnsi="Calibri"/>
      <w:b/>
      <w:kern w:val="28"/>
      <w:sz w:val="40"/>
      <w:lang w:eastAsia="en-US"/>
    </w:rPr>
  </w:style>
  <w:style w:type="character" w:customStyle="1" w:styleId="Heading2Char">
    <w:name w:val="Heading 2 Char"/>
    <w:basedOn w:val="DefaultParagraphFont"/>
    <w:link w:val="Heading2"/>
    <w:rsid w:val="00CD18D3"/>
    <w:rPr>
      <w:rFonts w:ascii="Calibri" w:hAnsi="Calibri"/>
      <w:b/>
      <w:sz w:val="36"/>
      <w:lang w:eastAsia="en-US"/>
    </w:rPr>
  </w:style>
  <w:style w:type="character" w:customStyle="1" w:styleId="Heading4Char">
    <w:name w:val="Heading 4 Char"/>
    <w:basedOn w:val="DefaultParagraphFont"/>
    <w:link w:val="Heading4"/>
    <w:rsid w:val="00CD18D3"/>
    <w:rPr>
      <w:rFonts w:ascii="Calibri" w:hAnsi="Calibri"/>
      <w:b/>
      <w:i/>
      <w:sz w:val="26"/>
      <w:lang w:eastAsia="en-US"/>
    </w:rPr>
  </w:style>
  <w:style w:type="character" w:customStyle="1" w:styleId="Heading5Char">
    <w:name w:val="Heading 5 Char"/>
    <w:basedOn w:val="DefaultParagraphFont"/>
    <w:link w:val="Heading5"/>
    <w:rsid w:val="00CD18D3"/>
    <w:rPr>
      <w:rFonts w:ascii="Calibri" w:hAnsi="Calibri"/>
      <w:i/>
      <w:sz w:val="26"/>
      <w:lang w:eastAsia="en-US"/>
    </w:rPr>
  </w:style>
  <w:style w:type="character" w:customStyle="1" w:styleId="Heading6Char">
    <w:name w:val="Heading 6 Char"/>
    <w:basedOn w:val="DefaultParagraphFont"/>
    <w:link w:val="Heading6"/>
    <w:rsid w:val="00CD18D3"/>
    <w:rPr>
      <w:rFonts w:ascii="Calibri" w:hAnsi="Calibri"/>
      <w:i/>
      <w:sz w:val="22"/>
      <w:lang w:eastAsia="en-US"/>
    </w:rPr>
  </w:style>
  <w:style w:type="character" w:customStyle="1" w:styleId="Heading7Char">
    <w:name w:val="Heading 7 Char"/>
    <w:basedOn w:val="DefaultParagraphFont"/>
    <w:link w:val="Heading7"/>
    <w:rsid w:val="00CD18D3"/>
    <w:rPr>
      <w:rFonts w:ascii="Arial" w:hAnsi="Arial"/>
      <w:lang w:eastAsia="en-US"/>
    </w:rPr>
  </w:style>
  <w:style w:type="character" w:customStyle="1" w:styleId="Heading8Char">
    <w:name w:val="Heading 8 Char"/>
    <w:basedOn w:val="DefaultParagraphFont"/>
    <w:link w:val="Heading8"/>
    <w:rsid w:val="00CD18D3"/>
    <w:rPr>
      <w:rFonts w:ascii="Arial" w:hAnsi="Arial"/>
      <w:i/>
      <w:lang w:eastAsia="en-US"/>
    </w:rPr>
  </w:style>
  <w:style w:type="character" w:customStyle="1" w:styleId="Heading9Char">
    <w:name w:val="Heading 9 Char"/>
    <w:basedOn w:val="DefaultParagraphFont"/>
    <w:link w:val="Heading9"/>
    <w:rsid w:val="00CD18D3"/>
    <w:rPr>
      <w:rFonts w:ascii="Arial" w:hAnsi="Arial"/>
      <w:b/>
      <w:i/>
      <w:sz w:val="18"/>
      <w:lang w:eastAsia="en-US"/>
    </w:rPr>
  </w:style>
  <w:style w:type="character" w:customStyle="1" w:styleId="HeaderChar">
    <w:name w:val="Header Char"/>
    <w:basedOn w:val="DefaultParagraphFont"/>
    <w:link w:val="Header"/>
    <w:semiHidden/>
    <w:rsid w:val="00CD18D3"/>
    <w:rPr>
      <w:rFonts w:ascii="Calibri" w:hAnsi="Calibri"/>
      <w:sz w:val="22"/>
      <w:lang w:eastAsia="en-US"/>
    </w:rPr>
  </w:style>
  <w:style w:type="character" w:customStyle="1" w:styleId="FooterChar">
    <w:name w:val="Footer Char"/>
    <w:basedOn w:val="DefaultParagraphFont"/>
    <w:link w:val="Footer"/>
    <w:uiPriority w:val="99"/>
    <w:rsid w:val="00CD18D3"/>
    <w:rPr>
      <w:rFonts w:ascii="Calibri" w:hAnsi="Calibri"/>
      <w:sz w:val="22"/>
      <w:lang w:eastAsia="en-US"/>
    </w:rPr>
  </w:style>
  <w:style w:type="character" w:customStyle="1" w:styleId="EndnoteTextChar">
    <w:name w:val="Endnote Text Char"/>
    <w:basedOn w:val="DefaultParagraphFont"/>
    <w:link w:val="EndnoteText"/>
    <w:semiHidden/>
    <w:rsid w:val="00CD18D3"/>
    <w:rPr>
      <w:rFonts w:ascii="Calibri" w:hAnsi="Calibri"/>
      <w:lang w:eastAsia="en-US"/>
    </w:rPr>
  </w:style>
  <w:style w:type="character" w:customStyle="1" w:styleId="BalloonTextChar">
    <w:name w:val="Balloon Text Char"/>
    <w:basedOn w:val="DefaultParagraphFont"/>
    <w:link w:val="BalloonText"/>
    <w:semiHidden/>
    <w:rsid w:val="00CD18D3"/>
    <w:rPr>
      <w:rFonts w:ascii="Tahoma" w:hAnsi="Tahoma" w:cs="Tahoma"/>
      <w:sz w:val="16"/>
      <w:szCs w:val="16"/>
      <w:lang w:eastAsia="en-US"/>
    </w:rPr>
  </w:style>
  <w:style w:type="character" w:customStyle="1" w:styleId="BodyTextChar">
    <w:name w:val="Body Text Char"/>
    <w:basedOn w:val="DefaultParagraphFont"/>
    <w:link w:val="BodyText"/>
    <w:semiHidden/>
    <w:rsid w:val="00CD18D3"/>
    <w:rPr>
      <w:rFonts w:ascii="Calibri" w:hAnsi="Calibri"/>
      <w:sz w:val="26"/>
      <w:lang w:eastAsia="en-US"/>
    </w:rPr>
  </w:style>
  <w:style w:type="character" w:customStyle="1" w:styleId="BodyText2Char">
    <w:name w:val="Body Text 2 Char"/>
    <w:basedOn w:val="DefaultParagraphFont"/>
    <w:link w:val="BodyText2"/>
    <w:semiHidden/>
    <w:rsid w:val="00CD18D3"/>
    <w:rPr>
      <w:rFonts w:ascii="Calibri" w:hAnsi="Calibri"/>
      <w:sz w:val="26"/>
      <w:lang w:eastAsia="en-US"/>
    </w:rPr>
  </w:style>
  <w:style w:type="character" w:customStyle="1" w:styleId="BodyText3Char">
    <w:name w:val="Body Text 3 Char"/>
    <w:basedOn w:val="DefaultParagraphFont"/>
    <w:link w:val="BodyText3"/>
    <w:semiHidden/>
    <w:rsid w:val="00CD18D3"/>
    <w:rPr>
      <w:rFonts w:ascii="Calibri" w:hAnsi="Calibri"/>
      <w:sz w:val="16"/>
      <w:szCs w:val="16"/>
      <w:lang w:eastAsia="en-US"/>
    </w:rPr>
  </w:style>
  <w:style w:type="character" w:customStyle="1" w:styleId="BodyTextFirstIndentChar">
    <w:name w:val="Body Text First Indent Char"/>
    <w:basedOn w:val="BodyTextChar"/>
    <w:link w:val="BodyTextFirstIndent"/>
    <w:semiHidden/>
    <w:rsid w:val="00CD18D3"/>
    <w:rPr>
      <w:rFonts w:ascii="Calibri" w:hAnsi="Calibri"/>
      <w:sz w:val="26"/>
      <w:lang w:eastAsia="en-US"/>
    </w:rPr>
  </w:style>
  <w:style w:type="character" w:customStyle="1" w:styleId="BodyTextIndentChar">
    <w:name w:val="Body Text Indent Char"/>
    <w:basedOn w:val="DefaultParagraphFont"/>
    <w:link w:val="BodyTextIndent"/>
    <w:semiHidden/>
    <w:rsid w:val="00CD18D3"/>
    <w:rPr>
      <w:rFonts w:ascii="Calibri" w:hAnsi="Calibri"/>
      <w:sz w:val="26"/>
      <w:lang w:eastAsia="en-US"/>
    </w:rPr>
  </w:style>
  <w:style w:type="character" w:customStyle="1" w:styleId="BodyTextFirstIndent2Char">
    <w:name w:val="Body Text First Indent 2 Char"/>
    <w:basedOn w:val="BodyTextIndentChar"/>
    <w:link w:val="BodyTextFirstIndent2"/>
    <w:semiHidden/>
    <w:rsid w:val="00CD18D3"/>
    <w:rPr>
      <w:rFonts w:ascii="Calibri" w:hAnsi="Calibri"/>
      <w:sz w:val="26"/>
      <w:lang w:eastAsia="en-US"/>
    </w:rPr>
  </w:style>
  <w:style w:type="character" w:customStyle="1" w:styleId="BodyTextIndent2Char">
    <w:name w:val="Body Text Indent 2 Char"/>
    <w:basedOn w:val="DefaultParagraphFont"/>
    <w:link w:val="BodyTextIndent2"/>
    <w:semiHidden/>
    <w:rsid w:val="00CD18D3"/>
    <w:rPr>
      <w:rFonts w:ascii="Calibri" w:hAnsi="Calibri"/>
      <w:sz w:val="26"/>
      <w:lang w:eastAsia="en-US"/>
    </w:rPr>
  </w:style>
  <w:style w:type="character" w:customStyle="1" w:styleId="BodyTextIndent3Char">
    <w:name w:val="Body Text Indent 3 Char"/>
    <w:basedOn w:val="DefaultParagraphFont"/>
    <w:link w:val="BodyTextIndent3"/>
    <w:semiHidden/>
    <w:rsid w:val="00CD18D3"/>
    <w:rPr>
      <w:rFonts w:ascii="Calibri" w:hAnsi="Calibri"/>
      <w:sz w:val="16"/>
      <w:szCs w:val="16"/>
      <w:lang w:eastAsia="en-US"/>
    </w:rPr>
  </w:style>
  <w:style w:type="character" w:customStyle="1" w:styleId="ClosingChar">
    <w:name w:val="Closing Char"/>
    <w:basedOn w:val="DefaultParagraphFont"/>
    <w:link w:val="Closing"/>
    <w:semiHidden/>
    <w:rsid w:val="00CD18D3"/>
    <w:rPr>
      <w:rFonts w:ascii="Calibri" w:hAnsi="Calibri"/>
      <w:sz w:val="26"/>
      <w:lang w:eastAsia="en-US"/>
    </w:rPr>
  </w:style>
  <w:style w:type="character" w:customStyle="1" w:styleId="CommentTextChar">
    <w:name w:val="Comment Text Char"/>
    <w:basedOn w:val="DefaultParagraphFont"/>
    <w:link w:val="CommentText"/>
    <w:semiHidden/>
    <w:rsid w:val="00CD18D3"/>
    <w:rPr>
      <w:rFonts w:ascii="Calibri" w:hAnsi="Calibri"/>
      <w:lang w:eastAsia="en-US"/>
    </w:rPr>
  </w:style>
  <w:style w:type="character" w:customStyle="1" w:styleId="CommentSubjectChar">
    <w:name w:val="Comment Subject Char"/>
    <w:basedOn w:val="CommentTextChar"/>
    <w:link w:val="CommentSubject"/>
    <w:semiHidden/>
    <w:rsid w:val="00CD18D3"/>
    <w:rPr>
      <w:rFonts w:ascii="Calibri" w:hAnsi="Calibri"/>
      <w:b/>
      <w:bCs/>
      <w:lang w:eastAsia="en-US"/>
    </w:rPr>
  </w:style>
  <w:style w:type="character" w:customStyle="1" w:styleId="DateChar">
    <w:name w:val="Date Char"/>
    <w:basedOn w:val="DefaultParagraphFont"/>
    <w:link w:val="Date"/>
    <w:semiHidden/>
    <w:rsid w:val="00CD18D3"/>
    <w:rPr>
      <w:rFonts w:ascii="Calibri" w:hAnsi="Calibri"/>
      <w:sz w:val="26"/>
      <w:lang w:eastAsia="en-US"/>
    </w:rPr>
  </w:style>
  <w:style w:type="character" w:customStyle="1" w:styleId="DocumentMapChar">
    <w:name w:val="Document Map Char"/>
    <w:basedOn w:val="DefaultParagraphFont"/>
    <w:link w:val="DocumentMap"/>
    <w:semiHidden/>
    <w:rsid w:val="00CD18D3"/>
    <w:rPr>
      <w:rFonts w:ascii="Tahoma" w:hAnsi="Tahoma" w:cs="Tahoma"/>
      <w:shd w:val="clear" w:color="auto" w:fill="000080"/>
      <w:lang w:eastAsia="en-US"/>
    </w:rPr>
  </w:style>
  <w:style w:type="character" w:customStyle="1" w:styleId="E-mailSignatureChar">
    <w:name w:val="E-mail Signature Char"/>
    <w:basedOn w:val="DefaultParagraphFont"/>
    <w:link w:val="E-mailSignature"/>
    <w:semiHidden/>
    <w:rsid w:val="00CD18D3"/>
    <w:rPr>
      <w:rFonts w:ascii="Calibri" w:hAnsi="Calibri"/>
      <w:sz w:val="26"/>
      <w:lang w:eastAsia="en-US"/>
    </w:rPr>
  </w:style>
  <w:style w:type="character" w:customStyle="1" w:styleId="HTMLAddressChar">
    <w:name w:val="HTML Address Char"/>
    <w:basedOn w:val="DefaultParagraphFont"/>
    <w:link w:val="HTMLAddress"/>
    <w:semiHidden/>
    <w:rsid w:val="00CD18D3"/>
    <w:rPr>
      <w:rFonts w:ascii="Calibri" w:hAnsi="Calibri"/>
      <w:i/>
      <w:iCs/>
      <w:sz w:val="26"/>
      <w:lang w:eastAsia="en-US"/>
    </w:rPr>
  </w:style>
  <w:style w:type="character" w:customStyle="1" w:styleId="HTMLPreformattedChar">
    <w:name w:val="HTML Preformatted Char"/>
    <w:basedOn w:val="DefaultParagraphFont"/>
    <w:link w:val="HTMLPreformatted"/>
    <w:semiHidden/>
    <w:rsid w:val="00CD18D3"/>
    <w:rPr>
      <w:rFonts w:ascii="Courier New" w:hAnsi="Courier New" w:cs="Courier New"/>
      <w:lang w:eastAsia="en-US"/>
    </w:rPr>
  </w:style>
  <w:style w:type="character" w:customStyle="1" w:styleId="MacroTextChar">
    <w:name w:val="Macro Text Char"/>
    <w:basedOn w:val="DefaultParagraphFont"/>
    <w:link w:val="MacroText"/>
    <w:semiHidden/>
    <w:rsid w:val="00CD18D3"/>
    <w:rPr>
      <w:rFonts w:ascii="Courier New" w:hAnsi="Courier New" w:cs="Courier New"/>
      <w:lang w:eastAsia="en-US"/>
    </w:rPr>
  </w:style>
  <w:style w:type="character" w:customStyle="1" w:styleId="MessageHeaderChar">
    <w:name w:val="Message Header Char"/>
    <w:basedOn w:val="DefaultParagraphFont"/>
    <w:link w:val="MessageHeader"/>
    <w:semiHidden/>
    <w:rsid w:val="00CD18D3"/>
    <w:rPr>
      <w:rFonts w:ascii="Arial" w:hAnsi="Arial" w:cs="Arial"/>
      <w:sz w:val="24"/>
      <w:szCs w:val="24"/>
      <w:shd w:val="pct20" w:color="auto" w:fill="auto"/>
      <w:lang w:eastAsia="en-US"/>
    </w:rPr>
  </w:style>
  <w:style w:type="character" w:customStyle="1" w:styleId="NoteHeadingChar">
    <w:name w:val="Note Heading Char"/>
    <w:basedOn w:val="DefaultParagraphFont"/>
    <w:link w:val="NoteHeading"/>
    <w:semiHidden/>
    <w:rsid w:val="00CD18D3"/>
    <w:rPr>
      <w:rFonts w:ascii="Calibri" w:hAnsi="Calibri"/>
      <w:sz w:val="26"/>
      <w:lang w:eastAsia="en-US"/>
    </w:rPr>
  </w:style>
  <w:style w:type="character" w:customStyle="1" w:styleId="PlainTextChar">
    <w:name w:val="Plain Text Char"/>
    <w:basedOn w:val="DefaultParagraphFont"/>
    <w:link w:val="PlainText"/>
    <w:semiHidden/>
    <w:rsid w:val="00CD18D3"/>
    <w:rPr>
      <w:rFonts w:ascii="Courier New" w:hAnsi="Courier New" w:cs="Courier New"/>
      <w:lang w:eastAsia="en-US"/>
    </w:rPr>
  </w:style>
  <w:style w:type="character" w:customStyle="1" w:styleId="SalutationChar">
    <w:name w:val="Salutation Char"/>
    <w:basedOn w:val="DefaultParagraphFont"/>
    <w:link w:val="Salutation"/>
    <w:semiHidden/>
    <w:rsid w:val="00CD18D3"/>
    <w:rPr>
      <w:rFonts w:ascii="Calibri" w:hAnsi="Calibri"/>
      <w:sz w:val="26"/>
      <w:lang w:eastAsia="en-US"/>
    </w:rPr>
  </w:style>
  <w:style w:type="character" w:customStyle="1" w:styleId="SignatureChar">
    <w:name w:val="Signature Char"/>
    <w:basedOn w:val="DefaultParagraphFont"/>
    <w:link w:val="Signature"/>
    <w:semiHidden/>
    <w:rsid w:val="00CD18D3"/>
    <w:rPr>
      <w:rFonts w:ascii="Calibri" w:hAnsi="Calibri"/>
      <w:sz w:val="26"/>
      <w:lang w:eastAsia="en-US"/>
    </w:rPr>
  </w:style>
  <w:style w:type="character" w:customStyle="1" w:styleId="SubtitleChar">
    <w:name w:val="Subtitle Char"/>
    <w:basedOn w:val="DefaultParagraphFont"/>
    <w:link w:val="Subtitle"/>
    <w:rsid w:val="00CD18D3"/>
    <w:rPr>
      <w:rFonts w:ascii="Arial" w:hAnsi="Arial" w:cs="Arial"/>
      <w:sz w:val="24"/>
      <w:szCs w:val="24"/>
      <w:lang w:eastAsia="en-US"/>
    </w:rPr>
  </w:style>
  <w:style w:type="character" w:customStyle="1" w:styleId="TitleChar">
    <w:name w:val="Title Char"/>
    <w:basedOn w:val="DefaultParagraphFont"/>
    <w:link w:val="Title"/>
    <w:rsid w:val="00CD18D3"/>
    <w:rPr>
      <w:rFonts w:ascii="Arial" w:hAnsi="Arial" w:cs="Arial"/>
      <w:b/>
      <w:bCs/>
      <w:kern w:val="28"/>
      <w:sz w:val="32"/>
      <w:szCs w:val="32"/>
      <w:lang w:eastAsia="en-US"/>
    </w:rPr>
  </w:style>
  <w:style w:type="table" w:customStyle="1" w:styleId="TableGrid10">
    <w:name w:val="Table Grid1"/>
    <w:basedOn w:val="TableNormal"/>
    <w:next w:val="TableGrid"/>
    <w:locked/>
    <w:rsid w:val="00CD18D3"/>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NP2">
    <w:name w:val="JNP2"/>
    <w:basedOn w:val="Normal"/>
    <w:rsid w:val="00CD18D3"/>
    <w:pPr>
      <w:spacing w:before="0" w:after="0"/>
      <w:ind w:left="2268"/>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5551721">
      <w:bodyDiv w:val="1"/>
      <w:marLeft w:val="0"/>
      <w:marRight w:val="0"/>
      <w:marTop w:val="0"/>
      <w:marBottom w:val="0"/>
      <w:divBdr>
        <w:top w:val="none" w:sz="0" w:space="0" w:color="auto"/>
        <w:left w:val="none" w:sz="0" w:space="0" w:color="auto"/>
        <w:bottom w:val="none" w:sz="0" w:space="0" w:color="auto"/>
        <w:right w:val="none" w:sz="0" w:space="0" w:color="auto"/>
      </w:divBdr>
    </w:div>
    <w:div w:id="212160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yperlink" Target="https://www.nata.com.au/nata/about-nata/agreements" TargetMode="Externa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6.xml"/><Relationship Id="rId29" Type="http://schemas.openxmlformats.org/officeDocument/2006/relationships/hyperlink" Target="http://www.fsc.gov.au/sites/FSC/Resources/AZ/Documents/Federal_Safety_Officer_Code_of_Conduct.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yperlink" Target="http://www.education.gov.au/vet-student-loans" TargetMode="Externa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yperlink" Target="http://www.saiglobal.com" TargetMode="Externa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yperlink" Target="https://docs.employment.gov.au/system/files/doc/other/jobactive_deed%20_2015-2020_-_general_deed_variation_5.pdf."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hyperlink" Target="http://www.acma.gov.au/~/media/Finance%20Budgets%20and%20Revenue%20Assurance/Report/Word%20Document/DNCR_CRIS_2017%20docx.docx"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aph.gov.au/Parliamentary_Business/Committees/Senate/Regulations_and_Ordinances/Guidelines/Guideline_on_incorporation_of_documents" TargetMode="External"/><Relationship Id="rId13" Type="http://schemas.openxmlformats.org/officeDocument/2006/relationships/hyperlink" Target="http://www.aph.gov.au/Parliamentary_Business/Committees/Senate/Regulations_and_Ordinances/Guidelines/Guideline_on_incorporation_of_documents" TargetMode="External"/><Relationship Id="rId18" Type="http://schemas.openxmlformats.org/officeDocument/2006/relationships/hyperlink" Target="http://www.aph.gov.au/regords_monitor" TargetMode="External"/><Relationship Id="rId26" Type="http://schemas.openxmlformats.org/officeDocument/2006/relationships/hyperlink" Target="http://www.aph.gov.au/regords_monitor" TargetMode="External"/><Relationship Id="rId39" Type="http://schemas.openxmlformats.org/officeDocument/2006/relationships/hyperlink" Target="http://www.aph.gov.au/Parliamentary_Business/Committees/Senate/Regulations_and_Ordinances/Guidelines/Guideline_on_incorporation_of_documents" TargetMode="External"/><Relationship Id="rId3" Type="http://schemas.openxmlformats.org/officeDocument/2006/relationships/hyperlink" Target="http://www.aph.gov.au/Parliamentary_Business/Committees/Senate/Regulations_and_Ordinances/Guidelines" TargetMode="External"/><Relationship Id="rId21" Type="http://schemas.openxmlformats.org/officeDocument/2006/relationships/hyperlink" Target="http://treasury.gov.au/ConsultationsandReviews/Consultations/2017/Proposed-Financial-Institutions-Supervisory-Levies-for-201718" TargetMode="External"/><Relationship Id="rId34" Type="http://schemas.openxmlformats.org/officeDocument/2006/relationships/hyperlink" Target="http://www.aph.gov.au/Parliamentary_Business/Committees/Senate/Regulations_and_Ordinances/Guidelines/Guideline_on_incorporation_of_documents" TargetMode="External"/><Relationship Id="rId42" Type="http://schemas.openxmlformats.org/officeDocument/2006/relationships/hyperlink" Target="http://www.aph.gov.au/Parliamentary_Business/Committees/Senate/Regulations_and_Ordinances/Guidelines/Guideline_on_incorporation_of_documents" TargetMode="External"/><Relationship Id="rId7" Type="http://schemas.openxmlformats.org/officeDocument/2006/relationships/hyperlink" Target="http://www.aph.gov.au/Parliamentary_Business/Committees/Senate/Regulations_and_Ordinances/Guidelines" TargetMode="External"/><Relationship Id="rId12" Type="http://schemas.openxmlformats.org/officeDocument/2006/relationships/hyperlink" Target="http://www.aph.gov.au/Parliamentary_Business/Committees/Senate/Regulations_and_Ordinances/Guidelines/Guideline_on_incorporation_of_documents" TargetMode="External"/><Relationship Id="rId17" Type="http://schemas.openxmlformats.org/officeDocument/2006/relationships/hyperlink" Target="http://www.aph.gov.au/Parliamentary_Business/Committees/Senate/Regulations_and_Ordinances/Guidelines/consultation" TargetMode="External"/><Relationship Id="rId25" Type="http://schemas.openxmlformats.org/officeDocument/2006/relationships/hyperlink" Target="http://www.aph.gov.au/Parliamentary_Business/Committees/Senate/Regulations_and_Ordinances/Guidelines/Guideline_on_incorporation_of_documents" TargetMode="External"/><Relationship Id="rId33" Type="http://schemas.openxmlformats.org/officeDocument/2006/relationships/hyperlink" Target="http://www.aph.gov.au/Parliamentary_Business/Committees/Senate/Regulations_and_Ordinances/Guidelines/Guideline_on_incorporation_of_documents" TargetMode="External"/><Relationship Id="rId38" Type="http://schemas.openxmlformats.org/officeDocument/2006/relationships/hyperlink" Target="http://ris.pmc.gov.au/2017/04/05/prime-minister%E2%80%99s-exemption-%E2%80%93-sugar-industry-code" TargetMode="External"/><Relationship Id="rId2" Type="http://schemas.openxmlformats.org/officeDocument/2006/relationships/hyperlink" Target="http://www.aph.gov.au/regords_monitor" TargetMode="External"/><Relationship Id="rId16" Type="http://schemas.openxmlformats.org/officeDocument/2006/relationships/hyperlink" Target="http://www.aph.gov.au/Parliamentary_Business/Committees/Senate/Regulations_and_Ordinances/Guidelines/Guideline_on_incorporation_of_documents" TargetMode="External"/><Relationship Id="rId20" Type="http://schemas.openxmlformats.org/officeDocument/2006/relationships/hyperlink" Target="http://www.aph.gov.au/Parliamentary_Business/Committees/Senate/Regulations_and_Ordinances/Guidelines/Guideline_on_incorporation_of_documents" TargetMode="External"/><Relationship Id="rId29" Type="http://schemas.openxmlformats.org/officeDocument/2006/relationships/hyperlink" Target="http://www.aph.gov.au/Parliamentary_Business/Committees/Senate/Regulations_and_Ordinances/Guidelines/Guideline_on_incorporation_of_documents" TargetMode="External"/><Relationship Id="rId41" Type="http://schemas.openxmlformats.org/officeDocument/2006/relationships/hyperlink" Target="http://www.aph.gov.au/Parliamentary_Business/Committees/Senate/Regulations_and_Ordinances/Guidelines/consultation" TargetMode="External"/><Relationship Id="rId1" Type="http://schemas.openxmlformats.org/officeDocument/2006/relationships/hyperlink" Target="http://www.aph.gov.au/Parliamentary_Business/Committees/Senate/Regulations_and_Ordinances/Index" TargetMode="External"/><Relationship Id="rId6" Type="http://schemas.openxmlformats.org/officeDocument/2006/relationships/hyperlink" Target="http://www.aph.gov.au/Parliamentary_Business/Committees/Senate/Regulations_and_Ordinances/Alerts" TargetMode="External"/><Relationship Id="rId11" Type="http://schemas.openxmlformats.org/officeDocument/2006/relationships/hyperlink" Target="https://standards.ieee.org/about/get/802/802.11.html" TargetMode="External"/><Relationship Id="rId24" Type="http://schemas.openxmlformats.org/officeDocument/2006/relationships/hyperlink" Target="http://www.aph.gov.au/Parliamentary_Business/Committees/Senate/Regulations_and_Ordinances/Guidelines/Guideline_on_incorporation_of_documents" TargetMode="External"/><Relationship Id="rId32" Type="http://schemas.openxmlformats.org/officeDocument/2006/relationships/hyperlink" Target="http://www.aph.gov.au/Parliamentary_Business/Committees/Senate/Regulations_and_Ordinances/Guidelines/Guideline_on_incorporation_of_documents" TargetMode="External"/><Relationship Id="rId37" Type="http://schemas.openxmlformats.org/officeDocument/2006/relationships/hyperlink" Target="http://www.aph.gov.au/Parliamentary_Business/Committees/Senate/Regulations_and_Ordinances/Alerts" TargetMode="External"/><Relationship Id="rId40" Type="http://schemas.openxmlformats.org/officeDocument/2006/relationships/hyperlink" Target="http://www.aph.gov.au/Parliamentary_Business/Committees/Senate/Regulations_and_Ordinances/Guidelines/consultation" TargetMode="External"/><Relationship Id="rId5" Type="http://schemas.openxmlformats.org/officeDocument/2006/relationships/hyperlink" Target="http://www.aph.gov.au/Parliamentary_Business/Bills_Legislation/leginstruments/Senate_Disallowable_Instruments_List" TargetMode="External"/><Relationship Id="rId15" Type="http://schemas.openxmlformats.org/officeDocument/2006/relationships/hyperlink" Target="https://www.sprfmo.int/conservation-measures/" TargetMode="External"/><Relationship Id="rId23" Type="http://schemas.openxmlformats.org/officeDocument/2006/relationships/hyperlink" Target="http://www.aph.gov.au/Parliamentary_Business/Committees/Senate/Regulations_and_Ordinances/Guidelines/consultation" TargetMode="External"/><Relationship Id="rId28" Type="http://schemas.openxmlformats.org/officeDocument/2006/relationships/hyperlink" Target="http://www.parliament.wa.gov.au/Parliament/commit.nsf/%20(Report+Lookup+by+Com+ID)/416D0BF968BDB17048257FDB0009BEF9/$file/dg.asa.160616.rpf.084.xx.pdf" TargetMode="External"/><Relationship Id="rId36" Type="http://schemas.openxmlformats.org/officeDocument/2006/relationships/hyperlink" Target="http://www.aph.gov.au/Parliamentary_Business/Committees/Senate/Regulations_and_Ordinances/Alerts" TargetMode="External"/><Relationship Id="rId10" Type="http://schemas.openxmlformats.org/officeDocument/2006/relationships/hyperlink" Target="http://www.aph.gov.au/Parliamentary_Business/Committees/Senate/Regulations_and_Ordinances/Guidelines/Guideline_on_incorporation_of_documents" TargetMode="External"/><Relationship Id="rId19" Type="http://schemas.openxmlformats.org/officeDocument/2006/relationships/hyperlink" Target="http://www.aph.gov.au/Parliamentary_Business/Committees/Senate/Regulations_and_Ordinances/Alerts" TargetMode="External"/><Relationship Id="rId31" Type="http://schemas.openxmlformats.org/officeDocument/2006/relationships/hyperlink" Target="http://www.auasb.gov.au/Pronouncements/Framework-for-Assurance-engagements.aspx" TargetMode="External"/><Relationship Id="rId4" Type="http://schemas.openxmlformats.org/officeDocument/2006/relationships/hyperlink" Target="http://www.legislation.gov.au" TargetMode="External"/><Relationship Id="rId9" Type="http://schemas.openxmlformats.org/officeDocument/2006/relationships/hyperlink" Target="http://westernsydneyairport.gov.au/about/airport-plan/index.aspx" TargetMode="External"/><Relationship Id="rId14" Type="http://schemas.openxmlformats.org/officeDocument/2006/relationships/hyperlink" Target="https://www.ccamlr.org/en/conservation-and-management/browse-conservation-measures" TargetMode="External"/><Relationship Id="rId22" Type="http://schemas.openxmlformats.org/officeDocument/2006/relationships/hyperlink" Target="http://www.aph.gov.au/Parliamentary_Business/Committees/Senate/Regulations_and_Ordinances/Guidelines/consultation" TargetMode="External"/><Relationship Id="rId27" Type="http://schemas.openxmlformats.org/officeDocument/2006/relationships/hyperlink" Target="http://www.aph.gov.au/Parliamentary_Business/Committees/Senate/Regulations_and_Ordinances/Guidelines/Guideline_on_incorporation_of_documents" TargetMode="External"/><Relationship Id="rId30" Type="http://schemas.openxmlformats.org/officeDocument/2006/relationships/hyperlink" Target="http://www.parliament.wa.gov.au/Parliament/commit.nsf/%20(Report+Lookup+by+Com+ID)/416D0BF968BDB17048257FDB0009BEF9/$file/dg.asa.160616.rpf.084.xx.pdf" TargetMode="External"/><Relationship Id="rId35" Type="http://schemas.openxmlformats.org/officeDocument/2006/relationships/hyperlink" Target="http://www.aph.gov.au/Parliamentary_Business/Committees/Senate/Regulations_and_Ordinances/Guidelines/Guideline_on_incorporation_of_documen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vgicm\AppData\Roaming\Microsoft\Templates\RO%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4BF4A-F242-4E31-907D-06DE8CD3C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 template.dotm</Template>
  <TotalTime>1673</TotalTime>
  <Pages>105</Pages>
  <Words>29140</Words>
  <Characters>168364</Characters>
  <Application>Microsoft Office Word</Application>
  <DocSecurity>0</DocSecurity>
  <Lines>1403</Lines>
  <Paragraphs>394</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197110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Strout, Jessica (SEN)</dc:creator>
  <cp:lastModifiedBy>kavgicm</cp:lastModifiedBy>
  <cp:revision>183</cp:revision>
  <cp:lastPrinted>2017-09-05T05:14:00Z</cp:lastPrinted>
  <dcterms:created xsi:type="dcterms:W3CDTF">2017-02-13T00:35:00Z</dcterms:created>
  <dcterms:modified xsi:type="dcterms:W3CDTF">2017-09-06T06:19:00Z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6.7</vt:lpwstr>
  </property>
  <property fmtid="{D5CDD505-2E9C-101B-9397-08002B2CF9AE}" pid="3" name="Date">
    <vt:lpwstr>March 2004</vt:lpwstr>
  </property>
  <property fmtid="{D5CDD505-2E9C-101B-9397-08002B2CF9AE}" pid="4" name="Chapter">
    <vt:i4>1</vt:i4>
  </property>
</Properties>
</file>