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w:t>
      </w:r>
      <w:r w:rsidR="00BA2D27">
        <w:rPr>
          <w:sz w:val="24"/>
          <w:szCs w:val="24"/>
        </w:rPr>
        <w:t>6</w:t>
      </w:r>
      <w:r>
        <w:rPr>
          <w:sz w:val="24"/>
          <w:szCs w:val="24"/>
        </w:rPr>
        <w:t xml:space="preserve"> of 201</w:t>
      </w:r>
      <w:r w:rsidR="00B73A09">
        <w:rPr>
          <w:sz w:val="24"/>
          <w:szCs w:val="24"/>
        </w:rPr>
        <w:t>6</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F64B8D">
        <w:rPr>
          <w:sz w:val="28"/>
        </w:rPr>
        <w:t>14 September</w:t>
      </w:r>
      <w:r w:rsidR="00AB1147">
        <w:rPr>
          <w:sz w:val="28"/>
        </w:rPr>
        <w:t xml:space="preserve"> </w:t>
      </w:r>
      <w:r w:rsidRPr="00BF4D76">
        <w:rPr>
          <w:rFonts w:ascii="Frutiger 55 roman" w:hAnsi="Frutiger 55 roman" w:cs="Calibri"/>
          <w:sz w:val="28"/>
        </w:rPr>
        <w:t>201</w:t>
      </w:r>
      <w:r w:rsidR="00972135">
        <w:rPr>
          <w:rFonts w:ascii="Frutiger 55 roman" w:hAnsi="Frutiger 55 roman" w:cs="Calibri"/>
          <w:sz w:val="28"/>
        </w:rPr>
        <w:t>6</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204433">
        <w:rPr>
          <w:spacing w:val="-3"/>
          <w:sz w:val="24"/>
          <w:szCs w:val="24"/>
        </w:rPr>
        <w:t>6</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3511B6" w:rsidRDefault="003511B6">
      <w:pPr>
        <w:spacing w:after="0"/>
        <w:jc w:val="left"/>
      </w:pPr>
      <w:r>
        <w:br w:type="page"/>
      </w:r>
    </w:p>
    <w:p w:rsidR="003511B6" w:rsidRDefault="003511B6" w:rsidP="00325264">
      <w:pPr>
        <w:sectPr w:rsidR="003511B6"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630D81" w:rsidRDefault="00630D81" w:rsidP="00630D81">
      <w:pPr>
        <w:pStyle w:val="Heading1"/>
      </w:pPr>
      <w:bookmarkStart w:id="0" w:name="_Toc340231481"/>
      <w:r>
        <w:lastRenderedPageBreak/>
        <w:t>Membership of the committee</w:t>
      </w:r>
      <w:bookmarkEnd w:id="0"/>
    </w:p>
    <w:p w:rsidR="00630D81" w:rsidRDefault="00630D81" w:rsidP="00630D81">
      <w:pPr>
        <w:spacing w:after="0"/>
      </w:pPr>
    </w:p>
    <w:p w:rsidR="00630D81" w:rsidRDefault="00630D81" w:rsidP="00630D81">
      <w:pPr>
        <w:spacing w:after="0"/>
      </w:pPr>
    </w:p>
    <w:p w:rsidR="00630D81" w:rsidRDefault="00630D81" w:rsidP="00630D81">
      <w:pPr>
        <w:spacing w:after="0"/>
      </w:pPr>
    </w:p>
    <w:p w:rsidR="00630D81" w:rsidRDefault="00630D81" w:rsidP="00630D81">
      <w:pPr>
        <w:spacing w:after="0"/>
      </w:pPr>
    </w:p>
    <w:p w:rsidR="00630D81" w:rsidRDefault="00630D81" w:rsidP="00630D81">
      <w:pPr>
        <w:spacing w:after="0"/>
      </w:pPr>
    </w:p>
    <w:p w:rsidR="00630D81" w:rsidRPr="008A46B0" w:rsidRDefault="00630D81" w:rsidP="00630D81">
      <w:pPr>
        <w:tabs>
          <w:tab w:val="left" w:pos="4536"/>
        </w:tabs>
        <w:outlineLvl w:val="0"/>
        <w:rPr>
          <w:b/>
        </w:rPr>
      </w:pPr>
      <w:bookmarkStart w:id="1" w:name="_Toc340231482"/>
      <w:r>
        <w:rPr>
          <w:b/>
        </w:rPr>
        <w:t>Current m</w:t>
      </w:r>
      <w:r w:rsidRPr="008A46B0">
        <w:rPr>
          <w:b/>
        </w:rPr>
        <w:t>embers</w:t>
      </w:r>
      <w:bookmarkEnd w:id="1"/>
    </w:p>
    <w:p w:rsidR="00630D81" w:rsidRPr="001F6A19" w:rsidRDefault="00630D81" w:rsidP="00630D81">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630D81" w:rsidRPr="001F6A19" w:rsidRDefault="00630D81" w:rsidP="00630D81">
      <w:pPr>
        <w:pStyle w:val="JNP2"/>
        <w:tabs>
          <w:tab w:val="right" w:pos="9026"/>
        </w:tabs>
        <w:ind w:left="0"/>
        <w:rPr>
          <w:sz w:val="24"/>
          <w:szCs w:val="24"/>
          <w:lang w:val="en-AU"/>
        </w:rPr>
      </w:pPr>
      <w:r>
        <w:rPr>
          <w:sz w:val="24"/>
          <w:szCs w:val="24"/>
          <w:lang w:val="en-AU"/>
        </w:rPr>
        <w:t>Senator Gavin Marshall</w:t>
      </w:r>
      <w:r>
        <w:rPr>
          <w:sz w:val="24"/>
          <w:szCs w:val="24"/>
          <w:lang w:val="en-AU"/>
        </w:rPr>
        <w:tab/>
        <w:t>Victoria, ALP</w:t>
      </w:r>
    </w:p>
    <w:p w:rsidR="00630D81" w:rsidRDefault="00630D81" w:rsidP="00630D81">
      <w:pPr>
        <w:pStyle w:val="JNP2"/>
        <w:tabs>
          <w:tab w:val="right" w:pos="9026"/>
        </w:tabs>
        <w:ind w:left="0"/>
        <w:rPr>
          <w:sz w:val="24"/>
          <w:szCs w:val="24"/>
          <w:lang w:val="en-AU"/>
        </w:rPr>
      </w:pPr>
      <w:r>
        <w:rPr>
          <w:sz w:val="24"/>
          <w:szCs w:val="24"/>
          <w:lang w:val="en-AU"/>
        </w:rPr>
        <w:t>Senator Anthony Chisholm</w:t>
      </w:r>
      <w:r>
        <w:rPr>
          <w:sz w:val="24"/>
          <w:szCs w:val="24"/>
          <w:lang w:val="en-AU"/>
        </w:rPr>
        <w:tab/>
        <w:t>Queensland, ALP</w:t>
      </w:r>
    </w:p>
    <w:p w:rsidR="00630D81" w:rsidRDefault="00630D81" w:rsidP="00630D81">
      <w:pPr>
        <w:pStyle w:val="JNP2"/>
        <w:tabs>
          <w:tab w:val="right" w:pos="9026"/>
        </w:tabs>
        <w:ind w:left="0"/>
        <w:rPr>
          <w:sz w:val="24"/>
          <w:szCs w:val="24"/>
          <w:lang w:val="en-AU"/>
        </w:rPr>
      </w:pPr>
      <w:r>
        <w:rPr>
          <w:sz w:val="24"/>
          <w:szCs w:val="24"/>
          <w:lang w:val="en-AU"/>
        </w:rPr>
        <w:t>Senator Jane Hume</w:t>
      </w:r>
      <w:r>
        <w:rPr>
          <w:sz w:val="24"/>
          <w:szCs w:val="24"/>
          <w:lang w:val="en-AU"/>
        </w:rPr>
        <w:tab/>
        <w:t>Victoria, LP</w:t>
      </w:r>
    </w:p>
    <w:p w:rsidR="00630D81" w:rsidRPr="001F6A19" w:rsidRDefault="00630D81" w:rsidP="00630D81">
      <w:pPr>
        <w:pStyle w:val="JNP2"/>
        <w:tabs>
          <w:tab w:val="right" w:pos="9026"/>
        </w:tabs>
        <w:ind w:left="0"/>
        <w:rPr>
          <w:sz w:val="24"/>
          <w:szCs w:val="24"/>
          <w:lang w:val="en-AU"/>
        </w:rPr>
      </w:pPr>
      <w:r>
        <w:rPr>
          <w:sz w:val="24"/>
          <w:szCs w:val="24"/>
          <w:lang w:val="en-AU"/>
        </w:rPr>
        <w:t>Senator Claire Moore</w:t>
      </w:r>
      <w:r>
        <w:rPr>
          <w:sz w:val="24"/>
          <w:szCs w:val="24"/>
          <w:lang w:val="en-AU"/>
        </w:rPr>
        <w:tab/>
        <w:t>Queensland, ALP</w:t>
      </w:r>
    </w:p>
    <w:p w:rsidR="00630D81" w:rsidRDefault="00630D81" w:rsidP="00630D81">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630D81" w:rsidRDefault="00630D81" w:rsidP="00630D81">
      <w:pPr>
        <w:spacing w:after="0"/>
        <w:rPr>
          <w:sz w:val="24"/>
          <w:szCs w:val="24"/>
        </w:rPr>
      </w:pPr>
    </w:p>
    <w:p w:rsidR="00630D81" w:rsidRDefault="00630D81" w:rsidP="00630D81">
      <w:pPr>
        <w:spacing w:after="0"/>
        <w:rPr>
          <w:sz w:val="24"/>
          <w:szCs w:val="24"/>
        </w:rPr>
      </w:pPr>
    </w:p>
    <w:p w:rsidR="00630D81" w:rsidRDefault="00630D81" w:rsidP="00630D81">
      <w:pPr>
        <w:spacing w:after="0"/>
        <w:rPr>
          <w:sz w:val="24"/>
          <w:szCs w:val="24"/>
        </w:rPr>
      </w:pPr>
    </w:p>
    <w:p w:rsidR="00630D81" w:rsidRDefault="00630D81" w:rsidP="00630D81">
      <w:pPr>
        <w:spacing w:after="0"/>
        <w:rPr>
          <w:sz w:val="24"/>
          <w:szCs w:val="24"/>
        </w:rPr>
      </w:pPr>
    </w:p>
    <w:p w:rsidR="00630D81" w:rsidRDefault="00630D81" w:rsidP="00630D81">
      <w:pPr>
        <w:spacing w:after="0"/>
        <w:rPr>
          <w:sz w:val="24"/>
          <w:szCs w:val="24"/>
        </w:rPr>
      </w:pPr>
    </w:p>
    <w:p w:rsidR="00630D81" w:rsidRPr="00BE73BD" w:rsidRDefault="00630D81" w:rsidP="00630D81">
      <w:pPr>
        <w:rPr>
          <w:b/>
        </w:rPr>
      </w:pPr>
      <w:bookmarkStart w:id="2" w:name="_Toc340231484"/>
      <w:r w:rsidRPr="00BE73BD">
        <w:rPr>
          <w:b/>
        </w:rPr>
        <w:t>Secretariat</w:t>
      </w:r>
      <w:bookmarkEnd w:id="2"/>
    </w:p>
    <w:p w:rsidR="00630D81" w:rsidRDefault="00630D81" w:rsidP="00630D81">
      <w:pPr>
        <w:spacing w:after="0"/>
        <w:rPr>
          <w:sz w:val="24"/>
          <w:szCs w:val="24"/>
        </w:rPr>
      </w:pPr>
      <w:bookmarkStart w:id="3" w:name="_Toc340231485"/>
      <w:r w:rsidRPr="00BE73BD">
        <w:rPr>
          <w:sz w:val="24"/>
          <w:szCs w:val="24"/>
        </w:rPr>
        <w:t>Mr Ivan Powell, Secretary</w:t>
      </w:r>
      <w:bookmarkEnd w:id="3"/>
    </w:p>
    <w:p w:rsidR="00630D81" w:rsidRPr="00BE73BD" w:rsidRDefault="00630D81" w:rsidP="00630D81">
      <w:pPr>
        <w:spacing w:after="0"/>
        <w:rPr>
          <w:sz w:val="24"/>
          <w:szCs w:val="24"/>
        </w:rPr>
      </w:pPr>
      <w:r>
        <w:rPr>
          <w:sz w:val="24"/>
          <w:szCs w:val="24"/>
        </w:rPr>
        <w:t>Ms Toni Dawes, Secretary</w:t>
      </w:r>
    </w:p>
    <w:p w:rsidR="00630D81" w:rsidRDefault="00630D81" w:rsidP="00630D81">
      <w:pPr>
        <w:spacing w:after="0"/>
        <w:rPr>
          <w:sz w:val="24"/>
          <w:szCs w:val="24"/>
        </w:rPr>
      </w:pPr>
      <w:r>
        <w:rPr>
          <w:sz w:val="24"/>
          <w:szCs w:val="24"/>
        </w:rPr>
        <w:t>Ms Jessica Strout, Acting Principal</w:t>
      </w:r>
      <w:r w:rsidRPr="00BE73BD">
        <w:rPr>
          <w:sz w:val="24"/>
          <w:szCs w:val="24"/>
        </w:rPr>
        <w:t xml:space="preserve"> Research Officer</w:t>
      </w:r>
    </w:p>
    <w:p w:rsidR="00630D81" w:rsidRPr="00BE73BD" w:rsidRDefault="00630D81" w:rsidP="00630D81">
      <w:pPr>
        <w:spacing w:after="0"/>
        <w:rPr>
          <w:sz w:val="24"/>
          <w:szCs w:val="24"/>
        </w:rPr>
      </w:pPr>
      <w:r>
        <w:rPr>
          <w:sz w:val="24"/>
          <w:szCs w:val="24"/>
        </w:rPr>
        <w:t>Ms Eloise Menzies, Senior Research Officer</w:t>
      </w:r>
    </w:p>
    <w:p w:rsidR="00630D81" w:rsidRDefault="00630D81" w:rsidP="00630D81">
      <w:pPr>
        <w:spacing w:after="0"/>
        <w:rPr>
          <w:sz w:val="24"/>
          <w:szCs w:val="24"/>
        </w:rPr>
      </w:pPr>
      <w:r>
        <w:rPr>
          <w:sz w:val="24"/>
          <w:szCs w:val="24"/>
        </w:rPr>
        <w:t>Ms Morana Kavgic, Legislative Research Officer</w:t>
      </w:r>
    </w:p>
    <w:p w:rsidR="00630D81" w:rsidRDefault="00630D81" w:rsidP="00630D81">
      <w:pPr>
        <w:spacing w:after="0"/>
        <w:rPr>
          <w:sz w:val="24"/>
          <w:szCs w:val="24"/>
        </w:rPr>
      </w:pPr>
    </w:p>
    <w:p w:rsidR="00630D81" w:rsidRDefault="00630D81" w:rsidP="00630D81">
      <w:pPr>
        <w:spacing w:after="0"/>
        <w:rPr>
          <w:sz w:val="24"/>
          <w:szCs w:val="24"/>
        </w:rPr>
      </w:pPr>
    </w:p>
    <w:p w:rsidR="00630D81" w:rsidRPr="007A6AAA" w:rsidRDefault="00630D81" w:rsidP="00630D81">
      <w:pPr>
        <w:spacing w:after="0"/>
        <w:rPr>
          <w:sz w:val="24"/>
          <w:szCs w:val="24"/>
        </w:rPr>
      </w:pPr>
    </w:p>
    <w:p w:rsidR="00630D81" w:rsidRPr="00BE73BD" w:rsidRDefault="00630D81" w:rsidP="00630D81">
      <w:pPr>
        <w:rPr>
          <w:b/>
        </w:rPr>
      </w:pPr>
      <w:bookmarkStart w:id="4" w:name="_Toc340231486"/>
      <w:r w:rsidRPr="00BE73BD">
        <w:rPr>
          <w:b/>
        </w:rPr>
        <w:t>Committee legal adviser</w:t>
      </w:r>
      <w:bookmarkEnd w:id="4"/>
    </w:p>
    <w:p w:rsidR="00630D81" w:rsidRPr="00BE73BD" w:rsidRDefault="00630D81" w:rsidP="00630D81">
      <w:pPr>
        <w:rPr>
          <w:sz w:val="24"/>
          <w:szCs w:val="24"/>
        </w:rPr>
      </w:pPr>
      <w:r w:rsidRPr="00BE73BD">
        <w:rPr>
          <w:sz w:val="24"/>
          <w:szCs w:val="24"/>
        </w:rPr>
        <w:t>Mr Stephen Argument</w:t>
      </w:r>
    </w:p>
    <w:p w:rsidR="00630D81" w:rsidRDefault="00630D81" w:rsidP="00630D81">
      <w:pPr>
        <w:spacing w:after="0"/>
        <w:rPr>
          <w:sz w:val="24"/>
          <w:szCs w:val="24"/>
        </w:rPr>
      </w:pPr>
    </w:p>
    <w:p w:rsidR="00630D81" w:rsidRDefault="00630D81" w:rsidP="00630D81">
      <w:pPr>
        <w:spacing w:after="0"/>
        <w:rPr>
          <w:sz w:val="24"/>
          <w:szCs w:val="24"/>
        </w:rPr>
      </w:pPr>
    </w:p>
    <w:p w:rsidR="00630D81" w:rsidRPr="001B64F3" w:rsidRDefault="00630D81" w:rsidP="00630D81">
      <w:pPr>
        <w:spacing w:after="0"/>
        <w:rPr>
          <w:sz w:val="24"/>
          <w:szCs w:val="24"/>
        </w:rPr>
      </w:pPr>
    </w:p>
    <w:p w:rsidR="00630D81" w:rsidRPr="001B64F3" w:rsidRDefault="00630D81" w:rsidP="00630D81">
      <w:pPr>
        <w:spacing w:after="0"/>
        <w:rPr>
          <w:sz w:val="24"/>
          <w:szCs w:val="24"/>
        </w:rPr>
      </w:pPr>
    </w:p>
    <w:p w:rsidR="00630D81" w:rsidRPr="00BE73BD" w:rsidRDefault="00630D81" w:rsidP="00630D81">
      <w:pPr>
        <w:rPr>
          <w:b/>
        </w:rPr>
      </w:pPr>
      <w:bookmarkStart w:id="5" w:name="_Toc340231487"/>
      <w:r w:rsidRPr="00BE73BD">
        <w:rPr>
          <w:b/>
        </w:rPr>
        <w:t>Committee contacts</w:t>
      </w:r>
      <w:bookmarkEnd w:id="5"/>
    </w:p>
    <w:p w:rsidR="00630D81" w:rsidRPr="00BE73BD" w:rsidRDefault="00630D81" w:rsidP="00630D81">
      <w:pPr>
        <w:spacing w:after="0"/>
        <w:rPr>
          <w:sz w:val="24"/>
          <w:szCs w:val="24"/>
        </w:rPr>
      </w:pPr>
      <w:bookmarkStart w:id="6" w:name="_Toc340231488"/>
      <w:r w:rsidRPr="00BE73BD">
        <w:rPr>
          <w:sz w:val="24"/>
          <w:szCs w:val="24"/>
        </w:rPr>
        <w:t>PO Box 6100</w:t>
      </w:r>
      <w:bookmarkEnd w:id="6"/>
    </w:p>
    <w:p w:rsidR="00630D81" w:rsidRPr="00BE73BD" w:rsidRDefault="00630D81" w:rsidP="00630D81">
      <w:pPr>
        <w:spacing w:after="0"/>
        <w:rPr>
          <w:sz w:val="24"/>
          <w:szCs w:val="24"/>
        </w:rPr>
      </w:pPr>
      <w:r w:rsidRPr="00BE73BD">
        <w:rPr>
          <w:sz w:val="24"/>
          <w:szCs w:val="24"/>
        </w:rPr>
        <w:t>Parliament House</w:t>
      </w:r>
    </w:p>
    <w:p w:rsidR="00630D81" w:rsidRPr="00BE73BD" w:rsidRDefault="00630D81" w:rsidP="00630D81">
      <w:pPr>
        <w:spacing w:after="0"/>
        <w:rPr>
          <w:sz w:val="24"/>
          <w:szCs w:val="24"/>
        </w:rPr>
      </w:pPr>
      <w:r w:rsidRPr="00BE73BD">
        <w:rPr>
          <w:sz w:val="24"/>
          <w:szCs w:val="24"/>
        </w:rPr>
        <w:t>Canberra ACT 2600</w:t>
      </w:r>
    </w:p>
    <w:p w:rsidR="00630D81" w:rsidRPr="00BE73BD" w:rsidRDefault="00630D81" w:rsidP="00630D81">
      <w:pPr>
        <w:spacing w:after="0"/>
        <w:rPr>
          <w:sz w:val="24"/>
          <w:szCs w:val="24"/>
        </w:rPr>
      </w:pPr>
      <w:r w:rsidRPr="00BE73BD">
        <w:rPr>
          <w:sz w:val="24"/>
          <w:szCs w:val="24"/>
        </w:rPr>
        <w:t>Ph: 02 6277 3066</w:t>
      </w:r>
    </w:p>
    <w:p w:rsidR="00630D81" w:rsidRPr="00BE73BD" w:rsidRDefault="00630D81" w:rsidP="00630D81">
      <w:pPr>
        <w:spacing w:after="0"/>
        <w:rPr>
          <w:sz w:val="24"/>
          <w:szCs w:val="24"/>
        </w:rPr>
      </w:pPr>
      <w:r w:rsidRPr="00BE73BD">
        <w:rPr>
          <w:sz w:val="24"/>
          <w:szCs w:val="24"/>
        </w:rPr>
        <w:t>Email: regords.sen@aph.gov.au</w:t>
      </w:r>
    </w:p>
    <w:p w:rsidR="00630D81" w:rsidRPr="00F72A71" w:rsidRDefault="00630D81" w:rsidP="00630D81">
      <w:pPr>
        <w:rPr>
          <w:color w:val="000000"/>
          <w:sz w:val="24"/>
          <w:szCs w:val="24"/>
        </w:rPr>
      </w:pPr>
      <w:bookmarkStart w:id="7" w:name="_Toc340231489"/>
      <w:r w:rsidRPr="00BE73BD">
        <w:rPr>
          <w:sz w:val="24"/>
          <w:szCs w:val="24"/>
        </w:rPr>
        <w:t xml:space="preserve">Website: </w:t>
      </w:r>
      <w:bookmarkEnd w:id="7"/>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630D81" w:rsidRPr="007E04A9" w:rsidRDefault="00630D81" w:rsidP="00630D81">
      <w:pPr>
        <w:spacing w:after="0"/>
      </w:pPr>
    </w:p>
    <w:p w:rsidR="00630D81" w:rsidRDefault="00630D81" w:rsidP="00630D81">
      <w:r>
        <w:br w:type="page"/>
      </w:r>
    </w:p>
    <w:p w:rsidR="00630D81" w:rsidRPr="00520991" w:rsidRDefault="00630D81" w:rsidP="00630D81"/>
    <w:p w:rsidR="00630D81" w:rsidRDefault="00630D81" w:rsidP="00325264">
      <w:pPr>
        <w:sectPr w:rsidR="00630D81" w:rsidSect="00630D81">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630D81" w:rsidRDefault="00630D81" w:rsidP="00630D81">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405368283"/>
      <w:bookmarkStart w:id="18" w:name="_Toc424218689"/>
      <w:bookmarkStart w:id="19" w:name="_Toc424219070"/>
      <w:bookmarkStart w:id="20" w:name="_Toc424219205"/>
      <w:bookmarkStart w:id="21" w:name="_Toc461544892"/>
      <w:r>
        <w:lastRenderedPageBreak/>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p>
    <w:p w:rsidR="00630D81" w:rsidRPr="00635538" w:rsidRDefault="00630D81" w:rsidP="00630D81">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630D81" w:rsidRPr="004228CC" w:rsidRDefault="00630D81" w:rsidP="00630D81">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ix</w:t>
      </w:r>
    </w:p>
    <w:p w:rsidR="00630D81" w:rsidRDefault="00630D81" w:rsidP="00630D81">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630D81" w:rsidRDefault="00630D81" w:rsidP="00630D81">
      <w:pPr>
        <w:pStyle w:val="TOC2"/>
        <w:tabs>
          <w:tab w:val="right" w:leader="dot" w:pos="9016"/>
        </w:tabs>
        <w:rPr>
          <w:rFonts w:asciiTheme="minorHAnsi" w:eastAsiaTheme="minorEastAsia" w:hAnsiTheme="minorHAnsi" w:cstheme="minorBidi"/>
          <w:b w:val="0"/>
          <w:noProof/>
          <w:sz w:val="22"/>
          <w:szCs w:val="22"/>
          <w:lang w:eastAsia="en-AU"/>
        </w:rPr>
      </w:pPr>
      <w:r>
        <w:rPr>
          <w:noProof/>
        </w:rPr>
        <w:t>Response required</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Aboriginal Land Grant (Jervis Bay Territory) By-Laws 2016 [F2016L00619]</w:t>
      </w:r>
      <w:r>
        <w:rPr>
          <w:noProof/>
        </w:rPr>
        <w:tab/>
        <w:t>1</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Agricultural and Veterinary Chemicals Code (Notifiable Variations)</w:t>
      </w:r>
      <w:r>
        <w:rPr>
          <w:noProof/>
        </w:rPr>
        <w:br/>
        <w:t>Instrument 2016 [F2016L01233]</w:t>
      </w:r>
      <w:r>
        <w:rPr>
          <w:noProof/>
        </w:rPr>
        <w:tab/>
        <w:t>2</w:t>
      </w:r>
    </w:p>
    <w:p w:rsidR="00630D81" w:rsidRPr="000F4679" w:rsidRDefault="00630D81" w:rsidP="00630D81">
      <w:pPr>
        <w:pStyle w:val="TOC3"/>
        <w:tabs>
          <w:tab w:val="right" w:leader="dot" w:pos="9016"/>
        </w:tabs>
        <w:jc w:val="left"/>
        <w:rPr>
          <w:noProof/>
        </w:rPr>
      </w:pPr>
      <w:r>
        <w:rPr>
          <w:noProof/>
        </w:rPr>
        <w:t>Australian Crime Commission (National Policing Information Charges) D</w:t>
      </w:r>
      <w:r w:rsidRPr="000F4679">
        <w:rPr>
          <w:noProof/>
        </w:rPr>
        <w:t>etermination 2016 [F2016L00678]</w:t>
      </w:r>
      <w:r w:rsidRPr="000F4679">
        <w:rPr>
          <w:noProof/>
        </w:rPr>
        <w:tab/>
        <w:t>3</w:t>
      </w:r>
    </w:p>
    <w:p w:rsidR="00630D81" w:rsidRPr="000F4679" w:rsidRDefault="00630D81" w:rsidP="00630D81">
      <w:pPr>
        <w:pStyle w:val="TOC3"/>
        <w:tabs>
          <w:tab w:val="right" w:leader="dot" w:pos="9016"/>
        </w:tabs>
        <w:jc w:val="left"/>
        <w:rPr>
          <w:noProof/>
        </w:rPr>
      </w:pPr>
      <w:r w:rsidRPr="000F4679">
        <w:rPr>
          <w:noProof/>
        </w:rPr>
        <w:t>Australian Prudential Regulation Authority instrument fixing charges No. 2 of 2016 [F2016L01043]</w:t>
      </w:r>
      <w:r w:rsidRPr="000F4679">
        <w:rPr>
          <w:noProof/>
        </w:rPr>
        <w:tab/>
        <w:t>4</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Biosecurity Charges Imposition (Customs) Regulation 2016 [F2016L00723]</w:t>
      </w:r>
      <w:r w:rsidRPr="000F4679">
        <w:rPr>
          <w:noProof/>
        </w:rPr>
        <w:tab/>
        <w:t>5</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Biosecurity Charges Imposition (General) Regulation 2016 [F2016L00727]</w:t>
      </w:r>
      <w:r w:rsidRPr="000F4679">
        <w:rPr>
          <w:noProof/>
        </w:rPr>
        <w:tab/>
        <w:t>5</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Biosecurity (Human Health) Regulation 2016 [F2016L00719]</w:t>
      </w:r>
      <w:r w:rsidRPr="000F4679">
        <w:rPr>
          <w:noProof/>
        </w:rPr>
        <w:tab/>
        <w:t>6</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Biosecurity</w:t>
      </w:r>
      <w:r w:rsidR="00B0130A">
        <w:rPr>
          <w:noProof/>
        </w:rPr>
        <w:t xml:space="preserve"> Regulation 2016 [F2016L00756]</w:t>
      </w:r>
      <w:r w:rsidR="00B0130A">
        <w:rPr>
          <w:noProof/>
        </w:rPr>
        <w:tab/>
        <w:t>8</w:t>
      </w:r>
    </w:p>
    <w:p w:rsidR="00630D81" w:rsidRPr="000F4679" w:rsidRDefault="00630D81" w:rsidP="00630D81">
      <w:pPr>
        <w:pStyle w:val="TOC3"/>
        <w:tabs>
          <w:tab w:val="right" w:leader="dot" w:pos="9016"/>
        </w:tabs>
        <w:jc w:val="left"/>
        <w:rPr>
          <w:noProof/>
        </w:rPr>
      </w:pPr>
      <w:r w:rsidRPr="000F4679">
        <w:rPr>
          <w:noProof/>
        </w:rPr>
        <w:t>Biosecurity (Reportable Biosecurity Incidents) Determination 2016 [F2016L00853]</w:t>
      </w:r>
      <w:r w:rsidRPr="000F4679">
        <w:rPr>
          <w:noProof/>
        </w:rPr>
        <w:tab/>
        <w:t>9</w:t>
      </w:r>
    </w:p>
    <w:p w:rsidR="00630D81" w:rsidRPr="000F4679" w:rsidRDefault="00630D81" w:rsidP="00630D81">
      <w:pPr>
        <w:pStyle w:val="TOC3"/>
        <w:tabs>
          <w:tab w:val="right" w:leader="dot" w:pos="9016"/>
        </w:tabs>
        <w:jc w:val="left"/>
        <w:rPr>
          <w:noProof/>
        </w:rPr>
      </w:pPr>
      <w:r w:rsidRPr="000F4679">
        <w:rPr>
          <w:noProof/>
        </w:rPr>
        <w:t>Building Energy Efficiency Disclosure (Disclosure Affected Buildings) Determination 2016 [F2016L01148]</w:t>
      </w:r>
      <w:r w:rsidRPr="000F4679">
        <w:rPr>
          <w:noProof/>
        </w:rPr>
        <w:tab/>
        <w:t>10</w:t>
      </w:r>
    </w:p>
    <w:p w:rsidR="00630D81" w:rsidRPr="000F4679" w:rsidRDefault="00630D81" w:rsidP="00630D81">
      <w:pPr>
        <w:pStyle w:val="TOC3"/>
        <w:tabs>
          <w:tab w:val="right" w:leader="dot" w:pos="9016"/>
        </w:tabs>
        <w:jc w:val="left"/>
        <w:rPr>
          <w:noProof/>
        </w:rPr>
      </w:pPr>
      <w:r w:rsidRPr="000F4679">
        <w:rPr>
          <w:noProof/>
        </w:rPr>
        <w:t>Building Energy Efficiency Disclosure Determination 2016 [F2016L01276]</w:t>
      </w:r>
      <w:r w:rsidRPr="000F4679">
        <w:rPr>
          <w:noProof/>
        </w:rPr>
        <w:tab/>
        <w:t>10</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Charter of the United Nations (Sanctions—Iran) (Export Sanctioned Goods)</w:t>
      </w:r>
      <w:r w:rsidRPr="000F4679">
        <w:rPr>
          <w:noProof/>
        </w:rPr>
        <w:br/>
        <w:t>List Determination 2016 [F2016L01208]</w:t>
      </w:r>
      <w:r w:rsidRPr="000F4679">
        <w:rPr>
          <w:noProof/>
        </w:rPr>
        <w:tab/>
        <w:t>11</w:t>
      </w:r>
    </w:p>
    <w:p w:rsidR="00630D81" w:rsidRPr="000F4679" w:rsidRDefault="00630D81" w:rsidP="00630D81">
      <w:pPr>
        <w:pStyle w:val="TOC3"/>
        <w:tabs>
          <w:tab w:val="right" w:leader="dot" w:pos="9016"/>
        </w:tabs>
        <w:jc w:val="left"/>
        <w:rPr>
          <w:noProof/>
        </w:rPr>
      </w:pPr>
      <w:r w:rsidRPr="000F4679">
        <w:rPr>
          <w:noProof/>
        </w:rPr>
        <w:t>Charter of the United Nations (UN Sanction Enforcement Law) Amendment Declaration 2016 (No. 1) [F2016L01209]</w:t>
      </w:r>
      <w:r w:rsidRPr="000F4679">
        <w:rPr>
          <w:noProof/>
        </w:rPr>
        <w:tab/>
        <w:t>12</w:t>
      </w:r>
    </w:p>
    <w:p w:rsidR="00630D81" w:rsidRPr="000F4679" w:rsidRDefault="00630D81" w:rsidP="00630D81">
      <w:pPr>
        <w:pStyle w:val="TOC3"/>
        <w:tabs>
          <w:tab w:val="right" w:leader="dot" w:pos="9016"/>
        </w:tabs>
        <w:jc w:val="left"/>
        <w:rPr>
          <w:noProof/>
        </w:rPr>
      </w:pPr>
      <w:r w:rsidRPr="000F4679">
        <w:rPr>
          <w:noProof/>
        </w:rPr>
        <w:t>Comptroller-General of Customs Directions (Use of Force - Norfolk Island)</w:t>
      </w:r>
      <w:r w:rsidRPr="000F4679">
        <w:rPr>
          <w:noProof/>
        </w:rPr>
        <w:br/>
        <w:t>2016 [F2016L01033]</w:t>
      </w:r>
      <w:r w:rsidRPr="000F4679">
        <w:rPr>
          <w:noProof/>
        </w:rPr>
        <w:tab/>
        <w:t>13</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Defence Determination 2016/19, Conditions of service [F2016L00643]</w:t>
      </w:r>
      <w:r w:rsidRPr="000F4679">
        <w:rPr>
          <w:noProof/>
        </w:rPr>
        <w:tab/>
        <w:t>15</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Defence Trade Controls Act 2012 - Foreign Country List [F2016L00548]</w:t>
      </w:r>
      <w:r w:rsidRPr="000F4679">
        <w:rPr>
          <w:noProof/>
        </w:rPr>
        <w:tab/>
        <w:t>16</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Environment Protection and Biodiversity Conservation Act 1999 – Section</w:t>
      </w:r>
      <w:r w:rsidRPr="000F4679">
        <w:rPr>
          <w:noProof/>
        </w:rPr>
        <w:br/>
        <w:t>269A - Instrument Adopting Recovery Plan (Mallee Emu-Wren, Red-lored Whistler, Western Whipbird) (02/05/2016) [F2016L00655]</w:t>
      </w:r>
      <w:r w:rsidRPr="000F4679">
        <w:rPr>
          <w:noProof/>
        </w:rPr>
        <w:tab/>
        <w:t>17</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Environment Protection and Biodiversity Conservation Act 1999 - Section 269A - Instrument Adopting Recovery Plan (Spotted-tailed Quoll) (02/05/2016) [F2016L00657]</w:t>
      </w:r>
      <w:r w:rsidRPr="000F4679">
        <w:rPr>
          <w:noProof/>
        </w:rPr>
        <w:tab/>
        <w:t>17</w:t>
      </w:r>
    </w:p>
    <w:p w:rsidR="00DE646A" w:rsidRDefault="00DE646A" w:rsidP="00630D81">
      <w:pPr>
        <w:pStyle w:val="TOC3"/>
        <w:tabs>
          <w:tab w:val="right" w:leader="dot" w:pos="9016"/>
        </w:tabs>
        <w:jc w:val="left"/>
        <w:rPr>
          <w:noProof/>
        </w:rPr>
      </w:pP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lastRenderedPageBreak/>
        <w:t>Environment Protection and Biodiversity Conservation Act 1999 - Section 269A - Instrument Adopting Recovery Plan (Mountain Pygmy-Possum) (02/05/2016) [F2016L00658]</w:t>
      </w:r>
      <w:r w:rsidRPr="000F4679">
        <w:rPr>
          <w:noProof/>
        </w:rPr>
        <w:tab/>
        <w:t>17</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Environment Protection and Biodiversity Conservation Act 1999 - Section 269A - Instrument Adopting Recovery Plan (Orange-bellied Parrot) (02/05/2016) [F2016L00662]</w:t>
      </w:r>
      <w:r w:rsidRPr="000F4679">
        <w:rPr>
          <w:noProof/>
        </w:rPr>
        <w:tab/>
        <w:t>17</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Financial Framework (Supplementary Powers) Amendment (Health Measures No. 3) Regulation 2016 [F2016L00686]</w:t>
      </w:r>
      <w:r w:rsidRPr="000F4679">
        <w:rPr>
          <w:noProof/>
        </w:rPr>
        <w:tab/>
        <w:t>18</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Financial Sector (Collection of Data) (reporting standard) determination</w:t>
      </w:r>
      <w:r w:rsidRPr="000F4679">
        <w:rPr>
          <w:noProof/>
        </w:rPr>
        <w:br/>
        <w:t>No. 1 of 2016 - GRS 001 - Reporting Requirements [F2016L01225]</w:t>
      </w:r>
      <w:r w:rsidRPr="000F4679">
        <w:rPr>
          <w:noProof/>
        </w:rPr>
        <w:tab/>
        <w:t>20</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Greenhouse and Energy Minimum Standards (Incandescent Lamps for General Lighting Services) Determination 2016 [F2016L00659]</w:t>
      </w:r>
      <w:r w:rsidRPr="000F4679">
        <w:rPr>
          <w:noProof/>
        </w:rPr>
        <w:tab/>
        <w:t>21</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Health Legislation Amendment (eHealth-Governance Restructure Day) Proclamation 2016 [F2016L00732]</w:t>
      </w:r>
      <w:r w:rsidRPr="000F4679">
        <w:rPr>
          <w:noProof/>
        </w:rPr>
        <w:tab/>
        <w:t>23</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Legal Services Amendment (Solicitor-General Opinions) Direction 2016 [F2016L00645]</w:t>
      </w:r>
      <w:r w:rsidRPr="000F4679">
        <w:rPr>
          <w:noProof/>
        </w:rPr>
        <w:tab/>
        <w:t>24</w:t>
      </w:r>
    </w:p>
    <w:p w:rsidR="00630D81" w:rsidRPr="000F4679" w:rsidRDefault="00630D81" w:rsidP="00630D81">
      <w:pPr>
        <w:pStyle w:val="TOC3"/>
        <w:tabs>
          <w:tab w:val="right" w:leader="dot" w:pos="9016"/>
        </w:tabs>
        <w:jc w:val="left"/>
        <w:rPr>
          <w:noProof/>
        </w:rPr>
      </w:pPr>
      <w:r w:rsidRPr="000F4679">
        <w:rPr>
          <w:noProof/>
        </w:rPr>
        <w:t>Marine Order 12 (Construction - subdivision and stability, machinery and electrical installations) 2016 [F2016L01049]</w:t>
      </w:r>
      <w:r w:rsidRPr="000F4679">
        <w:rPr>
          <w:noProof/>
        </w:rPr>
        <w:tab/>
        <w:t>25</w:t>
      </w:r>
    </w:p>
    <w:p w:rsidR="00630D81" w:rsidRPr="000F4679" w:rsidRDefault="00630D81" w:rsidP="00630D81">
      <w:pPr>
        <w:pStyle w:val="TOC3"/>
        <w:tabs>
          <w:tab w:val="right" w:leader="dot" w:pos="9016"/>
        </w:tabs>
        <w:jc w:val="left"/>
        <w:rPr>
          <w:noProof/>
        </w:rPr>
      </w:pPr>
      <w:r w:rsidRPr="000F4679">
        <w:rPr>
          <w:noProof/>
        </w:rPr>
        <w:t>Marine Order 21 (Safety and emergency arrangements) 2016</w:t>
      </w:r>
      <w:r w:rsidRPr="000F4679">
        <w:rPr>
          <w:noProof/>
        </w:rPr>
        <w:br/>
        <w:t>[F2016L01076]</w:t>
      </w:r>
      <w:r w:rsidRPr="000F4679">
        <w:rPr>
          <w:noProof/>
        </w:rPr>
        <w:tab/>
        <w:t>25</w:t>
      </w:r>
    </w:p>
    <w:p w:rsidR="00630D81" w:rsidRPr="000F4679" w:rsidRDefault="00630D81" w:rsidP="00630D81">
      <w:pPr>
        <w:pStyle w:val="TOC3"/>
        <w:tabs>
          <w:tab w:val="right" w:leader="dot" w:pos="9016"/>
        </w:tabs>
        <w:jc w:val="left"/>
        <w:rPr>
          <w:noProof/>
        </w:rPr>
      </w:pPr>
      <w:r w:rsidRPr="000F4679">
        <w:rPr>
          <w:noProof/>
        </w:rPr>
        <w:t>Marine Order 27 (Safety of navigation and radio equipment) 2016 [F2016L01077]</w:t>
      </w:r>
      <w:r w:rsidRPr="000F4679">
        <w:rPr>
          <w:noProof/>
        </w:rPr>
        <w:tab/>
        <w:t>25</w:t>
      </w:r>
    </w:p>
    <w:p w:rsidR="00630D81" w:rsidRPr="000F4679" w:rsidRDefault="00630D81" w:rsidP="00630D81">
      <w:pPr>
        <w:pStyle w:val="TOC3"/>
        <w:tabs>
          <w:tab w:val="right" w:leader="dot" w:pos="9016"/>
        </w:tabs>
        <w:jc w:val="left"/>
        <w:rPr>
          <w:noProof/>
        </w:rPr>
      </w:pPr>
      <w:r w:rsidRPr="000F4679">
        <w:rPr>
          <w:noProof/>
        </w:rPr>
        <w:t>Migration Act 1958 - Class of Persons Defined as Fast Track Applicants 2016/049 [F2016L00679]</w:t>
      </w:r>
      <w:r w:rsidRPr="000F4679">
        <w:rPr>
          <w:noProof/>
        </w:rPr>
        <w:tab/>
        <w:t>27</w:t>
      </w:r>
    </w:p>
    <w:p w:rsidR="00630D81" w:rsidRPr="000F4679" w:rsidRDefault="00630D81" w:rsidP="00630D81">
      <w:pPr>
        <w:pStyle w:val="TOC3"/>
        <w:tabs>
          <w:tab w:val="right" w:leader="dot" w:pos="9016"/>
        </w:tabs>
        <w:jc w:val="left"/>
        <w:rPr>
          <w:noProof/>
        </w:rPr>
      </w:pPr>
      <w:r w:rsidRPr="000F4679">
        <w:rPr>
          <w:noProof/>
        </w:rPr>
        <w:t>Migration Regulations 1994 - Working Holiday Visa - Definitions of Specified Work and Regional Australia 2016/041 [F2016L00757]</w:t>
      </w:r>
      <w:r w:rsidRPr="000F4679">
        <w:rPr>
          <w:noProof/>
        </w:rPr>
        <w:tab/>
        <w:t>29</w:t>
      </w:r>
    </w:p>
    <w:p w:rsidR="00630D81" w:rsidRPr="000F4679" w:rsidRDefault="00630D81" w:rsidP="00630D81">
      <w:pPr>
        <w:pStyle w:val="TOC3"/>
        <w:tabs>
          <w:tab w:val="right" w:leader="dot" w:pos="9016"/>
        </w:tabs>
        <w:jc w:val="left"/>
        <w:rPr>
          <w:noProof/>
        </w:rPr>
      </w:pPr>
      <w:r w:rsidRPr="000F4679">
        <w:rPr>
          <w:noProof/>
        </w:rPr>
        <w:t>Migration Regulations 1994 - Specification of Designated Areas - IMMI 16/044 [F2016L00777]</w:t>
      </w:r>
      <w:r w:rsidRPr="000F4679">
        <w:rPr>
          <w:noProof/>
        </w:rPr>
        <w:tab/>
        <w:t>29</w:t>
      </w:r>
    </w:p>
    <w:p w:rsidR="00630D81" w:rsidRPr="000F4679" w:rsidRDefault="00630D81" w:rsidP="00630D81">
      <w:pPr>
        <w:pStyle w:val="TOC3"/>
        <w:tabs>
          <w:tab w:val="right" w:leader="dot" w:pos="9016"/>
        </w:tabs>
        <w:jc w:val="left"/>
        <w:rPr>
          <w:noProof/>
        </w:rPr>
      </w:pPr>
      <w:r w:rsidRPr="000F4679">
        <w:rPr>
          <w:noProof/>
        </w:rPr>
        <w:t>Migration Regulations 1994 - Specification of Regional Certifying Bodies and Regional Postcodes - IMMI 16/045 [F2016L00778]</w:t>
      </w:r>
      <w:r w:rsidRPr="000F4679">
        <w:rPr>
          <w:noProof/>
        </w:rPr>
        <w:tab/>
        <w:t>29</w:t>
      </w:r>
    </w:p>
    <w:p w:rsidR="00630D81" w:rsidRPr="000F4679" w:rsidRDefault="00630D81" w:rsidP="00630D81">
      <w:pPr>
        <w:pStyle w:val="TOC3"/>
        <w:tabs>
          <w:tab w:val="right" w:leader="dot" w:pos="9016"/>
        </w:tabs>
        <w:jc w:val="left"/>
        <w:rPr>
          <w:noProof/>
        </w:rPr>
      </w:pPr>
      <w:r w:rsidRPr="000F4679">
        <w:rPr>
          <w:noProof/>
        </w:rPr>
        <w:t>Migration Regulations 1994 - Specification of Arrangements for Resident Return Visa Applications 2016/042 - IMMI 16/042 [F2016L00785]</w:t>
      </w:r>
      <w:r w:rsidRPr="000F4679">
        <w:rPr>
          <w:noProof/>
        </w:rPr>
        <w:tab/>
        <w:t>29</w:t>
      </w:r>
    </w:p>
    <w:p w:rsidR="00630D81" w:rsidRPr="000F4679" w:rsidRDefault="00630D81" w:rsidP="00630D81">
      <w:pPr>
        <w:pStyle w:val="TOC3"/>
        <w:tabs>
          <w:tab w:val="right" w:leader="dot" w:pos="9016"/>
        </w:tabs>
        <w:jc w:val="left"/>
        <w:rPr>
          <w:noProof/>
        </w:rPr>
      </w:pPr>
      <w:r w:rsidRPr="000F4679">
        <w:rPr>
          <w:noProof/>
        </w:rPr>
        <w:t>Migration Regulations 1994 - Specification of Arrangements for Other Visas 2016/043 - IMMI 16/043 [F2016L00786]</w:t>
      </w:r>
      <w:r w:rsidRPr="000F4679">
        <w:rPr>
          <w:noProof/>
        </w:rPr>
        <w:tab/>
        <w:t>29</w:t>
      </w:r>
    </w:p>
    <w:p w:rsidR="00630D81" w:rsidRPr="00592681" w:rsidRDefault="00630D81" w:rsidP="00630D81">
      <w:pPr>
        <w:pStyle w:val="TOC3"/>
        <w:tabs>
          <w:tab w:val="right" w:leader="dot" w:pos="9016"/>
        </w:tabs>
        <w:jc w:val="left"/>
        <w:rPr>
          <w:noProof/>
        </w:rPr>
      </w:pPr>
      <w:r w:rsidRPr="000F4679">
        <w:rPr>
          <w:noProof/>
        </w:rPr>
        <w:t>Migration Regulations 1994 - Specification of  Visa Subclass for the Purposes of the Health Requirement - IMMI 16/067 [F2016L01126]</w:t>
      </w:r>
      <w:r w:rsidRPr="000F4679">
        <w:rPr>
          <w:noProof/>
        </w:rPr>
        <w:tab/>
        <w:t>29</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Minister's Road User Charge Determination 2016 (No.</w:t>
      </w:r>
      <w:r w:rsidR="00F26EC0">
        <w:rPr>
          <w:noProof/>
        </w:rPr>
        <w:t xml:space="preserve"> 1) [F2016L00556]</w:t>
      </w:r>
      <w:r w:rsidR="00F26EC0">
        <w:rPr>
          <w:noProof/>
        </w:rPr>
        <w:tab/>
        <w:t>31</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National Disability Insurance Scheme (Becoming a Participant) Rules 2016 [F2016L00544]</w:t>
      </w:r>
      <w:r>
        <w:rPr>
          <w:noProof/>
        </w:rPr>
        <w:tab/>
        <w:t>31</w:t>
      </w:r>
    </w:p>
    <w:p w:rsidR="00DE646A" w:rsidRDefault="00DE646A" w:rsidP="00630D81">
      <w:pPr>
        <w:pStyle w:val="TOC3"/>
        <w:tabs>
          <w:tab w:val="right" w:leader="dot" w:pos="9016"/>
        </w:tabs>
        <w:jc w:val="left"/>
        <w:rPr>
          <w:noProof/>
        </w:rPr>
      </w:pPr>
    </w:p>
    <w:p w:rsidR="00DE646A" w:rsidRDefault="00DE646A" w:rsidP="00630D81">
      <w:pPr>
        <w:pStyle w:val="TOC3"/>
        <w:tabs>
          <w:tab w:val="right" w:leader="dot" w:pos="9016"/>
        </w:tabs>
        <w:jc w:val="left"/>
        <w:rPr>
          <w:noProof/>
        </w:rPr>
      </w:pP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National Disability Insurance Scheme (Prescribed Programs—New South Wales) Rules 2016 [F2016L00792]</w:t>
      </w:r>
      <w:r>
        <w:rPr>
          <w:noProof/>
        </w:rPr>
        <w:tab/>
        <w:t>33</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National Health Determination under paragraph 98C(1)(b) Amendment 2016 (No. 4) (PB 44 of 2016) [F2016L00855]</w:t>
      </w:r>
      <w:r>
        <w:rPr>
          <w:noProof/>
        </w:rPr>
        <w:tab/>
        <w:t>34</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Norfolk Island Customs</w:t>
      </w:r>
      <w:r w:rsidR="00F26EC0">
        <w:rPr>
          <w:noProof/>
        </w:rPr>
        <w:t xml:space="preserve"> Ordinance 2016 [F2016L00736]</w:t>
      </w:r>
      <w:r w:rsidR="00F26EC0">
        <w:rPr>
          <w:noProof/>
        </w:rPr>
        <w:tab/>
        <w:t>35</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912E58">
        <w:rPr>
          <w:noProof/>
        </w:rPr>
        <w:t>Part 21 Manual of Standards Instrument 2016 [F2016L00915]</w:t>
      </w:r>
      <w:r>
        <w:rPr>
          <w:noProof/>
        </w:rPr>
        <w:tab/>
        <w:t>35</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Primary Industries (Customs) Charges Amendment (Fodder) Regulation 2016 [F2016L00760]</w:t>
      </w:r>
      <w:r>
        <w:rPr>
          <w:noProof/>
        </w:rPr>
        <w:tab/>
        <w:t>36</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Primary Industries (Customs) Charges Amendment (Citrus) Regulation 2016 [F2016L00708]</w:t>
      </w:r>
      <w:r>
        <w:rPr>
          <w:noProof/>
        </w:rPr>
        <w:tab/>
        <w:t>37</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Primary Industries (Excise) Levies Amendment (Citrus) Regulation 2016 [F2016L00716]</w:t>
      </w:r>
      <w:r>
        <w:rPr>
          <w:noProof/>
        </w:rPr>
        <w:tab/>
        <w:t>37</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Primary Industries (Excise) Levies Amendment (Forest Growers) Regulation 2016 [F2016L00715]</w:t>
      </w:r>
      <w:r>
        <w:rPr>
          <w:noProof/>
        </w:rPr>
        <w:tab/>
        <w:t>38</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Private Ancillary Fund and Public Ancillary Fund Amendment Guidelines</w:t>
      </w:r>
      <w:r>
        <w:rPr>
          <w:noProof/>
        </w:rPr>
        <w:br/>
        <w:t>2016 [F2016L00651]</w:t>
      </w:r>
      <w:r>
        <w:rPr>
          <w:noProof/>
        </w:rPr>
        <w:tab/>
        <w:t>39</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Public Lending Right Scheme 1997 (Modification No. 1 of 2016) [F2016L00610]</w:t>
      </w:r>
      <w:r>
        <w:rPr>
          <w:noProof/>
        </w:rPr>
        <w:tab/>
        <w:t>40</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Quality Agency Principles Amendment Principle 2016 [F2016L00830]</w:t>
      </w:r>
      <w:r>
        <w:rPr>
          <w:noProof/>
        </w:rPr>
        <w:tab/>
        <w:t>41</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Radiocommunications (Aircraft and Aeronautical Mobile Stations) Class</w:t>
      </w:r>
      <w:r>
        <w:rPr>
          <w:noProof/>
        </w:rPr>
        <w:br/>
        <w:t>Licence 2016 [F2016L01294]</w:t>
      </w:r>
      <w:r>
        <w:rPr>
          <w:noProof/>
        </w:rPr>
        <w:tab/>
        <w:t>42</w:t>
      </w:r>
    </w:p>
    <w:p w:rsidR="00630D81" w:rsidRPr="000F467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Radiocommunications (Spectrum Access Charges - 2 GHz Band) Determination </w:t>
      </w:r>
      <w:r w:rsidRPr="000F4679">
        <w:rPr>
          <w:noProof/>
        </w:rPr>
        <w:t>2016 [F2016L01021]</w:t>
      </w:r>
      <w:r w:rsidRPr="000F4679">
        <w:rPr>
          <w:noProof/>
        </w:rPr>
        <w:tab/>
        <w:t>43</w:t>
      </w:r>
    </w:p>
    <w:p w:rsidR="00630D81" w:rsidRPr="000F4679" w:rsidRDefault="00630D81" w:rsidP="00630D81">
      <w:pPr>
        <w:pStyle w:val="TOC3"/>
        <w:tabs>
          <w:tab w:val="right" w:leader="dot" w:pos="9016"/>
        </w:tabs>
        <w:jc w:val="left"/>
        <w:rPr>
          <w:noProof/>
        </w:rPr>
      </w:pPr>
      <w:r w:rsidRPr="000F4679">
        <w:rPr>
          <w:noProof/>
        </w:rPr>
        <w:t>Social Security (International Agreements) Amendment (Republic of Austria) Regulation 2016 [F2016L00720]</w:t>
      </w:r>
      <w:r w:rsidRPr="000F4679">
        <w:rPr>
          <w:noProof/>
        </w:rPr>
        <w:tab/>
        <w:t>44</w:t>
      </w:r>
    </w:p>
    <w:p w:rsidR="00630D81" w:rsidRPr="000F4679" w:rsidRDefault="00630D81" w:rsidP="00630D81">
      <w:pPr>
        <w:pStyle w:val="TOC3"/>
        <w:tabs>
          <w:tab w:val="right" w:leader="dot" w:pos="9016"/>
        </w:tabs>
        <w:jc w:val="left"/>
        <w:rPr>
          <w:noProof/>
        </w:rPr>
      </w:pPr>
      <w:r w:rsidRPr="000F4679">
        <w:rPr>
          <w:noProof/>
        </w:rPr>
        <w:t>Tertiary Education Quality and Standards Agency Act 2011 - Determination of Fees (Amendment) No. 1 of 2016 [F2016L01078]</w:t>
      </w:r>
      <w:r w:rsidRPr="000F4679">
        <w:rPr>
          <w:noProof/>
        </w:rPr>
        <w:tab/>
        <w:t>45</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0F4679">
        <w:rPr>
          <w:noProof/>
        </w:rPr>
        <w:t>Therapeutic Goods (Permissible Ingredients) Determination No. 2 of 2016 [F2016L01253]</w:t>
      </w:r>
      <w:r w:rsidRPr="000F4679">
        <w:rPr>
          <w:noProof/>
        </w:rPr>
        <w:tab/>
        <w:t>46</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Water Efficiency Labelling and Standards Amendment (WELS Standard) Determination 2016 [F2016L01293]</w:t>
      </w:r>
      <w:r>
        <w:rPr>
          <w:noProof/>
        </w:rPr>
        <w:tab/>
        <w:t>48</w:t>
      </w:r>
    </w:p>
    <w:p w:rsidR="00630D81" w:rsidRDefault="00630D81" w:rsidP="00630D81">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Comptroller-General of Customs (Places of Detention - Norfolk Island) Directions 2016 [F2016L01036]</w:t>
      </w:r>
      <w:r>
        <w:rPr>
          <w:noProof/>
        </w:rPr>
        <w:tab/>
        <w:t>50</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Export Market Development Grants (Change in Ownership of Business) Guidelines 2016 [F2016L01090]</w:t>
      </w:r>
      <w:r>
        <w:rPr>
          <w:noProof/>
        </w:rPr>
        <w:tab/>
        <w:t>51</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Export Market Development Grants (Made in Australia) Guidelines 2016 [F2016L01094]</w:t>
      </w:r>
      <w:r>
        <w:rPr>
          <w:noProof/>
        </w:rPr>
        <w:tab/>
        <w:t>51</w:t>
      </w:r>
    </w:p>
    <w:p w:rsidR="00DE646A" w:rsidRDefault="00DE646A" w:rsidP="00630D81">
      <w:pPr>
        <w:pStyle w:val="TOC3"/>
        <w:tabs>
          <w:tab w:val="right" w:leader="dot" w:pos="9016"/>
        </w:tabs>
        <w:jc w:val="left"/>
        <w:rPr>
          <w:noProof/>
        </w:rPr>
      </w:pPr>
    </w:p>
    <w:p w:rsidR="00DE646A" w:rsidRDefault="00DE646A" w:rsidP="00630D81">
      <w:pPr>
        <w:pStyle w:val="TOC3"/>
        <w:tabs>
          <w:tab w:val="right" w:leader="dot" w:pos="9016"/>
        </w:tabs>
        <w:jc w:val="left"/>
        <w:rPr>
          <w:noProof/>
        </w:rPr>
      </w:pP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Export Market Development Grants (Close Relationships - General) Determination 2016 [F2016L01095]</w:t>
      </w:r>
      <w:r>
        <w:rPr>
          <w:noProof/>
        </w:rPr>
        <w:tab/>
        <w:t>51</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Export Market Development Grants (Significant Net Benefit) Guidelines 2016 [F2016L01097]</w:t>
      </w:r>
      <w:r>
        <w:rPr>
          <w:noProof/>
        </w:rPr>
        <w:tab/>
        <w:t>51</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Export Market Development Grants (Grants Entry Requirements) Determination 2016 [F2016L01108]</w:t>
      </w:r>
      <w:r>
        <w:rPr>
          <w:noProof/>
        </w:rPr>
        <w:tab/>
        <w:t>51</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Income Tax Assessment Act – Cents per kilometre deduction rate for motor vehicle expenses [F2016L01157]</w:t>
      </w:r>
      <w:r>
        <w:rPr>
          <w:noProof/>
        </w:rPr>
        <w:tab/>
        <w:t>52</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section 10 of the </w:t>
      </w:r>
      <w:r w:rsidRPr="00CF4EEB">
        <w:rPr>
          <w:i/>
          <w:noProof/>
        </w:rPr>
        <w:t>Acts Interpretation Act 1901</w:t>
      </w:r>
      <w:r>
        <w:rPr>
          <w:noProof/>
        </w:rPr>
        <w:t xml:space="preserve"> (as applied by paragraph 13(1)(a) of the </w:t>
      </w:r>
      <w:r w:rsidRPr="00CF4EEB">
        <w:rPr>
          <w:i/>
          <w:noProof/>
        </w:rPr>
        <w:t>Legislation Act 2003)</w:t>
      </w:r>
      <w:r>
        <w:rPr>
          <w:noProof/>
        </w:rPr>
        <w:tab/>
        <w:t>53</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4(2) of the </w:t>
      </w:r>
      <w:r w:rsidRPr="00CF4EEB">
        <w:rPr>
          <w:i/>
          <w:noProof/>
        </w:rPr>
        <w:t>Acts Interpretation Act 1901</w:t>
      </w:r>
      <w:r>
        <w:rPr>
          <w:noProof/>
        </w:rPr>
        <w:tab/>
        <w:t>55</w:t>
      </w:r>
    </w:p>
    <w:p w:rsidR="00630D81"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CF4EEB">
        <w:rPr>
          <w:i/>
          <w:noProof/>
        </w:rPr>
        <w:t>Acts Interpretation Act 1901</w:t>
      </w:r>
      <w:r>
        <w:rPr>
          <w:noProof/>
        </w:rPr>
        <w:tab/>
        <w:t>56</w:t>
      </w:r>
    </w:p>
    <w:p w:rsidR="00630D81" w:rsidRDefault="00630D81" w:rsidP="00630D81">
      <w:pPr>
        <w:pStyle w:val="TOC1"/>
        <w:tabs>
          <w:tab w:val="right" w:leader="dot" w:pos="9016"/>
        </w:tabs>
        <w:rPr>
          <w:b w:val="0"/>
          <w:noProof/>
          <w:sz w:val="26"/>
          <w:szCs w:val="26"/>
        </w:rPr>
      </w:pPr>
      <w:r>
        <w:rPr>
          <w:noProof/>
        </w:rPr>
        <w:t xml:space="preserve">Chapter 2 – </w:t>
      </w:r>
      <w:r w:rsidRPr="006A7502">
        <w:rPr>
          <w:noProof/>
        </w:rPr>
        <w:t>Concluded matters</w:t>
      </w:r>
    </w:p>
    <w:p w:rsidR="00630D81" w:rsidRPr="00E23EE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E23EE9">
        <w:rPr>
          <w:noProof/>
        </w:rPr>
        <w:t>Broadcasting Services (International Broadcasting) Guidelines 2016 [F2016L00393]</w:t>
      </w:r>
      <w:r w:rsidRPr="00E23EE9">
        <w:rPr>
          <w:noProof/>
        </w:rPr>
        <w:tab/>
        <w:t>63</w:t>
      </w:r>
    </w:p>
    <w:p w:rsidR="00630D81" w:rsidRPr="00E23EE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E23EE9">
        <w:rPr>
          <w:noProof/>
        </w:rPr>
        <w:t>Excise (Volume of LPG - Temperature and Pressure Correction) Determination 2016 (No. 1) [F2016L00130]</w:t>
      </w:r>
      <w:r w:rsidRPr="00E23EE9">
        <w:rPr>
          <w:noProof/>
        </w:rPr>
        <w:tab/>
        <w:t>65</w:t>
      </w:r>
    </w:p>
    <w:p w:rsidR="00630D81" w:rsidRPr="00E23EE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E23EE9">
        <w:rPr>
          <w:noProof/>
        </w:rPr>
        <w:t>Excise (Mass of CNG) Determination 2016 (No. 1) [F2016L00131]</w:t>
      </w:r>
      <w:r w:rsidRPr="00E23EE9">
        <w:rPr>
          <w:noProof/>
        </w:rPr>
        <w:tab/>
        <w:t>65</w:t>
      </w:r>
    </w:p>
    <w:p w:rsidR="00630D81" w:rsidRPr="00E23EE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E23EE9">
        <w:rPr>
          <w:noProof/>
        </w:rPr>
        <w:t>Excise (Volume of Liquid Fuels - Temperature Correction) Determination</w:t>
      </w:r>
      <w:r w:rsidRPr="00E23EE9">
        <w:rPr>
          <w:noProof/>
        </w:rPr>
        <w:br/>
        <w:t>2016 (No. 1) [F20I6L00133]</w:t>
      </w:r>
      <w:r w:rsidRPr="00E23EE9">
        <w:rPr>
          <w:noProof/>
        </w:rPr>
        <w:tab/>
        <w:t>65</w:t>
      </w:r>
    </w:p>
    <w:p w:rsidR="00630D81" w:rsidRPr="00E23EE9" w:rsidRDefault="00630D81" w:rsidP="00630D81">
      <w:pPr>
        <w:pStyle w:val="TOC3"/>
        <w:tabs>
          <w:tab w:val="right" w:leader="dot" w:pos="9016"/>
        </w:tabs>
        <w:jc w:val="left"/>
        <w:rPr>
          <w:noProof/>
        </w:rPr>
      </w:pPr>
      <w:r w:rsidRPr="00E23EE9">
        <w:rPr>
          <w:noProof/>
        </w:rPr>
        <w:t>Export Control (Prescribed Goods—General) Amendment (Official Marks) Order 2016 [F2016L00432]</w:t>
      </w:r>
      <w:r w:rsidRPr="00E23EE9">
        <w:rPr>
          <w:noProof/>
        </w:rPr>
        <w:tab/>
        <w:t>67</w:t>
      </w:r>
    </w:p>
    <w:p w:rsidR="00630D81" w:rsidRPr="00E23EE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E23EE9">
        <w:rPr>
          <w:noProof/>
        </w:rPr>
        <w:t>Marriage Amendment Regulation 2016 (No. 1) [F2016L00303]</w:t>
      </w:r>
      <w:r w:rsidRPr="00E23EE9">
        <w:rPr>
          <w:noProof/>
        </w:rPr>
        <w:tab/>
        <w:t>69</w:t>
      </w:r>
    </w:p>
    <w:p w:rsidR="00630D81" w:rsidRPr="00E23EE9" w:rsidRDefault="00630D81" w:rsidP="00630D81">
      <w:pPr>
        <w:pStyle w:val="TOC3"/>
        <w:tabs>
          <w:tab w:val="right" w:leader="dot" w:pos="9016"/>
        </w:tabs>
        <w:jc w:val="left"/>
        <w:rPr>
          <w:rFonts w:asciiTheme="minorHAnsi" w:eastAsiaTheme="minorEastAsia" w:hAnsiTheme="minorHAnsi" w:cstheme="minorBidi"/>
          <w:noProof/>
          <w:sz w:val="22"/>
          <w:szCs w:val="22"/>
          <w:lang w:eastAsia="en-AU"/>
        </w:rPr>
      </w:pPr>
      <w:r w:rsidRPr="00E23EE9">
        <w:rPr>
          <w:noProof/>
        </w:rPr>
        <w:t>Remuneration Tribunal (Members' Fees and Allowances) Regulation 2016 [F2016L00396]</w:t>
      </w:r>
      <w:r w:rsidRPr="00E23EE9">
        <w:rPr>
          <w:noProof/>
        </w:rPr>
        <w:tab/>
        <w:t>70</w:t>
      </w:r>
    </w:p>
    <w:p w:rsidR="00630D81" w:rsidRPr="00E23EE9" w:rsidRDefault="00630D81" w:rsidP="00630D81">
      <w:pPr>
        <w:pStyle w:val="TOC1"/>
        <w:tabs>
          <w:tab w:val="right" w:leader="dot" w:pos="9016"/>
        </w:tabs>
        <w:rPr>
          <w:rFonts w:asciiTheme="minorHAnsi" w:eastAsiaTheme="minorEastAsia" w:hAnsiTheme="minorHAnsi" w:cstheme="minorBidi"/>
          <w:b w:val="0"/>
          <w:noProof/>
          <w:sz w:val="22"/>
          <w:szCs w:val="22"/>
          <w:lang w:eastAsia="en-AU"/>
        </w:rPr>
      </w:pPr>
      <w:r w:rsidRPr="00E23EE9">
        <w:rPr>
          <w:noProof/>
        </w:rPr>
        <w:t>Appendix 1 – Correspondence</w:t>
      </w:r>
      <w:r w:rsidRPr="00E23EE9">
        <w:rPr>
          <w:b w:val="0"/>
          <w:noProof/>
          <w:sz w:val="26"/>
          <w:szCs w:val="26"/>
        </w:rPr>
        <w:tab/>
        <w:t>73</w:t>
      </w:r>
    </w:p>
    <w:p w:rsidR="00630D81" w:rsidRDefault="00630D81" w:rsidP="00630D81">
      <w:pPr>
        <w:pStyle w:val="TOC1"/>
        <w:tabs>
          <w:tab w:val="right" w:leader="dot" w:pos="9016"/>
        </w:tabs>
        <w:rPr>
          <w:b w:val="0"/>
          <w:noProof/>
          <w:sz w:val="26"/>
          <w:szCs w:val="26"/>
        </w:rPr>
      </w:pPr>
      <w:r w:rsidRPr="00E23EE9">
        <w:rPr>
          <w:noProof/>
        </w:rPr>
        <w:t>Appendix 2 – Guideline on consultation</w:t>
      </w:r>
      <w:r w:rsidRPr="00E23EE9">
        <w:rPr>
          <w:b w:val="0"/>
          <w:noProof/>
          <w:sz w:val="26"/>
          <w:szCs w:val="26"/>
        </w:rPr>
        <w:tab/>
        <w:t>87</w:t>
      </w:r>
    </w:p>
    <w:p w:rsidR="00630D81" w:rsidRDefault="00630D81" w:rsidP="00630D81">
      <w:pPr>
        <w:rPr>
          <w:rFonts w:eastAsiaTheme="minorEastAsia"/>
        </w:rPr>
      </w:pPr>
    </w:p>
    <w:p w:rsidR="00630D81" w:rsidRPr="00630D81" w:rsidRDefault="00630D81" w:rsidP="00630D81">
      <w:pPr>
        <w:rPr>
          <w:rFonts w:eastAsiaTheme="minorEastAsia"/>
        </w:rPr>
        <w:sectPr w:rsidR="00630D81" w:rsidRPr="00630D81" w:rsidSect="00630D81">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630D81" w:rsidRPr="004B17F0" w:rsidRDefault="00630D81" w:rsidP="00630D81">
      <w:pPr>
        <w:pStyle w:val="Heading1"/>
        <w:spacing w:before="120" w:after="120"/>
      </w:pPr>
      <w:r>
        <w:lastRenderedPageBreak/>
        <w:t>Introduction</w:t>
      </w:r>
    </w:p>
    <w:p w:rsidR="00630D81" w:rsidRDefault="00630D81" w:rsidP="00630D81">
      <w:pPr>
        <w:pStyle w:val="Heading3"/>
        <w:spacing w:before="120" w:after="120"/>
      </w:pPr>
      <w:r>
        <w:t>Terms of reference</w:t>
      </w:r>
    </w:p>
    <w:p w:rsidR="00630D81" w:rsidRDefault="00630D81" w:rsidP="00630D81">
      <w:pPr>
        <w:pStyle w:val="Level1"/>
        <w:numPr>
          <w:ilvl w:val="0"/>
          <w:numId w:val="0"/>
        </w:numPr>
        <w:spacing w:before="120"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630D81" w:rsidRDefault="00630D81" w:rsidP="00630D81">
      <w:pPr>
        <w:pStyle w:val="Level1"/>
        <w:numPr>
          <w:ilvl w:val="0"/>
          <w:numId w:val="0"/>
        </w:numPr>
        <w:spacing w:before="120" w:after="120"/>
      </w:pPr>
      <w:r>
        <w:t>Senate Standing Order 23(3) requires the committee to scrutinise each instrument referred to it to ensure:</w:t>
      </w:r>
    </w:p>
    <w:p w:rsidR="00630D81" w:rsidRPr="00BF47FD" w:rsidRDefault="00630D81" w:rsidP="00630D81">
      <w:pPr>
        <w:pStyle w:val="Quote"/>
        <w:tabs>
          <w:tab w:val="left" w:pos="1418"/>
        </w:tabs>
        <w:spacing w:before="120" w:after="120"/>
        <w:ind w:left="1418" w:hanging="709"/>
      </w:pPr>
      <w:r>
        <w:t>(a)</w:t>
      </w:r>
      <w:r>
        <w:tab/>
      </w:r>
      <w:r w:rsidRPr="00BF47FD">
        <w:t>that it is in accordance with the statute;</w:t>
      </w:r>
    </w:p>
    <w:p w:rsidR="00630D81" w:rsidRPr="00BF47FD" w:rsidRDefault="00630D81" w:rsidP="00630D81">
      <w:pPr>
        <w:pStyle w:val="Quote"/>
        <w:tabs>
          <w:tab w:val="left" w:pos="1418"/>
        </w:tabs>
        <w:spacing w:before="120" w:after="120"/>
        <w:ind w:left="1418" w:hanging="709"/>
      </w:pPr>
      <w:r>
        <w:t>(b)</w:t>
      </w:r>
      <w:r>
        <w:tab/>
      </w:r>
      <w:r w:rsidRPr="00BF47FD">
        <w:t>that it does not trespass unduly on personal rights and liberties;</w:t>
      </w:r>
    </w:p>
    <w:p w:rsidR="00630D81" w:rsidRPr="00BF47FD" w:rsidRDefault="00630D81" w:rsidP="00630D81">
      <w:pPr>
        <w:pStyle w:val="Quote"/>
        <w:tabs>
          <w:tab w:val="left" w:pos="1418"/>
        </w:tabs>
        <w:spacing w:before="120"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630D81" w:rsidRDefault="00630D81" w:rsidP="00630D81">
      <w:pPr>
        <w:pStyle w:val="Quote"/>
        <w:tabs>
          <w:tab w:val="left" w:pos="1418"/>
        </w:tabs>
        <w:spacing w:before="120" w:after="120"/>
        <w:ind w:left="1418" w:hanging="709"/>
      </w:pPr>
      <w:r>
        <w:t>(d)</w:t>
      </w:r>
      <w:r>
        <w:tab/>
      </w:r>
      <w:r w:rsidRPr="00BF47FD">
        <w:t>that it does not contain matter more appropriate for parliamentary enactment.</w:t>
      </w:r>
    </w:p>
    <w:p w:rsidR="00630D81" w:rsidRDefault="00630D81" w:rsidP="00630D81">
      <w:pPr>
        <w:pStyle w:val="Heading3"/>
        <w:spacing w:before="120" w:after="120"/>
      </w:pPr>
      <w:r>
        <w:t>Nature of the committee's scrutiny</w:t>
      </w:r>
    </w:p>
    <w:p w:rsidR="00630D81" w:rsidRDefault="00630D81" w:rsidP="00630D81">
      <w:pPr>
        <w:pStyle w:val="Level1"/>
        <w:numPr>
          <w:ilvl w:val="0"/>
          <w:numId w:val="0"/>
        </w:numPr>
        <w:spacing w:before="120" w:after="120"/>
      </w:pPr>
      <w:r w:rsidRPr="00F063AA">
        <w:t xml:space="preserve">The committee's </w:t>
      </w:r>
      <w:r>
        <w:t xml:space="preserve">scrutiny principles capture a wide variety of issues but relate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630D81" w:rsidRDefault="00630D81" w:rsidP="00630D81">
      <w:pPr>
        <w:pStyle w:val="Level1"/>
        <w:numPr>
          <w:ilvl w:val="0"/>
          <w:numId w:val="0"/>
        </w:numPr>
        <w:spacing w:before="120" w:after="120"/>
      </w:pPr>
      <w:r>
        <w:t xml:space="preserve">The committee's work is supported by processes for the registration, tabling and disallowance of legislative instruments under the </w:t>
      </w:r>
      <w:r>
        <w:rPr>
          <w:i/>
        </w:rPr>
        <w:t>Legislation Act 2003</w:t>
      </w:r>
      <w:r>
        <w:t>.</w:t>
      </w:r>
      <w:r>
        <w:rPr>
          <w:rStyle w:val="FootnoteReference"/>
        </w:rPr>
        <w:footnoteReference w:id="1"/>
      </w:r>
    </w:p>
    <w:p w:rsidR="00630D81" w:rsidRDefault="00630D81" w:rsidP="00630D81">
      <w:pPr>
        <w:pStyle w:val="Heading3"/>
        <w:spacing w:before="120" w:after="120"/>
      </w:pPr>
      <w:r>
        <w:t>Publications</w:t>
      </w:r>
    </w:p>
    <w:p w:rsidR="00630D81" w:rsidRDefault="00630D81" w:rsidP="00630D81">
      <w:pPr>
        <w:pStyle w:val="Level1"/>
        <w:numPr>
          <w:ilvl w:val="0"/>
          <w:numId w:val="0"/>
        </w:numPr>
        <w:spacing w:before="120"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630D81" w:rsidRPr="008B16ED" w:rsidRDefault="00630D81" w:rsidP="00630D81">
      <w:pPr>
        <w:pStyle w:val="Heading3"/>
        <w:spacing w:before="120" w:after="120"/>
      </w:pPr>
      <w:r>
        <w:t>Structure of the monitor</w:t>
      </w:r>
    </w:p>
    <w:p w:rsidR="00630D81" w:rsidRDefault="00630D81" w:rsidP="00630D81">
      <w:pPr>
        <w:pStyle w:val="Level1"/>
        <w:numPr>
          <w:ilvl w:val="0"/>
          <w:numId w:val="0"/>
        </w:numPr>
        <w:spacing w:before="120" w:after="120"/>
      </w:pPr>
      <w:r>
        <w:t>The monitor is comprised of the following parts:</w:t>
      </w:r>
    </w:p>
    <w:p w:rsidR="00630D81" w:rsidRDefault="00630D81" w:rsidP="00630D81">
      <w:pPr>
        <w:pStyle w:val="Bullet1"/>
        <w:tabs>
          <w:tab w:val="clear" w:pos="851"/>
          <w:tab w:val="left" w:pos="567"/>
        </w:tabs>
        <w:spacing w:before="120" w:after="120"/>
        <w:ind w:left="567" w:hanging="567"/>
      </w:pPr>
      <w:r w:rsidRPr="00203D04">
        <w:rPr>
          <w:b/>
        </w:rPr>
        <w:lastRenderedPageBreak/>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630D81" w:rsidRDefault="00630D81" w:rsidP="00630D81">
      <w:pPr>
        <w:pStyle w:val="Bullet1"/>
        <w:numPr>
          <w:ilvl w:val="0"/>
          <w:numId w:val="35"/>
        </w:numPr>
        <w:tabs>
          <w:tab w:val="clear" w:pos="851"/>
          <w:tab w:val="left" w:pos="567"/>
        </w:tabs>
        <w:spacing w:before="120" w:after="120"/>
        <w:ind w:left="1134" w:hanging="567"/>
      </w:pPr>
      <w:r>
        <w:t xml:space="preserve">seeking an explanation/information; or </w:t>
      </w:r>
    </w:p>
    <w:p w:rsidR="00630D81" w:rsidRDefault="00630D81" w:rsidP="00630D81">
      <w:pPr>
        <w:pStyle w:val="Bullet1"/>
        <w:numPr>
          <w:ilvl w:val="0"/>
          <w:numId w:val="35"/>
        </w:numPr>
        <w:tabs>
          <w:tab w:val="clear" w:pos="851"/>
          <w:tab w:val="left" w:pos="567"/>
        </w:tabs>
        <w:spacing w:before="120" w:after="120"/>
        <w:ind w:left="1134" w:hanging="567"/>
      </w:pPr>
      <w:r>
        <w:t>seeking further explanation/information subsequent to a response; or</w:t>
      </w:r>
    </w:p>
    <w:p w:rsidR="00630D81" w:rsidRDefault="00630D81" w:rsidP="00630D81">
      <w:pPr>
        <w:pStyle w:val="Bullet1"/>
        <w:numPr>
          <w:ilvl w:val="0"/>
          <w:numId w:val="35"/>
        </w:numPr>
        <w:tabs>
          <w:tab w:val="clear" w:pos="851"/>
          <w:tab w:val="left" w:pos="567"/>
        </w:tabs>
        <w:spacing w:before="120" w:after="120"/>
        <w:ind w:left="1134" w:hanging="567"/>
      </w:pPr>
      <w:r>
        <w:t>on an advice only basis.</w:t>
      </w:r>
    </w:p>
    <w:p w:rsidR="00630D81" w:rsidRDefault="00630D81" w:rsidP="00630D81">
      <w:pPr>
        <w:pStyle w:val="Bullet1"/>
        <w:tabs>
          <w:tab w:val="clear" w:pos="851"/>
          <w:tab w:val="left" w:pos="567"/>
        </w:tabs>
        <w:spacing w:before="120"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630D81" w:rsidRDefault="00630D81" w:rsidP="00630D81">
      <w:pPr>
        <w:pStyle w:val="Bullet1"/>
        <w:tabs>
          <w:tab w:val="clear" w:pos="851"/>
          <w:tab w:val="left" w:pos="567"/>
        </w:tabs>
        <w:spacing w:before="120" w:after="120"/>
        <w:ind w:left="567" w:hanging="567"/>
      </w:pPr>
      <w:r w:rsidRPr="00203D04">
        <w:rPr>
          <w:b/>
        </w:rPr>
        <w:t>Appendix 1 Correspondence</w:t>
      </w:r>
      <w:r>
        <w:t>: contains the correspondence relevant to the matters raised in Chapters 1 and 2.</w:t>
      </w:r>
    </w:p>
    <w:p w:rsidR="00630D81" w:rsidRDefault="00630D81" w:rsidP="00630D81">
      <w:pPr>
        <w:pStyle w:val="Bullet1"/>
        <w:tabs>
          <w:tab w:val="clear" w:pos="851"/>
          <w:tab w:val="left" w:pos="567"/>
        </w:tabs>
        <w:spacing w:before="120" w:after="120"/>
        <w:ind w:left="567" w:hanging="567"/>
      </w:pPr>
      <w:r w:rsidRPr="00203D04">
        <w:rPr>
          <w:b/>
        </w:rPr>
        <w:t>Appendix 2 Consultation</w:t>
      </w:r>
      <w:r>
        <w:t xml:space="preserve">: includes the committee's guideline on addressing the consultation requirements of the </w:t>
      </w:r>
      <w:r>
        <w:rPr>
          <w:i/>
        </w:rPr>
        <w:t>Legislation Act 2003</w:t>
      </w:r>
      <w:r>
        <w:t>.</w:t>
      </w:r>
      <w:r>
        <w:rPr>
          <w:rStyle w:val="FootnoteReference"/>
        </w:rPr>
        <w:footnoteReference w:id="3"/>
      </w:r>
    </w:p>
    <w:p w:rsidR="00630D81" w:rsidRDefault="00630D81" w:rsidP="00630D81">
      <w:pPr>
        <w:pStyle w:val="Heading3"/>
        <w:spacing w:before="120" w:after="120"/>
      </w:pPr>
      <w:r>
        <w:t>Acknowledgement</w:t>
      </w:r>
    </w:p>
    <w:p w:rsidR="00630D81" w:rsidRDefault="00630D81" w:rsidP="00630D81">
      <w:pPr>
        <w:pStyle w:val="Level1"/>
        <w:numPr>
          <w:ilvl w:val="0"/>
          <w:numId w:val="0"/>
        </w:numPr>
        <w:spacing w:before="120" w:after="120"/>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630D81" w:rsidRDefault="00630D81" w:rsidP="00630D81">
      <w:pPr>
        <w:pStyle w:val="Heading3"/>
        <w:spacing w:before="120" w:after="120"/>
      </w:pPr>
      <w:r>
        <w:t>General information</w:t>
      </w:r>
    </w:p>
    <w:p w:rsidR="00630D81" w:rsidRDefault="00630D81" w:rsidP="00630D81">
      <w:pPr>
        <w:pStyle w:val="Level1"/>
        <w:numPr>
          <w:ilvl w:val="0"/>
          <w:numId w:val="0"/>
        </w:numPr>
        <w:spacing w:before="120" w:after="120"/>
      </w:pPr>
      <w:r w:rsidRPr="00C75374">
        <w:t>The Federal Register of Legislat</w:t>
      </w:r>
      <w:r>
        <w:t>ion Register</w:t>
      </w:r>
      <w:r w:rsidRPr="00C75374">
        <w:t xml:space="preserve">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4"/>
      </w:r>
      <w:r w:rsidRPr="00C75374">
        <w:t xml:space="preserve"> </w:t>
      </w:r>
    </w:p>
    <w:p w:rsidR="00630D81" w:rsidRDefault="00630D81" w:rsidP="00630D81">
      <w:pPr>
        <w:pStyle w:val="Level1"/>
        <w:numPr>
          <w:ilvl w:val="0"/>
          <w:numId w:val="0"/>
        </w:numPr>
        <w:spacing w:before="120" w:after="120"/>
      </w:pPr>
      <w:r>
        <w:t>The Senate Disallowable Instruments List provides an informal listing of tabled instruments for which disallowance motions may be moved in the Senate.</w:t>
      </w:r>
      <w:r>
        <w:rPr>
          <w:rStyle w:val="FootnoteReference"/>
        </w:rPr>
        <w:footnoteReference w:id="5"/>
      </w:r>
      <w:r>
        <w:t xml:space="preserve"> </w:t>
      </w:r>
    </w:p>
    <w:p w:rsidR="00630D81" w:rsidRDefault="00630D81" w:rsidP="00630D81">
      <w:pPr>
        <w:pStyle w:val="Level1"/>
        <w:numPr>
          <w:ilvl w:val="0"/>
          <w:numId w:val="0"/>
        </w:numPr>
        <w:spacing w:before="120" w:after="120"/>
        <w:rPr>
          <w:b/>
        </w:rPr>
      </w:pPr>
      <w:r>
        <w:t>The Disallowance Alert records all notices of motion for the disallowance of instruments in the Senate, and their progress and eventual outcome.</w:t>
      </w:r>
      <w:r>
        <w:rPr>
          <w:rStyle w:val="FootnoteReference"/>
        </w:rPr>
        <w:footnoteReference w:id="6"/>
      </w:r>
      <w:r>
        <w:t xml:space="preserve"> </w:t>
      </w:r>
    </w:p>
    <w:p w:rsidR="00630D81" w:rsidRDefault="00630D81" w:rsidP="00630D81">
      <w:pPr>
        <w:pStyle w:val="Bullet1"/>
        <w:numPr>
          <w:ilvl w:val="0"/>
          <w:numId w:val="0"/>
        </w:numPr>
        <w:spacing w:before="120" w:after="120"/>
        <w:ind w:left="851" w:hanging="851"/>
        <w:rPr>
          <w:b/>
          <w:sz w:val="24"/>
          <w:szCs w:val="24"/>
        </w:rPr>
      </w:pPr>
    </w:p>
    <w:p w:rsidR="00630D81" w:rsidRDefault="00630D81" w:rsidP="00630D81">
      <w:pPr>
        <w:pStyle w:val="Bullet1"/>
        <w:numPr>
          <w:ilvl w:val="0"/>
          <w:numId w:val="0"/>
        </w:numPr>
        <w:spacing w:before="120" w:after="120"/>
        <w:ind w:left="851" w:hanging="851"/>
        <w:rPr>
          <w:b/>
          <w:sz w:val="24"/>
          <w:szCs w:val="24"/>
        </w:rPr>
      </w:pPr>
    </w:p>
    <w:p w:rsidR="00630D81" w:rsidRDefault="00630D81" w:rsidP="00630D81">
      <w:pPr>
        <w:pStyle w:val="Bullet1"/>
        <w:numPr>
          <w:ilvl w:val="0"/>
          <w:numId w:val="0"/>
        </w:numPr>
        <w:spacing w:before="120" w:after="120"/>
        <w:ind w:left="851" w:hanging="851"/>
        <w:rPr>
          <w:b/>
          <w:sz w:val="24"/>
          <w:szCs w:val="24"/>
        </w:rPr>
      </w:pPr>
    </w:p>
    <w:p w:rsidR="00630D81" w:rsidRPr="00364316" w:rsidRDefault="00630D81" w:rsidP="00630D81">
      <w:pPr>
        <w:pStyle w:val="Bullet1"/>
        <w:numPr>
          <w:ilvl w:val="0"/>
          <w:numId w:val="0"/>
        </w:numPr>
        <w:spacing w:before="120" w:after="120"/>
        <w:ind w:left="851" w:hanging="851"/>
        <w:rPr>
          <w:b/>
        </w:rPr>
      </w:pPr>
      <w:r w:rsidRPr="00364316">
        <w:rPr>
          <w:b/>
        </w:rPr>
        <w:t xml:space="preserve">Senator </w:t>
      </w:r>
      <w:r>
        <w:rPr>
          <w:b/>
        </w:rPr>
        <w:t>John Williams (</w:t>
      </w:r>
      <w:r w:rsidRPr="00364316">
        <w:rPr>
          <w:b/>
        </w:rPr>
        <w:t>Chair</w:t>
      </w:r>
      <w:r>
        <w:rPr>
          <w:b/>
        </w:rPr>
        <w:t>)</w:t>
      </w:r>
    </w:p>
    <w:p w:rsidR="00630D81" w:rsidRDefault="00630D81" w:rsidP="00630D81">
      <w:pPr>
        <w:spacing w:before="120" w:after="120"/>
        <w:jc w:val="left"/>
        <w:sectPr w:rsidR="00630D81" w:rsidSect="00630D81">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pgNumType w:fmt="lowerRoman" w:start="9"/>
          <w:cols w:space="720"/>
          <w:titlePg/>
        </w:sectPr>
      </w:pPr>
    </w:p>
    <w:p w:rsidR="00630D81" w:rsidRPr="001F4E38" w:rsidRDefault="00630D81" w:rsidP="00630D81">
      <w:pPr>
        <w:pStyle w:val="Heading1"/>
        <w:spacing w:before="120"/>
      </w:pPr>
      <w:r w:rsidRPr="001F4E38">
        <w:lastRenderedPageBreak/>
        <w:t>Chapter 1</w:t>
      </w:r>
    </w:p>
    <w:p w:rsidR="00630D81" w:rsidRPr="001F4E38" w:rsidRDefault="00630D81" w:rsidP="00630D81">
      <w:pPr>
        <w:pStyle w:val="Heading2"/>
      </w:pPr>
      <w:r w:rsidRPr="001F4E38">
        <w:t xml:space="preserve">New </w:t>
      </w:r>
      <w:r>
        <w:t xml:space="preserve">and continuing </w:t>
      </w:r>
      <w:r w:rsidRPr="001F4E38">
        <w:t>matters</w:t>
      </w:r>
    </w:p>
    <w:p w:rsidR="00630D81" w:rsidRDefault="00630D81" w:rsidP="00630D81">
      <w:pPr>
        <w:pStyle w:val="Level1"/>
        <w:numPr>
          <w:ilvl w:val="0"/>
          <w:numId w:val="0"/>
        </w:numPr>
      </w:pPr>
      <w:r>
        <w:t>This chapter details concerns in relation to disallowable instruments of delegated legislation received by the Senate Standing Committee on Regulations and Ordinances (the committee) betw</w:t>
      </w:r>
      <w:r w:rsidRPr="009F3B1B">
        <w:t xml:space="preserve">een 22 </w:t>
      </w:r>
      <w:r w:rsidRPr="000E369C">
        <w:t>April 2016 and 18 August 2016 (n</w:t>
      </w:r>
      <w:r>
        <w:t>ew matters); and matters previously raised in relation to which the committee seeks further information (continuing matters).</w:t>
      </w:r>
      <w:r>
        <w:rPr>
          <w:rStyle w:val="FootnoteReference"/>
        </w:rPr>
        <w:footnoteReference w:id="7"/>
      </w:r>
    </w:p>
    <w:p w:rsidR="00630D81" w:rsidRPr="00E8612C" w:rsidRDefault="00630D81" w:rsidP="00630D81">
      <w:pPr>
        <w:pStyle w:val="Heading2"/>
        <w:rPr>
          <w:sz w:val="32"/>
          <w:szCs w:val="32"/>
        </w:rPr>
      </w:pPr>
      <w:r w:rsidRPr="00E8612C">
        <w:rPr>
          <w:sz w:val="32"/>
          <w:szCs w:val="32"/>
        </w:rPr>
        <w:t>Response required</w:t>
      </w:r>
    </w:p>
    <w:p w:rsidR="00630D81" w:rsidRPr="007D4152" w:rsidRDefault="00630D81" w:rsidP="00630D81">
      <w:pPr>
        <w:pStyle w:val="Level1"/>
        <w:numPr>
          <w:ilvl w:val="0"/>
          <w:numId w:val="0"/>
        </w:num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tbl>
      <w:tblPr>
        <w:tblW w:w="9134" w:type="dxa"/>
        <w:tblInd w:w="108" w:type="dxa"/>
        <w:tblLook w:val="04A0" w:firstRow="1" w:lastRow="0" w:firstColumn="1" w:lastColumn="0" w:noHBand="0" w:noVBand="1"/>
      </w:tblPr>
      <w:tblGrid>
        <w:gridCol w:w="2694"/>
        <w:gridCol w:w="6440"/>
      </w:tblGrid>
      <w:tr w:rsidR="00630D81" w:rsidRPr="00164622" w:rsidTr="00630D81">
        <w:tc>
          <w:tcPr>
            <w:tcW w:w="2694" w:type="dxa"/>
            <w:tcBorders>
              <w:top w:val="single" w:sz="12" w:space="0" w:color="auto"/>
              <w:right w:val="single" w:sz="12" w:space="0" w:color="auto"/>
            </w:tcBorders>
          </w:tcPr>
          <w:p w:rsidR="00630D81" w:rsidRPr="00BC1364" w:rsidRDefault="00630D81" w:rsidP="00630D81">
            <w:pPr>
              <w:rPr>
                <w:b/>
                <w:sz w:val="24"/>
                <w:szCs w:val="24"/>
              </w:rPr>
            </w:pPr>
            <w:r w:rsidRPr="00BC1364">
              <w:rPr>
                <w:b/>
                <w:sz w:val="24"/>
                <w:szCs w:val="24"/>
              </w:rPr>
              <w:t>Instrument</w:t>
            </w:r>
          </w:p>
        </w:tc>
        <w:tc>
          <w:tcPr>
            <w:tcW w:w="6440" w:type="dxa"/>
            <w:tcBorders>
              <w:top w:val="single" w:sz="12" w:space="0" w:color="auto"/>
              <w:left w:val="single" w:sz="12" w:space="0" w:color="auto"/>
            </w:tcBorders>
          </w:tcPr>
          <w:p w:rsidR="00630D81" w:rsidRPr="00BC1364" w:rsidRDefault="00630D81" w:rsidP="00630D81">
            <w:pPr>
              <w:pStyle w:val="Heading3"/>
              <w:rPr>
                <w:sz w:val="24"/>
                <w:szCs w:val="24"/>
              </w:rPr>
            </w:pPr>
            <w:r w:rsidRPr="00BC1364">
              <w:rPr>
                <w:noProof/>
                <w:sz w:val="24"/>
                <w:szCs w:val="24"/>
              </w:rPr>
              <w:t>Aboriginal Land Grant (Jervis Bay Territory) By-Laws 2016 [F2016L00619]</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Purpose</w:t>
            </w:r>
          </w:p>
        </w:tc>
        <w:tc>
          <w:tcPr>
            <w:tcW w:w="6440" w:type="dxa"/>
            <w:tcBorders>
              <w:left w:val="single" w:sz="12" w:space="0" w:color="auto"/>
            </w:tcBorders>
          </w:tcPr>
          <w:p w:rsidR="00630D81" w:rsidRPr="00BC1364" w:rsidRDefault="00630D81" w:rsidP="00630D81">
            <w:pPr>
              <w:rPr>
                <w:sz w:val="24"/>
                <w:szCs w:val="24"/>
              </w:rPr>
            </w:pPr>
            <w:r w:rsidRPr="00BC1364">
              <w:rPr>
                <w:noProof/>
                <w:sz w:val="24"/>
                <w:szCs w:val="24"/>
              </w:rPr>
              <w:t xml:space="preserve">Establishes </w:t>
            </w:r>
            <w:r>
              <w:rPr>
                <w:noProof/>
                <w:sz w:val="24"/>
                <w:szCs w:val="24"/>
              </w:rPr>
              <w:t>b</w:t>
            </w:r>
            <w:r w:rsidRPr="00BC1364">
              <w:rPr>
                <w:noProof/>
                <w:sz w:val="24"/>
                <w:szCs w:val="24"/>
              </w:rPr>
              <w:t>y-</w:t>
            </w:r>
            <w:r>
              <w:rPr>
                <w:noProof/>
                <w:sz w:val="24"/>
                <w:szCs w:val="24"/>
              </w:rPr>
              <w:t>l</w:t>
            </w:r>
            <w:r w:rsidRPr="00BC1364">
              <w:rPr>
                <w:noProof/>
                <w:sz w:val="24"/>
                <w:szCs w:val="24"/>
              </w:rPr>
              <w:t xml:space="preserve">aws pursuant to the </w:t>
            </w:r>
            <w:r w:rsidRPr="00BC1364">
              <w:rPr>
                <w:i/>
                <w:noProof/>
                <w:sz w:val="24"/>
                <w:szCs w:val="24"/>
              </w:rPr>
              <w:t>Aboriginal Land Grant (Jervis Bay Territory) Act 1986</w:t>
            </w:r>
            <w:r w:rsidRPr="00BC1364">
              <w:rPr>
                <w:noProof/>
                <w:sz w:val="24"/>
                <w:szCs w:val="24"/>
              </w:rPr>
              <w:t xml:space="preserve"> to conserve biodiversity and control activities on Aboriginal Land in the Jervis Bay Territory</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Last day to disallow</w:t>
            </w:r>
          </w:p>
        </w:tc>
        <w:tc>
          <w:tcPr>
            <w:tcW w:w="6440" w:type="dxa"/>
            <w:tcBorders>
              <w:left w:val="single" w:sz="12" w:space="0" w:color="auto"/>
            </w:tcBorders>
          </w:tcPr>
          <w:p w:rsidR="00630D81" w:rsidRPr="00BC1364" w:rsidRDefault="00630D81" w:rsidP="00630D81">
            <w:pPr>
              <w:rPr>
                <w:sz w:val="24"/>
                <w:szCs w:val="24"/>
              </w:rPr>
            </w:pPr>
            <w:r>
              <w:rPr>
                <w:noProof/>
                <w:sz w:val="24"/>
                <w:szCs w:val="24"/>
              </w:rPr>
              <w:t>9 November 2016</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Authorising legislation</w:t>
            </w:r>
          </w:p>
        </w:tc>
        <w:tc>
          <w:tcPr>
            <w:tcW w:w="6440" w:type="dxa"/>
            <w:tcBorders>
              <w:left w:val="single" w:sz="12" w:space="0" w:color="auto"/>
            </w:tcBorders>
          </w:tcPr>
          <w:p w:rsidR="00630D81" w:rsidRPr="00BC1364" w:rsidRDefault="00630D81" w:rsidP="00630D81">
            <w:pPr>
              <w:rPr>
                <w:i/>
                <w:sz w:val="24"/>
                <w:szCs w:val="24"/>
              </w:rPr>
            </w:pPr>
            <w:r w:rsidRPr="00BC1364">
              <w:rPr>
                <w:i/>
                <w:noProof/>
                <w:sz w:val="24"/>
                <w:szCs w:val="24"/>
              </w:rPr>
              <w:t>Aboriginal Land Grant (Jervis Bay Territory) Act 1986</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Department</w:t>
            </w:r>
          </w:p>
        </w:tc>
        <w:tc>
          <w:tcPr>
            <w:tcW w:w="6440" w:type="dxa"/>
            <w:tcBorders>
              <w:left w:val="single" w:sz="12" w:space="0" w:color="auto"/>
            </w:tcBorders>
          </w:tcPr>
          <w:p w:rsidR="00630D81" w:rsidRPr="00BC1364" w:rsidRDefault="00630D81" w:rsidP="00630D81">
            <w:pPr>
              <w:rPr>
                <w:sz w:val="24"/>
                <w:szCs w:val="24"/>
              </w:rPr>
            </w:pPr>
            <w:r w:rsidRPr="00BC1364">
              <w:rPr>
                <w:noProof/>
                <w:sz w:val="24"/>
                <w:szCs w:val="24"/>
              </w:rPr>
              <w:t>Prime Minister and Cabinet</w:t>
            </w:r>
          </w:p>
        </w:tc>
      </w:tr>
      <w:tr w:rsidR="00630D81" w:rsidRPr="00164622" w:rsidTr="00630D81">
        <w:tc>
          <w:tcPr>
            <w:tcW w:w="2694" w:type="dxa"/>
            <w:tcBorders>
              <w:bottom w:val="single" w:sz="12" w:space="0" w:color="auto"/>
              <w:right w:val="single" w:sz="12" w:space="0" w:color="auto"/>
            </w:tcBorders>
          </w:tcPr>
          <w:p w:rsidR="00630D81" w:rsidRPr="00BC1364" w:rsidRDefault="00630D81" w:rsidP="00630D81">
            <w:pPr>
              <w:rPr>
                <w:b/>
                <w:sz w:val="24"/>
                <w:szCs w:val="24"/>
              </w:rPr>
            </w:pPr>
            <w:r w:rsidRPr="00BC1364">
              <w:rPr>
                <w:b/>
                <w:sz w:val="24"/>
                <w:szCs w:val="24"/>
              </w:rPr>
              <w:t>Scrutiny principle</w:t>
            </w:r>
          </w:p>
        </w:tc>
        <w:tc>
          <w:tcPr>
            <w:tcW w:w="6440" w:type="dxa"/>
            <w:tcBorders>
              <w:left w:val="single" w:sz="12" w:space="0" w:color="auto"/>
              <w:bottom w:val="single" w:sz="12" w:space="0" w:color="auto"/>
            </w:tcBorders>
          </w:tcPr>
          <w:p w:rsidR="00630D81" w:rsidRPr="00BC1364" w:rsidRDefault="00630D81" w:rsidP="00630D81">
            <w:pPr>
              <w:rPr>
                <w:sz w:val="24"/>
                <w:szCs w:val="24"/>
              </w:rPr>
            </w:pPr>
            <w:r w:rsidRPr="00BC1364">
              <w:rPr>
                <w:sz w:val="24"/>
                <w:szCs w:val="24"/>
              </w:rPr>
              <w:t>Standing Order 23(3)</w:t>
            </w:r>
            <w:r w:rsidRPr="00BC1364">
              <w:rPr>
                <w:noProof/>
                <w:sz w:val="24"/>
                <w:szCs w:val="24"/>
              </w:rPr>
              <w:t>(c)</w:t>
            </w:r>
          </w:p>
        </w:tc>
      </w:tr>
    </w:tbl>
    <w:p w:rsidR="00630D81" w:rsidRDefault="00630D81" w:rsidP="00630D81"/>
    <w:p w:rsidR="00630D81" w:rsidRDefault="00630D81" w:rsidP="00630D81">
      <w:pPr>
        <w:rPr>
          <w:b/>
          <w:noProof/>
        </w:rPr>
      </w:pPr>
      <w:r>
        <w:rPr>
          <w:b/>
          <w:noProof/>
        </w:rPr>
        <w:t>Availability of merits r</w:t>
      </w:r>
      <w:r w:rsidRPr="005C3B4E">
        <w:rPr>
          <w:b/>
          <w:noProof/>
        </w:rPr>
        <w:t>eview</w:t>
      </w:r>
    </w:p>
    <w:p w:rsidR="00630D81" w:rsidRPr="00861AF1" w:rsidRDefault="00630D81" w:rsidP="00630D81">
      <w:r w:rsidRPr="00861AF1">
        <w:t xml:space="preserve">Scrutiny principle </w:t>
      </w:r>
      <w:r>
        <w:t>23(3)</w:t>
      </w:r>
      <w:r w:rsidRPr="00861AF1">
        <w:t xml:space="preserve">(c) of the committee’s terms of reference requires the committee to ensure that instruments do not unduly make the rights and liberties of citizens dependent upon administrative decisions </w:t>
      </w:r>
      <w:r>
        <w:t xml:space="preserve">which are not subject to review </w:t>
      </w:r>
      <w:r w:rsidRPr="00861AF1">
        <w:t xml:space="preserve">of their merits by a judicial or other independent tribunal. </w:t>
      </w:r>
    </w:p>
    <w:p w:rsidR="00630D81" w:rsidRPr="00861AF1" w:rsidRDefault="00630D81" w:rsidP="00630D81">
      <w:r w:rsidRPr="00861AF1">
        <w:t xml:space="preserve">With reference to the above, the committee notes that section 71 of the instrument provides for consideration and review of administrative decisions made by the Wreck Bay Aboriginal Community Council (the </w:t>
      </w:r>
      <w:r>
        <w:t>c</w:t>
      </w:r>
      <w:r w:rsidRPr="00861AF1">
        <w:t>ouncil) under Part 7 of the instrument. Subsection 71(7) states:</w:t>
      </w:r>
    </w:p>
    <w:p w:rsidR="00630D81" w:rsidRPr="00861AF1" w:rsidRDefault="00630D81" w:rsidP="00630D81">
      <w:pPr>
        <w:pStyle w:val="Quote"/>
      </w:pPr>
      <w:r w:rsidRPr="00861AF1">
        <w:lastRenderedPageBreak/>
        <w:t>The Council’s decision following a reconsideration of the initial decision is final.</w:t>
      </w:r>
    </w:p>
    <w:p w:rsidR="00630D81" w:rsidRPr="00861AF1" w:rsidRDefault="00630D81" w:rsidP="00630D81">
      <w:r>
        <w:t>However, the explanatory statement (ES) does not provide information as to whether decisions made under Part 7 of the instrument possess characteristics that would justify the exclusion of such decisions from merits review.</w:t>
      </w:r>
    </w:p>
    <w:p w:rsidR="00630D81" w:rsidRPr="00861AF1" w:rsidRDefault="00630D81" w:rsidP="00630D81">
      <w:r w:rsidRPr="00861AF1">
        <w:rPr>
          <w:b/>
        </w:rPr>
        <w:t>The committee requests the advice of the minister in relation to this matter.</w:t>
      </w:r>
    </w:p>
    <w:p w:rsidR="00630D81" w:rsidRPr="00164622" w:rsidRDefault="00630D81" w:rsidP="00630D81">
      <w:pPr>
        <w:spacing w:after="0"/>
        <w:rPr>
          <w:szCs w:val="26"/>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2875FC">
              <w:rPr>
                <w:noProof/>
                <w:sz w:val="24"/>
                <w:szCs w:val="24"/>
              </w:rPr>
              <w:t>Agricultural and Veterinary Chemicals Code (Notifiable Variations) Instrument 2016 [F2016L01233]</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Determines types of variations that can be made by notice rather than</w:t>
            </w:r>
            <w:r>
              <w:rPr>
                <w:noProof/>
                <w:sz w:val="24"/>
                <w:szCs w:val="24"/>
              </w:rPr>
              <w:t xml:space="preserve"> by</w:t>
            </w:r>
            <w:r w:rsidRPr="002875FC">
              <w:rPr>
                <w:noProof/>
                <w:sz w:val="24"/>
                <w:szCs w:val="24"/>
              </w:rPr>
              <w:t xml:space="preserve"> application</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2875FC">
              <w:rPr>
                <w:i/>
                <w:noProof/>
                <w:sz w:val="24"/>
                <w:szCs w:val="24"/>
              </w:rPr>
              <w:t>Agricultural and Veterinary Chemicals Code Act 1994</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Agriculture and Water Resources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2875FC">
              <w:rPr>
                <w:noProof/>
                <w:sz w:val="24"/>
                <w:szCs w:val="24"/>
              </w:rPr>
              <w:t>(a)</w:t>
            </w:r>
          </w:p>
        </w:tc>
      </w:tr>
    </w:tbl>
    <w:p w:rsidR="00630D81" w:rsidRDefault="00630D81" w:rsidP="00630D81"/>
    <w:p w:rsidR="00630D81" w:rsidRDefault="00630D81" w:rsidP="00630D81">
      <w:pPr>
        <w:rPr>
          <w:b/>
        </w:rPr>
      </w:pPr>
      <w:r w:rsidRPr="002875FC">
        <w:rPr>
          <w:b/>
          <w:noProof/>
        </w:rPr>
        <w:t>Incorporation of documents</w:t>
      </w:r>
      <w:r w:rsidRPr="005E0E29">
        <w:rPr>
          <w:b/>
        </w:rPr>
        <w:t xml:space="preserve"> </w:t>
      </w:r>
    </w:p>
    <w:p w:rsidR="00630D81" w:rsidRDefault="00630D81" w:rsidP="00630D81">
      <w:pPr>
        <w:rPr>
          <w:szCs w:val="26"/>
        </w:rPr>
      </w:pPr>
      <w:r w:rsidRPr="00D87D0C">
        <w:rPr>
          <w:szCs w:val="26"/>
        </w:rPr>
        <w:t>Section 14 of the</w:t>
      </w:r>
      <w:r w:rsidRPr="00D87D0C">
        <w:rPr>
          <w:i/>
          <w:szCs w:val="26"/>
        </w:rPr>
        <w:t xml:space="preserve"> Legislation Act 2003</w:t>
      </w:r>
      <w:r w:rsidRPr="00D87D0C">
        <w:rPr>
          <w:szCs w:val="26"/>
        </w:rPr>
        <w:t xml:space="preserve"> allows legislative instruments to make provision in relation to matters by incorporatin</w:t>
      </w:r>
      <w:r w:rsidRPr="00280275">
        <w:rPr>
          <w:szCs w:val="26"/>
        </w:rPr>
        <w:t xml:space="preserve">g </w:t>
      </w:r>
      <w:r w:rsidRPr="00355C2D">
        <w:rPr>
          <w:szCs w:val="26"/>
        </w:rPr>
        <w:t>A</w:t>
      </w:r>
      <w:r w:rsidRPr="00280275">
        <w:rPr>
          <w:szCs w:val="26"/>
        </w:rPr>
        <w:t>c</w:t>
      </w:r>
      <w:r w:rsidRPr="00D87D0C">
        <w:rPr>
          <w:szCs w:val="26"/>
        </w:rPr>
        <w:t>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630D81" w:rsidRDefault="00630D81" w:rsidP="00630D81">
      <w:pPr>
        <w:rPr>
          <w:szCs w:val="26"/>
        </w:rPr>
      </w:pPr>
      <w:r>
        <w:rPr>
          <w:szCs w:val="26"/>
        </w:rPr>
        <w:t>With reference to the above the committee notes th</w:t>
      </w:r>
      <w:r w:rsidRPr="005B7DC9">
        <w:rPr>
          <w:szCs w:val="26"/>
        </w:rPr>
        <w:t>at</w:t>
      </w:r>
      <w:r>
        <w:rPr>
          <w:szCs w:val="26"/>
        </w:rPr>
        <w:t xml:space="preserve"> Part 1, item</w:t>
      </w:r>
      <w:r w:rsidRPr="005B7DC9">
        <w:rPr>
          <w:szCs w:val="26"/>
        </w:rPr>
        <w:t xml:space="preserve"> 4</w:t>
      </w:r>
      <w:r>
        <w:rPr>
          <w:szCs w:val="26"/>
        </w:rPr>
        <w:t>, paragraph (d) of the instrument incorporates the Agricultural L</w:t>
      </w:r>
      <w:r w:rsidRPr="00D87D0C">
        <w:rPr>
          <w:szCs w:val="26"/>
        </w:rPr>
        <w:t xml:space="preserve">abelling </w:t>
      </w:r>
      <w:r>
        <w:rPr>
          <w:szCs w:val="26"/>
        </w:rPr>
        <w:t>C</w:t>
      </w:r>
      <w:r w:rsidRPr="00D87D0C">
        <w:rPr>
          <w:szCs w:val="26"/>
        </w:rPr>
        <w:t>ode</w:t>
      </w:r>
      <w:r>
        <w:rPr>
          <w:szCs w:val="26"/>
        </w:rPr>
        <w:t xml:space="preserve"> and the Veterinary Labelling Code made by the Australian Pesticides and Veterinary Medicines Authority (the labelling codes). However, neither the text of the instrument nor the ES expressly state the manner in which the labelling codes are incorporated.</w:t>
      </w:r>
    </w:p>
    <w:p w:rsidR="00630D81" w:rsidRPr="00681B17" w:rsidRDefault="00630D81" w:rsidP="00630D81">
      <w:r>
        <w:t>T</w:t>
      </w:r>
      <w:r w:rsidRPr="00681B17">
        <w:t>he committee</w:t>
      </w:r>
      <w:r>
        <w:t xml:space="preserve"> expects instruments (and ideally their accompanying ESs) to clearly state </w:t>
      </w:r>
      <w:r w:rsidRPr="00681B17">
        <w:t xml:space="preserve">the manner </w:t>
      </w:r>
      <w:r>
        <w:t>in which documents</w:t>
      </w:r>
      <w:r w:rsidRPr="00681B17">
        <w:t xml:space="preserve"> </w:t>
      </w:r>
      <w:r>
        <w:t xml:space="preserve">are incorporated </w:t>
      </w:r>
      <w:r w:rsidRPr="00681B17">
        <w:t>(that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630D81" w:rsidRDefault="00630D81" w:rsidP="00630D81">
      <w:pPr>
        <w:rPr>
          <w:noProof/>
        </w:rPr>
      </w:pPr>
      <w:r w:rsidRPr="009C2C00">
        <w:rPr>
          <w:b/>
          <w:noProof/>
        </w:rPr>
        <w:t>The committee requests the advice of the minister in relation to this matter.</w:t>
      </w: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BC1364" w:rsidRDefault="00630D81" w:rsidP="00630D81">
            <w:pPr>
              <w:rPr>
                <w:b/>
                <w:sz w:val="24"/>
                <w:szCs w:val="24"/>
              </w:rPr>
            </w:pPr>
            <w:r>
              <w:rPr>
                <w:szCs w:val="26"/>
              </w:rPr>
              <w:lastRenderedPageBreak/>
              <w:br w:type="page"/>
            </w:r>
            <w:r w:rsidRPr="00BC1364">
              <w:rPr>
                <w:b/>
                <w:sz w:val="24"/>
                <w:szCs w:val="24"/>
              </w:rPr>
              <w:t>Instrument</w:t>
            </w:r>
          </w:p>
        </w:tc>
        <w:tc>
          <w:tcPr>
            <w:tcW w:w="6378" w:type="dxa"/>
            <w:tcBorders>
              <w:top w:val="single" w:sz="12" w:space="0" w:color="auto"/>
              <w:left w:val="single" w:sz="12" w:space="0" w:color="auto"/>
            </w:tcBorders>
          </w:tcPr>
          <w:p w:rsidR="00630D81" w:rsidRPr="00BC1364" w:rsidRDefault="00630D81" w:rsidP="00630D81">
            <w:pPr>
              <w:pStyle w:val="Heading3"/>
              <w:rPr>
                <w:sz w:val="24"/>
                <w:szCs w:val="24"/>
              </w:rPr>
            </w:pPr>
            <w:r w:rsidRPr="00BC1364">
              <w:rPr>
                <w:noProof/>
                <w:sz w:val="24"/>
                <w:szCs w:val="24"/>
              </w:rPr>
              <w:t>Australian Crime Commission (National Policing Information Charges) Determination 2016 [F2016L00678]</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Purpose</w:t>
            </w:r>
          </w:p>
        </w:tc>
        <w:tc>
          <w:tcPr>
            <w:tcW w:w="6378" w:type="dxa"/>
            <w:tcBorders>
              <w:left w:val="single" w:sz="12" w:space="0" w:color="auto"/>
            </w:tcBorders>
          </w:tcPr>
          <w:p w:rsidR="00630D81" w:rsidRPr="00BC1364" w:rsidRDefault="00630D81" w:rsidP="00630D81">
            <w:pPr>
              <w:rPr>
                <w:sz w:val="24"/>
                <w:szCs w:val="24"/>
              </w:rPr>
            </w:pPr>
            <w:r w:rsidRPr="00BC1364">
              <w:rPr>
                <w:noProof/>
                <w:sz w:val="24"/>
                <w:szCs w:val="24"/>
              </w:rPr>
              <w:t>Determines the charges payable to the Australian Crime Commission for conducting criminal history checks</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Last day to disallow</w:t>
            </w:r>
          </w:p>
        </w:tc>
        <w:tc>
          <w:tcPr>
            <w:tcW w:w="6378" w:type="dxa"/>
            <w:tcBorders>
              <w:left w:val="single" w:sz="12" w:space="0" w:color="auto"/>
            </w:tcBorders>
          </w:tcPr>
          <w:p w:rsidR="00630D81" w:rsidRPr="00BC1364"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Authorising legislation</w:t>
            </w:r>
          </w:p>
        </w:tc>
        <w:tc>
          <w:tcPr>
            <w:tcW w:w="6378" w:type="dxa"/>
            <w:tcBorders>
              <w:left w:val="single" w:sz="12" w:space="0" w:color="auto"/>
            </w:tcBorders>
          </w:tcPr>
          <w:p w:rsidR="00630D81" w:rsidRPr="00BC1364" w:rsidRDefault="00630D81" w:rsidP="00630D81">
            <w:pPr>
              <w:rPr>
                <w:i/>
                <w:sz w:val="24"/>
                <w:szCs w:val="24"/>
              </w:rPr>
            </w:pPr>
            <w:r w:rsidRPr="00BC1364">
              <w:rPr>
                <w:i/>
                <w:noProof/>
                <w:sz w:val="24"/>
                <w:szCs w:val="24"/>
              </w:rPr>
              <w:t>Australian Crime Commission (National Policing Information Charges) Act 2016</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Department</w:t>
            </w:r>
          </w:p>
        </w:tc>
        <w:tc>
          <w:tcPr>
            <w:tcW w:w="6378" w:type="dxa"/>
            <w:tcBorders>
              <w:left w:val="single" w:sz="12" w:space="0" w:color="auto"/>
            </w:tcBorders>
          </w:tcPr>
          <w:p w:rsidR="00630D81" w:rsidRPr="00BC1364" w:rsidRDefault="00630D81" w:rsidP="00630D81">
            <w:pPr>
              <w:rPr>
                <w:sz w:val="24"/>
                <w:szCs w:val="24"/>
              </w:rPr>
            </w:pPr>
            <w:r w:rsidRPr="00BC1364">
              <w:rPr>
                <w:noProof/>
                <w:sz w:val="24"/>
                <w:szCs w:val="24"/>
              </w:rPr>
              <w:t>Attorney-General's</w:t>
            </w:r>
          </w:p>
        </w:tc>
      </w:tr>
      <w:tr w:rsidR="00630D81" w:rsidRPr="00164622" w:rsidTr="00630D81">
        <w:tc>
          <w:tcPr>
            <w:tcW w:w="2694" w:type="dxa"/>
            <w:tcBorders>
              <w:bottom w:val="single" w:sz="12" w:space="0" w:color="auto"/>
              <w:right w:val="single" w:sz="12" w:space="0" w:color="auto"/>
            </w:tcBorders>
          </w:tcPr>
          <w:p w:rsidR="00630D81" w:rsidRPr="00BC1364" w:rsidRDefault="00630D81" w:rsidP="00630D81">
            <w:pPr>
              <w:rPr>
                <w:b/>
                <w:sz w:val="24"/>
                <w:szCs w:val="24"/>
              </w:rPr>
            </w:pPr>
            <w:r w:rsidRPr="00BC1364">
              <w:rPr>
                <w:b/>
                <w:sz w:val="24"/>
                <w:szCs w:val="24"/>
              </w:rPr>
              <w:t>Scrutiny principle</w:t>
            </w:r>
          </w:p>
        </w:tc>
        <w:tc>
          <w:tcPr>
            <w:tcW w:w="6378" w:type="dxa"/>
            <w:tcBorders>
              <w:left w:val="single" w:sz="12" w:space="0" w:color="auto"/>
              <w:bottom w:val="single" w:sz="12" w:space="0" w:color="auto"/>
            </w:tcBorders>
          </w:tcPr>
          <w:p w:rsidR="00630D81" w:rsidRPr="00BC1364" w:rsidRDefault="00630D81" w:rsidP="00630D81">
            <w:pPr>
              <w:rPr>
                <w:sz w:val="24"/>
                <w:szCs w:val="24"/>
              </w:rPr>
            </w:pPr>
            <w:r w:rsidRPr="00BC1364">
              <w:rPr>
                <w:sz w:val="24"/>
                <w:szCs w:val="24"/>
              </w:rPr>
              <w:t>Standing Order 23(3)</w:t>
            </w:r>
            <w:r w:rsidRPr="00BC1364">
              <w:rPr>
                <w:noProof/>
                <w:sz w:val="24"/>
                <w:szCs w:val="24"/>
              </w:rPr>
              <w:t>(a)</w:t>
            </w:r>
          </w:p>
        </w:tc>
      </w:tr>
    </w:tbl>
    <w:p w:rsidR="00630D81" w:rsidRDefault="00630D81" w:rsidP="00630D81"/>
    <w:p w:rsidR="00630D81" w:rsidRDefault="00630D81" w:rsidP="00630D81">
      <w:pPr>
        <w:rPr>
          <w:b/>
          <w:noProof/>
        </w:rPr>
      </w:pPr>
      <w:r w:rsidRPr="004F2E07">
        <w:rPr>
          <w:b/>
          <w:noProof/>
        </w:rPr>
        <w:t>Unclear basis for determining fees</w:t>
      </w:r>
    </w:p>
    <w:p w:rsidR="00630D81" w:rsidRDefault="00630D81" w:rsidP="00630D81">
      <w:r>
        <w:t xml:space="preserve">The determination sets various charges that the Australian Crime Commission may impose for conducting a criminal history check. The charge for a criminal history check is $21.00 when conducted for police; $23.00 when conducted for an accredited body; and $7.00 when conducted in relation to a volunteer. </w:t>
      </w:r>
      <w:r w:rsidRPr="00593E77">
        <w:t xml:space="preserve">However, </w:t>
      </w:r>
      <w:r>
        <w:t>while noting that the determination '</w:t>
      </w:r>
      <w:r w:rsidRPr="00593E77">
        <w:t>preserves existing charging arrangements and amounts</w:t>
      </w:r>
      <w:r>
        <w:t xml:space="preserve">', </w:t>
      </w:r>
      <w:r w:rsidRPr="00593E77">
        <w:t xml:space="preserve">the ES does not explicitly state the basis on which the </w:t>
      </w:r>
      <w:r>
        <w:t>charges</w:t>
      </w:r>
      <w:r w:rsidRPr="00593E77">
        <w:t xml:space="preserve"> ha</w:t>
      </w:r>
      <w:r>
        <w:t>ve</w:t>
      </w:r>
      <w:r w:rsidRPr="00593E77">
        <w:t xml:space="preserve"> been calculated.</w:t>
      </w:r>
    </w:p>
    <w:p w:rsidR="00630D81" w:rsidRDefault="00630D81" w:rsidP="00630D81">
      <w:r>
        <w:t xml:space="preserve">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630D81" w:rsidRDefault="00630D81" w:rsidP="00630D81">
      <w:pPr>
        <w:rPr>
          <w:b/>
        </w:rPr>
      </w:pPr>
      <w:r w:rsidRPr="00593E77">
        <w:rPr>
          <w:b/>
        </w:rPr>
        <w:t>The committee requests the advice of the minister in relation to this matter.</w:t>
      </w:r>
    </w:p>
    <w:p w:rsidR="00630D81" w:rsidRDefault="00630D81" w:rsidP="00630D81">
      <w:pPr>
        <w:spacing w:after="0"/>
        <w:jc w:val="left"/>
        <w:rPr>
          <w:b/>
          <w:iCs/>
          <w:noProof/>
        </w:rPr>
      </w:pPr>
      <w:r>
        <w:rPr>
          <w:b/>
          <w:iCs/>
          <w:noProof/>
        </w:rPr>
        <w:br w:type="page"/>
      </w:r>
    </w:p>
    <w:tbl>
      <w:tblPr>
        <w:tblW w:w="0" w:type="auto"/>
        <w:tblInd w:w="108" w:type="dxa"/>
        <w:tblLook w:val="04A0" w:firstRow="1" w:lastRow="0" w:firstColumn="1" w:lastColumn="0" w:noHBand="0" w:noVBand="1"/>
      </w:tblPr>
      <w:tblGrid>
        <w:gridCol w:w="2694"/>
        <w:gridCol w:w="6378"/>
      </w:tblGrid>
      <w:tr w:rsidR="00630D81" w:rsidRPr="00681B17" w:rsidTr="00630D81">
        <w:tc>
          <w:tcPr>
            <w:tcW w:w="2694" w:type="dxa"/>
            <w:tcBorders>
              <w:top w:val="single" w:sz="12" w:space="0" w:color="auto"/>
              <w:right w:val="single" w:sz="12" w:space="0" w:color="auto"/>
            </w:tcBorders>
          </w:tcPr>
          <w:p w:rsidR="00630D81" w:rsidRPr="00BC1364" w:rsidRDefault="00630D81" w:rsidP="00630D81">
            <w:pPr>
              <w:rPr>
                <w:b/>
                <w:sz w:val="24"/>
                <w:szCs w:val="24"/>
              </w:rPr>
            </w:pPr>
            <w:r w:rsidRPr="00BC1364">
              <w:rPr>
                <w:b/>
                <w:sz w:val="24"/>
                <w:szCs w:val="24"/>
              </w:rPr>
              <w:lastRenderedPageBreak/>
              <w:t>Instrument</w:t>
            </w:r>
          </w:p>
        </w:tc>
        <w:tc>
          <w:tcPr>
            <w:tcW w:w="6378" w:type="dxa"/>
            <w:tcBorders>
              <w:top w:val="single" w:sz="12" w:space="0" w:color="auto"/>
              <w:left w:val="single" w:sz="12" w:space="0" w:color="auto"/>
            </w:tcBorders>
          </w:tcPr>
          <w:p w:rsidR="00630D81" w:rsidRPr="00CA0FF5" w:rsidRDefault="00630D81" w:rsidP="00630D81">
            <w:pPr>
              <w:pStyle w:val="Heading3"/>
              <w:rPr>
                <w:sz w:val="24"/>
                <w:szCs w:val="24"/>
              </w:rPr>
            </w:pPr>
            <w:r w:rsidRPr="00CA0FF5">
              <w:rPr>
                <w:sz w:val="24"/>
                <w:szCs w:val="24"/>
              </w:rPr>
              <w:t>Australian Prudential Regulation Authority instrument fixing charges No. 2 of 2016 [F2016L01043]</w:t>
            </w:r>
          </w:p>
        </w:tc>
      </w:tr>
      <w:tr w:rsidR="00630D81" w:rsidRPr="00681B17"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Purpose</w:t>
            </w:r>
          </w:p>
        </w:tc>
        <w:tc>
          <w:tcPr>
            <w:tcW w:w="6378" w:type="dxa"/>
            <w:tcBorders>
              <w:left w:val="single" w:sz="12" w:space="0" w:color="auto"/>
            </w:tcBorders>
          </w:tcPr>
          <w:p w:rsidR="00630D81" w:rsidRPr="00BC1364" w:rsidRDefault="00630D81" w:rsidP="00630D81">
            <w:pPr>
              <w:rPr>
                <w:sz w:val="24"/>
                <w:szCs w:val="24"/>
              </w:rPr>
            </w:pPr>
            <w:r w:rsidRPr="00BC1364">
              <w:rPr>
                <w:sz w:val="24"/>
                <w:szCs w:val="24"/>
              </w:rPr>
              <w:t>Fixes charges for models-based capital adequacy requirements for authorised deposit-taking institutions for 2015</w:t>
            </w:r>
            <w:r>
              <w:rPr>
                <w:sz w:val="24"/>
                <w:szCs w:val="24"/>
              </w:rPr>
              <w:t>-</w:t>
            </w:r>
            <w:r w:rsidRPr="00BC1364">
              <w:rPr>
                <w:sz w:val="24"/>
                <w:szCs w:val="24"/>
              </w:rPr>
              <w:t>16</w:t>
            </w:r>
          </w:p>
        </w:tc>
      </w:tr>
      <w:tr w:rsidR="00630D81" w:rsidRPr="00681B17"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Last day to disallow</w:t>
            </w:r>
          </w:p>
        </w:tc>
        <w:tc>
          <w:tcPr>
            <w:tcW w:w="6378" w:type="dxa"/>
            <w:tcBorders>
              <w:left w:val="single" w:sz="12" w:space="0" w:color="auto"/>
            </w:tcBorders>
          </w:tcPr>
          <w:p w:rsidR="00630D81" w:rsidRPr="00BC1364" w:rsidRDefault="00630D81" w:rsidP="00630D81">
            <w:pPr>
              <w:rPr>
                <w:sz w:val="24"/>
                <w:szCs w:val="24"/>
              </w:rPr>
            </w:pPr>
            <w:r>
              <w:rPr>
                <w:sz w:val="24"/>
                <w:szCs w:val="24"/>
              </w:rPr>
              <w:t>21 November 2016</w:t>
            </w:r>
          </w:p>
        </w:tc>
      </w:tr>
      <w:tr w:rsidR="00630D81" w:rsidRPr="00681B17"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Authorising legislation</w:t>
            </w:r>
          </w:p>
        </w:tc>
        <w:tc>
          <w:tcPr>
            <w:tcW w:w="6378" w:type="dxa"/>
            <w:tcBorders>
              <w:left w:val="single" w:sz="12" w:space="0" w:color="auto"/>
            </w:tcBorders>
          </w:tcPr>
          <w:p w:rsidR="00630D81" w:rsidRPr="00BC1364" w:rsidRDefault="00630D81" w:rsidP="00630D81">
            <w:pPr>
              <w:rPr>
                <w:i/>
                <w:sz w:val="24"/>
                <w:szCs w:val="24"/>
              </w:rPr>
            </w:pPr>
            <w:r w:rsidRPr="00BC1364">
              <w:rPr>
                <w:i/>
                <w:sz w:val="24"/>
                <w:szCs w:val="24"/>
              </w:rPr>
              <w:t>Australian Prudential Regulation Authority Act 1998</w:t>
            </w:r>
          </w:p>
        </w:tc>
      </w:tr>
      <w:tr w:rsidR="00630D81" w:rsidRPr="00681B17"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Department</w:t>
            </w:r>
          </w:p>
        </w:tc>
        <w:tc>
          <w:tcPr>
            <w:tcW w:w="6378" w:type="dxa"/>
            <w:tcBorders>
              <w:left w:val="single" w:sz="12" w:space="0" w:color="auto"/>
            </w:tcBorders>
          </w:tcPr>
          <w:p w:rsidR="00630D81" w:rsidRPr="00BC1364" w:rsidRDefault="00630D81" w:rsidP="00630D81">
            <w:pPr>
              <w:rPr>
                <w:sz w:val="24"/>
                <w:szCs w:val="24"/>
              </w:rPr>
            </w:pPr>
            <w:r w:rsidRPr="00BC1364">
              <w:rPr>
                <w:sz w:val="24"/>
                <w:szCs w:val="24"/>
              </w:rPr>
              <w:t>Treasury</w:t>
            </w:r>
          </w:p>
        </w:tc>
      </w:tr>
      <w:tr w:rsidR="00630D81" w:rsidRPr="00681B17" w:rsidTr="00630D81">
        <w:tc>
          <w:tcPr>
            <w:tcW w:w="2694" w:type="dxa"/>
            <w:tcBorders>
              <w:bottom w:val="single" w:sz="12" w:space="0" w:color="auto"/>
              <w:right w:val="single" w:sz="12" w:space="0" w:color="auto"/>
            </w:tcBorders>
          </w:tcPr>
          <w:p w:rsidR="00630D81" w:rsidRPr="00BC1364" w:rsidRDefault="00630D81" w:rsidP="00630D81">
            <w:pPr>
              <w:rPr>
                <w:b/>
                <w:sz w:val="24"/>
                <w:szCs w:val="24"/>
              </w:rPr>
            </w:pPr>
            <w:r w:rsidRPr="00BC1364">
              <w:rPr>
                <w:b/>
                <w:sz w:val="24"/>
                <w:szCs w:val="24"/>
              </w:rPr>
              <w:t>Scrutiny principle</w:t>
            </w:r>
          </w:p>
        </w:tc>
        <w:tc>
          <w:tcPr>
            <w:tcW w:w="6378" w:type="dxa"/>
            <w:tcBorders>
              <w:left w:val="single" w:sz="12" w:space="0" w:color="auto"/>
              <w:bottom w:val="single" w:sz="12" w:space="0" w:color="auto"/>
            </w:tcBorders>
          </w:tcPr>
          <w:p w:rsidR="00630D81" w:rsidRPr="00BC1364" w:rsidRDefault="00630D81" w:rsidP="00630D81">
            <w:pPr>
              <w:rPr>
                <w:sz w:val="24"/>
                <w:szCs w:val="24"/>
              </w:rPr>
            </w:pPr>
            <w:r w:rsidRPr="00BC1364">
              <w:rPr>
                <w:sz w:val="24"/>
                <w:szCs w:val="24"/>
              </w:rPr>
              <w:t>Standing Order 23(3)(a)</w:t>
            </w:r>
          </w:p>
        </w:tc>
      </w:tr>
    </w:tbl>
    <w:p w:rsidR="00630D81" w:rsidRDefault="00630D81" w:rsidP="00630D81">
      <w:pPr>
        <w:rPr>
          <w:b/>
        </w:rPr>
      </w:pPr>
    </w:p>
    <w:p w:rsidR="00630D81" w:rsidRPr="00681B17" w:rsidRDefault="00630D81" w:rsidP="00630D81">
      <w:r w:rsidRPr="00681B17">
        <w:rPr>
          <w:b/>
        </w:rPr>
        <w:t>Consultation</w:t>
      </w:r>
    </w:p>
    <w:p w:rsidR="00630D81" w:rsidRPr="00681B17" w:rsidRDefault="00630D81" w:rsidP="00630D81">
      <w:r w:rsidRPr="00681B17">
        <w:t xml:space="preserve">Section 17 of the </w:t>
      </w:r>
      <w:r w:rsidRPr="00681B17">
        <w:rPr>
          <w:i/>
        </w:rPr>
        <w:t>Legislation Act </w:t>
      </w:r>
      <w:r>
        <w:rPr>
          <w:i/>
        </w:rPr>
        <w:t xml:space="preserve">2003 </w:t>
      </w:r>
      <w:r w:rsidRPr="00681B17">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630D81" w:rsidRPr="00681B17" w:rsidRDefault="00630D81" w:rsidP="00630D81">
      <w:r w:rsidRPr="00681B17">
        <w:t xml:space="preserve">With reference to these requirements, the committee notes that the ES for </w:t>
      </w:r>
      <w:r>
        <w:t>the</w:t>
      </w:r>
      <w:r w:rsidRPr="00681B17">
        <w:t xml:space="preserve"> instrument states:</w:t>
      </w:r>
    </w:p>
    <w:p w:rsidR="00630D81" w:rsidRPr="00681B17" w:rsidRDefault="00630D81" w:rsidP="00630D81">
      <w:pPr>
        <w:pStyle w:val="Quote"/>
      </w:pPr>
      <w:r w:rsidRPr="00681B17">
        <w:t>The annual levies consultation process explicitly adopts the Wallis Inquiry recommendations that direct services be met by specific user charges, resulting in a compensating reduction of the total general levies to be collected from industry participants [1].</w:t>
      </w:r>
    </w:p>
    <w:p w:rsidR="00630D81" w:rsidRPr="00681B17" w:rsidRDefault="00630D81" w:rsidP="00630D81">
      <w:pPr>
        <w:pStyle w:val="Quote"/>
      </w:pPr>
      <w:r w:rsidRPr="00681B17">
        <w:t>Before making the instrument, APRA informed the affected ADIs of the proposed charges.</w:t>
      </w:r>
    </w:p>
    <w:p w:rsidR="00630D81" w:rsidRDefault="00630D81" w:rsidP="00630D81">
      <w:pPr>
        <w:pStyle w:val="Quote"/>
        <w:rPr>
          <w:noProof/>
        </w:rPr>
      </w:pPr>
      <w:r w:rsidRPr="00681B17">
        <w:t xml:space="preserve">[1] See the Consultation Paper </w:t>
      </w:r>
      <w:r w:rsidRPr="00681B17">
        <w:rPr>
          <w:i/>
        </w:rPr>
        <w:t>Proposed Fin</w:t>
      </w:r>
      <w:r>
        <w:rPr>
          <w:i/>
        </w:rPr>
        <w:t>ancial Industry Levies for 2015</w:t>
      </w:r>
      <w:r>
        <w:t>–</w:t>
      </w:r>
      <w:r w:rsidRPr="00681B17">
        <w:rPr>
          <w:i/>
        </w:rPr>
        <w:t>16</w:t>
      </w:r>
      <w:r w:rsidRPr="00681B17">
        <w:t xml:space="preserve"> at The Treasury website.</w:t>
      </w:r>
      <w:r>
        <w:t xml:space="preserve"> </w:t>
      </w:r>
    </w:p>
    <w:p w:rsidR="00630D81" w:rsidRDefault="00630D81" w:rsidP="00630D81">
      <w:pPr>
        <w:rPr>
          <w:noProof/>
        </w:rPr>
      </w:pPr>
      <w:r>
        <w:rPr>
          <w:noProof/>
        </w:rPr>
        <w:t>However, w</w:t>
      </w:r>
      <w:r w:rsidRPr="00A37595">
        <w:rPr>
          <w:noProof/>
        </w:rPr>
        <w:t>hile the committee does not interpret paragraphs</w:t>
      </w:r>
      <w:r>
        <w:rPr>
          <w:noProof/>
        </w:rPr>
        <w:t xml:space="preserve"> 15J(2)(d) and (e) of the </w:t>
      </w:r>
      <w:r w:rsidRPr="007A47B2">
        <w:rPr>
          <w:i/>
          <w:noProof/>
        </w:rPr>
        <w:t>Legislation Act 2003</w:t>
      </w:r>
      <w:r>
        <w:rPr>
          <w:noProof/>
        </w:rPr>
        <w:t xml:space="preserve"> as requiring </w:t>
      </w:r>
      <w:r w:rsidRPr="00A37595">
        <w:rPr>
          <w:noProof/>
        </w:rPr>
        <w:t xml:space="preserve">a highly detailed description of consultation undertaken, </w:t>
      </w:r>
      <w:r>
        <w:rPr>
          <w:noProof/>
        </w:rPr>
        <w:t xml:space="preserve">the committee does not consider that </w:t>
      </w:r>
      <w:r w:rsidRPr="00A37595">
        <w:rPr>
          <w:noProof/>
        </w:rPr>
        <w:t>the general statement that the</w:t>
      </w:r>
      <w:r w:rsidRPr="00864A11">
        <w:rPr>
          <w:noProof/>
        </w:rPr>
        <w:t xml:space="preserve"> 'annual levies consultation process explicitly adopts the Wallis Inquiry recommendations' with reference to a </w:t>
      </w:r>
      <w:r>
        <w:rPr>
          <w:noProof/>
        </w:rPr>
        <w:t>c</w:t>
      </w:r>
      <w:r w:rsidRPr="00864A11">
        <w:rPr>
          <w:noProof/>
        </w:rPr>
        <w:t xml:space="preserve">onsultation </w:t>
      </w:r>
      <w:r>
        <w:rPr>
          <w:noProof/>
        </w:rPr>
        <w:t>p</w:t>
      </w:r>
      <w:r w:rsidRPr="00864A11">
        <w:rPr>
          <w:noProof/>
        </w:rPr>
        <w:t xml:space="preserve">aper, is </w:t>
      </w:r>
      <w:r w:rsidRPr="00995DA0">
        <w:rPr>
          <w:noProof/>
        </w:rPr>
        <w:t xml:space="preserve">sufficient to meet the requirement that the ES describe the </w:t>
      </w:r>
      <w:r w:rsidRPr="00CA704B">
        <w:rPr>
          <w:i/>
          <w:noProof/>
        </w:rPr>
        <w:t xml:space="preserve">nature </w:t>
      </w:r>
      <w:r w:rsidRPr="00995DA0">
        <w:rPr>
          <w:noProof/>
        </w:rPr>
        <w:t>of any consultation undertaken</w:t>
      </w:r>
      <w:r w:rsidRPr="00864A11">
        <w:rPr>
          <w:noProof/>
        </w:rPr>
        <w:t xml:space="preserve">. </w:t>
      </w:r>
    </w:p>
    <w:p w:rsidR="00630D81" w:rsidRPr="00681B17" w:rsidRDefault="00630D81" w:rsidP="00630D81">
      <w:r>
        <w:t>W</w:t>
      </w:r>
      <w:r w:rsidRPr="00681B17">
        <w:t xml:space="preserve">here consultation has taken place, </w:t>
      </w:r>
      <w:r>
        <w:t xml:space="preserve">the committee considers that a best-practice approach is for the </w:t>
      </w:r>
      <w:r w:rsidRPr="00681B17">
        <w:t xml:space="preserve">ES to an instrument </w:t>
      </w:r>
      <w:r>
        <w:t xml:space="preserve">to </w:t>
      </w:r>
      <w:r w:rsidRPr="00681B17">
        <w:t>set out the method of</w:t>
      </w:r>
      <w:r>
        <w:t xml:space="preserve"> the</w:t>
      </w:r>
      <w:r w:rsidRPr="00681B17">
        <w:t xml:space="preserve"> consultation</w:t>
      </w:r>
      <w:r>
        <w:t>;</w:t>
      </w:r>
      <w:r w:rsidRPr="00681B17">
        <w:t xml:space="preserve"> the bodies, groups a</w:t>
      </w:r>
      <w:r>
        <w:t xml:space="preserve">nd/or individuals consulted; and </w:t>
      </w:r>
      <w:r w:rsidRPr="00681B17">
        <w:t xml:space="preserve">the issues raised in </w:t>
      </w:r>
      <w:r>
        <w:t xml:space="preserve">and outcomes of </w:t>
      </w:r>
      <w:r w:rsidRPr="00681B17">
        <w:t>the consultation process.</w:t>
      </w:r>
    </w:p>
    <w:p w:rsidR="00630D81" w:rsidRPr="00681B17" w:rsidRDefault="00630D81" w:rsidP="00630D81">
      <w:r w:rsidRPr="00681B17">
        <w:lastRenderedPageBreak/>
        <w:t>The committee's expectations in this regard are set out in the guideline on consultation contained in Appendix 2.</w:t>
      </w:r>
    </w:p>
    <w:p w:rsidR="00630D81" w:rsidRPr="00681B17" w:rsidRDefault="00630D81" w:rsidP="00630D81">
      <w:r w:rsidRPr="00681B17">
        <w:rPr>
          <w:b/>
          <w:bCs/>
        </w:rPr>
        <w:t xml:space="preserve">The committee requests the advice of the minister in relation to this matter; and requests that the ES be updated in accordance with the requirements of the </w:t>
      </w:r>
      <w:r>
        <w:rPr>
          <w:b/>
          <w:bCs/>
          <w:i/>
          <w:iCs/>
        </w:rPr>
        <w:t xml:space="preserve">Legislation </w:t>
      </w:r>
      <w:r w:rsidRPr="00681B17">
        <w:rPr>
          <w:b/>
          <w:bCs/>
          <w:i/>
          <w:iCs/>
        </w:rPr>
        <w:t>Act 2003</w:t>
      </w:r>
      <w:r w:rsidRPr="00681B17">
        <w:rPr>
          <w:b/>
          <w:bCs/>
        </w:rPr>
        <w:t>.</w:t>
      </w:r>
    </w:p>
    <w:p w:rsidR="00630D81" w:rsidRPr="00164622" w:rsidRDefault="00630D81" w:rsidP="00630D81">
      <w:pPr>
        <w:rPr>
          <w:szCs w:val="26"/>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BC1364" w:rsidRDefault="00630D81" w:rsidP="00630D81">
            <w:pPr>
              <w:rPr>
                <w:b/>
                <w:sz w:val="24"/>
                <w:szCs w:val="24"/>
              </w:rPr>
            </w:pPr>
            <w:r w:rsidRPr="00BC1364">
              <w:rPr>
                <w:b/>
                <w:sz w:val="24"/>
                <w:szCs w:val="24"/>
              </w:rPr>
              <w:t>Instrument</w:t>
            </w:r>
          </w:p>
        </w:tc>
        <w:tc>
          <w:tcPr>
            <w:tcW w:w="6378" w:type="dxa"/>
            <w:tcBorders>
              <w:top w:val="single" w:sz="12" w:space="0" w:color="auto"/>
              <w:left w:val="single" w:sz="12" w:space="0" w:color="auto"/>
            </w:tcBorders>
          </w:tcPr>
          <w:p w:rsidR="00630D81" w:rsidRPr="00BC1364" w:rsidRDefault="00630D81" w:rsidP="00630D81">
            <w:pPr>
              <w:pStyle w:val="Heading3"/>
              <w:rPr>
                <w:noProof/>
                <w:sz w:val="24"/>
                <w:szCs w:val="24"/>
              </w:rPr>
            </w:pPr>
            <w:r w:rsidRPr="00BC1364">
              <w:rPr>
                <w:noProof/>
                <w:sz w:val="24"/>
                <w:szCs w:val="24"/>
              </w:rPr>
              <w:t>Biosecurity Charges Imposition (Customs) Regulation 2016 [F2016L00723]</w:t>
            </w:r>
          </w:p>
          <w:p w:rsidR="00630D81" w:rsidRPr="00BC1364" w:rsidRDefault="00630D81" w:rsidP="00630D81">
            <w:pPr>
              <w:pStyle w:val="Heading3"/>
              <w:rPr>
                <w:sz w:val="24"/>
                <w:szCs w:val="24"/>
              </w:rPr>
            </w:pPr>
            <w:r w:rsidRPr="00BC1364">
              <w:rPr>
                <w:noProof/>
                <w:sz w:val="24"/>
                <w:szCs w:val="24"/>
              </w:rPr>
              <w:t>Biosecurity Charges Imposition (General) Regulation 2016 [F2016L00727]</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Purpose</w:t>
            </w:r>
          </w:p>
        </w:tc>
        <w:tc>
          <w:tcPr>
            <w:tcW w:w="6378" w:type="dxa"/>
            <w:tcBorders>
              <w:left w:val="single" w:sz="12" w:space="0" w:color="auto"/>
            </w:tcBorders>
          </w:tcPr>
          <w:p w:rsidR="00630D81" w:rsidRPr="00BC1364" w:rsidRDefault="00630D81" w:rsidP="00630D81">
            <w:pPr>
              <w:rPr>
                <w:sz w:val="24"/>
                <w:szCs w:val="24"/>
              </w:rPr>
            </w:pPr>
            <w:r w:rsidRPr="00BC1364">
              <w:rPr>
                <w:noProof/>
                <w:sz w:val="24"/>
                <w:szCs w:val="24"/>
              </w:rPr>
              <w:t xml:space="preserve">These regulations prescribe the charges for certain matters connected with the administration of the </w:t>
            </w:r>
            <w:r w:rsidRPr="00BC1364">
              <w:rPr>
                <w:i/>
                <w:noProof/>
                <w:sz w:val="24"/>
                <w:szCs w:val="24"/>
              </w:rPr>
              <w:t>Biosecurity Act 2015</w:t>
            </w:r>
            <w:r>
              <w:rPr>
                <w:noProof/>
                <w:sz w:val="24"/>
                <w:szCs w:val="24"/>
              </w:rPr>
              <w:t xml:space="preserve"> </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Last day to disallow</w:t>
            </w:r>
          </w:p>
        </w:tc>
        <w:tc>
          <w:tcPr>
            <w:tcW w:w="6378" w:type="dxa"/>
            <w:tcBorders>
              <w:left w:val="single" w:sz="12" w:space="0" w:color="auto"/>
            </w:tcBorders>
          </w:tcPr>
          <w:p w:rsidR="00630D81" w:rsidRPr="00BC1364"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Authorising legislation</w:t>
            </w:r>
          </w:p>
        </w:tc>
        <w:tc>
          <w:tcPr>
            <w:tcW w:w="6378" w:type="dxa"/>
            <w:tcBorders>
              <w:left w:val="single" w:sz="12" w:space="0" w:color="auto"/>
            </w:tcBorders>
          </w:tcPr>
          <w:p w:rsidR="00630D81" w:rsidRPr="00BC1364" w:rsidRDefault="00630D81" w:rsidP="00630D81">
            <w:pPr>
              <w:rPr>
                <w:i/>
                <w:sz w:val="24"/>
                <w:szCs w:val="24"/>
              </w:rPr>
            </w:pPr>
            <w:r w:rsidRPr="00BC1364">
              <w:rPr>
                <w:i/>
                <w:noProof/>
                <w:sz w:val="24"/>
                <w:szCs w:val="24"/>
              </w:rPr>
              <w:t>Biosecurity Charges Imposition (Customs) Act 2015</w:t>
            </w:r>
            <w:r>
              <w:rPr>
                <w:noProof/>
                <w:sz w:val="24"/>
                <w:szCs w:val="24"/>
              </w:rPr>
              <w:t>; and</w:t>
            </w:r>
            <w:r>
              <w:rPr>
                <w:i/>
                <w:noProof/>
                <w:sz w:val="24"/>
                <w:szCs w:val="24"/>
              </w:rPr>
              <w:t xml:space="preserve"> </w:t>
            </w:r>
            <w:r w:rsidRPr="00BC1364">
              <w:rPr>
                <w:i/>
                <w:noProof/>
                <w:sz w:val="24"/>
                <w:szCs w:val="24"/>
              </w:rPr>
              <w:t>Biosecurity Charges Imposition (General) Act 2015</w:t>
            </w:r>
          </w:p>
        </w:tc>
      </w:tr>
      <w:tr w:rsidR="00630D81" w:rsidRPr="00164622" w:rsidTr="00630D81">
        <w:tc>
          <w:tcPr>
            <w:tcW w:w="2694" w:type="dxa"/>
            <w:tcBorders>
              <w:right w:val="single" w:sz="12" w:space="0" w:color="auto"/>
            </w:tcBorders>
          </w:tcPr>
          <w:p w:rsidR="00630D81" w:rsidRPr="00BC1364" w:rsidRDefault="00630D81" w:rsidP="00630D81">
            <w:pPr>
              <w:rPr>
                <w:b/>
                <w:sz w:val="24"/>
                <w:szCs w:val="24"/>
              </w:rPr>
            </w:pPr>
            <w:r w:rsidRPr="00BC1364">
              <w:rPr>
                <w:b/>
                <w:sz w:val="24"/>
                <w:szCs w:val="24"/>
              </w:rPr>
              <w:t>Department</w:t>
            </w:r>
          </w:p>
        </w:tc>
        <w:tc>
          <w:tcPr>
            <w:tcW w:w="6378" w:type="dxa"/>
            <w:tcBorders>
              <w:left w:val="single" w:sz="12" w:space="0" w:color="auto"/>
            </w:tcBorders>
          </w:tcPr>
          <w:p w:rsidR="00630D81" w:rsidRPr="00BC1364" w:rsidRDefault="00630D81" w:rsidP="00630D81">
            <w:pPr>
              <w:rPr>
                <w:sz w:val="24"/>
                <w:szCs w:val="24"/>
              </w:rPr>
            </w:pPr>
            <w:r w:rsidRPr="00BC1364">
              <w:rPr>
                <w:noProof/>
                <w:sz w:val="24"/>
                <w:szCs w:val="24"/>
              </w:rPr>
              <w:t>Agriculture and Water Resources</w:t>
            </w:r>
          </w:p>
        </w:tc>
      </w:tr>
      <w:tr w:rsidR="00630D81" w:rsidRPr="00164622" w:rsidTr="00630D81">
        <w:tc>
          <w:tcPr>
            <w:tcW w:w="2694" w:type="dxa"/>
            <w:tcBorders>
              <w:bottom w:val="single" w:sz="12" w:space="0" w:color="auto"/>
              <w:right w:val="single" w:sz="12" w:space="0" w:color="auto"/>
            </w:tcBorders>
          </w:tcPr>
          <w:p w:rsidR="00630D81" w:rsidRPr="00BC1364" w:rsidRDefault="00630D81" w:rsidP="00630D81">
            <w:pPr>
              <w:rPr>
                <w:b/>
                <w:sz w:val="24"/>
                <w:szCs w:val="24"/>
              </w:rPr>
            </w:pPr>
            <w:r w:rsidRPr="00BC1364">
              <w:rPr>
                <w:b/>
                <w:sz w:val="24"/>
                <w:szCs w:val="24"/>
              </w:rPr>
              <w:t>Scrutiny principle</w:t>
            </w:r>
          </w:p>
        </w:tc>
        <w:tc>
          <w:tcPr>
            <w:tcW w:w="6378" w:type="dxa"/>
            <w:tcBorders>
              <w:left w:val="single" w:sz="12" w:space="0" w:color="auto"/>
              <w:bottom w:val="single" w:sz="12" w:space="0" w:color="auto"/>
            </w:tcBorders>
          </w:tcPr>
          <w:p w:rsidR="00630D81" w:rsidRPr="00BC1364" w:rsidRDefault="00630D81" w:rsidP="00630D81">
            <w:pPr>
              <w:rPr>
                <w:sz w:val="24"/>
                <w:szCs w:val="24"/>
              </w:rPr>
            </w:pPr>
            <w:r w:rsidRPr="00BC1364">
              <w:rPr>
                <w:sz w:val="24"/>
                <w:szCs w:val="24"/>
              </w:rPr>
              <w:t>Standing Order 23(3)</w:t>
            </w:r>
            <w:r w:rsidRPr="00BC1364">
              <w:rPr>
                <w:noProof/>
                <w:sz w:val="24"/>
                <w:szCs w:val="24"/>
              </w:rPr>
              <w:t>(a)</w:t>
            </w:r>
          </w:p>
        </w:tc>
      </w:tr>
    </w:tbl>
    <w:p w:rsidR="00630D81" w:rsidRDefault="00630D81" w:rsidP="00630D81"/>
    <w:p w:rsidR="00630D81" w:rsidRPr="00C738E1" w:rsidRDefault="00630D81" w:rsidP="00630D81">
      <w:pPr>
        <w:rPr>
          <w:b/>
          <w:noProof/>
        </w:rPr>
      </w:pPr>
      <w:r w:rsidRPr="00C738E1">
        <w:rPr>
          <w:b/>
          <w:noProof/>
        </w:rPr>
        <w:t xml:space="preserve">Incorporation of documents </w:t>
      </w:r>
    </w:p>
    <w:p w:rsidR="00630D81" w:rsidRPr="00C738E1" w:rsidRDefault="00630D81" w:rsidP="00630D81">
      <w:pPr>
        <w:rPr>
          <w:szCs w:val="26"/>
        </w:rPr>
      </w:pPr>
      <w:r w:rsidRPr="00C738E1">
        <w:rPr>
          <w:szCs w:val="26"/>
        </w:rPr>
        <w:t>Section 14 of the</w:t>
      </w:r>
      <w:r w:rsidRPr="00C738E1">
        <w:rPr>
          <w:i/>
          <w:szCs w:val="26"/>
        </w:rPr>
        <w:t xml:space="preserve"> Legislation Act 2003</w:t>
      </w:r>
      <w:r w:rsidRPr="00C738E1">
        <w:rPr>
          <w:szCs w:val="26"/>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630D81" w:rsidRPr="00C738E1" w:rsidRDefault="00630D81" w:rsidP="00630D81">
      <w:pPr>
        <w:rPr>
          <w:iCs/>
          <w:noProof/>
        </w:rPr>
      </w:pPr>
      <w:r w:rsidRPr="00C738E1">
        <w:rPr>
          <w:noProof/>
        </w:rPr>
        <w:t xml:space="preserve">With reference to the above the committee notes that section 10 of each of these regulations incorporates the Biosecurity (Movements between Parts of Australian Territory) Declaration 2016 (the </w:t>
      </w:r>
      <w:r>
        <w:rPr>
          <w:noProof/>
        </w:rPr>
        <w:t xml:space="preserve">movements </w:t>
      </w:r>
      <w:r w:rsidRPr="00C738E1">
        <w:rPr>
          <w:noProof/>
        </w:rPr>
        <w:t xml:space="preserve">declaration), which is made under subsection 618(2) of the </w:t>
      </w:r>
      <w:r w:rsidRPr="00C738E1">
        <w:rPr>
          <w:i/>
          <w:iCs/>
          <w:noProof/>
        </w:rPr>
        <w:t>Biosecurity Act 2015</w:t>
      </w:r>
      <w:r w:rsidRPr="00C738E1">
        <w:rPr>
          <w:iCs/>
          <w:noProof/>
        </w:rPr>
        <w:t xml:space="preserve"> (</w:t>
      </w:r>
      <w:r>
        <w:rPr>
          <w:iCs/>
          <w:noProof/>
        </w:rPr>
        <w:t xml:space="preserve">the </w:t>
      </w:r>
      <w:r w:rsidRPr="00C738E1">
        <w:rPr>
          <w:iCs/>
          <w:noProof/>
        </w:rPr>
        <w:t xml:space="preserve">Biosecurity Act). However, neither the text of the regulations nor the ESs expressly states the manner in which the </w:t>
      </w:r>
      <w:r>
        <w:rPr>
          <w:iCs/>
          <w:noProof/>
        </w:rPr>
        <w:t xml:space="preserve">movements </w:t>
      </w:r>
      <w:r w:rsidRPr="00C738E1">
        <w:rPr>
          <w:iCs/>
          <w:noProof/>
        </w:rPr>
        <w:t>declaration is incorporated.</w:t>
      </w:r>
    </w:p>
    <w:p w:rsidR="00630D81" w:rsidRPr="00C738E1" w:rsidRDefault="00630D81" w:rsidP="00630D81">
      <w:pPr>
        <w:rPr>
          <w:iCs/>
          <w:noProof/>
        </w:rPr>
      </w:pPr>
      <w:r w:rsidRPr="00C738E1">
        <w:rPr>
          <w:iCs/>
          <w:noProof/>
        </w:rPr>
        <w:t xml:space="preserve">The committee further notes that subsection 618(7) of the Biosecurity Act provides that the </w:t>
      </w:r>
      <w:r>
        <w:rPr>
          <w:iCs/>
          <w:noProof/>
        </w:rPr>
        <w:t xml:space="preserve">movements </w:t>
      </w:r>
      <w:r w:rsidRPr="00C738E1">
        <w:rPr>
          <w:iCs/>
          <w:noProof/>
        </w:rPr>
        <w:t>declaration is a legislative instrument that is not subject to disallowance</w:t>
      </w:r>
      <w:r>
        <w:rPr>
          <w:iCs/>
          <w:noProof/>
        </w:rPr>
        <w:t xml:space="preserve"> (an exempt instrument)</w:t>
      </w:r>
      <w:r w:rsidRPr="00C738E1">
        <w:rPr>
          <w:iCs/>
          <w:noProof/>
        </w:rPr>
        <w:t xml:space="preserve">. Subsection 14(3) of the </w:t>
      </w:r>
      <w:r w:rsidRPr="0064118E">
        <w:rPr>
          <w:i/>
          <w:iCs/>
          <w:noProof/>
        </w:rPr>
        <w:t>Legislation Act 2003</w:t>
      </w:r>
      <w:r w:rsidRPr="00C738E1">
        <w:rPr>
          <w:iCs/>
          <w:noProof/>
        </w:rPr>
        <w:t xml:space="preserve"> provides that only disallowable legislative instruments may be incorporated as in force from time to time. The committee therefore understands that the </w:t>
      </w:r>
      <w:r>
        <w:rPr>
          <w:iCs/>
          <w:noProof/>
        </w:rPr>
        <w:t xml:space="preserve">movements </w:t>
      </w:r>
      <w:r w:rsidRPr="00C738E1">
        <w:rPr>
          <w:iCs/>
          <w:noProof/>
        </w:rPr>
        <w:lastRenderedPageBreak/>
        <w:t>declaration may only be incorporated as in force at the commenceme</w:t>
      </w:r>
      <w:r>
        <w:rPr>
          <w:iCs/>
          <w:noProof/>
        </w:rPr>
        <w:t xml:space="preserve">nt of the regulations, </w:t>
      </w:r>
      <w:r w:rsidRPr="0064118E">
        <w:rPr>
          <w:iCs/>
          <w:noProof/>
        </w:rPr>
        <w:t>unless authorising or other legislation alters the operation of section 14.</w:t>
      </w:r>
    </w:p>
    <w:p w:rsidR="00630D81" w:rsidRPr="00C738E1" w:rsidRDefault="00630D81" w:rsidP="00630D81">
      <w:pPr>
        <w:rPr>
          <w:szCs w:val="26"/>
        </w:rPr>
      </w:pPr>
      <w:r>
        <w:rPr>
          <w:szCs w:val="26"/>
        </w:rPr>
        <w:t>However, t</w:t>
      </w:r>
      <w:r w:rsidRPr="00C738E1">
        <w:rPr>
          <w:szCs w:val="26"/>
        </w:rPr>
        <w:t xml:space="preserve">he committee expects </w:t>
      </w:r>
      <w:r>
        <w:rPr>
          <w:szCs w:val="26"/>
        </w:rPr>
        <w:t>i</w:t>
      </w:r>
      <w:r w:rsidRPr="00C738E1">
        <w:rPr>
          <w:szCs w:val="26"/>
        </w:rPr>
        <w:t xml:space="preserve">nstruments (and ideally their accompanying ESs) </w:t>
      </w:r>
      <w:r>
        <w:rPr>
          <w:szCs w:val="26"/>
        </w:rPr>
        <w:t>to</w:t>
      </w:r>
      <w:r w:rsidRPr="00C738E1">
        <w:rPr>
          <w:szCs w:val="26"/>
        </w:rPr>
        <w:t xml:space="preserve"> clearly state the manner in which exempt instruments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630D81" w:rsidRPr="00DC49E1" w:rsidRDefault="00630D81" w:rsidP="00630D81">
      <w:pPr>
        <w:rPr>
          <w:noProof/>
        </w:rPr>
      </w:pPr>
      <w:r w:rsidRPr="00C738E1">
        <w:rPr>
          <w:b/>
          <w:noProof/>
        </w:rPr>
        <w:t>The committee requests the advice of the minister in relation to this matter.</w:t>
      </w:r>
    </w:p>
    <w:p w:rsidR="00630D81" w:rsidRPr="00824DE5" w:rsidRDefault="00630D81" w:rsidP="00630D81">
      <w:pPr>
        <w:rPr>
          <w:b/>
          <w:noProof/>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C01E94" w:rsidRDefault="00630D81" w:rsidP="00630D81">
            <w:pPr>
              <w:rPr>
                <w:b/>
                <w:sz w:val="24"/>
                <w:szCs w:val="24"/>
              </w:rPr>
            </w:pPr>
            <w:r w:rsidRPr="00C01E94">
              <w:rPr>
                <w:b/>
                <w:sz w:val="24"/>
                <w:szCs w:val="24"/>
              </w:rPr>
              <w:t>Instrument</w:t>
            </w:r>
          </w:p>
        </w:tc>
        <w:tc>
          <w:tcPr>
            <w:tcW w:w="6378" w:type="dxa"/>
            <w:tcBorders>
              <w:top w:val="single" w:sz="12" w:space="0" w:color="auto"/>
              <w:left w:val="single" w:sz="12" w:space="0" w:color="auto"/>
            </w:tcBorders>
          </w:tcPr>
          <w:p w:rsidR="00630D81" w:rsidRPr="00C01E94" w:rsidRDefault="00630D81" w:rsidP="00630D81">
            <w:pPr>
              <w:pStyle w:val="Heading3"/>
              <w:rPr>
                <w:sz w:val="24"/>
                <w:szCs w:val="24"/>
              </w:rPr>
            </w:pPr>
            <w:r w:rsidRPr="00C01E94">
              <w:rPr>
                <w:noProof/>
                <w:sz w:val="24"/>
                <w:szCs w:val="24"/>
              </w:rPr>
              <w:t>Biosecurity (Human Health) Regulation 2016 [F2016L00719]</w:t>
            </w:r>
          </w:p>
        </w:tc>
      </w:tr>
      <w:tr w:rsidR="00630D81" w:rsidRPr="00164622" w:rsidTr="00630D81">
        <w:tc>
          <w:tcPr>
            <w:tcW w:w="2694" w:type="dxa"/>
            <w:tcBorders>
              <w:right w:val="single" w:sz="12" w:space="0" w:color="auto"/>
            </w:tcBorders>
          </w:tcPr>
          <w:p w:rsidR="00630D81" w:rsidRPr="00C01E94" w:rsidRDefault="00630D81" w:rsidP="00630D81">
            <w:pPr>
              <w:rPr>
                <w:b/>
                <w:sz w:val="24"/>
                <w:szCs w:val="24"/>
              </w:rPr>
            </w:pPr>
            <w:r w:rsidRPr="00C01E94">
              <w:rPr>
                <w:b/>
                <w:sz w:val="24"/>
                <w:szCs w:val="24"/>
              </w:rPr>
              <w:t>Purpose</w:t>
            </w:r>
          </w:p>
        </w:tc>
        <w:tc>
          <w:tcPr>
            <w:tcW w:w="6378" w:type="dxa"/>
            <w:tcBorders>
              <w:left w:val="single" w:sz="12" w:space="0" w:color="auto"/>
            </w:tcBorders>
          </w:tcPr>
          <w:p w:rsidR="00630D81" w:rsidRPr="00C01E94" w:rsidRDefault="00630D81" w:rsidP="00630D81">
            <w:pPr>
              <w:rPr>
                <w:sz w:val="24"/>
                <w:szCs w:val="24"/>
              </w:rPr>
            </w:pPr>
            <w:r w:rsidRPr="00C01E94">
              <w:rPr>
                <w:noProof/>
                <w:sz w:val="24"/>
                <w:szCs w:val="24"/>
              </w:rPr>
              <w:t>Sets requirements for preventing and managing biosecurity risks to human health</w:t>
            </w:r>
          </w:p>
        </w:tc>
      </w:tr>
      <w:tr w:rsidR="00630D81" w:rsidRPr="00164622" w:rsidTr="00630D81">
        <w:tc>
          <w:tcPr>
            <w:tcW w:w="2694" w:type="dxa"/>
            <w:tcBorders>
              <w:right w:val="single" w:sz="12" w:space="0" w:color="auto"/>
            </w:tcBorders>
          </w:tcPr>
          <w:p w:rsidR="00630D81" w:rsidRPr="00C01E94" w:rsidRDefault="00630D81" w:rsidP="00630D81">
            <w:pPr>
              <w:rPr>
                <w:b/>
                <w:sz w:val="24"/>
                <w:szCs w:val="24"/>
              </w:rPr>
            </w:pPr>
            <w:r w:rsidRPr="00C01E94">
              <w:rPr>
                <w:b/>
                <w:sz w:val="24"/>
                <w:szCs w:val="24"/>
              </w:rPr>
              <w:t>Last day to disallow</w:t>
            </w:r>
          </w:p>
        </w:tc>
        <w:tc>
          <w:tcPr>
            <w:tcW w:w="6378" w:type="dxa"/>
            <w:tcBorders>
              <w:left w:val="single" w:sz="12" w:space="0" w:color="auto"/>
            </w:tcBorders>
          </w:tcPr>
          <w:p w:rsidR="00630D81" w:rsidRPr="00C01E94"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C01E94" w:rsidRDefault="00630D81" w:rsidP="00630D81">
            <w:pPr>
              <w:rPr>
                <w:b/>
                <w:sz w:val="24"/>
                <w:szCs w:val="24"/>
              </w:rPr>
            </w:pPr>
            <w:r w:rsidRPr="00C01E94">
              <w:rPr>
                <w:b/>
                <w:sz w:val="24"/>
                <w:szCs w:val="24"/>
              </w:rPr>
              <w:t>Authorising legislation</w:t>
            </w:r>
          </w:p>
        </w:tc>
        <w:tc>
          <w:tcPr>
            <w:tcW w:w="6378" w:type="dxa"/>
            <w:tcBorders>
              <w:left w:val="single" w:sz="12" w:space="0" w:color="auto"/>
            </w:tcBorders>
          </w:tcPr>
          <w:p w:rsidR="00630D81" w:rsidRPr="00C01E94" w:rsidRDefault="00630D81" w:rsidP="00630D81">
            <w:pPr>
              <w:rPr>
                <w:i/>
                <w:sz w:val="24"/>
                <w:szCs w:val="24"/>
              </w:rPr>
            </w:pPr>
            <w:r w:rsidRPr="00C01E94">
              <w:rPr>
                <w:i/>
                <w:noProof/>
                <w:sz w:val="24"/>
                <w:szCs w:val="24"/>
              </w:rPr>
              <w:t>Biosecurity Act 2015</w:t>
            </w:r>
          </w:p>
        </w:tc>
      </w:tr>
      <w:tr w:rsidR="00630D81" w:rsidRPr="00164622" w:rsidTr="00630D81">
        <w:tc>
          <w:tcPr>
            <w:tcW w:w="2694" w:type="dxa"/>
            <w:tcBorders>
              <w:right w:val="single" w:sz="12" w:space="0" w:color="auto"/>
            </w:tcBorders>
          </w:tcPr>
          <w:p w:rsidR="00630D81" w:rsidRPr="00C01E94" w:rsidRDefault="00630D81" w:rsidP="00630D81">
            <w:pPr>
              <w:rPr>
                <w:b/>
                <w:sz w:val="24"/>
                <w:szCs w:val="24"/>
              </w:rPr>
            </w:pPr>
            <w:r w:rsidRPr="00C01E94">
              <w:rPr>
                <w:b/>
                <w:sz w:val="24"/>
                <w:szCs w:val="24"/>
              </w:rPr>
              <w:t>Department</w:t>
            </w:r>
          </w:p>
        </w:tc>
        <w:tc>
          <w:tcPr>
            <w:tcW w:w="6378" w:type="dxa"/>
            <w:tcBorders>
              <w:left w:val="single" w:sz="12" w:space="0" w:color="auto"/>
            </w:tcBorders>
          </w:tcPr>
          <w:p w:rsidR="00630D81" w:rsidRPr="00C01E94" w:rsidRDefault="00630D81" w:rsidP="00630D81">
            <w:pPr>
              <w:rPr>
                <w:sz w:val="24"/>
                <w:szCs w:val="24"/>
              </w:rPr>
            </w:pPr>
            <w:r w:rsidRPr="00C01E94">
              <w:rPr>
                <w:noProof/>
                <w:sz w:val="24"/>
                <w:szCs w:val="24"/>
              </w:rPr>
              <w:t>Health</w:t>
            </w:r>
          </w:p>
        </w:tc>
      </w:tr>
      <w:tr w:rsidR="00630D81" w:rsidRPr="00164622" w:rsidTr="00630D81">
        <w:tc>
          <w:tcPr>
            <w:tcW w:w="2694" w:type="dxa"/>
            <w:tcBorders>
              <w:bottom w:val="single" w:sz="12" w:space="0" w:color="auto"/>
              <w:right w:val="single" w:sz="12" w:space="0" w:color="auto"/>
            </w:tcBorders>
          </w:tcPr>
          <w:p w:rsidR="00630D81" w:rsidRPr="00C01E94" w:rsidRDefault="00630D81" w:rsidP="00630D81">
            <w:pPr>
              <w:rPr>
                <w:b/>
                <w:sz w:val="24"/>
                <w:szCs w:val="24"/>
              </w:rPr>
            </w:pPr>
            <w:r w:rsidRPr="00C01E94">
              <w:rPr>
                <w:b/>
                <w:sz w:val="24"/>
                <w:szCs w:val="24"/>
              </w:rPr>
              <w:t>Scrutiny principle</w:t>
            </w:r>
          </w:p>
        </w:tc>
        <w:tc>
          <w:tcPr>
            <w:tcW w:w="6378" w:type="dxa"/>
            <w:tcBorders>
              <w:left w:val="single" w:sz="12" w:space="0" w:color="auto"/>
              <w:bottom w:val="single" w:sz="12" w:space="0" w:color="auto"/>
            </w:tcBorders>
          </w:tcPr>
          <w:p w:rsidR="00630D81" w:rsidRPr="00C01E94" w:rsidRDefault="00630D81" w:rsidP="00630D81">
            <w:pPr>
              <w:rPr>
                <w:noProof/>
                <w:sz w:val="24"/>
                <w:szCs w:val="24"/>
              </w:rPr>
            </w:pPr>
            <w:r w:rsidRPr="00C01E94">
              <w:rPr>
                <w:sz w:val="24"/>
                <w:szCs w:val="24"/>
              </w:rPr>
              <w:t>Standing Order 23(3)</w:t>
            </w:r>
            <w:r>
              <w:rPr>
                <w:sz w:val="24"/>
                <w:szCs w:val="24"/>
              </w:rPr>
              <w:t xml:space="preserve">(a) and </w:t>
            </w:r>
            <w:r>
              <w:rPr>
                <w:noProof/>
                <w:sz w:val="24"/>
                <w:szCs w:val="24"/>
              </w:rPr>
              <w:t>(b</w:t>
            </w:r>
            <w:r w:rsidRPr="00C01E94">
              <w:rPr>
                <w:noProof/>
                <w:sz w:val="24"/>
                <w:szCs w:val="24"/>
              </w:rPr>
              <w:t>)</w:t>
            </w:r>
          </w:p>
        </w:tc>
      </w:tr>
    </w:tbl>
    <w:p w:rsidR="00630D81" w:rsidRDefault="00630D81" w:rsidP="00630D81"/>
    <w:p w:rsidR="00630D81" w:rsidRPr="007433E9" w:rsidRDefault="00630D81" w:rsidP="00630D81">
      <w:pPr>
        <w:rPr>
          <w:b/>
          <w:noProof/>
        </w:rPr>
      </w:pPr>
      <w:r w:rsidRPr="007433E9">
        <w:rPr>
          <w:b/>
          <w:noProof/>
        </w:rPr>
        <w:t>Incorporation of documents</w:t>
      </w:r>
      <w:r>
        <w:rPr>
          <w:rStyle w:val="FootnoteReference"/>
          <w:b/>
          <w:noProof/>
        </w:rPr>
        <w:footnoteReference w:id="8"/>
      </w:r>
    </w:p>
    <w:p w:rsidR="00630D81" w:rsidRPr="007433E9" w:rsidRDefault="00630D81" w:rsidP="00630D81">
      <w:pPr>
        <w:rPr>
          <w:szCs w:val="26"/>
        </w:rPr>
      </w:pPr>
      <w:r w:rsidRPr="007433E9">
        <w:rPr>
          <w:szCs w:val="26"/>
        </w:rPr>
        <w:t>Section 14 of the</w:t>
      </w:r>
      <w:r w:rsidRPr="007433E9">
        <w:rPr>
          <w:i/>
          <w:szCs w:val="26"/>
        </w:rPr>
        <w:t xml:space="preserve"> Legislation Act 2003</w:t>
      </w:r>
      <w:r w:rsidRPr="007433E9">
        <w:rPr>
          <w:szCs w:val="26"/>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630D81" w:rsidRPr="007433E9" w:rsidRDefault="00630D81" w:rsidP="00630D81">
      <w:pPr>
        <w:rPr>
          <w:iCs/>
          <w:noProof/>
        </w:rPr>
      </w:pPr>
      <w:r w:rsidRPr="007433E9">
        <w:rPr>
          <w:noProof/>
        </w:rPr>
        <w:t xml:space="preserve">With reference to the above the committee notes that various sections of the regulation incorporate the Biosecurity (Movements between Parts of Australian Territory) Declaration 2016 (the movements declaration), which is made under subsection 618(2) of the </w:t>
      </w:r>
      <w:r w:rsidRPr="007433E9">
        <w:rPr>
          <w:i/>
          <w:iCs/>
          <w:noProof/>
        </w:rPr>
        <w:t>Biosecurity Act 2015</w:t>
      </w:r>
      <w:r w:rsidRPr="007433E9">
        <w:rPr>
          <w:iCs/>
          <w:noProof/>
        </w:rPr>
        <w:t xml:space="preserve"> (the Biosecurity Act). However, neither </w:t>
      </w:r>
      <w:r w:rsidRPr="007433E9">
        <w:rPr>
          <w:iCs/>
          <w:noProof/>
        </w:rPr>
        <w:lastRenderedPageBreak/>
        <w:t>the text of the regulation nor the ES expressly states the manner in which the declaration is incorporated.</w:t>
      </w:r>
    </w:p>
    <w:p w:rsidR="00630D81" w:rsidRPr="007433E9" w:rsidRDefault="00630D81" w:rsidP="00630D81">
      <w:pPr>
        <w:rPr>
          <w:iCs/>
          <w:noProof/>
        </w:rPr>
      </w:pPr>
      <w:r w:rsidRPr="007433E9">
        <w:rPr>
          <w:iCs/>
          <w:noProof/>
        </w:rPr>
        <w:t xml:space="preserve">The committee further notes that subsection 618(7) of the Biosecurity Act provides that the movements declaration is a legislative instrument that is not subject to disallowance (an exempt instrument). Subsection 14(3) of the </w:t>
      </w:r>
      <w:r w:rsidRPr="007433E9">
        <w:rPr>
          <w:i/>
          <w:iCs/>
          <w:noProof/>
        </w:rPr>
        <w:t>Legislation Act 2003</w:t>
      </w:r>
      <w:r w:rsidRPr="007433E9">
        <w:rPr>
          <w:iCs/>
          <w:noProof/>
        </w:rPr>
        <w:t xml:space="preserve"> provides that only disallowable legislative instruments may be incorporated as in force from time to time. The committee therefore understands that the movements declaration may only be incorporated as in force at the commencement of the regulation, unless authorising or other legislation alters the operation of section 14.</w:t>
      </w:r>
    </w:p>
    <w:p w:rsidR="00630D81" w:rsidRPr="007433E9" w:rsidRDefault="00630D81" w:rsidP="00630D81">
      <w:pPr>
        <w:rPr>
          <w:szCs w:val="26"/>
        </w:rPr>
      </w:pPr>
      <w:r w:rsidRPr="007433E9">
        <w:rPr>
          <w:szCs w:val="26"/>
        </w:rPr>
        <w:t>However, the committee expects instruments (and ideally their accompanying ESs) to clearly state the manner in which exempt instruments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630D81" w:rsidRPr="007433E9" w:rsidRDefault="00630D81" w:rsidP="00630D81">
      <w:pPr>
        <w:rPr>
          <w:b/>
          <w:noProof/>
        </w:rPr>
      </w:pPr>
      <w:r w:rsidRPr="007433E9">
        <w:rPr>
          <w:b/>
          <w:noProof/>
        </w:rPr>
        <w:t>The committee requests the advice of the minister in relation to this matter.</w:t>
      </w:r>
    </w:p>
    <w:p w:rsidR="00630D81" w:rsidRPr="00DC49E1" w:rsidRDefault="00630D81" w:rsidP="00630D81">
      <w:pPr>
        <w:rPr>
          <w:noProof/>
        </w:rPr>
      </w:pPr>
    </w:p>
    <w:p w:rsidR="00630D81" w:rsidRDefault="00630D81" w:rsidP="00630D81">
      <w:pPr>
        <w:rPr>
          <w:b/>
          <w:noProof/>
        </w:rPr>
      </w:pPr>
      <w:r w:rsidRPr="004F2E07">
        <w:rPr>
          <w:b/>
          <w:noProof/>
        </w:rPr>
        <w:t>Drafting</w:t>
      </w:r>
    </w:p>
    <w:p w:rsidR="00630D81" w:rsidRDefault="00630D81" w:rsidP="00630D81">
      <w:pPr>
        <w:rPr>
          <w:noProof/>
        </w:rPr>
      </w:pPr>
      <w:r>
        <w:rPr>
          <w:noProof/>
        </w:rPr>
        <w:t xml:space="preserve">The regulation sets requirements for taking and storing body samples. It requires that samples 'must be taken in a manner consistent with appropriate medical samples' and 'must be stored, transported, labelled and used in </w:t>
      </w:r>
      <w:r w:rsidRPr="00D313B7">
        <w:rPr>
          <w:noProof/>
        </w:rPr>
        <w:t>a manner consistent with appropriate professional standards that are relevant to managing the risks to human health of listed human diseases.</w:t>
      </w:r>
      <w:r>
        <w:rPr>
          <w:noProof/>
        </w:rPr>
        <w:t>' Failure to comply with these requirements is an offence under subsection 10(5) of the regulation.</w:t>
      </w:r>
    </w:p>
    <w:p w:rsidR="00630D81" w:rsidRDefault="00630D81" w:rsidP="00630D81">
      <w:pPr>
        <w:rPr>
          <w:noProof/>
        </w:rPr>
      </w:pPr>
      <w:r>
        <w:rPr>
          <w:noProof/>
        </w:rPr>
        <w:t xml:space="preserve">The committee is concerned that the terms 'appropriate medical standards' and 'appropriate professional standards' are insufficiently precise, such that it may be difficult for a person to know what standards must be complied with to ensure that they do not commit an offence under the regulation. </w:t>
      </w:r>
      <w:r w:rsidRPr="00E71556">
        <w:rPr>
          <w:noProof/>
        </w:rPr>
        <w:t xml:space="preserve">This uncertainty in the application of </w:t>
      </w:r>
      <w:r>
        <w:rPr>
          <w:noProof/>
        </w:rPr>
        <w:t xml:space="preserve">the </w:t>
      </w:r>
      <w:r w:rsidRPr="00E71556">
        <w:rPr>
          <w:noProof/>
        </w:rPr>
        <w:t xml:space="preserve">offence is problematic in terms of the committee's task of ensuring that the exercise of the Parliament's delegated legislative powers does not trespass unduly on personal rights and liberties (scrutiny principle </w:t>
      </w:r>
      <w:r>
        <w:rPr>
          <w:noProof/>
        </w:rPr>
        <w:t>23(3)</w:t>
      </w:r>
      <w:r w:rsidRPr="00E71556">
        <w:rPr>
          <w:noProof/>
        </w:rPr>
        <w:t>(b)).</w:t>
      </w:r>
    </w:p>
    <w:p w:rsidR="00630D81" w:rsidRDefault="00630D81" w:rsidP="00630D81">
      <w:pPr>
        <w:rPr>
          <w:noProof/>
        </w:rPr>
      </w:pPr>
      <w:r>
        <w:rPr>
          <w:noProof/>
        </w:rPr>
        <w:t xml:space="preserve">Further, the taking and storing of body samples must be subject to clear and appropriate safeguards in order to avoid undue tresspass on personal rights and liberties (namely the right to privacy). </w:t>
      </w:r>
      <w:r w:rsidRPr="00E71556">
        <w:rPr>
          <w:noProof/>
        </w:rPr>
        <w:t xml:space="preserve">Without </w:t>
      </w:r>
      <w:r>
        <w:rPr>
          <w:noProof/>
        </w:rPr>
        <w:t xml:space="preserve">more specific information </w:t>
      </w:r>
      <w:r w:rsidRPr="00E71556">
        <w:rPr>
          <w:noProof/>
        </w:rPr>
        <w:t xml:space="preserve">regarding </w:t>
      </w:r>
      <w:r>
        <w:rPr>
          <w:noProof/>
        </w:rPr>
        <w:t>the medical or professional standards with which officers must comply when taking or storing body samples</w:t>
      </w:r>
      <w:r w:rsidRPr="00E71556">
        <w:rPr>
          <w:noProof/>
        </w:rPr>
        <w:t>, the committee is unable to</w:t>
      </w:r>
      <w:r>
        <w:rPr>
          <w:noProof/>
        </w:rPr>
        <w:t xml:space="preserve"> satisfy itself </w:t>
      </w:r>
      <w:r w:rsidRPr="00E71556">
        <w:rPr>
          <w:noProof/>
        </w:rPr>
        <w:t xml:space="preserve">that the regulation will not trespass </w:t>
      </w:r>
      <w:r>
        <w:rPr>
          <w:noProof/>
        </w:rPr>
        <w:t xml:space="preserve">unduly </w:t>
      </w:r>
      <w:r w:rsidRPr="00E71556">
        <w:rPr>
          <w:noProof/>
        </w:rPr>
        <w:t>on an individual's rights and liberties.</w:t>
      </w:r>
    </w:p>
    <w:p w:rsidR="00630D81" w:rsidRPr="00DC49E1" w:rsidRDefault="00630D81" w:rsidP="00630D81">
      <w:pPr>
        <w:rPr>
          <w:noProof/>
        </w:rPr>
      </w:pPr>
      <w:r w:rsidRPr="0036328F">
        <w:rPr>
          <w:b/>
          <w:noProof/>
        </w:rPr>
        <w:t>The committee requests the advice of the minister in relation to this matter.</w:t>
      </w:r>
    </w:p>
    <w:p w:rsidR="00630D81" w:rsidRPr="008E565D" w:rsidRDefault="00630D81" w:rsidP="00630D81">
      <w:pPr>
        <w:rPr>
          <w:b/>
          <w:noProof/>
          <w:sz w:val="2"/>
          <w:szCs w:val="2"/>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4F2E07">
              <w:rPr>
                <w:noProof/>
                <w:sz w:val="24"/>
                <w:szCs w:val="24"/>
              </w:rPr>
              <w:t>Biosecurity Regulation 2016 [</w:t>
            </w:r>
            <w:bookmarkStart w:id="22" w:name="OLE_LINK8"/>
            <w:r w:rsidRPr="004F2E07">
              <w:rPr>
                <w:noProof/>
                <w:sz w:val="24"/>
                <w:szCs w:val="24"/>
              </w:rPr>
              <w:t>F2016L00756</w:t>
            </w:r>
            <w:bookmarkEnd w:id="22"/>
            <w:r w:rsidRPr="004F2E07">
              <w:rPr>
                <w:noProof/>
                <w:sz w:val="24"/>
                <w:szCs w:val="24"/>
              </w:rPr>
              <w:t>]</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P</w:t>
            </w:r>
            <w:r w:rsidRPr="004F2E07">
              <w:rPr>
                <w:noProof/>
                <w:sz w:val="24"/>
                <w:szCs w:val="24"/>
              </w:rPr>
              <w:t xml:space="preserve">rescribes information relating to the exercise of powers by officials under the </w:t>
            </w:r>
            <w:r w:rsidRPr="00B97F87">
              <w:rPr>
                <w:i/>
                <w:noProof/>
                <w:sz w:val="24"/>
                <w:szCs w:val="24"/>
              </w:rPr>
              <w:t xml:space="preserve">Biosecurity Act </w:t>
            </w:r>
            <w:r>
              <w:rPr>
                <w:i/>
                <w:noProof/>
                <w:sz w:val="24"/>
                <w:szCs w:val="24"/>
              </w:rPr>
              <w:t xml:space="preserve">2015 </w:t>
            </w:r>
            <w:r w:rsidRPr="004F2E07">
              <w:rPr>
                <w:noProof/>
                <w:sz w:val="24"/>
                <w:szCs w:val="24"/>
              </w:rPr>
              <w:t xml:space="preserve">and sets information and reporting requirements </w:t>
            </w:r>
            <w:r>
              <w:rPr>
                <w:noProof/>
                <w:sz w:val="24"/>
                <w:szCs w:val="24"/>
              </w:rPr>
              <w:t>for</w:t>
            </w:r>
            <w:r w:rsidRPr="004F2E07">
              <w:rPr>
                <w:noProof/>
                <w:sz w:val="24"/>
                <w:szCs w:val="24"/>
              </w:rPr>
              <w:t xml:space="preserve"> those regulated by the </w:t>
            </w:r>
            <w:r w:rsidRPr="002328EE">
              <w:rPr>
                <w:i/>
                <w:noProof/>
                <w:sz w:val="24"/>
                <w:szCs w:val="24"/>
              </w:rPr>
              <w:t>Biosecurity Act 2015</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Biosecurity Act 2015</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Agriculture and Water Resources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4F2E07">
              <w:rPr>
                <w:noProof/>
                <w:sz w:val="24"/>
                <w:szCs w:val="24"/>
              </w:rPr>
              <w:t>(a)</w:t>
            </w:r>
          </w:p>
        </w:tc>
      </w:tr>
    </w:tbl>
    <w:p w:rsidR="00630D81" w:rsidRDefault="00630D81" w:rsidP="00630D81"/>
    <w:p w:rsidR="00630D81" w:rsidRDefault="00630D81" w:rsidP="00630D81">
      <w:pPr>
        <w:rPr>
          <w:b/>
          <w:noProof/>
        </w:rPr>
      </w:pPr>
      <w:r w:rsidRPr="00223620">
        <w:rPr>
          <w:b/>
          <w:noProof/>
        </w:rPr>
        <w:t>Incorporation of documents</w:t>
      </w:r>
      <w:r>
        <w:rPr>
          <w:b/>
          <w:noProof/>
        </w:rPr>
        <w:t xml:space="preserve"> </w:t>
      </w:r>
    </w:p>
    <w:p w:rsidR="00630D81" w:rsidRDefault="00630D81" w:rsidP="00630D81">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incorporating</w:t>
      </w:r>
      <w:r>
        <w:rPr>
          <w:szCs w:val="26"/>
        </w:rPr>
        <w:t xml:space="preserve"> Acts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the commencement of the</w:t>
      </w:r>
      <w:r>
        <w:rPr>
          <w:szCs w:val="26"/>
        </w:rPr>
        <w:t xml:space="preserve"> legislative</w:t>
      </w:r>
      <w:r w:rsidRPr="00025437">
        <w:rPr>
          <w:szCs w:val="26"/>
        </w:rPr>
        <w:t xml:space="preserve"> instrument, unless authorising or other legislation alters the operation of section 14.</w:t>
      </w:r>
    </w:p>
    <w:p w:rsidR="00630D81" w:rsidRPr="00046DC2" w:rsidRDefault="00630D81" w:rsidP="00630D81">
      <w:pPr>
        <w:rPr>
          <w:szCs w:val="26"/>
        </w:rPr>
      </w:pPr>
      <w:r w:rsidRPr="00046DC2">
        <w:rPr>
          <w:szCs w:val="26"/>
        </w:rPr>
        <w:t>With reference to the above the committee notes:</w:t>
      </w:r>
    </w:p>
    <w:p w:rsidR="00630D81" w:rsidRPr="00046DC2" w:rsidRDefault="00630D81" w:rsidP="00630D81">
      <w:pPr>
        <w:pStyle w:val="Bullet1"/>
        <w:spacing w:after="120"/>
      </w:pPr>
      <w:r w:rsidRPr="00046DC2">
        <w:t xml:space="preserve">section 5 of the </w:t>
      </w:r>
      <w:r>
        <w:t xml:space="preserve">regulation </w:t>
      </w:r>
      <w:r w:rsidRPr="00046DC2">
        <w:t xml:space="preserve">states that </w:t>
      </w:r>
      <w:r>
        <w:t xml:space="preserve">the term </w:t>
      </w:r>
      <w:r w:rsidRPr="00046DC2">
        <w:rPr>
          <w:b/>
          <w:i/>
        </w:rPr>
        <w:t>health certificate</w:t>
      </w:r>
      <w:r w:rsidRPr="00046DC2">
        <w:t xml:space="preserve"> has the same meaning as in the </w:t>
      </w:r>
      <w:r w:rsidRPr="004E6D8B">
        <w:t>Biosecurity (Prohibited and Conditionally Non-prohibited Goods) Determination 2016</w:t>
      </w:r>
      <w:r>
        <w:t xml:space="preserve"> (the goods determination), which is made under subsection 174(1) of the </w:t>
      </w:r>
      <w:r>
        <w:rPr>
          <w:i/>
        </w:rPr>
        <w:t>Biosecurity Act 2015</w:t>
      </w:r>
      <w:r>
        <w:t xml:space="preserve"> (the Biosecurity Act)</w:t>
      </w:r>
      <w:r w:rsidRPr="00046DC2">
        <w:t>;</w:t>
      </w:r>
      <w:r>
        <w:t xml:space="preserve"> and</w:t>
      </w:r>
    </w:p>
    <w:p w:rsidR="00630D81" w:rsidRDefault="00630D81" w:rsidP="00630D81">
      <w:pPr>
        <w:pStyle w:val="Bullet1"/>
        <w:spacing w:after="120"/>
      </w:pPr>
      <w:r>
        <w:t>s</w:t>
      </w:r>
      <w:r w:rsidRPr="00046DC2">
        <w:t xml:space="preserve">ubsections 107(4) and 118(1) and (2) of the </w:t>
      </w:r>
      <w:r>
        <w:t xml:space="preserve">regulation </w:t>
      </w:r>
      <w:r w:rsidRPr="00046DC2">
        <w:t xml:space="preserve">incorporate the </w:t>
      </w:r>
      <w:bookmarkStart w:id="23" w:name="OLE_LINK9"/>
      <w:r w:rsidRPr="00046DC2">
        <w:t xml:space="preserve">Biosecurity (Movements between Parts of Australian </w:t>
      </w:r>
      <w:r>
        <w:t>Territory) Declaration 2016</w:t>
      </w:r>
      <w:bookmarkEnd w:id="23"/>
      <w:r>
        <w:t xml:space="preserve"> (the movements declaration), which is made under subsection 618(2) of the Biosecurity Act.</w:t>
      </w:r>
    </w:p>
    <w:p w:rsidR="00630D81" w:rsidRPr="009F742A" w:rsidRDefault="00630D81" w:rsidP="00630D81">
      <w:pPr>
        <w:rPr>
          <w:szCs w:val="26"/>
        </w:rPr>
      </w:pPr>
      <w:r w:rsidRPr="00046DC2">
        <w:rPr>
          <w:szCs w:val="26"/>
        </w:rPr>
        <w:t xml:space="preserve">However, neither the text of the </w:t>
      </w:r>
      <w:r>
        <w:rPr>
          <w:szCs w:val="26"/>
        </w:rPr>
        <w:t>regulation</w:t>
      </w:r>
      <w:r w:rsidRPr="00046DC2">
        <w:rPr>
          <w:szCs w:val="26"/>
        </w:rPr>
        <w:t xml:space="preserve"> nor the ES expressly states the manner in </w:t>
      </w:r>
      <w:r w:rsidRPr="009F742A">
        <w:rPr>
          <w:szCs w:val="26"/>
        </w:rPr>
        <w:t xml:space="preserve">which the </w:t>
      </w:r>
      <w:r>
        <w:rPr>
          <w:szCs w:val="26"/>
        </w:rPr>
        <w:t xml:space="preserve">goods </w:t>
      </w:r>
      <w:r w:rsidRPr="009F742A">
        <w:rPr>
          <w:szCs w:val="26"/>
        </w:rPr>
        <w:t xml:space="preserve">determination and the </w:t>
      </w:r>
      <w:r>
        <w:rPr>
          <w:szCs w:val="26"/>
        </w:rPr>
        <w:t xml:space="preserve">movements </w:t>
      </w:r>
      <w:r w:rsidRPr="009F742A">
        <w:rPr>
          <w:szCs w:val="26"/>
        </w:rPr>
        <w:t>declaration are incorporated.</w:t>
      </w:r>
    </w:p>
    <w:p w:rsidR="00630D81" w:rsidRPr="009F742A" w:rsidRDefault="00630D81" w:rsidP="00630D81">
      <w:pPr>
        <w:rPr>
          <w:iCs/>
          <w:noProof/>
        </w:rPr>
      </w:pPr>
      <w:r w:rsidRPr="009F742A">
        <w:rPr>
          <w:szCs w:val="26"/>
        </w:rPr>
        <w:t>The committee further notes that subsections 174(5) and 618(7) of the Biosecurity</w:t>
      </w:r>
      <w:r>
        <w:rPr>
          <w:szCs w:val="26"/>
        </w:rPr>
        <w:t> </w:t>
      </w:r>
      <w:r w:rsidRPr="009F742A">
        <w:rPr>
          <w:szCs w:val="26"/>
        </w:rPr>
        <w:t xml:space="preserve">Act provide that the </w:t>
      </w:r>
      <w:r>
        <w:rPr>
          <w:szCs w:val="26"/>
        </w:rPr>
        <w:t xml:space="preserve">goods </w:t>
      </w:r>
      <w:r w:rsidRPr="009F742A">
        <w:rPr>
          <w:szCs w:val="26"/>
        </w:rPr>
        <w:t>determination a</w:t>
      </w:r>
      <w:r w:rsidRPr="002568FF">
        <w:rPr>
          <w:szCs w:val="26"/>
        </w:rPr>
        <w:t xml:space="preserve">nd the </w:t>
      </w:r>
      <w:r>
        <w:rPr>
          <w:szCs w:val="26"/>
        </w:rPr>
        <w:t>m</w:t>
      </w:r>
      <w:r w:rsidRPr="002568FF">
        <w:rPr>
          <w:szCs w:val="26"/>
        </w:rPr>
        <w:t>ovements declaration are legislative instruments that are not subject to disallowance (exempt instruments).</w:t>
      </w:r>
      <w:r w:rsidRPr="009F742A">
        <w:rPr>
          <w:szCs w:val="26"/>
        </w:rPr>
        <w:t xml:space="preserve"> </w:t>
      </w:r>
      <w:r w:rsidRPr="009F742A">
        <w:rPr>
          <w:iCs/>
          <w:noProof/>
        </w:rPr>
        <w:t xml:space="preserve">Subsection 14(3) of the </w:t>
      </w:r>
      <w:r w:rsidRPr="009F742A">
        <w:rPr>
          <w:i/>
          <w:iCs/>
          <w:noProof/>
        </w:rPr>
        <w:t>Legislation</w:t>
      </w:r>
      <w:r>
        <w:rPr>
          <w:i/>
          <w:iCs/>
          <w:noProof/>
        </w:rPr>
        <w:t> </w:t>
      </w:r>
      <w:r w:rsidRPr="009F742A">
        <w:rPr>
          <w:i/>
          <w:iCs/>
          <w:noProof/>
        </w:rPr>
        <w:t>Act 2003</w:t>
      </w:r>
      <w:r w:rsidRPr="009F742A">
        <w:rPr>
          <w:iCs/>
          <w:noProof/>
        </w:rPr>
        <w:t xml:space="preserve"> provides that only disallowable legislative instruments may be incorporated as in force from time to time. The committee therefore understands that the</w:t>
      </w:r>
      <w:r>
        <w:rPr>
          <w:iCs/>
          <w:noProof/>
        </w:rPr>
        <w:t xml:space="preserve"> goods</w:t>
      </w:r>
      <w:r w:rsidRPr="009F742A">
        <w:rPr>
          <w:iCs/>
          <w:noProof/>
        </w:rPr>
        <w:t xml:space="preserve"> determination and the </w:t>
      </w:r>
      <w:r>
        <w:rPr>
          <w:iCs/>
          <w:noProof/>
        </w:rPr>
        <w:t xml:space="preserve">movements </w:t>
      </w:r>
      <w:r w:rsidRPr="009F742A">
        <w:rPr>
          <w:iCs/>
          <w:noProof/>
        </w:rPr>
        <w:t>declaration may only be incorporated as in force at the commencement of the regulation, unless authorising or other legislation alters the operation of section 14.</w:t>
      </w:r>
    </w:p>
    <w:p w:rsidR="00630D81" w:rsidRDefault="00630D81" w:rsidP="00630D81">
      <w:pPr>
        <w:rPr>
          <w:szCs w:val="26"/>
        </w:rPr>
      </w:pPr>
      <w:r>
        <w:rPr>
          <w:szCs w:val="26"/>
        </w:rPr>
        <w:lastRenderedPageBreak/>
        <w:t>However, t</w:t>
      </w:r>
      <w:r w:rsidRPr="009F742A">
        <w:rPr>
          <w:szCs w:val="26"/>
        </w:rPr>
        <w:t>he committee expects instruments (and ideally their accompanying ESs) to clearly state the manner in which exempt instruments are incorporated (that is, either as in force from time to time or as in force at the commencement of the legisla</w:t>
      </w:r>
      <w:r w:rsidRPr="00C738E1">
        <w:rPr>
          <w:szCs w:val="26"/>
        </w:rPr>
        <w:t>tive instrument). This enables persons interested in or affected by the instrument to understand its operation without the need to rely on specialist legal knowledge or advice, or consult extrinsic material.</w:t>
      </w:r>
    </w:p>
    <w:p w:rsidR="00630D81" w:rsidRDefault="00630D81" w:rsidP="00630D81">
      <w:pPr>
        <w:rPr>
          <w:b/>
          <w:szCs w:val="26"/>
        </w:rPr>
      </w:pPr>
      <w:r w:rsidRPr="00C978EE">
        <w:rPr>
          <w:b/>
          <w:szCs w:val="26"/>
        </w:rPr>
        <w:t>The committee requests the advice of the minister in relation to this matter.</w:t>
      </w:r>
    </w:p>
    <w:p w:rsidR="00630D81" w:rsidRDefault="00630D81" w:rsidP="00630D81">
      <w:pPr>
        <w:rPr>
          <w:b/>
          <w:szCs w:val="26"/>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3F155F" w:rsidRDefault="00630D81" w:rsidP="00630D81">
            <w:pPr>
              <w:rPr>
                <w:b/>
                <w:sz w:val="24"/>
                <w:szCs w:val="24"/>
              </w:rPr>
            </w:pPr>
            <w:r>
              <w:br w:type="page"/>
            </w:r>
            <w:r w:rsidRPr="003F155F">
              <w:rPr>
                <w:b/>
                <w:sz w:val="24"/>
                <w:szCs w:val="24"/>
              </w:rPr>
              <w:t>Instrument</w:t>
            </w:r>
          </w:p>
        </w:tc>
        <w:tc>
          <w:tcPr>
            <w:tcW w:w="6378" w:type="dxa"/>
            <w:tcBorders>
              <w:top w:val="single" w:sz="12" w:space="0" w:color="auto"/>
              <w:left w:val="single" w:sz="12" w:space="0" w:color="auto"/>
            </w:tcBorders>
          </w:tcPr>
          <w:p w:rsidR="00630D81" w:rsidRPr="003F155F" w:rsidRDefault="00630D81" w:rsidP="00630D81">
            <w:pPr>
              <w:pStyle w:val="Heading3"/>
              <w:rPr>
                <w:sz w:val="24"/>
                <w:szCs w:val="24"/>
              </w:rPr>
            </w:pPr>
            <w:r w:rsidRPr="003F155F">
              <w:rPr>
                <w:noProof/>
                <w:sz w:val="24"/>
                <w:szCs w:val="24"/>
              </w:rPr>
              <w:t>Biosecurity (Reportable Biosecurity Incidents) Determination 2016 [F2016L00853]</w:t>
            </w:r>
          </w:p>
        </w:tc>
      </w:tr>
      <w:tr w:rsidR="00630D81" w:rsidRPr="00164622" w:rsidTr="00630D81">
        <w:tc>
          <w:tcPr>
            <w:tcW w:w="2694" w:type="dxa"/>
            <w:tcBorders>
              <w:right w:val="single" w:sz="12" w:space="0" w:color="auto"/>
            </w:tcBorders>
          </w:tcPr>
          <w:p w:rsidR="00630D81" w:rsidRPr="003F155F" w:rsidRDefault="00630D81" w:rsidP="00630D81">
            <w:pPr>
              <w:rPr>
                <w:b/>
                <w:sz w:val="24"/>
                <w:szCs w:val="24"/>
              </w:rPr>
            </w:pPr>
            <w:r w:rsidRPr="003F155F">
              <w:rPr>
                <w:b/>
                <w:sz w:val="24"/>
                <w:szCs w:val="24"/>
              </w:rPr>
              <w:t>Purpose</w:t>
            </w:r>
          </w:p>
        </w:tc>
        <w:tc>
          <w:tcPr>
            <w:tcW w:w="6378" w:type="dxa"/>
            <w:tcBorders>
              <w:left w:val="single" w:sz="12" w:space="0" w:color="auto"/>
            </w:tcBorders>
          </w:tcPr>
          <w:p w:rsidR="00630D81" w:rsidRPr="003F155F" w:rsidRDefault="00630D81" w:rsidP="00630D81">
            <w:pPr>
              <w:rPr>
                <w:sz w:val="24"/>
                <w:szCs w:val="24"/>
              </w:rPr>
            </w:pPr>
            <w:r w:rsidRPr="003F155F">
              <w:rPr>
                <w:noProof/>
                <w:sz w:val="24"/>
                <w:szCs w:val="24"/>
              </w:rPr>
              <w:t>Specifies the events that are reportable biosecurity incidents in relation to goods that are subject to biosecurity control</w:t>
            </w:r>
          </w:p>
        </w:tc>
      </w:tr>
      <w:tr w:rsidR="00630D81" w:rsidRPr="00164622" w:rsidTr="00630D81">
        <w:tc>
          <w:tcPr>
            <w:tcW w:w="2694" w:type="dxa"/>
            <w:tcBorders>
              <w:right w:val="single" w:sz="12" w:space="0" w:color="auto"/>
            </w:tcBorders>
          </w:tcPr>
          <w:p w:rsidR="00630D81" w:rsidRPr="003F155F" w:rsidRDefault="00630D81" w:rsidP="00630D81">
            <w:pPr>
              <w:rPr>
                <w:b/>
                <w:sz w:val="24"/>
                <w:szCs w:val="24"/>
              </w:rPr>
            </w:pPr>
            <w:r w:rsidRPr="003F155F">
              <w:rPr>
                <w:b/>
                <w:sz w:val="24"/>
                <w:szCs w:val="24"/>
              </w:rPr>
              <w:t>Last day to disallow</w:t>
            </w:r>
          </w:p>
        </w:tc>
        <w:tc>
          <w:tcPr>
            <w:tcW w:w="6378" w:type="dxa"/>
            <w:tcBorders>
              <w:left w:val="single" w:sz="12" w:space="0" w:color="auto"/>
            </w:tcBorders>
          </w:tcPr>
          <w:p w:rsidR="00630D81" w:rsidRPr="003F155F"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3F155F" w:rsidRDefault="00630D81" w:rsidP="00630D81">
            <w:pPr>
              <w:rPr>
                <w:b/>
                <w:sz w:val="24"/>
                <w:szCs w:val="24"/>
              </w:rPr>
            </w:pPr>
            <w:r w:rsidRPr="003F155F">
              <w:rPr>
                <w:b/>
                <w:sz w:val="24"/>
                <w:szCs w:val="24"/>
              </w:rPr>
              <w:t>Authorising legislation</w:t>
            </w:r>
          </w:p>
        </w:tc>
        <w:tc>
          <w:tcPr>
            <w:tcW w:w="6378" w:type="dxa"/>
            <w:tcBorders>
              <w:left w:val="single" w:sz="12" w:space="0" w:color="auto"/>
            </w:tcBorders>
          </w:tcPr>
          <w:p w:rsidR="00630D81" w:rsidRPr="003F155F" w:rsidRDefault="00630D81" w:rsidP="00630D81">
            <w:pPr>
              <w:rPr>
                <w:i/>
                <w:sz w:val="24"/>
                <w:szCs w:val="24"/>
              </w:rPr>
            </w:pPr>
            <w:r w:rsidRPr="003F155F">
              <w:rPr>
                <w:i/>
                <w:noProof/>
                <w:sz w:val="24"/>
                <w:szCs w:val="24"/>
              </w:rPr>
              <w:t>Biosecurity Act 2015</w:t>
            </w:r>
          </w:p>
        </w:tc>
      </w:tr>
      <w:tr w:rsidR="00630D81" w:rsidRPr="00164622" w:rsidTr="00630D81">
        <w:tc>
          <w:tcPr>
            <w:tcW w:w="2694" w:type="dxa"/>
            <w:tcBorders>
              <w:right w:val="single" w:sz="12" w:space="0" w:color="auto"/>
            </w:tcBorders>
          </w:tcPr>
          <w:p w:rsidR="00630D81" w:rsidRPr="003F155F" w:rsidRDefault="00630D81" w:rsidP="00630D81">
            <w:pPr>
              <w:rPr>
                <w:b/>
                <w:sz w:val="24"/>
                <w:szCs w:val="24"/>
              </w:rPr>
            </w:pPr>
            <w:r w:rsidRPr="003F155F">
              <w:rPr>
                <w:b/>
                <w:sz w:val="24"/>
                <w:szCs w:val="24"/>
              </w:rPr>
              <w:t>Department</w:t>
            </w:r>
          </w:p>
        </w:tc>
        <w:tc>
          <w:tcPr>
            <w:tcW w:w="6378" w:type="dxa"/>
            <w:tcBorders>
              <w:left w:val="single" w:sz="12" w:space="0" w:color="auto"/>
            </w:tcBorders>
          </w:tcPr>
          <w:p w:rsidR="00630D81" w:rsidRPr="003F155F" w:rsidRDefault="00630D81" w:rsidP="00630D81">
            <w:pPr>
              <w:rPr>
                <w:sz w:val="24"/>
                <w:szCs w:val="24"/>
              </w:rPr>
            </w:pPr>
            <w:r w:rsidRPr="003F155F">
              <w:rPr>
                <w:noProof/>
                <w:sz w:val="24"/>
                <w:szCs w:val="24"/>
              </w:rPr>
              <w:t>Agriculture and Water Resources</w:t>
            </w:r>
          </w:p>
        </w:tc>
      </w:tr>
      <w:tr w:rsidR="00630D81" w:rsidRPr="00164622" w:rsidTr="00630D81">
        <w:tc>
          <w:tcPr>
            <w:tcW w:w="2694" w:type="dxa"/>
            <w:tcBorders>
              <w:bottom w:val="single" w:sz="12" w:space="0" w:color="auto"/>
              <w:right w:val="single" w:sz="12" w:space="0" w:color="auto"/>
            </w:tcBorders>
          </w:tcPr>
          <w:p w:rsidR="00630D81" w:rsidRPr="003F155F" w:rsidRDefault="00630D81" w:rsidP="00630D81">
            <w:pPr>
              <w:rPr>
                <w:b/>
                <w:sz w:val="24"/>
                <w:szCs w:val="24"/>
              </w:rPr>
            </w:pPr>
            <w:r w:rsidRPr="003F155F">
              <w:rPr>
                <w:b/>
                <w:sz w:val="24"/>
                <w:szCs w:val="24"/>
              </w:rPr>
              <w:t>Scrutiny principle</w:t>
            </w:r>
          </w:p>
        </w:tc>
        <w:tc>
          <w:tcPr>
            <w:tcW w:w="6378" w:type="dxa"/>
            <w:tcBorders>
              <w:left w:val="single" w:sz="12" w:space="0" w:color="auto"/>
              <w:bottom w:val="single" w:sz="12" w:space="0" w:color="auto"/>
            </w:tcBorders>
          </w:tcPr>
          <w:p w:rsidR="00630D81" w:rsidRPr="003F155F" w:rsidRDefault="00630D81" w:rsidP="00630D81">
            <w:pPr>
              <w:rPr>
                <w:sz w:val="24"/>
                <w:szCs w:val="24"/>
              </w:rPr>
            </w:pPr>
            <w:r w:rsidRPr="003F155F">
              <w:rPr>
                <w:sz w:val="24"/>
                <w:szCs w:val="24"/>
              </w:rPr>
              <w:t>Standing Order 23(3)</w:t>
            </w:r>
            <w:r w:rsidRPr="003F155F">
              <w:rPr>
                <w:noProof/>
                <w:sz w:val="24"/>
                <w:szCs w:val="24"/>
              </w:rPr>
              <w:t>(a)</w:t>
            </w:r>
          </w:p>
        </w:tc>
      </w:tr>
    </w:tbl>
    <w:p w:rsidR="00630D81" w:rsidRDefault="00630D81" w:rsidP="00630D81"/>
    <w:p w:rsidR="00630D81" w:rsidRDefault="00630D81" w:rsidP="00630D81">
      <w:r w:rsidRPr="002C466F">
        <w:rPr>
          <w:b/>
          <w:noProof/>
        </w:rPr>
        <w:t>Incorporation of documents</w:t>
      </w:r>
    </w:p>
    <w:p w:rsidR="00630D81" w:rsidRDefault="00630D81" w:rsidP="00630D81">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incorporating</w:t>
      </w:r>
      <w:r>
        <w:rPr>
          <w:szCs w:val="26"/>
        </w:rPr>
        <w:t xml:space="preserve"> Acts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the commencement of the</w:t>
      </w:r>
      <w:r>
        <w:rPr>
          <w:szCs w:val="26"/>
        </w:rPr>
        <w:t xml:space="preserve"> legislative</w:t>
      </w:r>
      <w:r w:rsidRPr="00025437">
        <w:rPr>
          <w:szCs w:val="26"/>
        </w:rPr>
        <w:t xml:space="preserve"> instrument, unless authorising or other legislation alters the operation of section 14.</w:t>
      </w:r>
    </w:p>
    <w:p w:rsidR="00630D81" w:rsidRDefault="00630D81" w:rsidP="00630D81">
      <w:pPr>
        <w:rPr>
          <w:noProof/>
        </w:rPr>
      </w:pPr>
      <w:r>
        <w:rPr>
          <w:noProof/>
        </w:rPr>
        <w:t>With reference to the above, the committee notes that:</w:t>
      </w:r>
    </w:p>
    <w:p w:rsidR="00630D81" w:rsidRDefault="00630D81" w:rsidP="00630D81">
      <w:pPr>
        <w:pStyle w:val="Bullet1"/>
        <w:spacing w:after="120"/>
        <w:rPr>
          <w:noProof/>
        </w:rPr>
      </w:pPr>
      <w:r w:rsidRPr="00ED198B">
        <w:rPr>
          <w:noProof/>
        </w:rPr>
        <w:t>section 4 of th</w:t>
      </w:r>
      <w:r>
        <w:rPr>
          <w:noProof/>
        </w:rPr>
        <w:t>e</w:t>
      </w:r>
      <w:r w:rsidRPr="00ED198B">
        <w:rPr>
          <w:noProof/>
        </w:rPr>
        <w:t xml:space="preserve"> </w:t>
      </w:r>
      <w:r w:rsidRPr="009F742A">
        <w:rPr>
          <w:noProof/>
        </w:rPr>
        <w:t>Biosecurity (Reportable Biosecurity Incidents) Determination 2016 [F2016L00853]</w:t>
      </w:r>
      <w:r>
        <w:rPr>
          <w:noProof/>
        </w:rPr>
        <w:t xml:space="preserve"> (the incidents determination) </w:t>
      </w:r>
      <w:r w:rsidRPr="00ED198B">
        <w:rPr>
          <w:noProof/>
        </w:rPr>
        <w:t>incorporates Biosecurity (Prohibited and Conditionally Non-Prohibite</w:t>
      </w:r>
      <w:r>
        <w:rPr>
          <w:noProof/>
        </w:rPr>
        <w:t xml:space="preserve">d Goods) Determination 2016 (the non-prohibited goods determination), </w:t>
      </w:r>
      <w:r w:rsidRPr="009F742A">
        <w:rPr>
          <w:noProof/>
        </w:rPr>
        <w:t>which is made under subsection</w:t>
      </w:r>
      <w:r>
        <w:rPr>
          <w:noProof/>
        </w:rPr>
        <w:t> 174(1) of the Biosecurity Act; and</w:t>
      </w:r>
    </w:p>
    <w:p w:rsidR="00630D81" w:rsidRDefault="00630D81" w:rsidP="00630D81">
      <w:pPr>
        <w:pStyle w:val="Bullet1"/>
        <w:spacing w:after="120"/>
        <w:rPr>
          <w:noProof/>
        </w:rPr>
      </w:pPr>
      <w:r>
        <w:rPr>
          <w:noProof/>
        </w:rPr>
        <w:t xml:space="preserve">the ES to the incidents determination states that the non-prohibited goods determination is incorproated </w:t>
      </w:r>
      <w:r w:rsidRPr="00ED198B">
        <w:rPr>
          <w:noProof/>
        </w:rPr>
        <w:t>as in force from time to time.</w:t>
      </w:r>
      <w:r>
        <w:rPr>
          <w:noProof/>
        </w:rPr>
        <w:t xml:space="preserve"> </w:t>
      </w:r>
    </w:p>
    <w:p w:rsidR="00630D81" w:rsidRDefault="00630D81" w:rsidP="00630D81">
      <w:pPr>
        <w:rPr>
          <w:noProof/>
        </w:rPr>
      </w:pPr>
      <w:r>
        <w:rPr>
          <w:noProof/>
        </w:rPr>
        <w:t>However, t</w:t>
      </w:r>
      <w:r w:rsidRPr="00480FA7">
        <w:rPr>
          <w:noProof/>
        </w:rPr>
        <w:t>he committee</w:t>
      </w:r>
      <w:r>
        <w:rPr>
          <w:noProof/>
        </w:rPr>
        <w:t xml:space="preserve"> </w:t>
      </w:r>
      <w:r w:rsidRPr="00480FA7">
        <w:rPr>
          <w:noProof/>
        </w:rPr>
        <w:t>notes that</w:t>
      </w:r>
      <w:r>
        <w:rPr>
          <w:noProof/>
        </w:rPr>
        <w:t xml:space="preserve"> subsection 1</w:t>
      </w:r>
      <w:r w:rsidRPr="005C426C">
        <w:rPr>
          <w:noProof/>
        </w:rPr>
        <w:t>74(5) of the Biosecurity Act provide</w:t>
      </w:r>
      <w:r>
        <w:rPr>
          <w:noProof/>
        </w:rPr>
        <w:t>s</w:t>
      </w:r>
      <w:r w:rsidRPr="005C426C">
        <w:rPr>
          <w:noProof/>
        </w:rPr>
        <w:t xml:space="preserve"> that the </w:t>
      </w:r>
      <w:r>
        <w:rPr>
          <w:noProof/>
        </w:rPr>
        <w:t xml:space="preserve">non-prohibited goods determination is a </w:t>
      </w:r>
      <w:r w:rsidRPr="005C426C">
        <w:rPr>
          <w:noProof/>
        </w:rPr>
        <w:t xml:space="preserve">legislative instrument that </w:t>
      </w:r>
      <w:r>
        <w:rPr>
          <w:noProof/>
        </w:rPr>
        <w:t>is</w:t>
      </w:r>
      <w:r w:rsidRPr="005C426C">
        <w:rPr>
          <w:noProof/>
        </w:rPr>
        <w:t xml:space="preserve"> not subject to disallowance</w:t>
      </w:r>
      <w:r>
        <w:rPr>
          <w:noProof/>
        </w:rPr>
        <w:t>; and that s</w:t>
      </w:r>
      <w:r w:rsidRPr="005C426C">
        <w:rPr>
          <w:noProof/>
        </w:rPr>
        <w:t xml:space="preserve">ubsection 14(3) of the </w:t>
      </w:r>
      <w:r w:rsidRPr="005C426C">
        <w:rPr>
          <w:i/>
          <w:noProof/>
        </w:rPr>
        <w:t>Legislation Act</w:t>
      </w:r>
      <w:r>
        <w:rPr>
          <w:i/>
          <w:noProof/>
        </w:rPr>
        <w:t> </w:t>
      </w:r>
      <w:r w:rsidRPr="005C426C">
        <w:rPr>
          <w:i/>
          <w:noProof/>
        </w:rPr>
        <w:t>2003</w:t>
      </w:r>
      <w:r w:rsidRPr="005C426C">
        <w:rPr>
          <w:noProof/>
        </w:rPr>
        <w:t xml:space="preserve"> </w:t>
      </w:r>
      <w:r w:rsidRPr="005C426C">
        <w:rPr>
          <w:noProof/>
        </w:rPr>
        <w:lastRenderedPageBreak/>
        <w:t xml:space="preserve">provides that only disallowable legislative instruments may be incorporated as in force from time to time. </w:t>
      </w:r>
      <w:r>
        <w:rPr>
          <w:noProof/>
        </w:rPr>
        <w:t>As the committee is unaware of any legislation altering the operation of subsection 14(3), t</w:t>
      </w:r>
      <w:r w:rsidRPr="005C426C">
        <w:rPr>
          <w:noProof/>
        </w:rPr>
        <w:t>he committee therefore understands that the</w:t>
      </w:r>
      <w:r>
        <w:rPr>
          <w:noProof/>
        </w:rPr>
        <w:t xml:space="preserve"> </w:t>
      </w:r>
      <w:r>
        <w:rPr>
          <w:noProof/>
        </w:rPr>
        <w:br/>
        <w:t xml:space="preserve">non-prohibited goods </w:t>
      </w:r>
      <w:r w:rsidRPr="005C426C">
        <w:rPr>
          <w:noProof/>
        </w:rPr>
        <w:t xml:space="preserve">determination may only be incorporated as in force at the commencement of the </w:t>
      </w:r>
      <w:r>
        <w:rPr>
          <w:noProof/>
        </w:rPr>
        <w:t>incidents determination</w:t>
      </w:r>
      <w:r w:rsidRPr="005C426C">
        <w:rPr>
          <w:noProof/>
        </w:rPr>
        <w:t>.</w:t>
      </w:r>
      <w:r w:rsidRPr="00480FA7">
        <w:rPr>
          <w:noProof/>
        </w:rPr>
        <w:t xml:space="preserve"> </w:t>
      </w:r>
    </w:p>
    <w:p w:rsidR="00630D81" w:rsidRDefault="00630D81" w:rsidP="00630D81">
      <w:pPr>
        <w:rPr>
          <w:b/>
          <w:szCs w:val="26"/>
        </w:rPr>
      </w:pPr>
      <w:r w:rsidRPr="00C978EE">
        <w:rPr>
          <w:b/>
          <w:szCs w:val="26"/>
        </w:rPr>
        <w:t>The committee requests the advice of the minister in relation to this matter.</w:t>
      </w:r>
    </w:p>
    <w:p w:rsidR="00B0130A" w:rsidRDefault="00B0130A" w:rsidP="00630D81">
      <w:pPr>
        <w:rPr>
          <w:b/>
          <w:szCs w:val="26"/>
        </w:rPr>
      </w:pPr>
    </w:p>
    <w:tbl>
      <w:tblPr>
        <w:tblW w:w="0" w:type="auto"/>
        <w:tblInd w:w="108" w:type="dxa"/>
        <w:tblLook w:val="04A0" w:firstRow="1" w:lastRow="0" w:firstColumn="1" w:lastColumn="0" w:noHBand="0" w:noVBand="1"/>
      </w:tblPr>
      <w:tblGrid>
        <w:gridCol w:w="2859"/>
        <w:gridCol w:w="6213"/>
      </w:tblGrid>
      <w:tr w:rsidR="00630D81" w:rsidRPr="00681B17" w:rsidTr="00630D81">
        <w:tc>
          <w:tcPr>
            <w:tcW w:w="2859" w:type="dxa"/>
            <w:tcBorders>
              <w:top w:val="single" w:sz="12" w:space="0" w:color="auto"/>
              <w:right w:val="single" w:sz="12" w:space="0" w:color="auto"/>
            </w:tcBorders>
          </w:tcPr>
          <w:p w:rsidR="00630D81" w:rsidRPr="003F155F" w:rsidRDefault="00630D81" w:rsidP="00630D81">
            <w:pPr>
              <w:rPr>
                <w:b/>
                <w:sz w:val="24"/>
                <w:szCs w:val="24"/>
              </w:rPr>
            </w:pPr>
            <w:r>
              <w:rPr>
                <w:b/>
                <w:szCs w:val="26"/>
              </w:rPr>
              <w:br w:type="page"/>
            </w:r>
            <w:r w:rsidRPr="003F155F">
              <w:rPr>
                <w:b/>
                <w:sz w:val="24"/>
                <w:szCs w:val="24"/>
              </w:rPr>
              <w:t>Instrument</w:t>
            </w:r>
          </w:p>
        </w:tc>
        <w:tc>
          <w:tcPr>
            <w:tcW w:w="6213" w:type="dxa"/>
            <w:tcBorders>
              <w:top w:val="single" w:sz="12" w:space="0" w:color="auto"/>
              <w:left w:val="single" w:sz="12" w:space="0" w:color="auto"/>
            </w:tcBorders>
          </w:tcPr>
          <w:p w:rsidR="00630D81" w:rsidRPr="00CA0FF5" w:rsidRDefault="00630D81" w:rsidP="00630D81">
            <w:pPr>
              <w:pStyle w:val="Heading3"/>
              <w:rPr>
                <w:sz w:val="24"/>
                <w:szCs w:val="24"/>
              </w:rPr>
            </w:pPr>
            <w:r w:rsidRPr="00CA0FF5">
              <w:rPr>
                <w:sz w:val="24"/>
                <w:szCs w:val="24"/>
              </w:rPr>
              <w:t>Building Energy Efficiency Disclosure (Disclosure Affected Buildings) Determination 2016 [F2016L01148]</w:t>
            </w:r>
          </w:p>
          <w:p w:rsidR="00630D81" w:rsidRPr="00CA0FF5" w:rsidRDefault="00630D81" w:rsidP="00630D81">
            <w:pPr>
              <w:pStyle w:val="Heading3"/>
              <w:rPr>
                <w:sz w:val="24"/>
                <w:szCs w:val="24"/>
              </w:rPr>
            </w:pPr>
            <w:r w:rsidRPr="00CA0FF5">
              <w:rPr>
                <w:noProof/>
                <w:sz w:val="24"/>
                <w:szCs w:val="24"/>
              </w:rPr>
              <w:t>Building Energy Efficiency Disclosure Determination 2016 [F2016L01276]</w:t>
            </w:r>
          </w:p>
        </w:tc>
      </w:tr>
      <w:tr w:rsidR="00630D81" w:rsidRPr="00681B17" w:rsidTr="00630D81">
        <w:tc>
          <w:tcPr>
            <w:tcW w:w="2859" w:type="dxa"/>
            <w:tcBorders>
              <w:right w:val="single" w:sz="12" w:space="0" w:color="auto"/>
            </w:tcBorders>
          </w:tcPr>
          <w:p w:rsidR="00630D81" w:rsidRPr="003F155F" w:rsidRDefault="00630D81" w:rsidP="00630D81">
            <w:pPr>
              <w:rPr>
                <w:b/>
                <w:sz w:val="24"/>
                <w:szCs w:val="24"/>
              </w:rPr>
            </w:pPr>
            <w:r w:rsidRPr="003F155F">
              <w:rPr>
                <w:b/>
                <w:sz w:val="24"/>
                <w:szCs w:val="24"/>
              </w:rPr>
              <w:t>Purpose</w:t>
            </w:r>
          </w:p>
        </w:tc>
        <w:tc>
          <w:tcPr>
            <w:tcW w:w="6213" w:type="dxa"/>
            <w:tcBorders>
              <w:left w:val="single" w:sz="12" w:space="0" w:color="auto"/>
            </w:tcBorders>
          </w:tcPr>
          <w:p w:rsidR="00630D81" w:rsidRPr="000E369C" w:rsidRDefault="00630D81" w:rsidP="00630D81">
            <w:pPr>
              <w:rPr>
                <w:sz w:val="24"/>
                <w:szCs w:val="24"/>
              </w:rPr>
            </w:pPr>
            <w:r>
              <w:rPr>
                <w:sz w:val="24"/>
                <w:szCs w:val="24"/>
              </w:rPr>
              <w:t>The determinations s</w:t>
            </w:r>
            <w:r w:rsidRPr="003F155F">
              <w:rPr>
                <w:sz w:val="24"/>
                <w:szCs w:val="24"/>
              </w:rPr>
              <w:t>pecif</w:t>
            </w:r>
            <w:r>
              <w:rPr>
                <w:sz w:val="24"/>
                <w:szCs w:val="24"/>
              </w:rPr>
              <w:t>y</w:t>
            </w:r>
            <w:r w:rsidRPr="003F155F">
              <w:rPr>
                <w:sz w:val="24"/>
                <w:szCs w:val="24"/>
              </w:rPr>
              <w:t xml:space="preserve"> buildings, and areas of buildings, that are disclosure affected</w:t>
            </w:r>
            <w:r>
              <w:rPr>
                <w:sz w:val="24"/>
                <w:szCs w:val="24"/>
              </w:rPr>
              <w:t xml:space="preserve"> for the purposes of the </w:t>
            </w:r>
            <w:r w:rsidRPr="00480FA7">
              <w:rPr>
                <w:i/>
                <w:sz w:val="24"/>
                <w:szCs w:val="24"/>
              </w:rPr>
              <w:t>Building Energy Efficiency Disclosure Act 2010</w:t>
            </w:r>
            <w:r>
              <w:rPr>
                <w:sz w:val="24"/>
                <w:szCs w:val="24"/>
              </w:rPr>
              <w:t xml:space="preserve">; and set </w:t>
            </w:r>
            <w:r w:rsidRPr="000E369C">
              <w:rPr>
                <w:sz w:val="24"/>
                <w:szCs w:val="24"/>
              </w:rPr>
              <w:t>assessment methods and standards for building energy efficiency</w:t>
            </w:r>
          </w:p>
        </w:tc>
      </w:tr>
      <w:tr w:rsidR="00630D81" w:rsidRPr="00681B17" w:rsidTr="00630D81">
        <w:tc>
          <w:tcPr>
            <w:tcW w:w="2859" w:type="dxa"/>
            <w:tcBorders>
              <w:right w:val="single" w:sz="12" w:space="0" w:color="auto"/>
            </w:tcBorders>
          </w:tcPr>
          <w:p w:rsidR="00630D81" w:rsidRPr="003F155F" w:rsidRDefault="00630D81" w:rsidP="00630D81">
            <w:pPr>
              <w:rPr>
                <w:b/>
                <w:sz w:val="24"/>
                <w:szCs w:val="24"/>
              </w:rPr>
            </w:pPr>
            <w:r w:rsidRPr="003F155F">
              <w:rPr>
                <w:b/>
                <w:sz w:val="24"/>
                <w:szCs w:val="24"/>
              </w:rPr>
              <w:t>Last day to disallow</w:t>
            </w:r>
          </w:p>
        </w:tc>
        <w:tc>
          <w:tcPr>
            <w:tcW w:w="6213" w:type="dxa"/>
            <w:tcBorders>
              <w:left w:val="single" w:sz="12" w:space="0" w:color="auto"/>
            </w:tcBorders>
          </w:tcPr>
          <w:p w:rsidR="00630D81" w:rsidRPr="003F155F" w:rsidRDefault="00630D81" w:rsidP="00630D81">
            <w:pPr>
              <w:rPr>
                <w:sz w:val="24"/>
                <w:szCs w:val="24"/>
              </w:rPr>
            </w:pPr>
            <w:r>
              <w:rPr>
                <w:sz w:val="24"/>
                <w:szCs w:val="24"/>
              </w:rPr>
              <w:t>21 November 2016</w:t>
            </w:r>
          </w:p>
        </w:tc>
      </w:tr>
      <w:tr w:rsidR="00630D81" w:rsidRPr="00681B17" w:rsidTr="00630D81">
        <w:tc>
          <w:tcPr>
            <w:tcW w:w="2859" w:type="dxa"/>
            <w:tcBorders>
              <w:right w:val="single" w:sz="12" w:space="0" w:color="auto"/>
            </w:tcBorders>
          </w:tcPr>
          <w:p w:rsidR="00630D81" w:rsidRPr="003F155F" w:rsidRDefault="00630D81" w:rsidP="00630D81">
            <w:pPr>
              <w:rPr>
                <w:b/>
                <w:sz w:val="24"/>
                <w:szCs w:val="24"/>
              </w:rPr>
            </w:pPr>
            <w:r w:rsidRPr="003F155F">
              <w:rPr>
                <w:b/>
                <w:sz w:val="24"/>
                <w:szCs w:val="24"/>
              </w:rPr>
              <w:t>Authorising legislation</w:t>
            </w:r>
          </w:p>
        </w:tc>
        <w:tc>
          <w:tcPr>
            <w:tcW w:w="6213" w:type="dxa"/>
            <w:tcBorders>
              <w:left w:val="single" w:sz="12" w:space="0" w:color="auto"/>
            </w:tcBorders>
          </w:tcPr>
          <w:p w:rsidR="00630D81" w:rsidRPr="003F155F" w:rsidRDefault="00630D81" w:rsidP="00630D81">
            <w:pPr>
              <w:rPr>
                <w:i/>
                <w:sz w:val="24"/>
                <w:szCs w:val="24"/>
              </w:rPr>
            </w:pPr>
            <w:r w:rsidRPr="003F155F">
              <w:rPr>
                <w:i/>
                <w:sz w:val="24"/>
                <w:szCs w:val="24"/>
              </w:rPr>
              <w:t>Building Energy Efficiency Disclosure Act 2010</w:t>
            </w:r>
          </w:p>
        </w:tc>
      </w:tr>
      <w:tr w:rsidR="00630D81" w:rsidRPr="00681B17" w:rsidTr="00630D81">
        <w:tc>
          <w:tcPr>
            <w:tcW w:w="2859" w:type="dxa"/>
            <w:tcBorders>
              <w:right w:val="single" w:sz="12" w:space="0" w:color="auto"/>
            </w:tcBorders>
          </w:tcPr>
          <w:p w:rsidR="00630D81" w:rsidRPr="003F155F" w:rsidRDefault="00630D81" w:rsidP="00630D81">
            <w:pPr>
              <w:rPr>
                <w:b/>
                <w:sz w:val="24"/>
                <w:szCs w:val="24"/>
              </w:rPr>
            </w:pPr>
            <w:r w:rsidRPr="003F155F">
              <w:rPr>
                <w:b/>
                <w:sz w:val="24"/>
                <w:szCs w:val="24"/>
              </w:rPr>
              <w:t>Department</w:t>
            </w:r>
          </w:p>
        </w:tc>
        <w:tc>
          <w:tcPr>
            <w:tcW w:w="6213" w:type="dxa"/>
            <w:tcBorders>
              <w:left w:val="single" w:sz="12" w:space="0" w:color="auto"/>
            </w:tcBorders>
          </w:tcPr>
          <w:p w:rsidR="00630D81" w:rsidRPr="003F155F" w:rsidRDefault="00630D81" w:rsidP="00630D81">
            <w:pPr>
              <w:rPr>
                <w:sz w:val="24"/>
                <w:szCs w:val="24"/>
              </w:rPr>
            </w:pPr>
            <w:r w:rsidRPr="003F155F">
              <w:rPr>
                <w:sz w:val="24"/>
                <w:szCs w:val="24"/>
              </w:rPr>
              <w:t>Environment and Energy</w:t>
            </w:r>
          </w:p>
        </w:tc>
      </w:tr>
      <w:tr w:rsidR="00630D81" w:rsidRPr="00681B17" w:rsidTr="00630D81">
        <w:tc>
          <w:tcPr>
            <w:tcW w:w="2859" w:type="dxa"/>
            <w:tcBorders>
              <w:bottom w:val="single" w:sz="12" w:space="0" w:color="auto"/>
              <w:right w:val="single" w:sz="12" w:space="0" w:color="auto"/>
            </w:tcBorders>
          </w:tcPr>
          <w:p w:rsidR="00630D81" w:rsidRPr="003F155F" w:rsidRDefault="00630D81" w:rsidP="00630D81">
            <w:pPr>
              <w:rPr>
                <w:b/>
                <w:sz w:val="24"/>
                <w:szCs w:val="24"/>
              </w:rPr>
            </w:pPr>
            <w:r w:rsidRPr="003F155F">
              <w:rPr>
                <w:b/>
                <w:sz w:val="24"/>
                <w:szCs w:val="24"/>
              </w:rPr>
              <w:t>Scrutiny principle</w:t>
            </w:r>
          </w:p>
        </w:tc>
        <w:tc>
          <w:tcPr>
            <w:tcW w:w="6213" w:type="dxa"/>
            <w:tcBorders>
              <w:left w:val="single" w:sz="12" w:space="0" w:color="auto"/>
              <w:bottom w:val="single" w:sz="12" w:space="0" w:color="auto"/>
            </w:tcBorders>
          </w:tcPr>
          <w:p w:rsidR="00630D81" w:rsidRPr="003F155F" w:rsidRDefault="00630D81" w:rsidP="00630D81">
            <w:pPr>
              <w:rPr>
                <w:sz w:val="24"/>
                <w:szCs w:val="24"/>
              </w:rPr>
            </w:pPr>
            <w:r w:rsidRPr="003F155F">
              <w:rPr>
                <w:sz w:val="24"/>
                <w:szCs w:val="24"/>
              </w:rPr>
              <w:t>Standing Order 23(3)(a)</w:t>
            </w:r>
          </w:p>
        </w:tc>
      </w:tr>
    </w:tbl>
    <w:p w:rsidR="00630D81" w:rsidRDefault="00630D81" w:rsidP="00630D81">
      <w:pPr>
        <w:rPr>
          <w:b/>
        </w:rPr>
      </w:pPr>
    </w:p>
    <w:p w:rsidR="00630D81" w:rsidRPr="00681B17" w:rsidRDefault="00630D81" w:rsidP="00630D81">
      <w:pPr>
        <w:rPr>
          <w:b/>
        </w:rPr>
      </w:pPr>
      <w:r w:rsidRPr="00681B17">
        <w:rPr>
          <w:b/>
        </w:rPr>
        <w:t>Access to incorporated documents</w:t>
      </w:r>
    </w:p>
    <w:p w:rsidR="00630D81" w:rsidRPr="00681B17" w:rsidRDefault="00630D81" w:rsidP="00630D81">
      <w:r w:rsidRPr="00681B17">
        <w:t>Section 14 of the</w:t>
      </w:r>
      <w:r w:rsidRPr="00681B17">
        <w:rPr>
          <w:i/>
        </w:rPr>
        <w:t xml:space="preserve"> Legislation Act 2003</w:t>
      </w:r>
      <w:r w:rsidRPr="00681B17">
        <w:t xml:space="preserve"> allows legislative instruments to make provision in relation to matters by incorporating Acts and disallowable legislative instruments,</w:t>
      </w:r>
      <w:r>
        <w:t xml:space="preserve"> either</w:t>
      </w:r>
      <w:r w:rsidRPr="00681B17">
        <w:t xml:space="preserve"> as in force at a particular time or as in force from time to time. Other documents may only be incorporated as in force at the commencement of a legislative instrument, unless authorising or other legislation alters the operation of section 14.</w:t>
      </w:r>
    </w:p>
    <w:p w:rsidR="00630D81" w:rsidRPr="009436FF" w:rsidRDefault="00630D81" w:rsidP="00630D81">
      <w:r w:rsidRPr="00681B17">
        <w:t>Para</w:t>
      </w:r>
      <w:r w:rsidRPr="009436FF">
        <w:t xml:space="preserve">graph 15J(2)(c) of the </w:t>
      </w:r>
      <w:r w:rsidRPr="009436FF">
        <w:rPr>
          <w:i/>
        </w:rPr>
        <w:t xml:space="preserve">Legislation Act 2003 </w:t>
      </w:r>
      <w:r w:rsidRPr="009436FF">
        <w:t>requires the ES for a legislative instrument that incorporates a document to contain a description of that document and indicate how it may be obtained.</w:t>
      </w:r>
    </w:p>
    <w:p w:rsidR="00630D81" w:rsidRPr="00681B17" w:rsidRDefault="00630D81" w:rsidP="00630D81">
      <w:r w:rsidRPr="009436FF">
        <w:t>The committee's expectations where a legislative instrument incorporate</w:t>
      </w:r>
      <w:r>
        <w:t xml:space="preserve">s a document </w:t>
      </w:r>
      <w:r w:rsidRPr="00681B17">
        <w:t xml:space="preserve">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w:t>
      </w:r>
      <w:r w:rsidRPr="00681B17">
        <w:lastRenderedPageBreak/>
        <w:t xml:space="preserve">because persons interested in or affected by the law may have inadequate access to its terms. </w:t>
      </w:r>
    </w:p>
    <w:p w:rsidR="00630D81" w:rsidRPr="00681B17" w:rsidRDefault="00630D81" w:rsidP="00630D81">
      <w:r w:rsidRPr="00681B17">
        <w:t xml:space="preserve">With reference to the above, the committee notes that section 4 of the </w:t>
      </w:r>
      <w:r>
        <w:t xml:space="preserve">determinations </w:t>
      </w:r>
      <w:r w:rsidRPr="00681B17">
        <w:t>incorporate</w:t>
      </w:r>
      <w:r>
        <w:t>,</w:t>
      </w:r>
      <w:r w:rsidRPr="00681B17">
        <w:t xml:space="preserve"> as in force at the commencement of the determination</w:t>
      </w:r>
      <w:r>
        <w:t>s</w:t>
      </w:r>
      <w:r w:rsidRPr="00681B17">
        <w:t>, the document Method of Measurement for Lettable Area</w:t>
      </w:r>
      <w:r>
        <w:t xml:space="preserve"> (the measurement method)</w:t>
      </w:r>
      <w:r w:rsidRPr="00681B17">
        <w:t>. A note to section 4 states:</w:t>
      </w:r>
    </w:p>
    <w:p w:rsidR="00630D81" w:rsidRPr="00681B17" w:rsidRDefault="00630D81" w:rsidP="00630D81">
      <w:pPr>
        <w:pStyle w:val="Quote"/>
      </w:pPr>
      <w:r w:rsidRPr="00681B17">
        <w:t xml:space="preserve">The document </w:t>
      </w:r>
      <w:r w:rsidRPr="00681B17">
        <w:rPr>
          <w:i/>
        </w:rPr>
        <w:t>Method of Measurement for Lettable Area</w:t>
      </w:r>
      <w:r>
        <w:t xml:space="preserve"> is available </w:t>
      </w:r>
      <w:r w:rsidRPr="00681B17">
        <w:t>from the Property Council of Australia Limited’s website at http://www.propertyoz.com.au.</w:t>
      </w:r>
    </w:p>
    <w:p w:rsidR="00630D81" w:rsidRPr="00681B17" w:rsidRDefault="00630D81" w:rsidP="00630D81">
      <w:r w:rsidRPr="00681B17">
        <w:t xml:space="preserve">However, the committee notes that </w:t>
      </w:r>
      <w:r>
        <w:t xml:space="preserve">the measurement method is only </w:t>
      </w:r>
      <w:r w:rsidRPr="00681B17">
        <w:t xml:space="preserve">available </w:t>
      </w:r>
      <w:r>
        <w:t xml:space="preserve">for a fee of </w:t>
      </w:r>
      <w:r w:rsidRPr="00681B17">
        <w:t xml:space="preserve">$210 from the Property Council of Australia Limited, </w:t>
      </w:r>
      <w:r>
        <w:t xml:space="preserve">and </w:t>
      </w:r>
      <w:r w:rsidRPr="00681B17">
        <w:t>the ES</w:t>
      </w:r>
      <w:r>
        <w:t>s</w:t>
      </w:r>
      <w:r w:rsidRPr="00681B17">
        <w:t xml:space="preserve"> do not </w:t>
      </w:r>
      <w:r>
        <w:t xml:space="preserve">provide any </w:t>
      </w:r>
      <w:r w:rsidRPr="00681B17">
        <w:t xml:space="preserve">information as to whether the </w:t>
      </w:r>
      <w:r>
        <w:t xml:space="preserve">measurement method </w:t>
      </w:r>
      <w:r w:rsidRPr="00681B17">
        <w:t>is otherwise free</w:t>
      </w:r>
      <w:r>
        <w:t>ly available</w:t>
      </w:r>
      <w:r w:rsidRPr="00681B17">
        <w:t>.</w:t>
      </w:r>
    </w:p>
    <w:p w:rsidR="00630D81" w:rsidRDefault="00630D81" w:rsidP="00630D81">
      <w:pPr>
        <w:rPr>
          <w:b/>
        </w:rPr>
      </w:pPr>
      <w:r w:rsidRPr="00681B17">
        <w:rPr>
          <w:b/>
        </w:rPr>
        <w:t xml:space="preserve">The committee requests the advice of the minister </w:t>
      </w:r>
      <w:r>
        <w:rPr>
          <w:b/>
        </w:rPr>
        <w:t xml:space="preserve">in relation to </w:t>
      </w:r>
      <w:r w:rsidRPr="00681B17">
        <w:rPr>
          <w:b/>
        </w:rPr>
        <w:t>this matter.</w:t>
      </w:r>
    </w:p>
    <w:p w:rsidR="00630D81" w:rsidRDefault="00630D81" w:rsidP="00630D81">
      <w:pPr>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2875FC">
              <w:rPr>
                <w:noProof/>
                <w:sz w:val="24"/>
                <w:szCs w:val="24"/>
              </w:rPr>
              <w:t>Charter of the United Nations (Sanctions—Iran) (Export Sanctioned Goods) List Determination 2016 [F2016L01208]</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Determines what goods are export sanctioned g</w:t>
            </w:r>
            <w:r>
              <w:rPr>
                <w:noProof/>
                <w:sz w:val="24"/>
                <w:szCs w:val="24"/>
              </w:rPr>
              <w:t>oods for the purposes of the C</w:t>
            </w:r>
            <w:r w:rsidRPr="00015907">
              <w:rPr>
                <w:noProof/>
                <w:sz w:val="24"/>
                <w:szCs w:val="24"/>
              </w:rPr>
              <w:t>harter of the United Nations</w:t>
            </w:r>
            <w:r>
              <w:rPr>
                <w:noProof/>
                <w:sz w:val="24"/>
                <w:szCs w:val="24"/>
              </w:rPr>
              <w:br/>
            </w:r>
            <w:r w:rsidRPr="00015907">
              <w:rPr>
                <w:noProof/>
                <w:sz w:val="24"/>
                <w:szCs w:val="24"/>
              </w:rPr>
              <w:t>(Sanctions —Iran) Regulation 2016</w:t>
            </w:r>
            <w:r>
              <w:rPr>
                <w:noProof/>
                <w:sz w:val="24"/>
                <w:szCs w:val="24"/>
              </w:rPr>
              <w:t xml:space="preserve"> [</w:t>
            </w:r>
            <w:r w:rsidRPr="002F743C">
              <w:rPr>
                <w:noProof/>
                <w:sz w:val="24"/>
                <w:szCs w:val="24"/>
              </w:rPr>
              <w:t>F2016L01181</w:t>
            </w:r>
            <w:r>
              <w:rPr>
                <w:noProof/>
                <w:sz w:val="24"/>
                <w:szCs w:val="24"/>
              </w:rPr>
              <w:t>]</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015907" w:rsidRDefault="00630D81" w:rsidP="00630D81">
            <w:pPr>
              <w:rPr>
                <w:sz w:val="24"/>
                <w:szCs w:val="24"/>
              </w:rPr>
            </w:pPr>
            <w:r w:rsidRPr="00015907">
              <w:rPr>
                <w:noProof/>
                <w:sz w:val="24"/>
                <w:szCs w:val="24"/>
              </w:rPr>
              <w:t>Charter of the United Nati</w:t>
            </w:r>
            <w:r>
              <w:rPr>
                <w:noProof/>
                <w:sz w:val="24"/>
                <w:szCs w:val="24"/>
              </w:rPr>
              <w:t>ons (Sanctions—Iran) Regulation </w:t>
            </w:r>
            <w:r w:rsidRPr="00015907">
              <w:rPr>
                <w:noProof/>
                <w:sz w:val="24"/>
                <w:szCs w:val="24"/>
              </w:rPr>
              <w:t>2016</w:t>
            </w:r>
            <w:r>
              <w:rPr>
                <w:noProof/>
                <w:sz w:val="24"/>
                <w:szCs w:val="24"/>
              </w:rPr>
              <w:t xml:space="preserve"> [</w:t>
            </w:r>
            <w:r w:rsidRPr="002F743C">
              <w:rPr>
                <w:noProof/>
                <w:sz w:val="24"/>
                <w:szCs w:val="24"/>
              </w:rPr>
              <w:t>F2016L01181</w:t>
            </w:r>
            <w:r>
              <w:rPr>
                <w:noProof/>
                <w:sz w:val="24"/>
                <w:szCs w:val="24"/>
              </w:rPr>
              <w:t>]</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Foreign Affairs and Trade</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2875FC">
              <w:rPr>
                <w:noProof/>
                <w:sz w:val="24"/>
                <w:szCs w:val="24"/>
              </w:rPr>
              <w:t>(a)</w:t>
            </w:r>
          </w:p>
        </w:tc>
      </w:tr>
    </w:tbl>
    <w:p w:rsidR="00630D81" w:rsidRDefault="00630D81" w:rsidP="00630D81"/>
    <w:p w:rsidR="00630D81" w:rsidRDefault="00630D81" w:rsidP="00630D81">
      <w:pPr>
        <w:rPr>
          <w:b/>
          <w:noProof/>
        </w:rPr>
      </w:pPr>
      <w:r w:rsidRPr="002875FC">
        <w:rPr>
          <w:b/>
          <w:noProof/>
        </w:rPr>
        <w:t>Incorporation of documents</w:t>
      </w:r>
    </w:p>
    <w:p w:rsidR="00630D81" w:rsidRPr="00015907" w:rsidRDefault="00630D81" w:rsidP="00630D81">
      <w:pPr>
        <w:rPr>
          <w:noProof/>
        </w:rPr>
      </w:pPr>
      <w:r w:rsidRPr="00015907">
        <w:rPr>
          <w:noProof/>
        </w:rPr>
        <w:t xml:space="preserve">Section 14 of the </w:t>
      </w:r>
      <w:r w:rsidRPr="00015907">
        <w:rPr>
          <w:i/>
          <w:noProof/>
        </w:rPr>
        <w:t xml:space="preserve">Legislation Act 2003 </w:t>
      </w:r>
      <w:r w:rsidRPr="00015907">
        <w:rPr>
          <w:noProof/>
        </w:rPr>
        <w:t>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630D81" w:rsidRPr="00015907" w:rsidRDefault="00630D81" w:rsidP="00630D81">
      <w:pPr>
        <w:rPr>
          <w:noProof/>
        </w:rPr>
      </w:pPr>
      <w:r w:rsidRPr="00015907">
        <w:rPr>
          <w:noProof/>
        </w:rPr>
        <w:t>With reference to the above t</w:t>
      </w:r>
      <w:r>
        <w:rPr>
          <w:noProof/>
        </w:rPr>
        <w:t>he committee notes that section</w:t>
      </w:r>
      <w:r w:rsidRPr="00015907">
        <w:rPr>
          <w:noProof/>
        </w:rPr>
        <w:t xml:space="preserve"> 3 </w:t>
      </w:r>
      <w:r>
        <w:rPr>
          <w:noProof/>
        </w:rPr>
        <w:t>o</w:t>
      </w:r>
      <w:r w:rsidRPr="00015907">
        <w:rPr>
          <w:noProof/>
        </w:rPr>
        <w:t>f the d</w:t>
      </w:r>
      <w:r>
        <w:rPr>
          <w:noProof/>
        </w:rPr>
        <w:t xml:space="preserve">etermination </w:t>
      </w:r>
      <w:r w:rsidRPr="00015907">
        <w:rPr>
          <w:noProof/>
        </w:rPr>
        <w:t>incorporate</w:t>
      </w:r>
      <w:r>
        <w:rPr>
          <w:noProof/>
        </w:rPr>
        <w:t xml:space="preserve">s </w:t>
      </w:r>
      <w:r w:rsidRPr="00015907">
        <w:rPr>
          <w:noProof/>
        </w:rPr>
        <w:t xml:space="preserve"> </w:t>
      </w:r>
      <w:r w:rsidRPr="006F0D47">
        <w:rPr>
          <w:noProof/>
        </w:rPr>
        <w:t>ISO 230</w:t>
      </w:r>
      <w:r w:rsidRPr="007433E9">
        <w:rPr>
          <w:rFonts w:ascii="MS Mincho" w:eastAsia="MS Mincho" w:hAnsi="MS Mincho" w:cs="MS Mincho" w:hint="eastAsia"/>
        </w:rPr>
        <w:t>‑</w:t>
      </w:r>
      <w:r w:rsidRPr="006F0D47">
        <w:rPr>
          <w:noProof/>
        </w:rPr>
        <w:t xml:space="preserve">2: 1988, </w:t>
      </w:r>
      <w:r w:rsidRPr="006F0D47">
        <w:rPr>
          <w:i/>
          <w:noProof/>
        </w:rPr>
        <w:t>Acceptance code for machine tools – Part 2: Determination of accuracy and repeatability of positioning of numer</w:t>
      </w:r>
      <w:r>
        <w:rPr>
          <w:i/>
          <w:noProof/>
        </w:rPr>
        <w:t xml:space="preserve">ically controlled </w:t>
      </w:r>
      <w:r>
        <w:rPr>
          <w:i/>
          <w:noProof/>
        </w:rPr>
        <w:lastRenderedPageBreak/>
        <w:t>machine tools</w:t>
      </w:r>
      <w:r>
        <w:t xml:space="preserve"> (ISO 230-2:1998)</w:t>
      </w:r>
      <w:r>
        <w:rPr>
          <w:i/>
          <w:noProof/>
        </w:rPr>
        <w:t xml:space="preserve"> </w:t>
      </w:r>
      <w:r>
        <w:rPr>
          <w:noProof/>
        </w:rPr>
        <w:t xml:space="preserve">and </w:t>
      </w:r>
      <w:r w:rsidRPr="006F0D47">
        <w:rPr>
          <w:noProof/>
        </w:rPr>
        <w:t>IEEE standard 528</w:t>
      </w:r>
      <w:r w:rsidRPr="006F0D47">
        <w:rPr>
          <w:rFonts w:ascii="MS Mincho" w:eastAsia="MS Mincho" w:hAnsi="MS Mincho" w:cs="MS Mincho" w:hint="eastAsia"/>
          <w:noProof/>
        </w:rPr>
        <w:t>‑</w:t>
      </w:r>
      <w:r w:rsidRPr="006F0D47">
        <w:rPr>
          <w:noProof/>
        </w:rPr>
        <w:t>2001.</w:t>
      </w:r>
      <w:r w:rsidRPr="00015907">
        <w:rPr>
          <w:noProof/>
        </w:rPr>
        <w:t xml:space="preserve"> However, neither the text of the </w:t>
      </w:r>
      <w:r>
        <w:rPr>
          <w:noProof/>
        </w:rPr>
        <w:t>determination</w:t>
      </w:r>
      <w:r w:rsidRPr="00015907">
        <w:rPr>
          <w:noProof/>
        </w:rPr>
        <w:t xml:space="preserve"> nor the ES expressly states the manner in which </w:t>
      </w:r>
      <w:r>
        <w:rPr>
          <w:noProof/>
        </w:rPr>
        <w:t>these documents are</w:t>
      </w:r>
      <w:r w:rsidRPr="00015907">
        <w:rPr>
          <w:noProof/>
        </w:rPr>
        <w:t xml:space="preserve"> incorporated.</w:t>
      </w:r>
    </w:p>
    <w:p w:rsidR="00630D81" w:rsidRPr="00015907" w:rsidRDefault="00630D81" w:rsidP="00630D81">
      <w:pPr>
        <w:rPr>
          <w:noProof/>
        </w:rPr>
      </w:pPr>
      <w:r w:rsidRPr="00015907">
        <w:rPr>
          <w:noProof/>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630D81" w:rsidRDefault="00630D81" w:rsidP="00630D81">
      <w:pPr>
        <w:rPr>
          <w:b/>
          <w:noProof/>
        </w:rPr>
      </w:pPr>
      <w:r w:rsidRPr="00015907">
        <w:rPr>
          <w:b/>
          <w:noProof/>
        </w:rPr>
        <w:t>The committee requests the advice of the minister in relation to this matter.</w:t>
      </w:r>
    </w:p>
    <w:p w:rsidR="00630D81" w:rsidRDefault="00630D81" w:rsidP="00630D81">
      <w:pPr>
        <w:rPr>
          <w:b/>
          <w:noProof/>
        </w:rPr>
      </w:pPr>
    </w:p>
    <w:p w:rsidR="00630D81" w:rsidRPr="006F0D47" w:rsidRDefault="00630D81" w:rsidP="00630D81">
      <w:pPr>
        <w:rPr>
          <w:b/>
          <w:noProof/>
        </w:rPr>
      </w:pPr>
      <w:r>
        <w:rPr>
          <w:b/>
          <w:noProof/>
        </w:rPr>
        <w:t>Description of and a</w:t>
      </w:r>
      <w:r w:rsidRPr="006F0D47">
        <w:rPr>
          <w:b/>
          <w:noProof/>
        </w:rPr>
        <w:t>ccess to incorporated documents</w:t>
      </w:r>
    </w:p>
    <w:p w:rsidR="00630D81" w:rsidRPr="006F0D47" w:rsidRDefault="00630D81" w:rsidP="00630D81">
      <w:r w:rsidRPr="006F0D47">
        <w:t xml:space="preserve">Paragraph 15J(2)(c) of the </w:t>
      </w:r>
      <w:r w:rsidRPr="006F0D47">
        <w:rPr>
          <w:i/>
        </w:rPr>
        <w:t xml:space="preserve">Legislation Act 2003 </w:t>
      </w:r>
      <w:r w:rsidRPr="006F0D47">
        <w:t>requires the ES for a legislative instrument that incorporates a document to contain a description of that document and indicate how it may be obtained.</w:t>
      </w:r>
    </w:p>
    <w:p w:rsidR="00630D81" w:rsidRPr="006F0D47" w:rsidRDefault="00630D81" w:rsidP="00630D81">
      <w:r w:rsidRPr="006F0D47">
        <w:t>The committee's expectations</w:t>
      </w:r>
      <w:r w:rsidRPr="004D233D">
        <w:t xml:space="preserve"> where a legislative instrument incorporates a document</w:t>
      </w:r>
      <w:r w:rsidRPr="006F0D47">
        <w:t xml:space="preserve"> 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630D81" w:rsidRPr="006F0D47" w:rsidRDefault="00630D81" w:rsidP="00630D81">
      <w:r w:rsidRPr="006F0D47">
        <w:t>With reference to the above, the committee notes that section</w:t>
      </w:r>
      <w:r>
        <w:t xml:space="preserve"> 3 o</w:t>
      </w:r>
      <w:r w:rsidRPr="006F0D47">
        <w:t xml:space="preserve">f the </w:t>
      </w:r>
      <w:r>
        <w:t xml:space="preserve">determination </w:t>
      </w:r>
      <w:r w:rsidRPr="006F0D47">
        <w:t>incorporate</w:t>
      </w:r>
      <w:r>
        <w:t>s</w:t>
      </w:r>
      <w:r w:rsidRPr="006F0D47">
        <w:t xml:space="preserve"> ISO 230-2:1998 and IEEE standard 528</w:t>
      </w:r>
      <w:r w:rsidRPr="006F0D47">
        <w:rPr>
          <w:rFonts w:ascii="MS Mincho" w:eastAsia="MS Mincho" w:hAnsi="MS Mincho" w:cs="MS Mincho" w:hint="eastAsia"/>
        </w:rPr>
        <w:t>‑</w:t>
      </w:r>
      <w:r w:rsidRPr="006F0D47">
        <w:t xml:space="preserve">2001. However, neither the text of the </w:t>
      </w:r>
      <w:r>
        <w:t xml:space="preserve">determination </w:t>
      </w:r>
      <w:r w:rsidRPr="006F0D47">
        <w:t>nor the ES provides a description of</w:t>
      </w:r>
      <w:r w:rsidRPr="001E0E8A">
        <w:t xml:space="preserve"> ISO 230-2:1998 and IEEE standard 528</w:t>
      </w:r>
      <w:r w:rsidRPr="001E0E8A">
        <w:rPr>
          <w:rFonts w:ascii="MS Mincho" w:eastAsia="MS Mincho" w:hAnsi="MS Mincho" w:cs="MS Mincho" w:hint="eastAsia"/>
        </w:rPr>
        <w:t>‑</w:t>
      </w:r>
      <w:r w:rsidRPr="001E0E8A">
        <w:t>2001</w:t>
      </w:r>
      <w:r>
        <w:t xml:space="preserve"> or indicates how they</w:t>
      </w:r>
      <w:r w:rsidRPr="006F0D47">
        <w:t xml:space="preserve"> may be freely obtained. </w:t>
      </w:r>
    </w:p>
    <w:p w:rsidR="00630D81" w:rsidRDefault="00630D81" w:rsidP="00630D81">
      <w:pPr>
        <w:rPr>
          <w:b/>
          <w:szCs w:val="26"/>
        </w:rPr>
      </w:pPr>
      <w:r w:rsidRPr="006F0D47">
        <w:rPr>
          <w:b/>
          <w:szCs w:val="26"/>
        </w:rPr>
        <w:t>The committee requests the advice of the minister in relation to this matter.</w:t>
      </w:r>
    </w:p>
    <w:p w:rsidR="00630D81" w:rsidRDefault="00630D81" w:rsidP="00630D81">
      <w:pPr>
        <w:rPr>
          <w:b/>
          <w:szCs w:val="26"/>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Cs w:val="26"/>
              </w:rPr>
              <w:br w:type="page"/>
            </w: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2875FC">
              <w:rPr>
                <w:noProof/>
                <w:sz w:val="24"/>
                <w:szCs w:val="24"/>
              </w:rPr>
              <w:t>Charter of the United Nations (UN Sanction Enforcement Law) Amendment Declaration 2016 (No. 1) [F2016L01209]</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M</w:t>
            </w:r>
            <w:r w:rsidRPr="006F0D47">
              <w:rPr>
                <w:noProof/>
                <w:sz w:val="24"/>
                <w:szCs w:val="24"/>
              </w:rPr>
              <w:t>ake</w:t>
            </w:r>
            <w:r>
              <w:rPr>
                <w:noProof/>
                <w:sz w:val="24"/>
                <w:szCs w:val="24"/>
              </w:rPr>
              <w:t>s</w:t>
            </w:r>
            <w:r w:rsidRPr="006F0D47">
              <w:rPr>
                <w:noProof/>
                <w:sz w:val="24"/>
                <w:szCs w:val="24"/>
              </w:rPr>
              <w:t xml:space="preserve"> a consequential amendment to the Charter of the United Nations (UN Sanction Enforcement Law) Declaration 2008 to reflect the making of the Charter of the United Nations (Sanctions – Iran) Regulation 2016</w:t>
            </w:r>
            <w:r>
              <w:rPr>
                <w:noProof/>
                <w:sz w:val="24"/>
                <w:szCs w:val="24"/>
              </w:rPr>
              <w:t xml:space="preserve"> [</w:t>
            </w:r>
            <w:r w:rsidRPr="002F743C">
              <w:rPr>
                <w:noProof/>
                <w:sz w:val="24"/>
                <w:szCs w:val="24"/>
              </w:rPr>
              <w:t>F2016L01181</w:t>
            </w:r>
            <w:r>
              <w:rPr>
                <w:noProof/>
                <w:sz w:val="24"/>
                <w:szCs w:val="24"/>
              </w:rPr>
              <w:t>]</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lastRenderedPageBreak/>
              <w:t>Authorising legislation</w:t>
            </w:r>
          </w:p>
        </w:tc>
        <w:tc>
          <w:tcPr>
            <w:tcW w:w="6378" w:type="dxa"/>
            <w:tcBorders>
              <w:left w:val="single" w:sz="12" w:space="0" w:color="auto"/>
            </w:tcBorders>
          </w:tcPr>
          <w:p w:rsidR="00630D81" w:rsidRPr="00932D1C" w:rsidRDefault="00630D81" w:rsidP="00630D81">
            <w:pPr>
              <w:rPr>
                <w:i/>
                <w:sz w:val="24"/>
                <w:szCs w:val="24"/>
              </w:rPr>
            </w:pPr>
            <w:r w:rsidRPr="002875FC">
              <w:rPr>
                <w:i/>
                <w:noProof/>
                <w:sz w:val="24"/>
                <w:szCs w:val="24"/>
              </w:rPr>
              <w:t>Charter of the United Nations Act 1945</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Foreign Affairs and Trade</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2875FC">
              <w:rPr>
                <w:noProof/>
                <w:sz w:val="24"/>
                <w:szCs w:val="24"/>
              </w:rPr>
              <w:t>(a)</w:t>
            </w:r>
          </w:p>
        </w:tc>
      </w:tr>
    </w:tbl>
    <w:p w:rsidR="00630D81" w:rsidRDefault="00630D81" w:rsidP="00630D81"/>
    <w:p w:rsidR="00630D81" w:rsidRDefault="00630D81" w:rsidP="00630D81">
      <w:pPr>
        <w:rPr>
          <w:b/>
          <w:noProof/>
        </w:rPr>
      </w:pPr>
      <w:r w:rsidRPr="002875FC">
        <w:rPr>
          <w:b/>
          <w:noProof/>
        </w:rPr>
        <w:t>Drafting</w:t>
      </w:r>
    </w:p>
    <w:p w:rsidR="00630D81" w:rsidRDefault="00630D81" w:rsidP="00630D81">
      <w:r>
        <w:rPr>
          <w:noProof/>
        </w:rPr>
        <w:t xml:space="preserve">The </w:t>
      </w:r>
      <w:r w:rsidRPr="006F0D47">
        <w:rPr>
          <w:noProof/>
        </w:rPr>
        <w:t>Charter of the United Nations (UN Sanction Enforcement Law) Amendment Declaration 2016 (No. 1) [F2016L01209]</w:t>
      </w:r>
      <w:r>
        <w:rPr>
          <w:noProof/>
        </w:rPr>
        <w:t xml:space="preserve"> (the amendment declaration) amends the </w:t>
      </w:r>
      <w:r w:rsidRPr="0099780F">
        <w:rPr>
          <w:noProof/>
        </w:rPr>
        <w:t>Charter of the United Nations (UN Sanction Enforcement Law) Declaration 2008</w:t>
      </w:r>
      <w:r>
        <w:rPr>
          <w:noProof/>
        </w:rPr>
        <w:t xml:space="preserve"> [F2016C00782] (the principal declaration)</w:t>
      </w:r>
      <w:r w:rsidRPr="0099780F">
        <w:t xml:space="preserve"> to reflect the making of the Charter of the United Nations (Sanctions – Iran) Regulation 2016</w:t>
      </w:r>
      <w:r>
        <w:t xml:space="preserve"> [F2016L01181]</w:t>
      </w:r>
      <w:r w:rsidRPr="0099780F">
        <w:t>.</w:t>
      </w:r>
    </w:p>
    <w:p w:rsidR="00630D81" w:rsidRDefault="00630D81" w:rsidP="00630D81">
      <w:r>
        <w:t>The amendment declaration replaces</w:t>
      </w:r>
      <w:r w:rsidRPr="00333041">
        <w:t xml:space="preserve"> Schedule 1 </w:t>
      </w:r>
      <w:r>
        <w:t xml:space="preserve">of the principal declaration and </w:t>
      </w:r>
      <w:r w:rsidRPr="00333041">
        <w:t>specifies the provisions of Commonwealth laws that are UN sanction e</w:t>
      </w:r>
      <w:r>
        <w:t xml:space="preserve">nforcement laws pursuant to the </w:t>
      </w:r>
      <w:r>
        <w:rPr>
          <w:i/>
        </w:rPr>
        <w:t>Charter of the United Nations Act 1945</w:t>
      </w:r>
      <w:r>
        <w:t>. However, the committee notes that the following regulations declared in replacement Schedule 1 to be UN sanction enforcement laws no longer exist:</w:t>
      </w:r>
    </w:p>
    <w:p w:rsidR="00630D81" w:rsidRDefault="00630D81" w:rsidP="00630D81">
      <w:pPr>
        <w:pStyle w:val="Bullet1"/>
        <w:spacing w:before="120" w:after="120"/>
      </w:pPr>
      <w:r w:rsidRPr="0099780F">
        <w:t>Schedule 1, Item 4, regulation 11 of Charter of the United Nations (</w:t>
      </w:r>
      <w:r>
        <w:t>Sanctions </w:t>
      </w:r>
      <w:r w:rsidRPr="0099780F">
        <w:t>— Côte d’Ivoire) Regulations 2008</w:t>
      </w:r>
      <w:r>
        <w:t>; and</w:t>
      </w:r>
    </w:p>
    <w:p w:rsidR="00630D81" w:rsidRDefault="00630D81" w:rsidP="00630D81">
      <w:pPr>
        <w:pStyle w:val="Bullet1"/>
        <w:spacing w:before="120" w:after="120"/>
      </w:pPr>
      <w:r>
        <w:t>S</w:t>
      </w:r>
      <w:r w:rsidRPr="0099780F">
        <w:t>chedule 1, Item 19, regulation 4N of Customs (Prohibited Imports) Re</w:t>
      </w:r>
      <w:r>
        <w:t>gulations 1956.</w:t>
      </w:r>
    </w:p>
    <w:p w:rsidR="00630D81" w:rsidRDefault="00630D81" w:rsidP="00630D81">
      <w:pPr>
        <w:pStyle w:val="Bullet1"/>
        <w:numPr>
          <w:ilvl w:val="0"/>
          <w:numId w:val="0"/>
        </w:numPr>
        <w:spacing w:before="120"/>
      </w:pPr>
      <w:r>
        <w:t>It is unclear to the committee why these regulations have been included in the amendment declaration.</w:t>
      </w:r>
    </w:p>
    <w:p w:rsidR="00630D81" w:rsidRDefault="00630D81" w:rsidP="00630D81">
      <w:pPr>
        <w:pStyle w:val="Bullet1"/>
        <w:numPr>
          <w:ilvl w:val="0"/>
          <w:numId w:val="0"/>
        </w:numPr>
        <w:spacing w:before="120"/>
        <w:rPr>
          <w:b/>
        </w:rPr>
      </w:pPr>
      <w:r w:rsidRPr="00E87B83">
        <w:rPr>
          <w:b/>
        </w:rPr>
        <w:t>The committee requests the advice of the minister in relation to this matter.</w:t>
      </w:r>
    </w:p>
    <w:p w:rsidR="00630D81" w:rsidRDefault="00630D81" w:rsidP="00630D81">
      <w:pPr>
        <w:pStyle w:val="Bullet1"/>
        <w:numPr>
          <w:ilvl w:val="0"/>
          <w:numId w:val="0"/>
        </w:numPr>
        <w:spacing w:before="120"/>
        <w:rPr>
          <w:b/>
        </w:rPr>
      </w:pPr>
    </w:p>
    <w:tbl>
      <w:tblPr>
        <w:tblW w:w="0" w:type="auto"/>
        <w:tblInd w:w="108" w:type="dxa"/>
        <w:tblLook w:val="04A0" w:firstRow="1" w:lastRow="0" w:firstColumn="1" w:lastColumn="0" w:noHBand="0" w:noVBand="1"/>
      </w:tblPr>
      <w:tblGrid>
        <w:gridCol w:w="2694"/>
        <w:gridCol w:w="6378"/>
      </w:tblGrid>
      <w:tr w:rsidR="00630D81" w:rsidRPr="00681B17" w:rsidTr="00630D81">
        <w:tc>
          <w:tcPr>
            <w:tcW w:w="2694" w:type="dxa"/>
            <w:tcBorders>
              <w:top w:val="single" w:sz="12" w:space="0" w:color="auto"/>
              <w:right w:val="single" w:sz="12" w:space="0" w:color="auto"/>
            </w:tcBorders>
          </w:tcPr>
          <w:p w:rsidR="00630D81" w:rsidRPr="00970C42" w:rsidRDefault="00630D81" w:rsidP="00630D81">
            <w:pPr>
              <w:rPr>
                <w:b/>
                <w:sz w:val="24"/>
                <w:szCs w:val="24"/>
              </w:rPr>
            </w:pPr>
            <w:r>
              <w:br w:type="page"/>
            </w:r>
            <w:r w:rsidRPr="00970C42">
              <w:rPr>
                <w:b/>
                <w:sz w:val="24"/>
                <w:szCs w:val="24"/>
              </w:rPr>
              <w:t>Instrument</w:t>
            </w:r>
          </w:p>
        </w:tc>
        <w:tc>
          <w:tcPr>
            <w:tcW w:w="6378" w:type="dxa"/>
            <w:tcBorders>
              <w:top w:val="single" w:sz="12" w:space="0" w:color="auto"/>
              <w:left w:val="single" w:sz="12" w:space="0" w:color="auto"/>
            </w:tcBorders>
          </w:tcPr>
          <w:p w:rsidR="00630D81" w:rsidRPr="00CA0FF5" w:rsidRDefault="00630D81" w:rsidP="00630D81">
            <w:pPr>
              <w:pStyle w:val="Heading3"/>
              <w:rPr>
                <w:sz w:val="24"/>
                <w:szCs w:val="24"/>
              </w:rPr>
            </w:pPr>
            <w:r w:rsidRPr="00CA0FF5">
              <w:rPr>
                <w:sz w:val="24"/>
                <w:szCs w:val="24"/>
              </w:rPr>
              <w:t>Comptroller-General of Customs Directions (Use of Force - Norfolk Island) 2016 [F2016L01033]</w:t>
            </w:r>
          </w:p>
        </w:tc>
      </w:tr>
      <w:tr w:rsidR="00630D81" w:rsidRPr="00681B17" w:rsidTr="00630D81">
        <w:tc>
          <w:tcPr>
            <w:tcW w:w="2694" w:type="dxa"/>
            <w:tcBorders>
              <w:right w:val="single" w:sz="12" w:space="0" w:color="auto"/>
            </w:tcBorders>
          </w:tcPr>
          <w:p w:rsidR="00630D81" w:rsidRPr="00970C42" w:rsidRDefault="00630D81" w:rsidP="00630D81">
            <w:pPr>
              <w:rPr>
                <w:b/>
                <w:sz w:val="24"/>
                <w:szCs w:val="24"/>
              </w:rPr>
            </w:pPr>
            <w:r w:rsidRPr="00970C42">
              <w:rPr>
                <w:b/>
                <w:sz w:val="24"/>
                <w:szCs w:val="24"/>
              </w:rPr>
              <w:t>Purpose</w:t>
            </w:r>
          </w:p>
        </w:tc>
        <w:tc>
          <w:tcPr>
            <w:tcW w:w="6378" w:type="dxa"/>
            <w:tcBorders>
              <w:left w:val="single" w:sz="12" w:space="0" w:color="auto"/>
            </w:tcBorders>
          </w:tcPr>
          <w:p w:rsidR="00630D81" w:rsidRPr="00970C42" w:rsidRDefault="00630D81" w:rsidP="00630D81">
            <w:pPr>
              <w:rPr>
                <w:sz w:val="24"/>
                <w:szCs w:val="24"/>
              </w:rPr>
            </w:pPr>
            <w:r w:rsidRPr="00970C42">
              <w:rPr>
                <w:sz w:val="24"/>
                <w:szCs w:val="24"/>
              </w:rPr>
              <w:t>Sets out directions relating to the deployment and use of approved firearms and other approved items of personal defence equipment, and the use of force in the performance of duties, that apply to officers of Customs exercising powers on Norfolk Island</w:t>
            </w:r>
          </w:p>
        </w:tc>
      </w:tr>
      <w:tr w:rsidR="00630D81" w:rsidRPr="00681B17" w:rsidTr="00630D81">
        <w:tc>
          <w:tcPr>
            <w:tcW w:w="2694" w:type="dxa"/>
            <w:tcBorders>
              <w:right w:val="single" w:sz="12" w:space="0" w:color="auto"/>
            </w:tcBorders>
          </w:tcPr>
          <w:p w:rsidR="00630D81" w:rsidRPr="00970C42" w:rsidRDefault="00630D81" w:rsidP="00630D81">
            <w:pPr>
              <w:rPr>
                <w:b/>
                <w:sz w:val="24"/>
                <w:szCs w:val="24"/>
              </w:rPr>
            </w:pPr>
            <w:r w:rsidRPr="00970C42">
              <w:rPr>
                <w:b/>
                <w:sz w:val="24"/>
                <w:szCs w:val="24"/>
              </w:rPr>
              <w:t>Last day to disallow</w:t>
            </w:r>
          </w:p>
        </w:tc>
        <w:tc>
          <w:tcPr>
            <w:tcW w:w="6378" w:type="dxa"/>
            <w:tcBorders>
              <w:left w:val="single" w:sz="12" w:space="0" w:color="auto"/>
            </w:tcBorders>
          </w:tcPr>
          <w:p w:rsidR="00630D81" w:rsidRPr="00970C42" w:rsidRDefault="00630D81" w:rsidP="00630D81">
            <w:pPr>
              <w:rPr>
                <w:sz w:val="24"/>
                <w:szCs w:val="24"/>
              </w:rPr>
            </w:pPr>
            <w:r>
              <w:rPr>
                <w:sz w:val="24"/>
                <w:szCs w:val="24"/>
              </w:rPr>
              <w:t>21 November 2016</w:t>
            </w:r>
          </w:p>
        </w:tc>
      </w:tr>
      <w:tr w:rsidR="00630D81" w:rsidRPr="00681B17" w:rsidTr="00630D81">
        <w:tc>
          <w:tcPr>
            <w:tcW w:w="2694" w:type="dxa"/>
            <w:tcBorders>
              <w:right w:val="single" w:sz="12" w:space="0" w:color="auto"/>
            </w:tcBorders>
          </w:tcPr>
          <w:p w:rsidR="00630D81" w:rsidRPr="00970C42" w:rsidRDefault="00630D81" w:rsidP="00630D81">
            <w:pPr>
              <w:rPr>
                <w:b/>
                <w:sz w:val="24"/>
                <w:szCs w:val="24"/>
              </w:rPr>
            </w:pPr>
            <w:r w:rsidRPr="00970C42">
              <w:rPr>
                <w:b/>
                <w:sz w:val="24"/>
                <w:szCs w:val="24"/>
              </w:rPr>
              <w:t>Authorising legislation</w:t>
            </w:r>
          </w:p>
        </w:tc>
        <w:tc>
          <w:tcPr>
            <w:tcW w:w="6378" w:type="dxa"/>
            <w:tcBorders>
              <w:left w:val="single" w:sz="12" w:space="0" w:color="auto"/>
            </w:tcBorders>
          </w:tcPr>
          <w:p w:rsidR="00630D81" w:rsidRPr="00970C42" w:rsidRDefault="00630D81" w:rsidP="00630D81">
            <w:pPr>
              <w:rPr>
                <w:i/>
                <w:sz w:val="24"/>
                <w:szCs w:val="24"/>
              </w:rPr>
            </w:pPr>
            <w:r w:rsidRPr="00970C42">
              <w:rPr>
                <w:i/>
                <w:sz w:val="24"/>
                <w:szCs w:val="24"/>
              </w:rPr>
              <w:t xml:space="preserve">Customs Act 1901  </w:t>
            </w:r>
          </w:p>
        </w:tc>
      </w:tr>
      <w:tr w:rsidR="00630D81" w:rsidRPr="00681B17" w:rsidTr="00630D81">
        <w:tc>
          <w:tcPr>
            <w:tcW w:w="2694" w:type="dxa"/>
            <w:tcBorders>
              <w:right w:val="single" w:sz="12" w:space="0" w:color="auto"/>
            </w:tcBorders>
          </w:tcPr>
          <w:p w:rsidR="00630D81" w:rsidRPr="00970C42" w:rsidRDefault="00630D81" w:rsidP="00630D81">
            <w:pPr>
              <w:rPr>
                <w:b/>
                <w:sz w:val="24"/>
                <w:szCs w:val="24"/>
              </w:rPr>
            </w:pPr>
            <w:r w:rsidRPr="00970C42">
              <w:rPr>
                <w:b/>
                <w:sz w:val="24"/>
                <w:szCs w:val="24"/>
              </w:rPr>
              <w:t>Department</w:t>
            </w:r>
          </w:p>
        </w:tc>
        <w:tc>
          <w:tcPr>
            <w:tcW w:w="6378" w:type="dxa"/>
            <w:tcBorders>
              <w:left w:val="single" w:sz="12" w:space="0" w:color="auto"/>
            </w:tcBorders>
          </w:tcPr>
          <w:p w:rsidR="00630D81" w:rsidRPr="00970C42" w:rsidRDefault="00630D81" w:rsidP="00630D81">
            <w:pPr>
              <w:rPr>
                <w:sz w:val="24"/>
                <w:szCs w:val="24"/>
              </w:rPr>
            </w:pPr>
            <w:r w:rsidRPr="00970C42">
              <w:rPr>
                <w:sz w:val="24"/>
                <w:szCs w:val="24"/>
              </w:rPr>
              <w:t>Immigration and Border Protection</w:t>
            </w:r>
          </w:p>
        </w:tc>
      </w:tr>
      <w:tr w:rsidR="00630D81" w:rsidRPr="00681B17" w:rsidTr="00630D81">
        <w:tc>
          <w:tcPr>
            <w:tcW w:w="2694" w:type="dxa"/>
            <w:tcBorders>
              <w:bottom w:val="single" w:sz="12" w:space="0" w:color="auto"/>
              <w:right w:val="single" w:sz="12" w:space="0" w:color="auto"/>
            </w:tcBorders>
          </w:tcPr>
          <w:p w:rsidR="00630D81" w:rsidRPr="00970C42" w:rsidRDefault="00630D81" w:rsidP="00630D81">
            <w:pPr>
              <w:rPr>
                <w:b/>
                <w:sz w:val="24"/>
                <w:szCs w:val="24"/>
              </w:rPr>
            </w:pPr>
            <w:r w:rsidRPr="00970C42">
              <w:rPr>
                <w:b/>
                <w:sz w:val="24"/>
                <w:szCs w:val="24"/>
              </w:rPr>
              <w:lastRenderedPageBreak/>
              <w:t>Scrutiny principle</w:t>
            </w:r>
          </w:p>
        </w:tc>
        <w:tc>
          <w:tcPr>
            <w:tcW w:w="6378" w:type="dxa"/>
            <w:tcBorders>
              <w:left w:val="single" w:sz="12" w:space="0" w:color="auto"/>
              <w:bottom w:val="single" w:sz="12" w:space="0" w:color="auto"/>
            </w:tcBorders>
          </w:tcPr>
          <w:p w:rsidR="00630D81" w:rsidRPr="00970C42" w:rsidRDefault="00630D81" w:rsidP="00630D81">
            <w:pPr>
              <w:rPr>
                <w:sz w:val="24"/>
                <w:szCs w:val="24"/>
              </w:rPr>
            </w:pPr>
            <w:r w:rsidRPr="00970C42">
              <w:rPr>
                <w:sz w:val="24"/>
                <w:szCs w:val="24"/>
              </w:rPr>
              <w:t>Standing Order 23(3)(a)</w:t>
            </w:r>
          </w:p>
        </w:tc>
      </w:tr>
    </w:tbl>
    <w:p w:rsidR="00630D81" w:rsidRDefault="00630D81" w:rsidP="00630D81">
      <w:pPr>
        <w:rPr>
          <w:b/>
        </w:rPr>
      </w:pPr>
    </w:p>
    <w:p w:rsidR="00630D81" w:rsidRPr="00223620" w:rsidRDefault="00630D81" w:rsidP="00630D81">
      <w:pPr>
        <w:rPr>
          <w:b/>
        </w:rPr>
      </w:pPr>
      <w:r w:rsidRPr="00223620">
        <w:rPr>
          <w:b/>
        </w:rPr>
        <w:t>Incorporation of documents</w:t>
      </w:r>
    </w:p>
    <w:p w:rsidR="00630D81" w:rsidRPr="00681B17" w:rsidRDefault="00630D81" w:rsidP="00630D81">
      <w:r w:rsidRPr="00223620">
        <w:t>Section 14 of the</w:t>
      </w:r>
      <w:r w:rsidRPr="00223620">
        <w:rPr>
          <w:i/>
        </w:rPr>
        <w:t xml:space="preserve"> Legislation A</w:t>
      </w:r>
      <w:r w:rsidRPr="00681B17">
        <w:rPr>
          <w:i/>
        </w:rPr>
        <w:t>ct 2003</w:t>
      </w:r>
      <w:r w:rsidRPr="00681B17">
        <w:t xml:space="preserve"> allows legislative instruments to make provision in relation to matters by incorporating Acts and disallowable legislative instruments, </w:t>
      </w:r>
      <w:r>
        <w:t xml:space="preserve">either </w:t>
      </w:r>
      <w:r w:rsidRPr="00681B17">
        <w:t>as in force at a particular time or as in force from time to time. Other documents may only be incorporated as in force at the commencement of the legislative instrument, unless authorising or other legislation alters the operation of section 14.</w:t>
      </w:r>
    </w:p>
    <w:p w:rsidR="00630D81" w:rsidRDefault="00630D81" w:rsidP="00630D81">
      <w:r w:rsidRPr="00681B17">
        <w:t xml:space="preserve">With reference to the above the committee notes that sections 3 and 4 of the </w:t>
      </w:r>
      <w:r>
        <w:t xml:space="preserve">directions </w:t>
      </w:r>
      <w:r w:rsidRPr="00681B17">
        <w:t>incorporate Operational Safety Order (2015)</w:t>
      </w:r>
      <w:r>
        <w:t xml:space="preserve"> (the safety order)</w:t>
      </w:r>
      <w:r w:rsidRPr="00681B17">
        <w:t xml:space="preserve">. However, neither the text of the </w:t>
      </w:r>
      <w:r>
        <w:t>directions</w:t>
      </w:r>
      <w:r w:rsidRPr="00681B17">
        <w:t xml:space="preserve"> nor the ES expressly states the manner in which the </w:t>
      </w:r>
      <w:r>
        <w:t>s</w:t>
      </w:r>
      <w:r w:rsidRPr="00681B17">
        <w:t xml:space="preserve">afety </w:t>
      </w:r>
      <w:r>
        <w:t>o</w:t>
      </w:r>
      <w:r w:rsidRPr="00681B17">
        <w:t>rder is incorporated.</w:t>
      </w:r>
    </w:p>
    <w:p w:rsidR="00630D81" w:rsidRDefault="00630D81" w:rsidP="00630D81">
      <w:pPr>
        <w:rPr>
          <w:szCs w:val="26"/>
        </w:rPr>
      </w:pPr>
      <w:r>
        <w:rPr>
          <w:szCs w:val="26"/>
        </w:rPr>
        <w:t>T</w:t>
      </w:r>
      <w:r w:rsidRPr="00C738E1">
        <w:rPr>
          <w:szCs w:val="26"/>
        </w:rPr>
        <w:t xml:space="preserve">he committee expects instruments (and ideally their accompanying ESs) </w:t>
      </w:r>
      <w:r>
        <w:rPr>
          <w:szCs w:val="26"/>
        </w:rPr>
        <w:t xml:space="preserve">to </w:t>
      </w:r>
      <w:r w:rsidRPr="00C738E1">
        <w:rPr>
          <w:szCs w:val="26"/>
        </w:rPr>
        <w:t>clearly state the manner in which</w:t>
      </w:r>
      <w:r>
        <w:rPr>
          <w:szCs w:val="26"/>
        </w:rPr>
        <w:t xml:space="preserve"> documents </w:t>
      </w:r>
      <w:r w:rsidRPr="00C738E1">
        <w:rPr>
          <w:szCs w:val="26"/>
        </w:rPr>
        <w:t>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630D81" w:rsidRPr="00681B17" w:rsidRDefault="00630D81" w:rsidP="00630D81">
      <w:pPr>
        <w:rPr>
          <w:b/>
        </w:rPr>
      </w:pPr>
      <w:r w:rsidRPr="00681B17">
        <w:rPr>
          <w:b/>
        </w:rPr>
        <w:t>The committee requests the advice of the minister in relation to this matter.</w:t>
      </w:r>
    </w:p>
    <w:p w:rsidR="00630D81" w:rsidRDefault="00630D81" w:rsidP="00630D81">
      <w:pPr>
        <w:rPr>
          <w:b/>
        </w:rPr>
      </w:pPr>
    </w:p>
    <w:p w:rsidR="00630D81" w:rsidRPr="00681B17" w:rsidRDefault="00630D81" w:rsidP="00630D81">
      <w:r>
        <w:rPr>
          <w:b/>
        </w:rPr>
        <w:t>Description of and a</w:t>
      </w:r>
      <w:r w:rsidRPr="00681B17">
        <w:rPr>
          <w:b/>
        </w:rPr>
        <w:t>ccess to incorporated documents</w:t>
      </w:r>
    </w:p>
    <w:p w:rsidR="00630D81" w:rsidRPr="00681B17" w:rsidRDefault="00630D81" w:rsidP="00630D81">
      <w:r w:rsidRPr="00681B17">
        <w:t xml:space="preserve">Paragraph 15J(2)(c) of the </w:t>
      </w:r>
      <w:r w:rsidRPr="00681B17">
        <w:rPr>
          <w:i/>
        </w:rPr>
        <w:t xml:space="preserve">Legislation Act 2003 </w:t>
      </w:r>
      <w:r w:rsidRPr="00681B17">
        <w:t>requires the ES for a legislative instrument that incorporates a document to contain a description of that document and indicate how it may be obtained.</w:t>
      </w:r>
    </w:p>
    <w:p w:rsidR="00630D81" w:rsidRPr="00681B17" w:rsidRDefault="00630D81" w:rsidP="00630D81">
      <w:r w:rsidRPr="009436FF">
        <w:t>The committee's expectations where a legislative instrument incorporate</w:t>
      </w:r>
      <w:r>
        <w:t xml:space="preserve">s a document </w:t>
      </w:r>
      <w:r w:rsidRPr="00681B17">
        <w:t xml:space="preserve">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630D81" w:rsidRDefault="00630D81" w:rsidP="00630D81">
      <w:r w:rsidRPr="00681B17">
        <w:t>With reference to the above</w:t>
      </w:r>
      <w:r>
        <w:t>, the committee notes that, while</w:t>
      </w:r>
      <w:r w:rsidRPr="00681B17">
        <w:t xml:space="preserve"> sections 3 and 4 of the </w:t>
      </w:r>
      <w:r>
        <w:t xml:space="preserve">directions </w:t>
      </w:r>
      <w:r w:rsidRPr="00681B17">
        <w:t xml:space="preserve">incorporate </w:t>
      </w:r>
      <w:r>
        <w:t>the safety order</w:t>
      </w:r>
      <w:r w:rsidRPr="00681B17">
        <w:t xml:space="preserve">, neither the text of the instrument nor the ES provides a description of </w:t>
      </w:r>
      <w:r>
        <w:t xml:space="preserve">the safety order </w:t>
      </w:r>
      <w:r w:rsidRPr="00681B17">
        <w:t xml:space="preserve">or indicates how it may be </w:t>
      </w:r>
      <w:r>
        <w:t xml:space="preserve">freely </w:t>
      </w:r>
      <w:r w:rsidRPr="00681B17">
        <w:t>obtained.</w:t>
      </w:r>
      <w:r>
        <w:t xml:space="preserve"> While the committee does not interpret paragraph 15J(2)(c) as requiring a detailed description of an incorporated document and how it may be obtained, it considers that </w:t>
      </w:r>
      <w:r w:rsidRPr="00DE61C3">
        <w:lastRenderedPageBreak/>
        <w:t xml:space="preserve">an ES that does not contain any description of an incorporated document fails </w:t>
      </w:r>
      <w:r>
        <w:t xml:space="preserve"> to satisfy the requirements of the </w:t>
      </w:r>
      <w:r>
        <w:rPr>
          <w:i/>
        </w:rPr>
        <w:t>Legislation Act 2003</w:t>
      </w:r>
      <w:r>
        <w:t xml:space="preserve">. </w:t>
      </w:r>
      <w:r w:rsidRPr="00BE1190">
        <w:t>However, in this case the committee notes that the</w:t>
      </w:r>
      <w:r>
        <w:t xml:space="preserve"> safety order is available for free online.</w:t>
      </w:r>
      <w:r>
        <w:rPr>
          <w:rStyle w:val="FootnoteReference"/>
        </w:rPr>
        <w:footnoteReference w:id="9"/>
      </w:r>
      <w:r>
        <w:t xml:space="preserve"> Where an incorporated document is available for free online, the committee considers that a best-practice approach is for the ES to an instrument to provide details of the website where the document can be accessed. </w:t>
      </w:r>
    </w:p>
    <w:p w:rsidR="00630D81" w:rsidRDefault="00630D81" w:rsidP="00630D81">
      <w:pPr>
        <w:rPr>
          <w:b/>
        </w:rPr>
      </w:pPr>
      <w:r w:rsidRPr="00681B17">
        <w:rPr>
          <w:b/>
        </w:rPr>
        <w:t>The committee</w:t>
      </w:r>
      <w:r>
        <w:rPr>
          <w:b/>
        </w:rPr>
        <w:t xml:space="preserve"> draws this matter to the minister's attention.</w:t>
      </w:r>
      <w:r w:rsidRPr="00681B17" w:rsidDel="00BE1190">
        <w:rPr>
          <w:b/>
        </w:rPr>
        <w:t xml:space="preserve"> </w:t>
      </w:r>
    </w:p>
    <w:p w:rsidR="00B0130A" w:rsidRPr="00681B17" w:rsidRDefault="00B0130A" w:rsidP="00630D81">
      <w:pPr>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8377CB" w:rsidRDefault="00630D81" w:rsidP="00630D81">
            <w:pPr>
              <w:rPr>
                <w:b/>
                <w:sz w:val="24"/>
                <w:szCs w:val="24"/>
              </w:rPr>
            </w:pPr>
            <w:r>
              <w:rPr>
                <w:b/>
              </w:rPr>
              <w:br w:type="page"/>
            </w:r>
            <w:r w:rsidRPr="008377CB">
              <w:rPr>
                <w:b/>
                <w:sz w:val="24"/>
                <w:szCs w:val="24"/>
              </w:rPr>
              <w:t>Instrument</w:t>
            </w:r>
          </w:p>
        </w:tc>
        <w:tc>
          <w:tcPr>
            <w:tcW w:w="6378" w:type="dxa"/>
            <w:tcBorders>
              <w:top w:val="single" w:sz="12" w:space="0" w:color="auto"/>
              <w:left w:val="single" w:sz="12" w:space="0" w:color="auto"/>
            </w:tcBorders>
          </w:tcPr>
          <w:p w:rsidR="00630D81" w:rsidRPr="008377CB" w:rsidRDefault="00630D81" w:rsidP="00630D81">
            <w:pPr>
              <w:pStyle w:val="Heading3"/>
              <w:rPr>
                <w:sz w:val="24"/>
                <w:szCs w:val="24"/>
              </w:rPr>
            </w:pPr>
            <w:r w:rsidRPr="008377CB">
              <w:rPr>
                <w:noProof/>
                <w:sz w:val="24"/>
                <w:szCs w:val="24"/>
              </w:rPr>
              <w:t>Defence Determination 2016/19, Conditions of service [F2016L00643]</w:t>
            </w:r>
          </w:p>
        </w:tc>
      </w:tr>
      <w:tr w:rsidR="00630D81" w:rsidRPr="00164622" w:rsidTr="00630D81">
        <w:tc>
          <w:tcPr>
            <w:tcW w:w="2694" w:type="dxa"/>
            <w:tcBorders>
              <w:right w:val="single" w:sz="12" w:space="0" w:color="auto"/>
            </w:tcBorders>
          </w:tcPr>
          <w:p w:rsidR="00630D81" w:rsidRPr="008377CB" w:rsidRDefault="00630D81" w:rsidP="00630D81">
            <w:pPr>
              <w:rPr>
                <w:b/>
                <w:sz w:val="24"/>
                <w:szCs w:val="24"/>
              </w:rPr>
            </w:pPr>
            <w:r w:rsidRPr="008377CB">
              <w:rPr>
                <w:b/>
                <w:sz w:val="24"/>
                <w:szCs w:val="24"/>
              </w:rPr>
              <w:t>Purpose</w:t>
            </w:r>
          </w:p>
        </w:tc>
        <w:tc>
          <w:tcPr>
            <w:tcW w:w="6378" w:type="dxa"/>
            <w:tcBorders>
              <w:left w:val="single" w:sz="12" w:space="0" w:color="auto"/>
            </w:tcBorders>
          </w:tcPr>
          <w:p w:rsidR="00630D81" w:rsidRPr="008377CB" w:rsidRDefault="00630D81" w:rsidP="00630D81">
            <w:pPr>
              <w:rPr>
                <w:sz w:val="24"/>
                <w:szCs w:val="24"/>
              </w:rPr>
            </w:pPr>
            <w:r w:rsidRPr="008377CB">
              <w:rPr>
                <w:noProof/>
                <w:sz w:val="24"/>
                <w:szCs w:val="24"/>
              </w:rPr>
              <w:t>Sets conditions of Australian Defence Force service and  preserves accrued rights and liabilities under</w:t>
            </w:r>
            <w:r>
              <w:rPr>
                <w:noProof/>
                <w:sz w:val="24"/>
                <w:szCs w:val="24"/>
              </w:rPr>
              <w:t xml:space="preserve"> </w:t>
            </w:r>
            <w:r w:rsidRPr="00374EF7">
              <w:rPr>
                <w:noProof/>
                <w:sz w:val="24"/>
                <w:szCs w:val="24"/>
              </w:rPr>
              <w:t>Defence</w:t>
            </w:r>
            <w:r>
              <w:rPr>
                <w:noProof/>
                <w:sz w:val="24"/>
                <w:szCs w:val="24"/>
              </w:rPr>
              <w:t> </w:t>
            </w:r>
            <w:r w:rsidRPr="00374EF7">
              <w:rPr>
                <w:noProof/>
                <w:sz w:val="24"/>
                <w:szCs w:val="24"/>
              </w:rPr>
              <w:t>Determination</w:t>
            </w:r>
            <w:r>
              <w:rPr>
                <w:noProof/>
                <w:sz w:val="24"/>
                <w:szCs w:val="24"/>
              </w:rPr>
              <w:t xml:space="preserve"> 2005/15, Conditions of Service</w:t>
            </w:r>
          </w:p>
        </w:tc>
      </w:tr>
      <w:tr w:rsidR="00630D81" w:rsidRPr="00164622" w:rsidTr="00630D81">
        <w:tc>
          <w:tcPr>
            <w:tcW w:w="2694" w:type="dxa"/>
            <w:tcBorders>
              <w:right w:val="single" w:sz="12" w:space="0" w:color="auto"/>
            </w:tcBorders>
          </w:tcPr>
          <w:p w:rsidR="00630D81" w:rsidRPr="008377CB" w:rsidRDefault="00630D81" w:rsidP="00630D81">
            <w:pPr>
              <w:rPr>
                <w:b/>
                <w:sz w:val="24"/>
                <w:szCs w:val="24"/>
              </w:rPr>
            </w:pPr>
            <w:r w:rsidRPr="008377CB">
              <w:rPr>
                <w:b/>
                <w:sz w:val="24"/>
                <w:szCs w:val="24"/>
              </w:rPr>
              <w:t>Last day to disallow</w:t>
            </w:r>
          </w:p>
        </w:tc>
        <w:tc>
          <w:tcPr>
            <w:tcW w:w="6378" w:type="dxa"/>
            <w:tcBorders>
              <w:left w:val="single" w:sz="12" w:space="0" w:color="auto"/>
            </w:tcBorders>
          </w:tcPr>
          <w:p w:rsidR="00630D81" w:rsidRPr="008377CB"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8377CB" w:rsidRDefault="00630D81" w:rsidP="00630D81">
            <w:pPr>
              <w:rPr>
                <w:b/>
                <w:sz w:val="24"/>
                <w:szCs w:val="24"/>
              </w:rPr>
            </w:pPr>
            <w:r w:rsidRPr="008377CB">
              <w:rPr>
                <w:b/>
                <w:sz w:val="24"/>
                <w:szCs w:val="24"/>
              </w:rPr>
              <w:t>Authorising legislation</w:t>
            </w:r>
          </w:p>
        </w:tc>
        <w:tc>
          <w:tcPr>
            <w:tcW w:w="6378" w:type="dxa"/>
            <w:tcBorders>
              <w:left w:val="single" w:sz="12" w:space="0" w:color="auto"/>
            </w:tcBorders>
          </w:tcPr>
          <w:p w:rsidR="00630D81" w:rsidRPr="008377CB" w:rsidRDefault="00630D81" w:rsidP="00630D81">
            <w:pPr>
              <w:rPr>
                <w:i/>
                <w:sz w:val="24"/>
                <w:szCs w:val="24"/>
              </w:rPr>
            </w:pPr>
            <w:r w:rsidRPr="008377CB">
              <w:rPr>
                <w:i/>
                <w:noProof/>
                <w:sz w:val="24"/>
                <w:szCs w:val="24"/>
              </w:rPr>
              <w:t>Defence Act 1903</w:t>
            </w:r>
          </w:p>
        </w:tc>
      </w:tr>
      <w:tr w:rsidR="00630D81" w:rsidRPr="00164622" w:rsidTr="00630D81">
        <w:tc>
          <w:tcPr>
            <w:tcW w:w="2694" w:type="dxa"/>
            <w:tcBorders>
              <w:right w:val="single" w:sz="12" w:space="0" w:color="auto"/>
            </w:tcBorders>
          </w:tcPr>
          <w:p w:rsidR="00630D81" w:rsidRPr="008377CB" w:rsidRDefault="00630D81" w:rsidP="00630D81">
            <w:pPr>
              <w:rPr>
                <w:b/>
                <w:sz w:val="24"/>
                <w:szCs w:val="24"/>
              </w:rPr>
            </w:pPr>
            <w:r w:rsidRPr="008377CB">
              <w:rPr>
                <w:b/>
                <w:sz w:val="24"/>
                <w:szCs w:val="24"/>
              </w:rPr>
              <w:t>Department</w:t>
            </w:r>
          </w:p>
        </w:tc>
        <w:tc>
          <w:tcPr>
            <w:tcW w:w="6378" w:type="dxa"/>
            <w:tcBorders>
              <w:left w:val="single" w:sz="12" w:space="0" w:color="auto"/>
            </w:tcBorders>
          </w:tcPr>
          <w:p w:rsidR="00630D81" w:rsidRPr="008377CB" w:rsidRDefault="00630D81" w:rsidP="00630D81">
            <w:pPr>
              <w:rPr>
                <w:sz w:val="24"/>
                <w:szCs w:val="24"/>
              </w:rPr>
            </w:pPr>
            <w:r w:rsidRPr="008377CB">
              <w:rPr>
                <w:noProof/>
                <w:sz w:val="24"/>
                <w:szCs w:val="24"/>
              </w:rPr>
              <w:t>Defence</w:t>
            </w:r>
          </w:p>
        </w:tc>
      </w:tr>
      <w:tr w:rsidR="00630D81" w:rsidRPr="00164622" w:rsidTr="00630D81">
        <w:tc>
          <w:tcPr>
            <w:tcW w:w="2694" w:type="dxa"/>
            <w:tcBorders>
              <w:bottom w:val="single" w:sz="12" w:space="0" w:color="auto"/>
              <w:right w:val="single" w:sz="12" w:space="0" w:color="auto"/>
            </w:tcBorders>
          </w:tcPr>
          <w:p w:rsidR="00630D81" w:rsidRPr="008377CB" w:rsidRDefault="00630D81" w:rsidP="00630D81">
            <w:pPr>
              <w:rPr>
                <w:b/>
                <w:sz w:val="24"/>
                <w:szCs w:val="24"/>
              </w:rPr>
            </w:pPr>
            <w:r w:rsidRPr="008377CB">
              <w:rPr>
                <w:b/>
                <w:sz w:val="24"/>
                <w:szCs w:val="24"/>
              </w:rPr>
              <w:t>Scrutiny principle</w:t>
            </w:r>
          </w:p>
        </w:tc>
        <w:tc>
          <w:tcPr>
            <w:tcW w:w="6378" w:type="dxa"/>
            <w:tcBorders>
              <w:left w:val="single" w:sz="12" w:space="0" w:color="auto"/>
              <w:bottom w:val="single" w:sz="12" w:space="0" w:color="auto"/>
            </w:tcBorders>
          </w:tcPr>
          <w:p w:rsidR="00630D81" w:rsidRPr="008377CB" w:rsidRDefault="00630D81" w:rsidP="00630D81">
            <w:pPr>
              <w:rPr>
                <w:sz w:val="24"/>
                <w:szCs w:val="24"/>
              </w:rPr>
            </w:pPr>
            <w:r w:rsidRPr="008377CB">
              <w:rPr>
                <w:sz w:val="24"/>
                <w:szCs w:val="24"/>
              </w:rPr>
              <w:t>Standing Order 23(3)</w:t>
            </w:r>
            <w:r w:rsidRPr="008377CB">
              <w:rPr>
                <w:noProof/>
                <w:sz w:val="24"/>
                <w:szCs w:val="24"/>
              </w:rPr>
              <w:t>(a)</w:t>
            </w:r>
          </w:p>
        </w:tc>
      </w:tr>
    </w:tbl>
    <w:p w:rsidR="00630D81" w:rsidRDefault="00630D81" w:rsidP="00630D81"/>
    <w:p w:rsidR="00630D81" w:rsidRDefault="00630D81" w:rsidP="00630D81">
      <w:pPr>
        <w:rPr>
          <w:b/>
          <w:noProof/>
        </w:rPr>
      </w:pPr>
      <w:r w:rsidRPr="002C466F">
        <w:rPr>
          <w:b/>
          <w:noProof/>
        </w:rPr>
        <w:t>Incorporation of documents</w:t>
      </w:r>
      <w:r>
        <w:rPr>
          <w:b/>
          <w:noProof/>
        </w:rPr>
        <w:t xml:space="preserve"> </w:t>
      </w:r>
    </w:p>
    <w:p w:rsidR="00630D81" w:rsidRDefault="00630D81" w:rsidP="00630D81">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incorporating</w:t>
      </w:r>
      <w:r>
        <w:rPr>
          <w:szCs w:val="26"/>
        </w:rPr>
        <w:t xml:space="preserve"> Acts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the commencement of the</w:t>
      </w:r>
      <w:r>
        <w:rPr>
          <w:szCs w:val="26"/>
        </w:rPr>
        <w:t xml:space="preserve"> legislative</w:t>
      </w:r>
      <w:r w:rsidRPr="00025437">
        <w:rPr>
          <w:szCs w:val="26"/>
        </w:rPr>
        <w:t xml:space="preserve"> instrument, unless authorising or other legislation alters the operation of section 14.</w:t>
      </w:r>
    </w:p>
    <w:p w:rsidR="00630D81" w:rsidRDefault="00630D81" w:rsidP="00630D81">
      <w:r w:rsidRPr="007B5B8D">
        <w:t xml:space="preserve">With </w:t>
      </w:r>
      <w:r w:rsidRPr="004E6D8B">
        <w:rPr>
          <w:szCs w:val="26"/>
        </w:rPr>
        <w:t xml:space="preserve">reference to the above, the committee notes that section 14.4.4 of the </w:t>
      </w:r>
      <w:r>
        <w:rPr>
          <w:szCs w:val="26"/>
        </w:rPr>
        <w:t xml:space="preserve">determination </w:t>
      </w:r>
      <w:r w:rsidRPr="007A47B2">
        <w:rPr>
          <w:szCs w:val="26"/>
        </w:rPr>
        <w:t xml:space="preserve">defines the </w:t>
      </w:r>
      <w:r w:rsidRPr="004E6D8B">
        <w:rPr>
          <w:szCs w:val="26"/>
        </w:rPr>
        <w:t xml:space="preserve">term </w:t>
      </w:r>
      <w:r w:rsidRPr="004E6D8B">
        <w:rPr>
          <w:b/>
          <w:bCs/>
          <w:i/>
          <w:iCs/>
          <w:szCs w:val="26"/>
        </w:rPr>
        <w:t>international best fare</w:t>
      </w:r>
      <w:r w:rsidRPr="004E6D8B">
        <w:rPr>
          <w:szCs w:val="26"/>
        </w:rPr>
        <w:t xml:space="preserve"> as having the meaning given in the Department of Finance Resource Management Guide No. 405 (the guide).</w:t>
      </w:r>
      <w:r>
        <w:rPr>
          <w:szCs w:val="26"/>
        </w:rPr>
        <w:t xml:space="preserve"> </w:t>
      </w:r>
      <w:r w:rsidRPr="007B5B8D">
        <w:t>However, neither the text of the</w:t>
      </w:r>
      <w:r>
        <w:t xml:space="preserve"> determination</w:t>
      </w:r>
      <w:r w:rsidRPr="007B5B8D">
        <w:t xml:space="preserve"> nor the ES expressly states the manner in which the </w:t>
      </w:r>
      <w:r>
        <w:t>g</w:t>
      </w:r>
      <w:r w:rsidRPr="007B5B8D">
        <w:t>uide</w:t>
      </w:r>
      <w:r>
        <w:t xml:space="preserve"> </w:t>
      </w:r>
      <w:r w:rsidRPr="007B5B8D">
        <w:t>is incorporated</w:t>
      </w:r>
      <w:r>
        <w:t>.</w:t>
      </w:r>
    </w:p>
    <w:p w:rsidR="00630D81" w:rsidRDefault="00630D81" w:rsidP="00630D81">
      <w:pPr>
        <w:rPr>
          <w:szCs w:val="26"/>
        </w:rPr>
      </w:pPr>
      <w:r>
        <w:rPr>
          <w:szCs w:val="26"/>
        </w:rPr>
        <w:t>T</w:t>
      </w:r>
      <w:r w:rsidRPr="00C738E1">
        <w:rPr>
          <w:szCs w:val="26"/>
        </w:rPr>
        <w:t>he com</w:t>
      </w:r>
      <w:r>
        <w:rPr>
          <w:szCs w:val="26"/>
        </w:rPr>
        <w:t>mittee expects instruments (and</w:t>
      </w:r>
      <w:r w:rsidRPr="00C738E1">
        <w:rPr>
          <w:szCs w:val="26"/>
        </w:rPr>
        <w:t xml:space="preserve"> ideally their accompanying ESs) </w:t>
      </w:r>
      <w:r>
        <w:rPr>
          <w:szCs w:val="26"/>
        </w:rPr>
        <w:t>to</w:t>
      </w:r>
      <w:r w:rsidRPr="00C738E1">
        <w:rPr>
          <w:szCs w:val="26"/>
        </w:rPr>
        <w:t xml:space="preserve"> clearly state the manner in which </w:t>
      </w:r>
      <w:r>
        <w:rPr>
          <w:szCs w:val="26"/>
        </w:rPr>
        <w:t xml:space="preserve">documents </w:t>
      </w:r>
      <w:r w:rsidRPr="00C738E1">
        <w:rPr>
          <w:szCs w:val="26"/>
        </w:rPr>
        <w:t xml:space="preserve">are incorporated (that is, either as in force from </w:t>
      </w:r>
      <w:r w:rsidRPr="00C738E1">
        <w:rPr>
          <w:szCs w:val="26"/>
        </w:rPr>
        <w:lastRenderedPageBreak/>
        <w:t>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630D81" w:rsidRDefault="00630D81" w:rsidP="00630D81">
      <w:pPr>
        <w:rPr>
          <w:b/>
          <w:szCs w:val="26"/>
        </w:rPr>
      </w:pPr>
      <w:r w:rsidRPr="00C978EE">
        <w:rPr>
          <w:b/>
          <w:szCs w:val="26"/>
        </w:rPr>
        <w:t>The committee requests the advice of the minister in relation to this matter.</w:t>
      </w:r>
    </w:p>
    <w:p w:rsidR="00B0130A" w:rsidRDefault="00B0130A" w:rsidP="00630D81">
      <w:pPr>
        <w:rPr>
          <w:b/>
          <w:szCs w:val="26"/>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043D58" w:rsidRDefault="00630D81" w:rsidP="00630D81">
            <w:pPr>
              <w:rPr>
                <w:b/>
                <w:sz w:val="24"/>
                <w:szCs w:val="24"/>
              </w:rPr>
            </w:pPr>
            <w:r>
              <w:rPr>
                <w:b/>
                <w:szCs w:val="26"/>
              </w:rPr>
              <w:br w:type="page"/>
            </w:r>
            <w:r w:rsidRPr="00043D58">
              <w:rPr>
                <w:b/>
                <w:sz w:val="24"/>
                <w:szCs w:val="24"/>
              </w:rPr>
              <w:t>Instrument</w:t>
            </w:r>
          </w:p>
        </w:tc>
        <w:tc>
          <w:tcPr>
            <w:tcW w:w="6378" w:type="dxa"/>
            <w:tcBorders>
              <w:top w:val="single" w:sz="12" w:space="0" w:color="auto"/>
              <w:left w:val="single" w:sz="12" w:space="0" w:color="auto"/>
            </w:tcBorders>
          </w:tcPr>
          <w:p w:rsidR="00630D81" w:rsidRPr="00043D58" w:rsidRDefault="00630D81" w:rsidP="00630D81">
            <w:pPr>
              <w:pStyle w:val="Heading3"/>
              <w:rPr>
                <w:sz w:val="24"/>
                <w:szCs w:val="24"/>
              </w:rPr>
            </w:pPr>
            <w:r w:rsidRPr="00043D58">
              <w:rPr>
                <w:noProof/>
                <w:sz w:val="24"/>
                <w:szCs w:val="24"/>
              </w:rPr>
              <w:t>Defence Trade Controls Act 2012 - Foreign Country List [F2016L00548]</w:t>
            </w:r>
          </w:p>
        </w:tc>
      </w:tr>
      <w:tr w:rsidR="00630D81" w:rsidRPr="00164622" w:rsidTr="00630D81">
        <w:tc>
          <w:tcPr>
            <w:tcW w:w="2694" w:type="dxa"/>
            <w:tcBorders>
              <w:right w:val="single" w:sz="12" w:space="0" w:color="auto"/>
            </w:tcBorders>
          </w:tcPr>
          <w:p w:rsidR="00630D81" w:rsidRPr="00043D58" w:rsidRDefault="00630D81" w:rsidP="00630D81">
            <w:pPr>
              <w:rPr>
                <w:b/>
                <w:sz w:val="24"/>
                <w:szCs w:val="24"/>
              </w:rPr>
            </w:pPr>
            <w:r w:rsidRPr="00043D58">
              <w:rPr>
                <w:b/>
                <w:sz w:val="24"/>
                <w:szCs w:val="24"/>
              </w:rPr>
              <w:t>Purpose</w:t>
            </w:r>
          </w:p>
        </w:tc>
        <w:tc>
          <w:tcPr>
            <w:tcW w:w="6378" w:type="dxa"/>
            <w:tcBorders>
              <w:left w:val="single" w:sz="12" w:space="0" w:color="auto"/>
            </w:tcBorders>
          </w:tcPr>
          <w:p w:rsidR="00630D81" w:rsidRPr="00043D58" w:rsidRDefault="00630D81" w:rsidP="00630D81">
            <w:pPr>
              <w:rPr>
                <w:sz w:val="24"/>
                <w:szCs w:val="24"/>
              </w:rPr>
            </w:pPr>
            <w:r w:rsidRPr="00043D58">
              <w:rPr>
                <w:noProof/>
                <w:sz w:val="24"/>
                <w:szCs w:val="24"/>
              </w:rPr>
              <w:t xml:space="preserve">Provides exemptions to brokering offences under the </w:t>
            </w:r>
            <w:r>
              <w:rPr>
                <w:i/>
                <w:noProof/>
                <w:sz w:val="24"/>
                <w:szCs w:val="24"/>
              </w:rPr>
              <w:t>Defence</w:t>
            </w:r>
            <w:r w:rsidRPr="00043D58">
              <w:rPr>
                <w:i/>
                <w:noProof/>
                <w:sz w:val="24"/>
                <w:szCs w:val="24"/>
              </w:rPr>
              <w:t xml:space="preserve"> Trade Controls Act 2012</w:t>
            </w:r>
            <w:r w:rsidRPr="00043D58">
              <w:rPr>
                <w:noProof/>
                <w:sz w:val="24"/>
                <w:szCs w:val="24"/>
              </w:rPr>
              <w:t xml:space="preserve"> </w:t>
            </w:r>
            <w:r>
              <w:rPr>
                <w:noProof/>
                <w:sz w:val="24"/>
                <w:szCs w:val="24"/>
              </w:rPr>
              <w:t xml:space="preserve">to allow </w:t>
            </w:r>
            <w:r w:rsidRPr="00043D58">
              <w:rPr>
                <w:noProof/>
                <w:sz w:val="24"/>
                <w:szCs w:val="24"/>
              </w:rPr>
              <w:t xml:space="preserve">certain goods and technology </w:t>
            </w:r>
            <w:r>
              <w:rPr>
                <w:noProof/>
                <w:sz w:val="24"/>
                <w:szCs w:val="24"/>
              </w:rPr>
              <w:t xml:space="preserve">to </w:t>
            </w:r>
            <w:r w:rsidRPr="00043D58">
              <w:rPr>
                <w:noProof/>
                <w:sz w:val="24"/>
                <w:szCs w:val="24"/>
              </w:rPr>
              <w:t>be brokered without a permit</w:t>
            </w:r>
          </w:p>
        </w:tc>
      </w:tr>
      <w:tr w:rsidR="00630D81" w:rsidRPr="00164622" w:rsidTr="00630D81">
        <w:tc>
          <w:tcPr>
            <w:tcW w:w="2694" w:type="dxa"/>
            <w:tcBorders>
              <w:right w:val="single" w:sz="12" w:space="0" w:color="auto"/>
            </w:tcBorders>
          </w:tcPr>
          <w:p w:rsidR="00630D81" w:rsidRPr="00043D58" w:rsidRDefault="00630D81" w:rsidP="00630D81">
            <w:pPr>
              <w:rPr>
                <w:b/>
                <w:sz w:val="24"/>
                <w:szCs w:val="24"/>
              </w:rPr>
            </w:pPr>
            <w:r w:rsidRPr="00043D58">
              <w:rPr>
                <w:b/>
                <w:sz w:val="24"/>
                <w:szCs w:val="24"/>
              </w:rPr>
              <w:t>Last day to disallow</w:t>
            </w:r>
          </w:p>
        </w:tc>
        <w:tc>
          <w:tcPr>
            <w:tcW w:w="6378" w:type="dxa"/>
            <w:tcBorders>
              <w:left w:val="single" w:sz="12" w:space="0" w:color="auto"/>
            </w:tcBorders>
          </w:tcPr>
          <w:p w:rsidR="00630D81" w:rsidRPr="00043D58" w:rsidRDefault="00630D81" w:rsidP="00630D81">
            <w:pPr>
              <w:rPr>
                <w:sz w:val="24"/>
                <w:szCs w:val="24"/>
              </w:rPr>
            </w:pPr>
            <w:r>
              <w:rPr>
                <w:noProof/>
                <w:sz w:val="24"/>
                <w:szCs w:val="24"/>
              </w:rPr>
              <w:t>8 November 2016</w:t>
            </w:r>
          </w:p>
        </w:tc>
      </w:tr>
      <w:tr w:rsidR="00630D81" w:rsidRPr="00164622" w:rsidTr="00630D81">
        <w:tc>
          <w:tcPr>
            <w:tcW w:w="2694" w:type="dxa"/>
            <w:tcBorders>
              <w:right w:val="single" w:sz="12" w:space="0" w:color="auto"/>
            </w:tcBorders>
          </w:tcPr>
          <w:p w:rsidR="00630D81" w:rsidRPr="00043D58" w:rsidRDefault="00630D81" w:rsidP="00630D81">
            <w:pPr>
              <w:rPr>
                <w:b/>
                <w:sz w:val="24"/>
                <w:szCs w:val="24"/>
              </w:rPr>
            </w:pPr>
            <w:r w:rsidRPr="00043D58">
              <w:rPr>
                <w:b/>
                <w:sz w:val="24"/>
                <w:szCs w:val="24"/>
              </w:rPr>
              <w:t>Authorising legislation</w:t>
            </w:r>
          </w:p>
        </w:tc>
        <w:tc>
          <w:tcPr>
            <w:tcW w:w="6378" w:type="dxa"/>
            <w:tcBorders>
              <w:left w:val="single" w:sz="12" w:space="0" w:color="auto"/>
            </w:tcBorders>
          </w:tcPr>
          <w:p w:rsidR="00630D81" w:rsidRPr="00043D58" w:rsidRDefault="00630D81" w:rsidP="00630D81">
            <w:pPr>
              <w:rPr>
                <w:i/>
                <w:sz w:val="24"/>
                <w:szCs w:val="24"/>
              </w:rPr>
            </w:pPr>
            <w:r w:rsidRPr="00043D58">
              <w:rPr>
                <w:i/>
                <w:noProof/>
                <w:sz w:val="24"/>
                <w:szCs w:val="24"/>
              </w:rPr>
              <w:t>Defence Trade Controls Act 2012</w:t>
            </w:r>
          </w:p>
        </w:tc>
      </w:tr>
      <w:tr w:rsidR="00630D81" w:rsidRPr="00164622" w:rsidTr="00630D81">
        <w:tc>
          <w:tcPr>
            <w:tcW w:w="2694" w:type="dxa"/>
            <w:tcBorders>
              <w:right w:val="single" w:sz="12" w:space="0" w:color="auto"/>
            </w:tcBorders>
          </w:tcPr>
          <w:p w:rsidR="00630D81" w:rsidRPr="00043D58" w:rsidRDefault="00630D81" w:rsidP="00630D81">
            <w:pPr>
              <w:rPr>
                <w:b/>
                <w:sz w:val="24"/>
                <w:szCs w:val="24"/>
              </w:rPr>
            </w:pPr>
            <w:r w:rsidRPr="00043D58">
              <w:rPr>
                <w:b/>
                <w:sz w:val="24"/>
                <w:szCs w:val="24"/>
              </w:rPr>
              <w:t>Department</w:t>
            </w:r>
          </w:p>
        </w:tc>
        <w:tc>
          <w:tcPr>
            <w:tcW w:w="6378" w:type="dxa"/>
            <w:tcBorders>
              <w:left w:val="single" w:sz="12" w:space="0" w:color="auto"/>
            </w:tcBorders>
          </w:tcPr>
          <w:p w:rsidR="00630D81" w:rsidRPr="00043D58" w:rsidRDefault="00630D81" w:rsidP="00630D81">
            <w:pPr>
              <w:rPr>
                <w:sz w:val="24"/>
                <w:szCs w:val="24"/>
              </w:rPr>
            </w:pPr>
            <w:r w:rsidRPr="00043D58">
              <w:rPr>
                <w:noProof/>
                <w:sz w:val="24"/>
                <w:szCs w:val="24"/>
              </w:rPr>
              <w:t>Defence</w:t>
            </w:r>
          </w:p>
        </w:tc>
      </w:tr>
      <w:tr w:rsidR="00630D81" w:rsidRPr="00164622" w:rsidTr="00630D81">
        <w:tc>
          <w:tcPr>
            <w:tcW w:w="2694" w:type="dxa"/>
            <w:tcBorders>
              <w:bottom w:val="single" w:sz="12" w:space="0" w:color="auto"/>
              <w:right w:val="single" w:sz="12" w:space="0" w:color="auto"/>
            </w:tcBorders>
          </w:tcPr>
          <w:p w:rsidR="00630D81" w:rsidRPr="00043D58" w:rsidRDefault="00630D81" w:rsidP="00630D81">
            <w:pPr>
              <w:rPr>
                <w:b/>
                <w:sz w:val="24"/>
                <w:szCs w:val="24"/>
              </w:rPr>
            </w:pPr>
            <w:r w:rsidRPr="00043D58">
              <w:rPr>
                <w:b/>
                <w:sz w:val="24"/>
                <w:szCs w:val="24"/>
              </w:rPr>
              <w:t>Scrutiny principle</w:t>
            </w:r>
          </w:p>
        </w:tc>
        <w:tc>
          <w:tcPr>
            <w:tcW w:w="6378" w:type="dxa"/>
            <w:tcBorders>
              <w:left w:val="single" w:sz="12" w:space="0" w:color="auto"/>
              <w:bottom w:val="single" w:sz="12" w:space="0" w:color="auto"/>
            </w:tcBorders>
          </w:tcPr>
          <w:p w:rsidR="00630D81" w:rsidRPr="00043D58" w:rsidRDefault="00630D81" w:rsidP="00630D81">
            <w:pPr>
              <w:rPr>
                <w:sz w:val="24"/>
                <w:szCs w:val="24"/>
              </w:rPr>
            </w:pPr>
            <w:r w:rsidRPr="00043D58">
              <w:rPr>
                <w:sz w:val="24"/>
                <w:szCs w:val="24"/>
              </w:rPr>
              <w:t>Standing Order 23(3)</w:t>
            </w:r>
            <w:r w:rsidRPr="00043D58">
              <w:rPr>
                <w:noProof/>
                <w:sz w:val="24"/>
                <w:szCs w:val="24"/>
              </w:rPr>
              <w:t>(a)</w:t>
            </w:r>
          </w:p>
        </w:tc>
      </w:tr>
    </w:tbl>
    <w:p w:rsidR="00630D81" w:rsidRDefault="00630D81" w:rsidP="00630D81"/>
    <w:p w:rsidR="00630D81" w:rsidRDefault="00630D81" w:rsidP="00630D81">
      <w:r w:rsidRPr="005C3B4E">
        <w:rPr>
          <w:b/>
          <w:noProof/>
        </w:rPr>
        <w:t>Drafting</w:t>
      </w:r>
    </w:p>
    <w:p w:rsidR="00630D81" w:rsidRPr="00101DCB" w:rsidRDefault="00630D81" w:rsidP="00630D81">
      <w:r w:rsidRPr="00101DCB">
        <w:rPr>
          <w:noProof/>
        </w:rPr>
        <w:t xml:space="preserve">Subsection 15G(1) of the </w:t>
      </w:r>
      <w:r w:rsidRPr="00101DCB">
        <w:rPr>
          <w:i/>
          <w:noProof/>
        </w:rPr>
        <w:t xml:space="preserve">Legislation </w:t>
      </w:r>
      <w:r>
        <w:rPr>
          <w:i/>
          <w:noProof/>
        </w:rPr>
        <w:t>Act 2003</w:t>
      </w:r>
      <w:r>
        <w:t xml:space="preserve"> requires rule-</w:t>
      </w:r>
      <w:r w:rsidRPr="00101DCB">
        <w:t>makers to lodge legislative instruments for registration as soon as p</w:t>
      </w:r>
      <w:r>
        <w:t xml:space="preserve">racticable after the instrument </w:t>
      </w:r>
      <w:r w:rsidRPr="00101DCB">
        <w:t xml:space="preserve">is made. </w:t>
      </w:r>
    </w:p>
    <w:p w:rsidR="00630D81" w:rsidRPr="00101DCB" w:rsidRDefault="00630D81" w:rsidP="00630D81">
      <w:r w:rsidRPr="00101DCB">
        <w:t>With reference to this requirement, the committee notes that the</w:t>
      </w:r>
      <w:r w:rsidRPr="00547985">
        <w:t xml:space="preserve"> Defence Trade Controls Act 2012 - Foreign Country List [F2016L00548]</w:t>
      </w:r>
      <w:r>
        <w:t xml:space="preserve"> (the list)</w:t>
      </w:r>
      <w:r w:rsidRPr="00101DCB">
        <w:t xml:space="preserve"> was made by former Defence Minister Kevin Andrews on 12 May 2015. However, </w:t>
      </w:r>
      <w:r>
        <w:t xml:space="preserve">as </w:t>
      </w:r>
      <w:r w:rsidRPr="00101DCB">
        <w:t xml:space="preserve">the </w:t>
      </w:r>
      <w:r>
        <w:t>list</w:t>
      </w:r>
      <w:r w:rsidRPr="00101DCB">
        <w:t xml:space="preserve"> was not registered until 20 April 2016</w:t>
      </w:r>
      <w:r>
        <w:t xml:space="preserve">, it is unclear to the committee whether the list was registered in accordance with subsection 15G(1) of the </w:t>
      </w:r>
      <w:r>
        <w:rPr>
          <w:i/>
        </w:rPr>
        <w:t>Legislation Act 2003</w:t>
      </w:r>
      <w:r w:rsidRPr="00101DCB">
        <w:t>.</w:t>
      </w:r>
    </w:p>
    <w:p w:rsidR="00630D81" w:rsidRDefault="00630D81" w:rsidP="00630D81">
      <w:pPr>
        <w:rPr>
          <w:b/>
        </w:rPr>
      </w:pPr>
      <w:r w:rsidRPr="00101DCB">
        <w:rPr>
          <w:b/>
        </w:rPr>
        <w:t>The committee requests the advice of the minister in relation to this matter.</w:t>
      </w:r>
    </w:p>
    <w:p w:rsidR="00630D81" w:rsidRDefault="00630D81" w:rsidP="00630D81">
      <w:pPr>
        <w:spacing w:after="0"/>
        <w:jc w:val="left"/>
        <w:rPr>
          <w:b/>
        </w:rPr>
      </w:pPr>
      <w:r>
        <w:rPr>
          <w:b/>
        </w:rPr>
        <w:br w:type="page"/>
      </w: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630D81" w:rsidRPr="004F2E07" w:rsidRDefault="00630D81" w:rsidP="00630D81">
            <w:pPr>
              <w:pStyle w:val="Heading3"/>
              <w:rPr>
                <w:noProof/>
                <w:sz w:val="24"/>
                <w:szCs w:val="24"/>
              </w:rPr>
            </w:pPr>
            <w:r w:rsidRPr="004F2E07">
              <w:rPr>
                <w:noProof/>
                <w:sz w:val="24"/>
                <w:szCs w:val="24"/>
              </w:rPr>
              <w:t xml:space="preserve">Environment Protection and Biodiversity Conservation </w:t>
            </w:r>
            <w:r>
              <w:rPr>
                <w:noProof/>
                <w:sz w:val="24"/>
                <w:szCs w:val="24"/>
              </w:rPr>
              <w:t>Act 1</w:t>
            </w:r>
            <w:r w:rsidRPr="004F2E07">
              <w:rPr>
                <w:noProof/>
                <w:sz w:val="24"/>
                <w:szCs w:val="24"/>
              </w:rPr>
              <w:t>999 - Section 269A - Instrument Adopting Recovery Plan (Mallee Emu-Wren, Red-lored Whistler, Western Whipbird) (02/05/2016) [</w:t>
            </w:r>
            <w:bookmarkStart w:id="24" w:name="OLE_LINK13"/>
            <w:r w:rsidRPr="004F2E07">
              <w:rPr>
                <w:noProof/>
                <w:sz w:val="24"/>
                <w:szCs w:val="24"/>
              </w:rPr>
              <w:t>F2016L00655</w:t>
            </w:r>
            <w:bookmarkEnd w:id="24"/>
            <w:r w:rsidRPr="004F2E07">
              <w:rPr>
                <w:noProof/>
                <w:sz w:val="24"/>
                <w:szCs w:val="24"/>
              </w:rPr>
              <w:t>]</w:t>
            </w:r>
          </w:p>
          <w:p w:rsidR="00630D81" w:rsidRPr="004F2E07" w:rsidRDefault="00630D81" w:rsidP="00630D81">
            <w:pPr>
              <w:pStyle w:val="Heading3"/>
              <w:rPr>
                <w:noProof/>
                <w:sz w:val="24"/>
                <w:szCs w:val="24"/>
              </w:rPr>
            </w:pPr>
            <w:r w:rsidRPr="004F2E07">
              <w:rPr>
                <w:noProof/>
                <w:sz w:val="24"/>
                <w:szCs w:val="24"/>
              </w:rPr>
              <w:t xml:space="preserve">Environment Protection and Biodiversity Conservation </w:t>
            </w:r>
            <w:r>
              <w:rPr>
                <w:noProof/>
                <w:sz w:val="24"/>
                <w:szCs w:val="24"/>
              </w:rPr>
              <w:t>Act 1</w:t>
            </w:r>
            <w:r w:rsidRPr="004F2E07">
              <w:rPr>
                <w:noProof/>
                <w:sz w:val="24"/>
                <w:szCs w:val="24"/>
              </w:rPr>
              <w:t>999 - Section 269A - Instrument Adopting Recovery Plan (Spotted-tailed Quoll) (02/05/2016) [F2016L00657]</w:t>
            </w:r>
          </w:p>
          <w:p w:rsidR="00630D81" w:rsidRPr="004F2E07" w:rsidRDefault="00630D81" w:rsidP="00630D81">
            <w:pPr>
              <w:pStyle w:val="Heading3"/>
              <w:rPr>
                <w:noProof/>
                <w:sz w:val="24"/>
                <w:szCs w:val="24"/>
              </w:rPr>
            </w:pPr>
            <w:r w:rsidRPr="004F2E07">
              <w:rPr>
                <w:noProof/>
                <w:sz w:val="24"/>
                <w:szCs w:val="24"/>
              </w:rPr>
              <w:t xml:space="preserve">Environment Protection and Biodiversity Conservation </w:t>
            </w:r>
            <w:r>
              <w:rPr>
                <w:noProof/>
                <w:sz w:val="24"/>
                <w:szCs w:val="24"/>
              </w:rPr>
              <w:t>Act 1</w:t>
            </w:r>
            <w:r w:rsidRPr="004F2E07">
              <w:rPr>
                <w:noProof/>
                <w:sz w:val="24"/>
                <w:szCs w:val="24"/>
              </w:rPr>
              <w:t>999 - Section 269A - Instrument Adopting Recovery Plan (Mountain Pygmy-Possum) (02/05/2016) [F2016L00658]</w:t>
            </w:r>
          </w:p>
          <w:p w:rsidR="00630D81" w:rsidRPr="00BA36F8" w:rsidRDefault="00630D81" w:rsidP="00630D81">
            <w:pPr>
              <w:pStyle w:val="Heading3"/>
              <w:rPr>
                <w:sz w:val="24"/>
                <w:szCs w:val="24"/>
              </w:rPr>
            </w:pPr>
            <w:r w:rsidRPr="004F2E07">
              <w:rPr>
                <w:noProof/>
                <w:sz w:val="24"/>
                <w:szCs w:val="24"/>
              </w:rPr>
              <w:t xml:space="preserve">Environment Protection and Biodiversity Conservation </w:t>
            </w:r>
            <w:r>
              <w:rPr>
                <w:noProof/>
                <w:sz w:val="24"/>
                <w:szCs w:val="24"/>
              </w:rPr>
              <w:t>Act 1</w:t>
            </w:r>
            <w:r w:rsidRPr="004F2E07">
              <w:rPr>
                <w:noProof/>
                <w:sz w:val="24"/>
                <w:szCs w:val="24"/>
              </w:rPr>
              <w:t>999 - Section 269A - Instrument Adopting Recovery Plan (Orange-bellied Parrot) (02/05/2016) [F2016L00662]</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 xml:space="preserve">These instruments </w:t>
            </w:r>
            <w:r w:rsidRPr="004F2E07">
              <w:rPr>
                <w:noProof/>
                <w:sz w:val="24"/>
                <w:szCs w:val="24"/>
              </w:rPr>
              <w:t xml:space="preserve">adopt national recovery plans for </w:t>
            </w:r>
            <w:r>
              <w:rPr>
                <w:noProof/>
                <w:sz w:val="24"/>
                <w:szCs w:val="24"/>
              </w:rPr>
              <w:t>certain</w:t>
            </w:r>
            <w:r w:rsidRPr="004F2E07">
              <w:rPr>
                <w:noProof/>
                <w:sz w:val="24"/>
                <w:szCs w:val="24"/>
              </w:rPr>
              <w:t xml:space="preserve"> listed species</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 xml:space="preserve">Environment Protection and Biodiversity Conservation </w:t>
            </w:r>
            <w:r>
              <w:rPr>
                <w:i/>
                <w:noProof/>
                <w:sz w:val="24"/>
                <w:szCs w:val="24"/>
              </w:rPr>
              <w:t>Act 1</w:t>
            </w:r>
            <w:r w:rsidRPr="004F2E07">
              <w:rPr>
                <w:i/>
                <w:noProof/>
                <w:sz w:val="24"/>
                <w:szCs w:val="24"/>
              </w:rPr>
              <w:t>999</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Environment</w:t>
            </w:r>
            <w:r>
              <w:rPr>
                <w:noProof/>
                <w:sz w:val="24"/>
                <w:szCs w:val="24"/>
              </w:rPr>
              <w:t xml:space="preserve"> and Energy</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4F2E07">
              <w:rPr>
                <w:noProof/>
                <w:sz w:val="24"/>
                <w:szCs w:val="24"/>
              </w:rPr>
              <w:t>(a)</w:t>
            </w:r>
          </w:p>
        </w:tc>
      </w:tr>
    </w:tbl>
    <w:p w:rsidR="00630D81" w:rsidRDefault="00630D81" w:rsidP="00630D81"/>
    <w:p w:rsidR="00630D81" w:rsidRDefault="00630D81" w:rsidP="00630D81">
      <w:pPr>
        <w:rPr>
          <w:b/>
          <w:noProof/>
        </w:rPr>
      </w:pPr>
      <w:r w:rsidRPr="004F2E07">
        <w:rPr>
          <w:b/>
          <w:noProof/>
        </w:rPr>
        <w:t>Consultation</w:t>
      </w:r>
    </w:p>
    <w:p w:rsidR="00630D81" w:rsidRPr="00BE1190" w:rsidRDefault="00630D81" w:rsidP="00630D81">
      <w:pPr>
        <w:rPr>
          <w:noProof/>
        </w:rPr>
      </w:pPr>
      <w:r w:rsidRPr="00A37595">
        <w:rPr>
          <w:noProof/>
        </w:rPr>
        <w:t xml:space="preserve">Section 17 of the </w:t>
      </w:r>
      <w:r w:rsidRPr="00A37595">
        <w:rPr>
          <w:i/>
          <w:noProof/>
        </w:rPr>
        <w:t>Legislation Act 2003</w:t>
      </w:r>
      <w:r w:rsidRPr="00A37595">
        <w:rPr>
          <w:noProof/>
        </w:rPr>
        <w:t xml:space="preserve"> directs a rule-maker to be satisfied that appropriate consultation, as is reasonably practicable, has been undertaken in relation to a proposed instrument. The ES which must acco</w:t>
      </w:r>
      <w:r>
        <w:rPr>
          <w:noProof/>
        </w:rPr>
        <w:t xml:space="preserve">mpany an instrument is required </w:t>
      </w:r>
      <w:r w:rsidRPr="00A37595">
        <w:rPr>
          <w:noProof/>
        </w:rPr>
        <w:t xml:space="preserve">to describe the nature of any consultation that has been carried out or, if there has been </w:t>
      </w:r>
      <w:r w:rsidRPr="00BE1190">
        <w:rPr>
          <w:noProof/>
        </w:rPr>
        <w:t>no consultation, to explain why none was undertaken (paragraphs 15J(2)(d) and (e)).</w:t>
      </w:r>
    </w:p>
    <w:p w:rsidR="00630D81" w:rsidRPr="00BE1190" w:rsidRDefault="00630D81" w:rsidP="00630D81">
      <w:pPr>
        <w:rPr>
          <w:noProof/>
        </w:rPr>
      </w:pPr>
      <w:r w:rsidRPr="005F0EE7">
        <w:rPr>
          <w:noProof/>
        </w:rPr>
        <w:t>With reference to these requirements, the commit</w:t>
      </w:r>
      <w:r>
        <w:rPr>
          <w:noProof/>
        </w:rPr>
        <w:t>tee notes that, under subsection </w:t>
      </w:r>
      <w:r w:rsidRPr="005F0EE7">
        <w:rPr>
          <w:noProof/>
        </w:rPr>
        <w:t xml:space="preserve">277(1) of the </w:t>
      </w:r>
      <w:r w:rsidRPr="005F0EE7">
        <w:rPr>
          <w:i/>
          <w:noProof/>
        </w:rPr>
        <w:t>Environment Protection and Biodi</w:t>
      </w:r>
      <w:r>
        <w:rPr>
          <w:i/>
          <w:noProof/>
        </w:rPr>
        <w:t>versity Conservation Act </w:t>
      </w:r>
      <w:r w:rsidRPr="005F0EE7">
        <w:rPr>
          <w:i/>
          <w:noProof/>
        </w:rPr>
        <w:t xml:space="preserve">1999 </w:t>
      </w:r>
      <w:r w:rsidRPr="005F0EE7">
        <w:rPr>
          <w:noProof/>
        </w:rPr>
        <w:t>(the Act), the minister must not adopt a r</w:t>
      </w:r>
      <w:r>
        <w:rPr>
          <w:noProof/>
        </w:rPr>
        <w:t>ecovery plan unless he or she i</w:t>
      </w:r>
      <w:r w:rsidRPr="005F0EE7">
        <w:rPr>
          <w:noProof/>
        </w:rPr>
        <w:t>s satisfied that an appropriate level of consultation was undertaken in the preparation of the plan. The ESs to the instruments state that the minister was satisfied that an appropriate level of consultation was undertaken in the preparation of the adopted plans.</w:t>
      </w:r>
    </w:p>
    <w:p w:rsidR="00630D81" w:rsidRDefault="00630D81" w:rsidP="00630D81">
      <w:pPr>
        <w:rPr>
          <w:noProof/>
        </w:rPr>
      </w:pPr>
      <w:r>
        <w:rPr>
          <w:noProof/>
        </w:rPr>
        <w:t>However, w</w:t>
      </w:r>
      <w:r w:rsidRPr="00A37595">
        <w:rPr>
          <w:noProof/>
        </w:rPr>
        <w:t>hile the committee does not interpret paragraphs</w:t>
      </w:r>
      <w:r>
        <w:rPr>
          <w:noProof/>
        </w:rPr>
        <w:t xml:space="preserve"> 15J(2)(d) and (e) of the </w:t>
      </w:r>
      <w:r w:rsidRPr="007A47B2">
        <w:rPr>
          <w:i/>
          <w:noProof/>
        </w:rPr>
        <w:t>Legislation Act 2003</w:t>
      </w:r>
      <w:r>
        <w:rPr>
          <w:noProof/>
        </w:rPr>
        <w:t xml:space="preserve"> as requiring </w:t>
      </w:r>
      <w:r w:rsidRPr="00A37595">
        <w:rPr>
          <w:noProof/>
        </w:rPr>
        <w:t xml:space="preserve">a highly detailed description of consultation </w:t>
      </w:r>
      <w:r w:rsidRPr="00A37595">
        <w:rPr>
          <w:noProof/>
        </w:rPr>
        <w:lastRenderedPageBreak/>
        <w:t xml:space="preserve">undertaken, </w:t>
      </w:r>
      <w:r>
        <w:rPr>
          <w:noProof/>
        </w:rPr>
        <w:t xml:space="preserve">the committee does not consider that </w:t>
      </w:r>
      <w:r w:rsidRPr="00A37595">
        <w:rPr>
          <w:noProof/>
        </w:rPr>
        <w:t xml:space="preserve">the general statement that the </w:t>
      </w:r>
      <w:r>
        <w:rPr>
          <w:noProof/>
        </w:rPr>
        <w:t>minister</w:t>
      </w:r>
      <w:r w:rsidRPr="00A37595">
        <w:rPr>
          <w:noProof/>
        </w:rPr>
        <w:t xml:space="preserve"> </w:t>
      </w:r>
      <w:r>
        <w:rPr>
          <w:noProof/>
        </w:rPr>
        <w:t>was satisfied that an appropriate level of consultation had occurred</w:t>
      </w:r>
      <w:r w:rsidRPr="00A37595">
        <w:rPr>
          <w:noProof/>
        </w:rPr>
        <w:t xml:space="preserve"> is sufficient to meet the requirement</w:t>
      </w:r>
      <w:r>
        <w:rPr>
          <w:noProof/>
        </w:rPr>
        <w:t xml:space="preserve"> that the ES describe the </w:t>
      </w:r>
      <w:r>
        <w:rPr>
          <w:i/>
          <w:noProof/>
        </w:rPr>
        <w:t>nature</w:t>
      </w:r>
      <w:r>
        <w:rPr>
          <w:noProof/>
        </w:rPr>
        <w:t xml:space="preserve"> of any consultation undertaken</w:t>
      </w:r>
      <w:r w:rsidRPr="00A37595">
        <w:rPr>
          <w:noProof/>
        </w:rPr>
        <w:t>.</w:t>
      </w:r>
    </w:p>
    <w:p w:rsidR="00630D81" w:rsidRPr="00A37595" w:rsidRDefault="00630D81" w:rsidP="00630D81">
      <w:pPr>
        <w:rPr>
          <w:noProof/>
        </w:rPr>
      </w:pPr>
      <w:r w:rsidRPr="00A37595">
        <w:rPr>
          <w:noProof/>
        </w:rPr>
        <w:t>The committee's expectation</w:t>
      </w:r>
      <w:r>
        <w:rPr>
          <w:noProof/>
        </w:rPr>
        <w:t xml:space="preserve">s in this regard are set out in </w:t>
      </w:r>
      <w:r w:rsidRPr="00A37595">
        <w:rPr>
          <w:noProof/>
        </w:rPr>
        <w:t xml:space="preserve">the guideline on consultation contained in Appendix 2. </w:t>
      </w:r>
    </w:p>
    <w:p w:rsidR="00630D81" w:rsidRDefault="00630D81" w:rsidP="00630D81">
      <w:pPr>
        <w:rPr>
          <w:b/>
          <w:noProof/>
        </w:rPr>
      </w:pPr>
      <w:r w:rsidRPr="00A37595">
        <w:rPr>
          <w:b/>
          <w:noProof/>
        </w:rPr>
        <w:t>The committee requests the advice of the minister in relation to this matter; and requests that the ES</w:t>
      </w:r>
      <w:r>
        <w:rPr>
          <w:b/>
          <w:noProof/>
        </w:rPr>
        <w:t>s for each instrument</w:t>
      </w:r>
      <w:r w:rsidRPr="00A37595">
        <w:rPr>
          <w:b/>
          <w:noProof/>
        </w:rPr>
        <w:t xml:space="preserve"> be updated in accordance with the requirements of the </w:t>
      </w:r>
      <w:r w:rsidRPr="00A37595">
        <w:rPr>
          <w:b/>
          <w:i/>
          <w:noProof/>
        </w:rPr>
        <w:t>Legislation Act 2003</w:t>
      </w:r>
      <w:r w:rsidRPr="00A37595">
        <w:rPr>
          <w:b/>
          <w:noProof/>
        </w:rPr>
        <w:t>.</w:t>
      </w:r>
    </w:p>
    <w:p w:rsidR="00630D81" w:rsidRDefault="00630D81" w:rsidP="00630D81">
      <w:pPr>
        <w:rPr>
          <w:noProof/>
        </w:rPr>
      </w:pPr>
    </w:p>
    <w:tbl>
      <w:tblPr>
        <w:tblW w:w="0" w:type="auto"/>
        <w:tblInd w:w="108" w:type="dxa"/>
        <w:tblLook w:val="04A0" w:firstRow="1" w:lastRow="0" w:firstColumn="1" w:lastColumn="0" w:noHBand="0" w:noVBand="1"/>
      </w:tblPr>
      <w:tblGrid>
        <w:gridCol w:w="2694"/>
        <w:gridCol w:w="6378"/>
      </w:tblGrid>
      <w:tr w:rsidR="00630D81" w:rsidRPr="00E96B65" w:rsidTr="00630D81">
        <w:tc>
          <w:tcPr>
            <w:tcW w:w="2694" w:type="dxa"/>
            <w:tcBorders>
              <w:top w:val="single" w:sz="12" w:space="0" w:color="auto"/>
              <w:right w:val="single" w:sz="12" w:space="0" w:color="auto"/>
            </w:tcBorders>
          </w:tcPr>
          <w:p w:rsidR="00630D81" w:rsidRPr="00E96B65" w:rsidRDefault="00630D81" w:rsidP="00630D81">
            <w:pPr>
              <w:rPr>
                <w:b/>
                <w:sz w:val="24"/>
                <w:szCs w:val="24"/>
              </w:rPr>
            </w:pPr>
            <w:r w:rsidRPr="00E96B65">
              <w:rPr>
                <w:b/>
                <w:sz w:val="24"/>
                <w:szCs w:val="24"/>
              </w:rPr>
              <w:t>Instrument</w:t>
            </w:r>
          </w:p>
        </w:tc>
        <w:tc>
          <w:tcPr>
            <w:tcW w:w="6378" w:type="dxa"/>
            <w:tcBorders>
              <w:top w:val="single" w:sz="12" w:space="0" w:color="auto"/>
              <w:left w:val="single" w:sz="12" w:space="0" w:color="auto"/>
            </w:tcBorders>
          </w:tcPr>
          <w:p w:rsidR="00630D81" w:rsidRPr="00E96B65" w:rsidRDefault="00630D81" w:rsidP="00630D81">
            <w:pPr>
              <w:pStyle w:val="Heading3"/>
              <w:rPr>
                <w:sz w:val="24"/>
                <w:szCs w:val="24"/>
              </w:rPr>
            </w:pPr>
            <w:r w:rsidRPr="00E96B65">
              <w:rPr>
                <w:noProof/>
                <w:sz w:val="24"/>
                <w:szCs w:val="24"/>
              </w:rPr>
              <w:t>Financial Framework (Supplementary Powers) Amendment (Health Measures No. 3) Regulation 2016 [</w:t>
            </w:r>
            <w:bookmarkStart w:id="25" w:name="OLE_LINK14"/>
            <w:r w:rsidRPr="00E96B65">
              <w:rPr>
                <w:noProof/>
                <w:sz w:val="24"/>
                <w:szCs w:val="24"/>
              </w:rPr>
              <w:t>F2016L00686</w:t>
            </w:r>
            <w:bookmarkEnd w:id="25"/>
            <w:r w:rsidRPr="00E96B65">
              <w:rPr>
                <w:noProof/>
                <w:sz w:val="24"/>
                <w:szCs w:val="24"/>
              </w:rPr>
              <w:t>]</w:t>
            </w:r>
          </w:p>
        </w:tc>
      </w:tr>
      <w:tr w:rsidR="00630D81" w:rsidRPr="00E96B65" w:rsidTr="00630D81">
        <w:tc>
          <w:tcPr>
            <w:tcW w:w="2694" w:type="dxa"/>
            <w:tcBorders>
              <w:right w:val="single" w:sz="12" w:space="0" w:color="auto"/>
            </w:tcBorders>
          </w:tcPr>
          <w:p w:rsidR="00630D81" w:rsidRPr="00E96B65" w:rsidRDefault="00630D81" w:rsidP="00630D81">
            <w:pPr>
              <w:rPr>
                <w:b/>
                <w:sz w:val="24"/>
                <w:szCs w:val="24"/>
              </w:rPr>
            </w:pPr>
            <w:r w:rsidRPr="00E96B65">
              <w:rPr>
                <w:b/>
                <w:sz w:val="24"/>
                <w:szCs w:val="24"/>
              </w:rPr>
              <w:t>Purpose</w:t>
            </w:r>
          </w:p>
        </w:tc>
        <w:tc>
          <w:tcPr>
            <w:tcW w:w="6378" w:type="dxa"/>
            <w:tcBorders>
              <w:left w:val="single" w:sz="12" w:space="0" w:color="auto"/>
            </w:tcBorders>
          </w:tcPr>
          <w:p w:rsidR="00630D81" w:rsidRPr="00E96B65" w:rsidRDefault="00630D81" w:rsidP="00630D81">
            <w:pPr>
              <w:rPr>
                <w:sz w:val="24"/>
                <w:szCs w:val="24"/>
              </w:rPr>
            </w:pPr>
            <w:r>
              <w:rPr>
                <w:noProof/>
                <w:sz w:val="24"/>
                <w:szCs w:val="24"/>
              </w:rPr>
              <w:t>A</w:t>
            </w:r>
            <w:r w:rsidRPr="00E96B65">
              <w:rPr>
                <w:noProof/>
                <w:sz w:val="24"/>
                <w:szCs w:val="24"/>
              </w:rPr>
              <w:t>mends the Financial Framework (Supplementary Powers) Regulations 1997 to establish legislative authority for spending activities administered by the Department of Health</w:t>
            </w:r>
          </w:p>
        </w:tc>
      </w:tr>
      <w:tr w:rsidR="00630D81" w:rsidRPr="00E96B65" w:rsidTr="00630D81">
        <w:tc>
          <w:tcPr>
            <w:tcW w:w="2694" w:type="dxa"/>
            <w:tcBorders>
              <w:right w:val="single" w:sz="12" w:space="0" w:color="auto"/>
            </w:tcBorders>
          </w:tcPr>
          <w:p w:rsidR="00630D81" w:rsidRPr="00E96B65" w:rsidRDefault="00630D81" w:rsidP="00630D81">
            <w:pPr>
              <w:rPr>
                <w:b/>
                <w:sz w:val="24"/>
                <w:szCs w:val="24"/>
              </w:rPr>
            </w:pPr>
            <w:r w:rsidRPr="00E96B65">
              <w:rPr>
                <w:b/>
                <w:sz w:val="24"/>
                <w:szCs w:val="24"/>
              </w:rPr>
              <w:t>Last day to disallow</w:t>
            </w:r>
          </w:p>
        </w:tc>
        <w:tc>
          <w:tcPr>
            <w:tcW w:w="6378" w:type="dxa"/>
            <w:tcBorders>
              <w:left w:val="single" w:sz="12" w:space="0" w:color="auto"/>
            </w:tcBorders>
          </w:tcPr>
          <w:p w:rsidR="00630D81" w:rsidRPr="00E96B65" w:rsidRDefault="00630D81" w:rsidP="00630D81">
            <w:pPr>
              <w:rPr>
                <w:sz w:val="24"/>
                <w:szCs w:val="24"/>
              </w:rPr>
            </w:pPr>
            <w:r>
              <w:rPr>
                <w:sz w:val="24"/>
                <w:szCs w:val="24"/>
              </w:rPr>
              <w:t>21 November 2016</w:t>
            </w:r>
          </w:p>
        </w:tc>
      </w:tr>
      <w:tr w:rsidR="00630D81" w:rsidRPr="00E96B65" w:rsidTr="00630D81">
        <w:tc>
          <w:tcPr>
            <w:tcW w:w="2694" w:type="dxa"/>
            <w:tcBorders>
              <w:right w:val="single" w:sz="12" w:space="0" w:color="auto"/>
            </w:tcBorders>
          </w:tcPr>
          <w:p w:rsidR="00630D81" w:rsidRPr="00E96B65" w:rsidRDefault="00630D81" w:rsidP="00630D81">
            <w:pPr>
              <w:rPr>
                <w:b/>
                <w:sz w:val="24"/>
                <w:szCs w:val="24"/>
              </w:rPr>
            </w:pPr>
            <w:r w:rsidRPr="00E96B65">
              <w:rPr>
                <w:b/>
                <w:sz w:val="24"/>
                <w:szCs w:val="24"/>
              </w:rPr>
              <w:t>Authorising legislation</w:t>
            </w:r>
          </w:p>
        </w:tc>
        <w:tc>
          <w:tcPr>
            <w:tcW w:w="6378" w:type="dxa"/>
            <w:tcBorders>
              <w:left w:val="single" w:sz="12" w:space="0" w:color="auto"/>
            </w:tcBorders>
          </w:tcPr>
          <w:p w:rsidR="00630D81" w:rsidRPr="00E96B65" w:rsidRDefault="00630D81" w:rsidP="00630D81">
            <w:pPr>
              <w:rPr>
                <w:i/>
                <w:sz w:val="24"/>
                <w:szCs w:val="24"/>
              </w:rPr>
            </w:pPr>
            <w:r w:rsidRPr="00E96B65">
              <w:rPr>
                <w:i/>
                <w:noProof/>
                <w:sz w:val="24"/>
                <w:szCs w:val="24"/>
              </w:rPr>
              <w:t>Financial Framework (Supplementary Powers) Act 1997</w:t>
            </w:r>
          </w:p>
        </w:tc>
      </w:tr>
      <w:tr w:rsidR="00630D81" w:rsidRPr="00E96B65" w:rsidTr="00630D81">
        <w:tc>
          <w:tcPr>
            <w:tcW w:w="2694" w:type="dxa"/>
            <w:tcBorders>
              <w:right w:val="single" w:sz="12" w:space="0" w:color="auto"/>
            </w:tcBorders>
          </w:tcPr>
          <w:p w:rsidR="00630D81" w:rsidRPr="00E96B65" w:rsidRDefault="00630D81" w:rsidP="00630D81">
            <w:pPr>
              <w:rPr>
                <w:b/>
                <w:sz w:val="24"/>
                <w:szCs w:val="24"/>
              </w:rPr>
            </w:pPr>
            <w:r w:rsidRPr="00E96B65">
              <w:rPr>
                <w:b/>
                <w:sz w:val="24"/>
                <w:szCs w:val="24"/>
              </w:rPr>
              <w:t>Department</w:t>
            </w:r>
          </w:p>
        </w:tc>
        <w:tc>
          <w:tcPr>
            <w:tcW w:w="6378" w:type="dxa"/>
            <w:tcBorders>
              <w:left w:val="single" w:sz="12" w:space="0" w:color="auto"/>
            </w:tcBorders>
          </w:tcPr>
          <w:p w:rsidR="00630D81" w:rsidRPr="00E96B65" w:rsidRDefault="00630D81" w:rsidP="00630D81">
            <w:pPr>
              <w:rPr>
                <w:sz w:val="24"/>
                <w:szCs w:val="24"/>
              </w:rPr>
            </w:pPr>
            <w:r w:rsidRPr="00E96B65">
              <w:rPr>
                <w:noProof/>
                <w:sz w:val="24"/>
                <w:szCs w:val="24"/>
              </w:rPr>
              <w:t>Finance</w:t>
            </w:r>
          </w:p>
        </w:tc>
      </w:tr>
      <w:tr w:rsidR="00630D81" w:rsidRPr="00E96B65" w:rsidTr="00630D81">
        <w:tc>
          <w:tcPr>
            <w:tcW w:w="2694" w:type="dxa"/>
            <w:tcBorders>
              <w:bottom w:val="single" w:sz="12" w:space="0" w:color="auto"/>
              <w:right w:val="single" w:sz="12" w:space="0" w:color="auto"/>
            </w:tcBorders>
          </w:tcPr>
          <w:p w:rsidR="00630D81" w:rsidRPr="00E96B65" w:rsidRDefault="00630D81" w:rsidP="00630D81">
            <w:pPr>
              <w:rPr>
                <w:b/>
                <w:sz w:val="24"/>
                <w:szCs w:val="24"/>
              </w:rPr>
            </w:pPr>
            <w:r w:rsidRPr="00E96B65">
              <w:rPr>
                <w:b/>
                <w:sz w:val="24"/>
                <w:szCs w:val="24"/>
              </w:rPr>
              <w:t>Scrutiny principle</w:t>
            </w:r>
          </w:p>
        </w:tc>
        <w:tc>
          <w:tcPr>
            <w:tcW w:w="6378" w:type="dxa"/>
            <w:tcBorders>
              <w:left w:val="single" w:sz="12" w:space="0" w:color="auto"/>
              <w:bottom w:val="single" w:sz="12" w:space="0" w:color="auto"/>
            </w:tcBorders>
          </w:tcPr>
          <w:p w:rsidR="00630D81" w:rsidRPr="00E96B65" w:rsidRDefault="00630D81" w:rsidP="00630D81">
            <w:pPr>
              <w:rPr>
                <w:sz w:val="24"/>
                <w:szCs w:val="24"/>
              </w:rPr>
            </w:pPr>
            <w:r w:rsidRPr="00E96B65">
              <w:rPr>
                <w:sz w:val="24"/>
                <w:szCs w:val="24"/>
              </w:rPr>
              <w:t>Standing Order 23(3)</w:t>
            </w:r>
            <w:r w:rsidRPr="00E96B65">
              <w:rPr>
                <w:noProof/>
                <w:sz w:val="24"/>
                <w:szCs w:val="24"/>
              </w:rPr>
              <w:t>(a)</w:t>
            </w:r>
          </w:p>
        </w:tc>
      </w:tr>
    </w:tbl>
    <w:p w:rsidR="00630D81" w:rsidRPr="00E96B65" w:rsidRDefault="00630D81" w:rsidP="00630D81"/>
    <w:p w:rsidR="00630D81" w:rsidRDefault="00630D81" w:rsidP="00630D81">
      <w:pPr>
        <w:rPr>
          <w:b/>
          <w:noProof/>
        </w:rPr>
      </w:pPr>
      <w:r w:rsidRPr="00E96B65">
        <w:rPr>
          <w:b/>
          <w:noProof/>
        </w:rPr>
        <w:t>Addition of matter</w:t>
      </w:r>
      <w:r>
        <w:rPr>
          <w:b/>
          <w:noProof/>
        </w:rPr>
        <w:t>s</w:t>
      </w:r>
      <w:r w:rsidRPr="00E96B65">
        <w:rPr>
          <w:b/>
          <w:noProof/>
        </w:rPr>
        <w:t xml:space="preserve"> to schedule 1AB of the Financial Framework (Supplementary Powers) Regulations 1997</w:t>
      </w:r>
      <w:r>
        <w:rPr>
          <w:b/>
          <w:noProof/>
        </w:rPr>
        <w:t xml:space="preserve"> (c</w:t>
      </w:r>
      <w:r w:rsidRPr="00E96B65">
        <w:rPr>
          <w:b/>
          <w:noProof/>
        </w:rPr>
        <w:t>onstitutional authority for expenditure</w:t>
      </w:r>
      <w:r>
        <w:rPr>
          <w:b/>
          <w:noProof/>
        </w:rPr>
        <w:t>)</w:t>
      </w:r>
    </w:p>
    <w:p w:rsidR="00630D81" w:rsidRDefault="00630D81" w:rsidP="00630D81">
      <w:pPr>
        <w:rPr>
          <w:noProof/>
        </w:rPr>
      </w:pPr>
      <w:r w:rsidRPr="00B52F4B">
        <w:rPr>
          <w:noProof/>
        </w:rPr>
        <w:t>Scrutiny principle 23(3)(a) of the committe</w:t>
      </w:r>
      <w:r>
        <w:rPr>
          <w:noProof/>
        </w:rPr>
        <w:t xml:space="preserve">e's terms of reference requires </w:t>
      </w:r>
      <w:r w:rsidRPr="00B52F4B">
        <w:rPr>
          <w:noProof/>
        </w:rPr>
        <w:t>the committee to ensure that an instrument is m</w:t>
      </w:r>
      <w:r>
        <w:rPr>
          <w:noProof/>
        </w:rPr>
        <w:t xml:space="preserve">ade in accordance with statute. </w:t>
      </w:r>
      <w:r w:rsidRPr="00B52F4B">
        <w:rPr>
          <w:noProof/>
        </w:rPr>
        <w:t>This principle requires that instruments are made in accordance with their authorising Act as well as any constitutional or other applicable legal requirements.</w:t>
      </w:r>
    </w:p>
    <w:p w:rsidR="00630D81" w:rsidRDefault="00630D81" w:rsidP="00630D81">
      <w:pPr>
        <w:rPr>
          <w:noProof/>
        </w:rPr>
      </w:pPr>
      <w:r>
        <w:rPr>
          <w:noProof/>
        </w:rPr>
        <w:t xml:space="preserve">The committee notes that, in </w:t>
      </w:r>
      <w:r>
        <w:rPr>
          <w:i/>
          <w:noProof/>
        </w:rPr>
        <w:t>Williams No. 2</w:t>
      </w:r>
      <w:r>
        <w:rPr>
          <w:noProof/>
        </w:rPr>
        <w:t>,</w:t>
      </w:r>
      <w:r w:rsidRPr="00280828">
        <w:rPr>
          <w:rStyle w:val="FootnoteReference"/>
          <w:noProof/>
        </w:rPr>
        <w:footnoteReference w:id="10"/>
      </w:r>
      <w:r>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DC779B">
        <w:rPr>
          <w:i/>
          <w:noProof/>
        </w:rPr>
        <w:t>Financial Framework (Supplementary Powers) Act</w:t>
      </w:r>
      <w:r>
        <w:rPr>
          <w:i/>
          <w:noProof/>
        </w:rPr>
        <w:t> </w:t>
      </w:r>
      <w:r w:rsidRPr="00DC779B">
        <w:rPr>
          <w:i/>
          <w:noProof/>
        </w:rPr>
        <w:t>1997</w:t>
      </w:r>
      <w:r>
        <w:rPr>
          <w:noProof/>
        </w:rPr>
        <w:t xml:space="preserve"> explicitly state, for each new program, the constitutional authority for the expenditure. </w:t>
      </w:r>
    </w:p>
    <w:p w:rsidR="00630D81" w:rsidRDefault="00630D81" w:rsidP="00630D81">
      <w:pPr>
        <w:rPr>
          <w:noProof/>
        </w:rPr>
      </w:pPr>
      <w:r>
        <w:rPr>
          <w:noProof/>
        </w:rPr>
        <w:lastRenderedPageBreak/>
        <w:t xml:space="preserve">The </w:t>
      </w:r>
      <w:r w:rsidRPr="00D81BF3">
        <w:rPr>
          <w:noProof/>
        </w:rPr>
        <w:t>Financial Framework (Supplementary Powers) Amendment (Health Measures No. 3) Regulation 2016 [F2016L00686]</w:t>
      </w:r>
      <w:r>
        <w:rPr>
          <w:noProof/>
        </w:rPr>
        <w:t xml:space="preserve"> (the regulation) adds two new items to Part 4 of Schedule 1AB to the Financial Framework (Supplementary Powers) Regulations 1997 to establish legislative authority for spending in relation to these items. New table item 162 establishes legislative authority for the Commonwealth government to fund the </w:t>
      </w:r>
      <w:r w:rsidRPr="0050737A">
        <w:rPr>
          <w:noProof/>
        </w:rPr>
        <w:t>Biomedical Translation Fund</w:t>
      </w:r>
      <w:r>
        <w:rPr>
          <w:noProof/>
        </w:rPr>
        <w:t>.</w:t>
      </w:r>
    </w:p>
    <w:p w:rsidR="00630D81" w:rsidRDefault="00630D81" w:rsidP="00630D81">
      <w:pPr>
        <w:rPr>
          <w:noProof/>
        </w:rPr>
      </w:pPr>
      <w:r>
        <w:rPr>
          <w:noProof/>
        </w:rPr>
        <w:t>T</w:t>
      </w:r>
      <w:r w:rsidRPr="00B52F4B">
        <w:rPr>
          <w:noProof/>
        </w:rPr>
        <w:t xml:space="preserve">he objective of the </w:t>
      </w:r>
      <w:r w:rsidRPr="0050737A">
        <w:rPr>
          <w:noProof/>
        </w:rPr>
        <w:t>Biomedical Translation Fund</w:t>
      </w:r>
      <w:r w:rsidRPr="00B52F4B">
        <w:rPr>
          <w:noProof/>
        </w:rPr>
        <w:t xml:space="preserve"> is</w:t>
      </w:r>
      <w:r>
        <w:rPr>
          <w:noProof/>
        </w:rPr>
        <w:t>:</w:t>
      </w:r>
      <w:r w:rsidRPr="00B52F4B">
        <w:rPr>
          <w:noProof/>
        </w:rPr>
        <w:t xml:space="preserve"> </w:t>
      </w:r>
    </w:p>
    <w:p w:rsidR="00630D81" w:rsidRPr="0050737A" w:rsidRDefault="00630D81" w:rsidP="00630D81">
      <w:pPr>
        <w:pStyle w:val="Quote"/>
        <w:spacing w:after="0"/>
        <w:rPr>
          <w:noProof/>
        </w:rPr>
      </w:pPr>
      <w:r w:rsidRPr="0050737A">
        <w:rPr>
          <w:noProof/>
        </w:rPr>
        <w:t>To invest in promising biomedical discoveries and assist in their commercialisation, and to encourage the development of companies that are commercialising biomedical research and development, as measures:</w:t>
      </w:r>
    </w:p>
    <w:p w:rsidR="00630D81" w:rsidRPr="0050737A" w:rsidRDefault="00630D81" w:rsidP="00630D81">
      <w:pPr>
        <w:pStyle w:val="Quote"/>
        <w:numPr>
          <w:ilvl w:val="0"/>
          <w:numId w:val="45"/>
        </w:numPr>
        <w:spacing w:after="0"/>
        <w:rPr>
          <w:noProof/>
        </w:rPr>
      </w:pPr>
      <w:r w:rsidRPr="0050737A">
        <w:rPr>
          <w:noProof/>
        </w:rPr>
        <w:t>with respect to the provision of medical and dental services; or</w:t>
      </w:r>
    </w:p>
    <w:p w:rsidR="00630D81" w:rsidRPr="0050737A" w:rsidRDefault="00630D81" w:rsidP="00630D81">
      <w:pPr>
        <w:pStyle w:val="Quote"/>
        <w:numPr>
          <w:ilvl w:val="0"/>
          <w:numId w:val="45"/>
        </w:numPr>
        <w:spacing w:after="0"/>
        <w:rPr>
          <w:noProof/>
        </w:rPr>
      </w:pPr>
      <w:r w:rsidRPr="0050737A">
        <w:rPr>
          <w:noProof/>
        </w:rPr>
        <w:t>to give effect to Australia’s obligations under the International Covenant on Economic, Social and Cultural Rights, particularly Articles 2 and 12; or</w:t>
      </w:r>
    </w:p>
    <w:p w:rsidR="00630D81" w:rsidRPr="0050737A" w:rsidRDefault="00630D81" w:rsidP="00630D81">
      <w:pPr>
        <w:pStyle w:val="Quote"/>
        <w:numPr>
          <w:ilvl w:val="0"/>
          <w:numId w:val="45"/>
        </w:numPr>
        <w:spacing w:after="0"/>
        <w:rPr>
          <w:noProof/>
        </w:rPr>
      </w:pPr>
      <w:r w:rsidRPr="0050737A">
        <w:rPr>
          <w:noProof/>
        </w:rPr>
        <w:t>that are peculiarly adapted to the government of a nation and cannot otherwise be carried on for the benefit of the nation.</w:t>
      </w:r>
    </w:p>
    <w:p w:rsidR="00630D81" w:rsidRDefault="00630D81" w:rsidP="00630D81">
      <w:pPr>
        <w:rPr>
          <w:noProof/>
        </w:rPr>
      </w:pPr>
      <w:r w:rsidRPr="00B52F4B">
        <w:rPr>
          <w:noProof/>
        </w:rPr>
        <w:t xml:space="preserve">The ES for the </w:t>
      </w:r>
      <w:r>
        <w:rPr>
          <w:noProof/>
        </w:rPr>
        <w:t xml:space="preserve">regulation </w:t>
      </w:r>
      <w:r w:rsidRPr="00B52F4B">
        <w:rPr>
          <w:noProof/>
        </w:rPr>
        <w:t>identifies the constitutional basis for expenditure in relation to this initiative as follows:</w:t>
      </w:r>
    </w:p>
    <w:p w:rsidR="00630D81" w:rsidRPr="0050737A" w:rsidRDefault="00630D81" w:rsidP="00630D81">
      <w:pPr>
        <w:pStyle w:val="Quote"/>
        <w:spacing w:after="0"/>
      </w:pPr>
      <w:r w:rsidRPr="0050737A">
        <w:t>Noting that it is not a comprehensive statement of relevant constitutional considerations, the objective of the item references the following powers of the Constitution:</w:t>
      </w:r>
    </w:p>
    <w:p w:rsidR="00630D81" w:rsidRPr="0050737A" w:rsidRDefault="00630D81" w:rsidP="00630D81">
      <w:pPr>
        <w:pStyle w:val="Quote"/>
        <w:numPr>
          <w:ilvl w:val="0"/>
          <w:numId w:val="46"/>
        </w:numPr>
        <w:spacing w:after="0"/>
      </w:pPr>
      <w:r w:rsidRPr="0050737A">
        <w:t>the social welfare power (section 51(xxiiiA));</w:t>
      </w:r>
    </w:p>
    <w:p w:rsidR="00630D81" w:rsidRPr="0050737A" w:rsidRDefault="00630D81" w:rsidP="00630D81">
      <w:pPr>
        <w:pStyle w:val="Quote"/>
        <w:numPr>
          <w:ilvl w:val="0"/>
          <w:numId w:val="46"/>
        </w:numPr>
        <w:spacing w:after="0"/>
      </w:pPr>
      <w:r w:rsidRPr="0050737A">
        <w:t>the external affairs power (section 51(xxix)); and</w:t>
      </w:r>
    </w:p>
    <w:p w:rsidR="00630D81" w:rsidRPr="00E96B65" w:rsidRDefault="00630D81" w:rsidP="00630D81">
      <w:pPr>
        <w:pStyle w:val="Quote"/>
        <w:numPr>
          <w:ilvl w:val="0"/>
          <w:numId w:val="46"/>
        </w:numPr>
        <w:spacing w:after="0"/>
      </w:pPr>
      <w:r w:rsidRPr="0050737A">
        <w:t xml:space="preserve">the Commonwealth executive power and express incidental power </w:t>
      </w:r>
      <w:r w:rsidRPr="00E96B65">
        <w:t>(section 61 and section 51(xxxix)).</w:t>
      </w:r>
    </w:p>
    <w:p w:rsidR="00630D81" w:rsidRPr="00E96B65" w:rsidRDefault="00630D81" w:rsidP="00630D81">
      <w:pPr>
        <w:rPr>
          <w:noProof/>
        </w:rPr>
      </w:pPr>
      <w:r>
        <w:rPr>
          <w:noProof/>
        </w:rPr>
        <w:t>T</w:t>
      </w:r>
      <w:r w:rsidRPr="00E96B65">
        <w:rPr>
          <w:noProof/>
        </w:rPr>
        <w:t xml:space="preserve">he </w:t>
      </w:r>
      <w:r>
        <w:rPr>
          <w:noProof/>
        </w:rPr>
        <w:t xml:space="preserve">regulation thus </w:t>
      </w:r>
      <w:r w:rsidRPr="00E96B65">
        <w:rPr>
          <w:noProof/>
        </w:rPr>
        <w:t>appears to rely on the social welfare power, the external affairs power and the Commonwealth executive power and express incidental power as the relevant heads of legislative power to authorise</w:t>
      </w:r>
      <w:r>
        <w:rPr>
          <w:noProof/>
        </w:rPr>
        <w:t xml:space="preserve"> the addition of the items to Schedule 1AB </w:t>
      </w:r>
      <w:r w:rsidRPr="00E96B65">
        <w:rPr>
          <w:noProof/>
        </w:rPr>
        <w:t xml:space="preserve">(and therefore the spending of public money under them). </w:t>
      </w:r>
    </w:p>
    <w:p w:rsidR="00630D81" w:rsidRPr="00E96B65" w:rsidRDefault="00630D81" w:rsidP="00630D81">
      <w:pPr>
        <w:rPr>
          <w:noProof/>
        </w:rPr>
      </w:pPr>
      <w:r w:rsidRPr="00E96B65">
        <w:rPr>
          <w:noProof/>
        </w:rPr>
        <w:t xml:space="preserve">However, in relation to the social welfare power, it is unclear to the committee how the funding of a venture capital program directed to the commericalisation of biomedical research is sufficiently connected to the </w:t>
      </w:r>
      <w:r w:rsidRPr="00635049">
        <w:rPr>
          <w:noProof/>
        </w:rPr>
        <w:t>provision</w:t>
      </w:r>
      <w:r w:rsidRPr="00690005">
        <w:rPr>
          <w:noProof/>
        </w:rPr>
        <w:t xml:space="preserve"> </w:t>
      </w:r>
      <w:r w:rsidRPr="00E96B65">
        <w:rPr>
          <w:noProof/>
        </w:rPr>
        <w:t>of medical and dental services so as to be authorised by this head of legislative power.</w:t>
      </w:r>
      <w:r>
        <w:rPr>
          <w:noProof/>
        </w:rPr>
        <w:t xml:space="preserve"> </w:t>
      </w:r>
    </w:p>
    <w:p w:rsidR="00630D81" w:rsidRPr="00E96B65" w:rsidRDefault="00630D81" w:rsidP="00630D81">
      <w:pPr>
        <w:rPr>
          <w:noProof/>
        </w:rPr>
      </w:pPr>
      <w:r w:rsidRPr="00E96B65">
        <w:rPr>
          <w:noProof/>
        </w:rPr>
        <w:t>In relation to the external affairs power, the committee understands that, in order to rely on the power in connection with obligations under international treaties, legislation must be appropriately adapted to implement relatively precise obligations arising under that treaty.</w:t>
      </w:r>
      <w:r>
        <w:rPr>
          <w:rStyle w:val="FootnoteReference"/>
          <w:noProof/>
        </w:rPr>
        <w:footnoteReference w:id="11"/>
      </w:r>
      <w:r w:rsidRPr="00E96B65">
        <w:rPr>
          <w:noProof/>
        </w:rPr>
        <w:t xml:space="preserve"> </w:t>
      </w:r>
      <w:r>
        <w:rPr>
          <w:noProof/>
        </w:rPr>
        <w:t>T</w:t>
      </w:r>
      <w:r w:rsidRPr="00E96B65">
        <w:rPr>
          <w:noProof/>
        </w:rPr>
        <w:t>he committee</w:t>
      </w:r>
      <w:r>
        <w:rPr>
          <w:noProof/>
        </w:rPr>
        <w:t xml:space="preserve"> therefore </w:t>
      </w:r>
      <w:r w:rsidRPr="00E96B65">
        <w:rPr>
          <w:noProof/>
        </w:rPr>
        <w:t>expect</w:t>
      </w:r>
      <w:r>
        <w:rPr>
          <w:noProof/>
        </w:rPr>
        <w:t>s</w:t>
      </w:r>
      <w:r w:rsidRPr="00E96B65">
        <w:rPr>
          <w:noProof/>
        </w:rPr>
        <w:t xml:space="preserve"> that the specific articles of international treaties </w:t>
      </w:r>
      <w:r>
        <w:rPr>
          <w:noProof/>
        </w:rPr>
        <w:t xml:space="preserve">being relied on </w:t>
      </w:r>
      <w:r w:rsidRPr="00E96B65">
        <w:rPr>
          <w:noProof/>
        </w:rPr>
        <w:t xml:space="preserve">are referenced and explained in either the instrument or the ES. </w:t>
      </w:r>
      <w:r>
        <w:rPr>
          <w:noProof/>
        </w:rPr>
        <w:t>However, w</w:t>
      </w:r>
      <w:r w:rsidRPr="00E96B65">
        <w:rPr>
          <w:noProof/>
        </w:rPr>
        <w:t xml:space="preserve">hile the </w:t>
      </w:r>
      <w:r>
        <w:rPr>
          <w:noProof/>
        </w:rPr>
        <w:t xml:space="preserve">regulation states that it is </w:t>
      </w:r>
      <w:r w:rsidRPr="00E96B65">
        <w:rPr>
          <w:noProof/>
        </w:rPr>
        <w:t xml:space="preserve">giving effect to Australia's obligations under Articles 2 and 12 of </w:t>
      </w:r>
      <w:r>
        <w:rPr>
          <w:noProof/>
        </w:rPr>
        <w:t xml:space="preserve">the </w:t>
      </w:r>
      <w:r w:rsidRPr="00E96B65">
        <w:rPr>
          <w:noProof/>
        </w:rPr>
        <w:t xml:space="preserve">International Covenant on </w:t>
      </w:r>
      <w:r w:rsidRPr="00E96B65">
        <w:rPr>
          <w:noProof/>
        </w:rPr>
        <w:lastRenderedPageBreak/>
        <w:t xml:space="preserve">Economic, Social and Cultural Rights, </w:t>
      </w:r>
      <w:r>
        <w:rPr>
          <w:noProof/>
        </w:rPr>
        <w:t xml:space="preserve">it </w:t>
      </w:r>
      <w:r w:rsidRPr="00E96B65">
        <w:rPr>
          <w:noProof/>
        </w:rPr>
        <w:t xml:space="preserve">does not explain how the </w:t>
      </w:r>
      <w:r>
        <w:rPr>
          <w:noProof/>
        </w:rPr>
        <w:t xml:space="preserve">regulation </w:t>
      </w:r>
      <w:r w:rsidRPr="00E96B65">
        <w:rPr>
          <w:noProof/>
        </w:rPr>
        <w:t>is appropriately adapted to implement specific obligations under these articles.</w:t>
      </w:r>
    </w:p>
    <w:p w:rsidR="00630D81" w:rsidRDefault="00630D81" w:rsidP="00630D81">
      <w:r w:rsidRPr="00E96B65">
        <w:t>With respect to the Commonwealth executive powe</w:t>
      </w:r>
      <w:r>
        <w:t xml:space="preserve">r and express incidental power, </w:t>
      </w:r>
      <w:r w:rsidRPr="00E96B65">
        <w:t>it is unclear to the committee how the funding of the initiative may be regarded as an activity that is 'peculiarly adapted to the governme</w:t>
      </w:r>
      <w:r>
        <w:t xml:space="preserve">nt of a nation' and as not able </w:t>
      </w:r>
      <w:r w:rsidRPr="00E96B65">
        <w:t>to otherwise be 'carried on for the benefit of the nation'.</w:t>
      </w:r>
      <w:r>
        <w:rPr>
          <w:rStyle w:val="FootnoteReference"/>
        </w:rPr>
        <w:footnoteReference w:id="12"/>
      </w:r>
      <w:r>
        <w:t xml:space="preserve"> </w:t>
      </w:r>
    </w:p>
    <w:p w:rsidR="00630D81" w:rsidRDefault="00630D81" w:rsidP="00630D81">
      <w:pPr>
        <w:rPr>
          <w:b/>
        </w:rPr>
      </w:pPr>
      <w:r w:rsidRPr="00067650">
        <w:rPr>
          <w:b/>
        </w:rPr>
        <w:t xml:space="preserve">The committee </w:t>
      </w:r>
      <w:r>
        <w:rPr>
          <w:b/>
        </w:rPr>
        <w:t xml:space="preserve">requests the advice of </w:t>
      </w:r>
      <w:r w:rsidRPr="00067650">
        <w:rPr>
          <w:b/>
        </w:rPr>
        <w:t>the minister</w:t>
      </w:r>
      <w:r>
        <w:rPr>
          <w:b/>
        </w:rPr>
        <w:t xml:space="preserve"> in relation to this matter.</w:t>
      </w:r>
    </w:p>
    <w:p w:rsidR="00630D81" w:rsidRDefault="00630D81" w:rsidP="00630D81">
      <w:pPr>
        <w:pStyle w:val="Bullet1"/>
        <w:numPr>
          <w:ilvl w:val="0"/>
          <w:numId w:val="0"/>
        </w:numPr>
        <w:spacing w:before="120"/>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noProof/>
              </w:rPr>
              <w:br w:type="page"/>
            </w: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2875FC">
              <w:rPr>
                <w:noProof/>
                <w:sz w:val="24"/>
                <w:szCs w:val="24"/>
              </w:rPr>
              <w:t>Financial Sector (Collection of Data) (reporting standard) determination No. 1 of 2016 - GRS 001 - Reporting Requirements [F2016L01225]</w:t>
            </w:r>
            <w:r>
              <w:rPr>
                <w:rStyle w:val="FootnoteReference"/>
                <w:noProof/>
                <w:sz w:val="24"/>
                <w:szCs w:val="24"/>
              </w:rPr>
              <w:footnoteReference w:id="13"/>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Determine</w:t>
            </w:r>
            <w:r>
              <w:rPr>
                <w:noProof/>
                <w:sz w:val="24"/>
                <w:szCs w:val="24"/>
              </w:rPr>
              <w:t xml:space="preserve"> various</w:t>
            </w:r>
            <w:r w:rsidRPr="002875FC">
              <w:rPr>
                <w:noProof/>
                <w:sz w:val="24"/>
                <w:szCs w:val="24"/>
              </w:rPr>
              <w:t xml:space="preserve"> reporting </w:t>
            </w:r>
            <w:r>
              <w:rPr>
                <w:noProof/>
                <w:sz w:val="24"/>
                <w:szCs w:val="24"/>
              </w:rPr>
              <w:t xml:space="preserve"> standards relating to financial or accounting data of Level 2 insurance groups</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2875FC">
              <w:rPr>
                <w:i/>
                <w:noProof/>
                <w:sz w:val="24"/>
                <w:szCs w:val="24"/>
              </w:rPr>
              <w:t>Financial Sector (Collection of Data) Act 2001</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Treasury</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2875FC">
              <w:rPr>
                <w:noProof/>
                <w:sz w:val="24"/>
                <w:szCs w:val="24"/>
              </w:rPr>
              <w:t>(a)</w:t>
            </w:r>
          </w:p>
        </w:tc>
      </w:tr>
    </w:tbl>
    <w:p w:rsidR="00630D81" w:rsidRDefault="00630D81" w:rsidP="00630D81"/>
    <w:p w:rsidR="00630D81" w:rsidRDefault="00630D81" w:rsidP="00630D81">
      <w:pPr>
        <w:rPr>
          <w:b/>
          <w:noProof/>
        </w:rPr>
      </w:pPr>
      <w:r>
        <w:rPr>
          <w:b/>
          <w:noProof/>
        </w:rPr>
        <w:t>Inadequate description of c</w:t>
      </w:r>
      <w:r w:rsidRPr="002875FC">
        <w:rPr>
          <w:b/>
          <w:noProof/>
        </w:rPr>
        <w:t>onsultation</w:t>
      </w:r>
    </w:p>
    <w:p w:rsidR="00630D81" w:rsidRPr="0061518F" w:rsidRDefault="00630D81" w:rsidP="00630D81">
      <w:r w:rsidRPr="0061518F">
        <w:t xml:space="preserve">Section 17 of the </w:t>
      </w:r>
      <w:r w:rsidRPr="0061518F">
        <w:rPr>
          <w:i/>
        </w:rPr>
        <w:t xml:space="preserve">Legislation Act 2003 </w:t>
      </w:r>
      <w:r w:rsidRPr="0061518F">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630D81" w:rsidRPr="0061518F" w:rsidRDefault="00630D81" w:rsidP="00630D81">
      <w:r>
        <w:rPr>
          <w:noProof/>
        </w:rPr>
        <w:t>With reference to these requirements, the committee notes that the shared ESs for the determinations state:</w:t>
      </w:r>
    </w:p>
    <w:p w:rsidR="00630D81" w:rsidRDefault="00630D81" w:rsidP="00630D81">
      <w:pPr>
        <w:pStyle w:val="Quote"/>
        <w:spacing w:before="120"/>
        <w:rPr>
          <w:noProof/>
        </w:rPr>
      </w:pPr>
      <w:r>
        <w:rPr>
          <w:noProof/>
        </w:rPr>
        <w:t xml:space="preserve">APRA has consulted with the Office of Best Practice Regulation (OBPR) and the OBPR has confirmed that the changes implemented by the </w:t>
      </w:r>
      <w:r>
        <w:rPr>
          <w:noProof/>
        </w:rPr>
        <w:lastRenderedPageBreak/>
        <w:t xml:space="preserve">instrument are of a minor nature. The OBPR has confirmed that a Regulatory Impact Statement (RIS) is not required.   </w:t>
      </w:r>
    </w:p>
    <w:p w:rsidR="00630D81" w:rsidRDefault="00630D81" w:rsidP="00630D81">
      <w:pPr>
        <w:rPr>
          <w:noProof/>
        </w:rPr>
      </w:pPr>
      <w:r>
        <w:rPr>
          <w:noProof/>
        </w:rPr>
        <w:t xml:space="preserve">The committee's guideline on addressing consultation requirements under the </w:t>
      </w:r>
      <w:r>
        <w:rPr>
          <w:i/>
          <w:noProof/>
        </w:rPr>
        <w:t>Legislation Act 2003</w:t>
      </w:r>
      <w:r>
        <w:rPr>
          <w:noProof/>
        </w:rPr>
        <w:t xml:space="preserve"> (the Act) states:</w:t>
      </w:r>
    </w:p>
    <w:p w:rsidR="00630D81" w:rsidRDefault="00630D81" w:rsidP="00630D81">
      <w:pPr>
        <w:pStyle w:val="Quote"/>
        <w:spacing w:before="120"/>
        <w:rPr>
          <w:noProof/>
        </w:rPr>
      </w:pPr>
      <w:r w:rsidRPr="00A37018">
        <w:rPr>
          <w:noProof/>
        </w:rPr>
        <w:t>It is</w:t>
      </w:r>
      <w:r>
        <w:rPr>
          <w:noProof/>
        </w:rPr>
        <w:t>…</w:t>
      </w:r>
      <w:r w:rsidRPr="00A37018">
        <w:rPr>
          <w:noProof/>
        </w:rPr>
        <w:t>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630D81" w:rsidRDefault="00630D81" w:rsidP="00630D81">
      <w:pPr>
        <w:rPr>
          <w:noProof/>
        </w:rPr>
      </w:pPr>
      <w:r w:rsidRPr="005F0EE7">
        <w:rPr>
          <w:noProof/>
        </w:rPr>
        <w:t xml:space="preserve">Noting that the ES for the instrument appears to address only the consultation requirements in relation to the RIS process, the committee considers that it does not provide adequate information regarding consultation for the purposes of the </w:t>
      </w:r>
      <w:r w:rsidRPr="005F0EE7">
        <w:rPr>
          <w:i/>
          <w:noProof/>
        </w:rPr>
        <w:t>Legislation Act 2003</w:t>
      </w:r>
      <w:r w:rsidRPr="005F0EE7">
        <w:rPr>
          <w:noProof/>
        </w:rPr>
        <w:t>.</w:t>
      </w:r>
    </w:p>
    <w:p w:rsidR="00630D81" w:rsidRPr="00CF5049" w:rsidRDefault="00630D81" w:rsidP="00630D81">
      <w:r w:rsidRPr="00CF5049">
        <w:t xml:space="preserve">The </w:t>
      </w:r>
      <w:r>
        <w:t>committee's expectations in</w:t>
      </w:r>
      <w:r w:rsidRPr="00CF5049">
        <w:t xml:space="preserve"> </w:t>
      </w:r>
      <w:r>
        <w:t xml:space="preserve">this </w:t>
      </w:r>
      <w:r w:rsidRPr="00CF5049">
        <w:t xml:space="preserve">regard are set out </w:t>
      </w:r>
      <w:r>
        <w:t>in the guideline</w:t>
      </w:r>
      <w:r w:rsidRPr="00CF5049">
        <w:t xml:space="preserve"> contained in Appendix 2.</w:t>
      </w:r>
    </w:p>
    <w:p w:rsidR="00630D81" w:rsidRDefault="00630D81" w:rsidP="00630D81">
      <w:pPr>
        <w:rPr>
          <w:b/>
          <w:bCs/>
        </w:rPr>
      </w:pPr>
      <w:r w:rsidRPr="00CF5049">
        <w:rPr>
          <w:b/>
          <w:bCs/>
        </w:rPr>
        <w:t xml:space="preserve">The committee requests the advice of the minister in relation to this matter; and requests that the ES be updated in accordance with the requirements of the </w:t>
      </w:r>
      <w:r w:rsidRPr="00CF5049">
        <w:rPr>
          <w:b/>
          <w:bCs/>
          <w:i/>
          <w:iCs/>
        </w:rPr>
        <w:t>Legislation Act 2003</w:t>
      </w:r>
      <w:r w:rsidRPr="00CF5049">
        <w:rPr>
          <w:b/>
          <w:bCs/>
        </w:rPr>
        <w:t>.</w:t>
      </w:r>
    </w:p>
    <w:p w:rsidR="00630D81" w:rsidRDefault="00630D81" w:rsidP="00630D81"/>
    <w:tbl>
      <w:tblPr>
        <w:tblW w:w="0" w:type="auto"/>
        <w:tblInd w:w="108" w:type="dxa"/>
        <w:tblLook w:val="04A0" w:firstRow="1" w:lastRow="0" w:firstColumn="1" w:lastColumn="0" w:noHBand="0" w:noVBand="1"/>
      </w:tblPr>
      <w:tblGrid>
        <w:gridCol w:w="2694"/>
        <w:gridCol w:w="6378"/>
      </w:tblGrid>
      <w:tr w:rsidR="00630D81" w:rsidRPr="00A76AC0" w:rsidTr="00630D81">
        <w:tc>
          <w:tcPr>
            <w:tcW w:w="2694" w:type="dxa"/>
            <w:tcBorders>
              <w:top w:val="single" w:sz="12" w:space="0" w:color="auto"/>
              <w:right w:val="single" w:sz="12" w:space="0" w:color="auto"/>
            </w:tcBorders>
          </w:tcPr>
          <w:p w:rsidR="00630D81" w:rsidRPr="00A76AC0" w:rsidRDefault="00630D81" w:rsidP="00630D81">
            <w:pPr>
              <w:rPr>
                <w:b/>
                <w:sz w:val="24"/>
                <w:szCs w:val="24"/>
              </w:rPr>
            </w:pPr>
            <w:r w:rsidRPr="00A76AC0">
              <w:rPr>
                <w:b/>
                <w:sz w:val="24"/>
                <w:szCs w:val="24"/>
              </w:rPr>
              <w:t>Instrument</w:t>
            </w:r>
          </w:p>
        </w:tc>
        <w:tc>
          <w:tcPr>
            <w:tcW w:w="6378" w:type="dxa"/>
            <w:tcBorders>
              <w:top w:val="single" w:sz="12" w:space="0" w:color="auto"/>
              <w:left w:val="single" w:sz="12" w:space="0" w:color="auto"/>
            </w:tcBorders>
          </w:tcPr>
          <w:p w:rsidR="00630D81" w:rsidRPr="00A76AC0" w:rsidRDefault="00630D81" w:rsidP="00630D81">
            <w:pPr>
              <w:pStyle w:val="Heading3"/>
              <w:rPr>
                <w:sz w:val="24"/>
                <w:szCs w:val="24"/>
              </w:rPr>
            </w:pPr>
            <w:bookmarkStart w:id="26" w:name="OLE_LINK4"/>
            <w:r w:rsidRPr="00A76AC0">
              <w:rPr>
                <w:noProof/>
                <w:sz w:val="24"/>
                <w:szCs w:val="24"/>
              </w:rPr>
              <w:t>Greenhouse and Energy Minimum Standards (Incandescent Lamps for General Lighting Services) Determination 2016 [F2016L00659]</w:t>
            </w:r>
            <w:bookmarkEnd w:id="26"/>
          </w:p>
        </w:tc>
      </w:tr>
      <w:tr w:rsidR="00630D81" w:rsidRPr="00A76AC0" w:rsidTr="00630D81">
        <w:tc>
          <w:tcPr>
            <w:tcW w:w="2694" w:type="dxa"/>
            <w:tcBorders>
              <w:right w:val="single" w:sz="12" w:space="0" w:color="auto"/>
            </w:tcBorders>
          </w:tcPr>
          <w:p w:rsidR="00630D81" w:rsidRPr="00A76AC0" w:rsidRDefault="00630D81" w:rsidP="00630D81">
            <w:pPr>
              <w:rPr>
                <w:b/>
                <w:sz w:val="24"/>
                <w:szCs w:val="24"/>
              </w:rPr>
            </w:pPr>
            <w:r w:rsidRPr="00A76AC0">
              <w:rPr>
                <w:b/>
                <w:sz w:val="24"/>
                <w:szCs w:val="24"/>
              </w:rPr>
              <w:t>Purpose</w:t>
            </w:r>
          </w:p>
        </w:tc>
        <w:tc>
          <w:tcPr>
            <w:tcW w:w="6378" w:type="dxa"/>
            <w:tcBorders>
              <w:left w:val="single" w:sz="12" w:space="0" w:color="auto"/>
            </w:tcBorders>
          </w:tcPr>
          <w:p w:rsidR="00630D81" w:rsidRPr="00A76AC0" w:rsidRDefault="00630D81" w:rsidP="00630D81">
            <w:pPr>
              <w:rPr>
                <w:sz w:val="24"/>
                <w:szCs w:val="24"/>
              </w:rPr>
            </w:pPr>
            <w:r w:rsidRPr="00A76AC0">
              <w:rPr>
                <w:noProof/>
                <w:sz w:val="24"/>
                <w:szCs w:val="24"/>
              </w:rPr>
              <w:t>Establishes energy efficiency, labelling and product performance requirements, and requirements for conducting tests, for incandescent lamps for general lighting services</w:t>
            </w:r>
          </w:p>
        </w:tc>
      </w:tr>
      <w:tr w:rsidR="00630D81" w:rsidRPr="00A76AC0" w:rsidTr="00630D81">
        <w:tc>
          <w:tcPr>
            <w:tcW w:w="2694" w:type="dxa"/>
            <w:tcBorders>
              <w:right w:val="single" w:sz="12" w:space="0" w:color="auto"/>
            </w:tcBorders>
          </w:tcPr>
          <w:p w:rsidR="00630D81" w:rsidRPr="00A76AC0" w:rsidRDefault="00630D81" w:rsidP="00630D81">
            <w:pPr>
              <w:rPr>
                <w:b/>
                <w:sz w:val="24"/>
                <w:szCs w:val="24"/>
              </w:rPr>
            </w:pPr>
            <w:r w:rsidRPr="00A76AC0">
              <w:rPr>
                <w:b/>
                <w:sz w:val="24"/>
                <w:szCs w:val="24"/>
              </w:rPr>
              <w:t>Last day to disallow</w:t>
            </w:r>
          </w:p>
        </w:tc>
        <w:tc>
          <w:tcPr>
            <w:tcW w:w="6378" w:type="dxa"/>
            <w:tcBorders>
              <w:left w:val="single" w:sz="12" w:space="0" w:color="auto"/>
            </w:tcBorders>
          </w:tcPr>
          <w:p w:rsidR="00630D81" w:rsidRPr="00A76AC0" w:rsidRDefault="00630D81" w:rsidP="00630D81">
            <w:pPr>
              <w:rPr>
                <w:sz w:val="24"/>
                <w:szCs w:val="24"/>
              </w:rPr>
            </w:pPr>
            <w:r>
              <w:rPr>
                <w:sz w:val="24"/>
                <w:szCs w:val="24"/>
              </w:rPr>
              <w:t>21 November 2016</w:t>
            </w:r>
          </w:p>
        </w:tc>
      </w:tr>
      <w:tr w:rsidR="00630D81" w:rsidRPr="00A76AC0" w:rsidTr="00630D81">
        <w:tc>
          <w:tcPr>
            <w:tcW w:w="2694" w:type="dxa"/>
            <w:tcBorders>
              <w:right w:val="single" w:sz="12" w:space="0" w:color="auto"/>
            </w:tcBorders>
          </w:tcPr>
          <w:p w:rsidR="00630D81" w:rsidRPr="00A76AC0" w:rsidRDefault="00630D81" w:rsidP="00630D81">
            <w:pPr>
              <w:rPr>
                <w:b/>
                <w:sz w:val="24"/>
                <w:szCs w:val="24"/>
              </w:rPr>
            </w:pPr>
            <w:r w:rsidRPr="00A76AC0">
              <w:rPr>
                <w:b/>
                <w:sz w:val="24"/>
                <w:szCs w:val="24"/>
              </w:rPr>
              <w:t>Authorising legislation</w:t>
            </w:r>
          </w:p>
        </w:tc>
        <w:tc>
          <w:tcPr>
            <w:tcW w:w="6378" w:type="dxa"/>
            <w:tcBorders>
              <w:left w:val="single" w:sz="12" w:space="0" w:color="auto"/>
            </w:tcBorders>
          </w:tcPr>
          <w:p w:rsidR="00630D81" w:rsidRPr="00A76AC0" w:rsidRDefault="00630D81" w:rsidP="00630D81">
            <w:pPr>
              <w:rPr>
                <w:i/>
                <w:sz w:val="24"/>
                <w:szCs w:val="24"/>
              </w:rPr>
            </w:pPr>
            <w:r w:rsidRPr="00A76AC0">
              <w:rPr>
                <w:i/>
                <w:noProof/>
                <w:sz w:val="24"/>
                <w:szCs w:val="24"/>
              </w:rPr>
              <w:t>Greenhouse and Energy Minimum Standards Act 2012</w:t>
            </w:r>
          </w:p>
        </w:tc>
      </w:tr>
      <w:tr w:rsidR="00630D81" w:rsidRPr="00A76AC0" w:rsidTr="00630D81">
        <w:tc>
          <w:tcPr>
            <w:tcW w:w="2694" w:type="dxa"/>
            <w:tcBorders>
              <w:right w:val="single" w:sz="12" w:space="0" w:color="auto"/>
            </w:tcBorders>
          </w:tcPr>
          <w:p w:rsidR="00630D81" w:rsidRPr="00A76AC0" w:rsidRDefault="00630D81" w:rsidP="00630D81">
            <w:pPr>
              <w:rPr>
                <w:b/>
                <w:sz w:val="24"/>
                <w:szCs w:val="24"/>
              </w:rPr>
            </w:pPr>
            <w:r w:rsidRPr="00A76AC0">
              <w:rPr>
                <w:b/>
                <w:sz w:val="24"/>
                <w:szCs w:val="24"/>
              </w:rPr>
              <w:t>Department</w:t>
            </w:r>
          </w:p>
        </w:tc>
        <w:tc>
          <w:tcPr>
            <w:tcW w:w="6378" w:type="dxa"/>
            <w:tcBorders>
              <w:left w:val="single" w:sz="12" w:space="0" w:color="auto"/>
            </w:tcBorders>
          </w:tcPr>
          <w:p w:rsidR="00630D81" w:rsidRPr="00A76AC0" w:rsidRDefault="00630D81" w:rsidP="00630D81">
            <w:pPr>
              <w:rPr>
                <w:sz w:val="24"/>
                <w:szCs w:val="24"/>
              </w:rPr>
            </w:pPr>
            <w:r>
              <w:rPr>
                <w:noProof/>
                <w:sz w:val="24"/>
                <w:szCs w:val="24"/>
              </w:rPr>
              <w:t>Environment and Energy</w:t>
            </w:r>
          </w:p>
        </w:tc>
      </w:tr>
      <w:tr w:rsidR="00630D81" w:rsidRPr="00A76AC0" w:rsidTr="00630D81">
        <w:tc>
          <w:tcPr>
            <w:tcW w:w="2694" w:type="dxa"/>
            <w:tcBorders>
              <w:bottom w:val="single" w:sz="12" w:space="0" w:color="auto"/>
              <w:right w:val="single" w:sz="12" w:space="0" w:color="auto"/>
            </w:tcBorders>
          </w:tcPr>
          <w:p w:rsidR="00630D81" w:rsidRPr="00A76AC0" w:rsidRDefault="00630D81" w:rsidP="00630D81">
            <w:pPr>
              <w:rPr>
                <w:b/>
                <w:sz w:val="24"/>
                <w:szCs w:val="24"/>
              </w:rPr>
            </w:pPr>
            <w:r w:rsidRPr="00A76AC0">
              <w:rPr>
                <w:b/>
                <w:sz w:val="24"/>
                <w:szCs w:val="24"/>
              </w:rPr>
              <w:t>Scrutiny principle</w:t>
            </w:r>
          </w:p>
        </w:tc>
        <w:tc>
          <w:tcPr>
            <w:tcW w:w="6378" w:type="dxa"/>
            <w:tcBorders>
              <w:left w:val="single" w:sz="12" w:space="0" w:color="auto"/>
              <w:bottom w:val="single" w:sz="12" w:space="0" w:color="auto"/>
            </w:tcBorders>
          </w:tcPr>
          <w:p w:rsidR="00630D81" w:rsidRPr="00A76AC0" w:rsidRDefault="00630D81" w:rsidP="00630D81">
            <w:pPr>
              <w:rPr>
                <w:noProof/>
                <w:sz w:val="24"/>
                <w:szCs w:val="24"/>
              </w:rPr>
            </w:pPr>
            <w:r w:rsidRPr="00A76AC0">
              <w:rPr>
                <w:sz w:val="24"/>
                <w:szCs w:val="24"/>
              </w:rPr>
              <w:t>Standing Order 23(3)</w:t>
            </w:r>
            <w:r w:rsidRPr="00A76AC0">
              <w:rPr>
                <w:noProof/>
                <w:sz w:val="24"/>
                <w:szCs w:val="24"/>
              </w:rPr>
              <w:t>(a)</w:t>
            </w:r>
          </w:p>
        </w:tc>
      </w:tr>
    </w:tbl>
    <w:p w:rsidR="00630D81" w:rsidRPr="00A76AC0" w:rsidRDefault="00630D81" w:rsidP="00630D81"/>
    <w:p w:rsidR="00630D81" w:rsidRPr="00A76AC0" w:rsidRDefault="00630D81" w:rsidP="00630D81">
      <w:pPr>
        <w:rPr>
          <w:b/>
          <w:noProof/>
        </w:rPr>
      </w:pPr>
      <w:r w:rsidRPr="00A76AC0">
        <w:rPr>
          <w:b/>
          <w:noProof/>
        </w:rPr>
        <w:t xml:space="preserve">Access to incorporated documents </w:t>
      </w:r>
    </w:p>
    <w:p w:rsidR="00630D81" w:rsidRPr="00A76AC0" w:rsidRDefault="00630D81" w:rsidP="00630D81">
      <w:pPr>
        <w:rPr>
          <w:szCs w:val="26"/>
        </w:rPr>
      </w:pPr>
      <w:r w:rsidRPr="00A76AC0">
        <w:rPr>
          <w:szCs w:val="26"/>
        </w:rPr>
        <w:t>Section 14 of the</w:t>
      </w:r>
      <w:r w:rsidRPr="00A76AC0">
        <w:rPr>
          <w:i/>
          <w:szCs w:val="26"/>
        </w:rPr>
        <w:t xml:space="preserve"> Legislation Act 2003</w:t>
      </w:r>
      <w:r w:rsidRPr="00A76AC0">
        <w:rPr>
          <w:szCs w:val="26"/>
        </w:rPr>
        <w:t xml:space="preserve"> allows legislative instruments to make provision in relation to matters by incorporating Acts and disallowable legislative instruments, </w:t>
      </w:r>
      <w:r>
        <w:rPr>
          <w:szCs w:val="26"/>
        </w:rPr>
        <w:t xml:space="preserve">either </w:t>
      </w:r>
      <w:r w:rsidRPr="00A76AC0">
        <w:rPr>
          <w:szCs w:val="26"/>
        </w:rPr>
        <w:t xml:space="preserve">as in force at a particular time or as in force from time to time. </w:t>
      </w:r>
      <w:r w:rsidRPr="00A76AC0">
        <w:rPr>
          <w:szCs w:val="26"/>
        </w:rPr>
        <w:lastRenderedPageBreak/>
        <w:t>Other documents may only be incorporated as in force at</w:t>
      </w:r>
      <w:r>
        <w:rPr>
          <w:szCs w:val="26"/>
        </w:rPr>
        <w:t xml:space="preserve"> the commencement of a legislative instrument</w:t>
      </w:r>
      <w:r w:rsidRPr="00A76AC0">
        <w:rPr>
          <w:szCs w:val="26"/>
        </w:rPr>
        <w:t>, unless authorising or other legislation alters the operation of section 14.</w:t>
      </w:r>
    </w:p>
    <w:p w:rsidR="00630D81" w:rsidRPr="00A76AC0" w:rsidRDefault="00630D81" w:rsidP="00630D81">
      <w:pPr>
        <w:rPr>
          <w:szCs w:val="26"/>
        </w:rPr>
      </w:pPr>
      <w:r w:rsidRPr="00A76AC0">
        <w:rPr>
          <w:szCs w:val="26"/>
        </w:rPr>
        <w:t xml:space="preserve">Paragraph 15J(2)(c) of the </w:t>
      </w:r>
      <w:r w:rsidRPr="00A76AC0">
        <w:rPr>
          <w:i/>
          <w:szCs w:val="26"/>
        </w:rPr>
        <w:t xml:space="preserve">Legislation Act 2003 </w:t>
      </w:r>
      <w:r w:rsidRPr="00A76AC0">
        <w:rPr>
          <w:szCs w:val="26"/>
        </w:rPr>
        <w:t>requires the</w:t>
      </w:r>
      <w:r>
        <w:rPr>
          <w:szCs w:val="26"/>
        </w:rPr>
        <w:t xml:space="preserve"> </w:t>
      </w:r>
      <w:r w:rsidRPr="00A76AC0">
        <w:rPr>
          <w:szCs w:val="26"/>
        </w:rPr>
        <w:t>ES for a legislative instrument that incorporates a document to contain a description of that document and indicate how it may be obtained.</w:t>
      </w:r>
    </w:p>
    <w:p w:rsidR="00630D81" w:rsidRPr="00681B17" w:rsidRDefault="00630D81" w:rsidP="00630D81">
      <w:r w:rsidRPr="009436FF">
        <w:t>The committee's expectations where a legislative instrument incorporate</w:t>
      </w:r>
      <w:r>
        <w:t xml:space="preserve">s a document </w:t>
      </w:r>
      <w:r w:rsidRPr="00681B17">
        <w:t xml:space="preserve">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630D81" w:rsidRDefault="00630D81" w:rsidP="00630D81">
      <w:pPr>
        <w:rPr>
          <w:noProof/>
        </w:rPr>
      </w:pPr>
      <w:r w:rsidRPr="00A76AC0">
        <w:rPr>
          <w:szCs w:val="26"/>
        </w:rPr>
        <w:t>With reference to the above</w:t>
      </w:r>
      <w:r>
        <w:rPr>
          <w:szCs w:val="26"/>
        </w:rPr>
        <w:t>,</w:t>
      </w:r>
      <w:r w:rsidRPr="00A76AC0">
        <w:rPr>
          <w:szCs w:val="26"/>
        </w:rPr>
        <w:t xml:space="preserve"> the committee notes that s</w:t>
      </w:r>
      <w:r w:rsidRPr="00A76AC0">
        <w:rPr>
          <w:noProof/>
        </w:rPr>
        <w:t>ection 3 of the</w:t>
      </w:r>
      <w:r>
        <w:rPr>
          <w:noProof/>
        </w:rPr>
        <w:t xml:space="preserve"> determination </w:t>
      </w:r>
      <w:r w:rsidRPr="00A76AC0">
        <w:rPr>
          <w:noProof/>
        </w:rPr>
        <w:t xml:space="preserve">incorporates </w:t>
      </w:r>
      <w:r>
        <w:rPr>
          <w:noProof/>
        </w:rPr>
        <w:t>the following documents as they existed on the day the determination came into force:</w:t>
      </w:r>
    </w:p>
    <w:p w:rsidR="00630D81" w:rsidRDefault="00630D81" w:rsidP="00630D81">
      <w:pPr>
        <w:pStyle w:val="Bullet1"/>
        <w:spacing w:after="120"/>
        <w:rPr>
          <w:noProof/>
        </w:rPr>
      </w:pPr>
      <w:r w:rsidRPr="00A76AC0">
        <w:rPr>
          <w:noProof/>
        </w:rPr>
        <w:t>Australian/New Zealand Standard 4934.1:2014 – Incandescent lamps for general lighting services – Part 1: Te</w:t>
      </w:r>
      <w:r>
        <w:rPr>
          <w:noProof/>
        </w:rPr>
        <w:t>st methods – Energy performance;</w:t>
      </w:r>
    </w:p>
    <w:p w:rsidR="00630D81" w:rsidRDefault="00630D81" w:rsidP="00630D81">
      <w:pPr>
        <w:pStyle w:val="Bullet1"/>
        <w:spacing w:after="120"/>
        <w:rPr>
          <w:noProof/>
        </w:rPr>
      </w:pPr>
      <w:r w:rsidRPr="00A76AC0">
        <w:rPr>
          <w:noProof/>
        </w:rPr>
        <w:t>Australian Standard 4934.2-2011 – Incandescent lamps for general lighting services – Part 2: Minimum Energy Performance Standards (MEPS) requirements</w:t>
      </w:r>
      <w:r>
        <w:rPr>
          <w:noProof/>
        </w:rPr>
        <w:t>;</w:t>
      </w:r>
      <w:r w:rsidRPr="00A76AC0">
        <w:rPr>
          <w:noProof/>
        </w:rPr>
        <w:t xml:space="preserve"> and</w:t>
      </w:r>
    </w:p>
    <w:p w:rsidR="00630D81" w:rsidRPr="00A76AC0" w:rsidRDefault="00630D81" w:rsidP="00630D81">
      <w:pPr>
        <w:pStyle w:val="Bullet1"/>
        <w:spacing w:after="120"/>
        <w:rPr>
          <w:noProof/>
        </w:rPr>
      </w:pPr>
      <w:r w:rsidRPr="00A76AC0">
        <w:rPr>
          <w:noProof/>
        </w:rPr>
        <w:t>IEC 60630 Edition 2.5</w:t>
      </w:r>
      <w:r w:rsidRPr="00A76AC0">
        <w:rPr>
          <w:b/>
          <w:i/>
          <w:noProof/>
        </w:rPr>
        <w:t xml:space="preserve"> </w:t>
      </w:r>
      <w:r w:rsidRPr="00A76AC0">
        <w:rPr>
          <w:noProof/>
        </w:rPr>
        <w:t xml:space="preserve">International Electrotechnical </w:t>
      </w:r>
      <w:r>
        <w:rPr>
          <w:noProof/>
        </w:rPr>
        <w:br/>
      </w:r>
      <w:r w:rsidRPr="00A76AC0">
        <w:rPr>
          <w:noProof/>
        </w:rPr>
        <w:t>Commission - Maximum lamp o</w:t>
      </w:r>
      <w:r>
        <w:rPr>
          <w:noProof/>
        </w:rPr>
        <w:t>utlines for incandescent lamps.</w:t>
      </w:r>
    </w:p>
    <w:p w:rsidR="00630D81" w:rsidRPr="00681B17" w:rsidRDefault="00630D81" w:rsidP="00630D81">
      <w:r>
        <w:t>While the ES to the determination provides a description of these standards and how they may be obtained, t</w:t>
      </w:r>
      <w:r w:rsidRPr="00681B17">
        <w:t xml:space="preserve">he committee notes that </w:t>
      </w:r>
      <w:r>
        <w:t xml:space="preserve">the standards are only available for sale from Standards Australia Limited and SAI Global, and </w:t>
      </w:r>
      <w:r w:rsidRPr="00A76AC0">
        <w:rPr>
          <w:noProof/>
        </w:rPr>
        <w:t xml:space="preserve">neither the </w:t>
      </w:r>
      <w:r>
        <w:rPr>
          <w:noProof/>
        </w:rPr>
        <w:t xml:space="preserve">determination </w:t>
      </w:r>
      <w:r w:rsidRPr="00A76AC0">
        <w:rPr>
          <w:noProof/>
        </w:rPr>
        <w:t xml:space="preserve">nor the ES provides information about whether the </w:t>
      </w:r>
      <w:r>
        <w:rPr>
          <w:noProof/>
        </w:rPr>
        <w:t xml:space="preserve">documents are </w:t>
      </w:r>
      <w:r w:rsidRPr="00A76AC0">
        <w:rPr>
          <w:noProof/>
        </w:rPr>
        <w:t>otherwise freely and readily available.</w:t>
      </w:r>
    </w:p>
    <w:p w:rsidR="00630D81" w:rsidRDefault="00630D81" w:rsidP="00630D81">
      <w:pPr>
        <w:rPr>
          <w:b/>
          <w:szCs w:val="26"/>
        </w:rPr>
      </w:pPr>
      <w:r w:rsidRPr="00A76AC0">
        <w:rPr>
          <w:b/>
          <w:szCs w:val="26"/>
        </w:rPr>
        <w:t>The committee requests the advice of the minister</w:t>
      </w:r>
      <w:r>
        <w:rPr>
          <w:b/>
          <w:szCs w:val="26"/>
        </w:rPr>
        <w:t xml:space="preserve"> in relation to </w:t>
      </w:r>
      <w:r w:rsidRPr="00A76AC0">
        <w:rPr>
          <w:b/>
          <w:szCs w:val="26"/>
        </w:rPr>
        <w:t>this matter.</w:t>
      </w:r>
    </w:p>
    <w:p w:rsidR="00630D81" w:rsidRPr="00B0130A" w:rsidRDefault="00630D81" w:rsidP="00630D81">
      <w:pPr>
        <w:rPr>
          <w:b/>
          <w:sz w:val="24"/>
          <w:szCs w:val="24"/>
        </w:rPr>
      </w:pPr>
    </w:p>
    <w:p w:rsidR="00630D81" w:rsidRPr="00DF05A5" w:rsidRDefault="00630D81" w:rsidP="00630D81">
      <w:pPr>
        <w:rPr>
          <w:b/>
          <w:noProof/>
        </w:rPr>
      </w:pPr>
      <w:r w:rsidRPr="00DF05A5">
        <w:rPr>
          <w:b/>
          <w:noProof/>
        </w:rPr>
        <w:t xml:space="preserve">Drafting </w:t>
      </w:r>
    </w:p>
    <w:p w:rsidR="00630D81" w:rsidRDefault="00630D81" w:rsidP="00630D81">
      <w:pPr>
        <w:rPr>
          <w:noProof/>
          <w:highlight w:val="green"/>
        </w:rPr>
      </w:pPr>
      <w:r>
        <w:rPr>
          <w:noProof/>
        </w:rPr>
        <w:t>S</w:t>
      </w:r>
      <w:r w:rsidRPr="00824DE5">
        <w:rPr>
          <w:noProof/>
        </w:rPr>
        <w:t xml:space="preserve">ection </w:t>
      </w:r>
      <w:r>
        <w:rPr>
          <w:noProof/>
        </w:rPr>
        <w:t>3</w:t>
      </w:r>
      <w:r w:rsidRPr="00824DE5">
        <w:rPr>
          <w:noProof/>
        </w:rPr>
        <w:t xml:space="preserve"> of the </w:t>
      </w:r>
      <w:r>
        <w:rPr>
          <w:noProof/>
        </w:rPr>
        <w:t xml:space="preserve">determination </w:t>
      </w:r>
      <w:r w:rsidRPr="00824DE5">
        <w:rPr>
          <w:noProof/>
        </w:rPr>
        <w:t>contains the following definition:</w:t>
      </w:r>
    </w:p>
    <w:p w:rsidR="00630D81" w:rsidRPr="00824DE5" w:rsidRDefault="00630D81" w:rsidP="00630D81">
      <w:pPr>
        <w:ind w:left="567" w:right="946"/>
        <w:rPr>
          <w:noProof/>
          <w:sz w:val="24"/>
          <w:szCs w:val="24"/>
        </w:rPr>
      </w:pPr>
      <w:r w:rsidRPr="00824DE5">
        <w:rPr>
          <w:b/>
          <w:i/>
          <w:noProof/>
          <w:sz w:val="24"/>
          <w:szCs w:val="24"/>
        </w:rPr>
        <w:t>IEC 60630 Edition 2.5</w:t>
      </w:r>
      <w:r w:rsidRPr="00824DE5">
        <w:rPr>
          <w:noProof/>
          <w:sz w:val="24"/>
          <w:szCs w:val="24"/>
        </w:rPr>
        <w:t xml:space="preserve"> means International Electrotechnical Commission - Maximum lamp outlines for incandescent lamps, as it existed on the day this Determination came into force.</w:t>
      </w:r>
    </w:p>
    <w:p w:rsidR="00630D81" w:rsidRDefault="00630D81" w:rsidP="00630D81">
      <w:pPr>
        <w:rPr>
          <w:noProof/>
        </w:rPr>
      </w:pPr>
      <w:r>
        <w:rPr>
          <w:noProof/>
        </w:rPr>
        <w:t xml:space="preserve">However, the committee notes that the the product class characteristics for product class 1 in the table set out in subsection 5(1) of the determination refers to IEC 60630 </w:t>
      </w:r>
      <w:r>
        <w:rPr>
          <w:noProof/>
        </w:rPr>
        <w:lastRenderedPageBreak/>
        <w:t>Edition 2. It is therefore unclear to the committee whether the reference in subsection 5(1) should be to IEC 60630 Edition 2 or Edition 2.5.</w:t>
      </w:r>
    </w:p>
    <w:p w:rsidR="00630D81" w:rsidRDefault="00630D81" w:rsidP="00630D81">
      <w:pPr>
        <w:rPr>
          <w:b/>
          <w:noProof/>
        </w:rPr>
      </w:pPr>
      <w:r w:rsidRPr="00824DE5">
        <w:rPr>
          <w:b/>
          <w:noProof/>
        </w:rPr>
        <w:t>The committee seeks the advice of the minister in relation to this matter.</w:t>
      </w:r>
    </w:p>
    <w:p w:rsidR="00B0130A" w:rsidRDefault="00B0130A" w:rsidP="00630D81">
      <w:pPr>
        <w:rPr>
          <w:b/>
          <w:noProof/>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br w:type="page"/>
            </w: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4F2E07">
              <w:rPr>
                <w:noProof/>
                <w:sz w:val="24"/>
                <w:szCs w:val="24"/>
              </w:rPr>
              <w:t>Health Legislation Amendment (eHealth-Governance Restructure Day) Proclamation 2016 [F2016L00732]</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S</w:t>
            </w:r>
            <w:r w:rsidRPr="004F2E07">
              <w:rPr>
                <w:noProof/>
                <w:sz w:val="24"/>
                <w:szCs w:val="24"/>
              </w:rPr>
              <w:t xml:space="preserve">pecifies 1 July 2016 </w:t>
            </w:r>
            <w:r>
              <w:rPr>
                <w:noProof/>
                <w:sz w:val="24"/>
                <w:szCs w:val="24"/>
              </w:rPr>
              <w:t xml:space="preserve">as </w:t>
            </w:r>
            <w:r w:rsidRPr="004F2E07">
              <w:rPr>
                <w:noProof/>
                <w:sz w:val="24"/>
                <w:szCs w:val="24"/>
              </w:rPr>
              <w:t>'governance restructure day'</w:t>
            </w:r>
            <w:r>
              <w:rPr>
                <w:noProof/>
                <w:sz w:val="24"/>
                <w:szCs w:val="24"/>
              </w:rPr>
              <w:t>,</w:t>
            </w:r>
            <w:r w:rsidRPr="004F2E07">
              <w:rPr>
                <w:noProof/>
                <w:sz w:val="24"/>
                <w:szCs w:val="24"/>
              </w:rPr>
              <w:t xml:space="preserve"> the day on which changes to the governance of the My He</w:t>
            </w:r>
            <w:r>
              <w:rPr>
                <w:noProof/>
                <w:sz w:val="24"/>
                <w:szCs w:val="24"/>
              </w:rPr>
              <w:t>alth Record system take effect</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sidRPr="0053790E">
              <w:rPr>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Health Legislation Amendment (eHealth) Act 2015</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Health</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23(3)(a)</w:t>
            </w:r>
          </w:p>
        </w:tc>
      </w:tr>
    </w:tbl>
    <w:p w:rsidR="00630D81" w:rsidRDefault="00630D81" w:rsidP="00630D81"/>
    <w:p w:rsidR="00630D81" w:rsidRDefault="00630D81" w:rsidP="00630D81">
      <w:pPr>
        <w:rPr>
          <w:b/>
          <w:noProof/>
        </w:rPr>
      </w:pPr>
      <w:r>
        <w:rPr>
          <w:b/>
          <w:noProof/>
        </w:rPr>
        <w:t>No d</w:t>
      </w:r>
      <w:r w:rsidRPr="005C3B4E">
        <w:rPr>
          <w:b/>
          <w:noProof/>
        </w:rPr>
        <w:t>escription of consultation</w:t>
      </w:r>
    </w:p>
    <w:p w:rsidR="00630D81" w:rsidRDefault="00630D81" w:rsidP="00630D81">
      <w:pPr>
        <w:rPr>
          <w:noProof/>
        </w:rPr>
      </w:pPr>
      <w:r w:rsidRPr="00062BA5">
        <w:rPr>
          <w:noProof/>
        </w:rPr>
        <w:t xml:space="preserve">Section 17 of the </w:t>
      </w:r>
      <w:r w:rsidRPr="00062BA5">
        <w:rPr>
          <w:i/>
          <w:noProof/>
        </w:rPr>
        <w:t xml:space="preserve">Legislation </w:t>
      </w:r>
      <w:r>
        <w:rPr>
          <w:i/>
          <w:noProof/>
        </w:rPr>
        <w:t>Act 2003</w:t>
      </w:r>
      <w:r w:rsidRPr="00062BA5">
        <w:rPr>
          <w:noProof/>
        </w:rPr>
        <w:t xml:space="preserve"> directs a rule-maker to be satisfied that appropriate consultation, as is reasonably practicable, has been undertaken in relation to a proposed instrument. The ES which must accompany an instr</w:t>
      </w:r>
      <w:r>
        <w:rPr>
          <w:noProof/>
        </w:rPr>
        <w:t xml:space="preserve">ument is required </w:t>
      </w:r>
      <w:r w:rsidRPr="00062BA5">
        <w:rPr>
          <w:noProof/>
        </w:rPr>
        <w:t xml:space="preserve">to describe the nature of any consultation that has been carried out or, if there has been no consultation, to explain why none was undertaken (paragraphs 15J(2)(d) and (e)). </w:t>
      </w:r>
    </w:p>
    <w:p w:rsidR="00630D81" w:rsidRDefault="00630D81" w:rsidP="00630D81">
      <w:pPr>
        <w:rPr>
          <w:noProof/>
        </w:rPr>
      </w:pPr>
      <w:r w:rsidRPr="00062BA5">
        <w:rPr>
          <w:noProof/>
        </w:rPr>
        <w:t>With reference to these requirements, t</w:t>
      </w:r>
      <w:r>
        <w:rPr>
          <w:noProof/>
        </w:rPr>
        <w:t>he committee notes that the ES for the proclamation provides no information regarding consultation.</w:t>
      </w:r>
    </w:p>
    <w:p w:rsidR="00630D81" w:rsidRDefault="00630D81" w:rsidP="00630D81">
      <w:pPr>
        <w:rPr>
          <w:b/>
          <w:noProof/>
        </w:rPr>
      </w:pPr>
      <w:r w:rsidRPr="00062BA5">
        <w:rPr>
          <w:b/>
          <w:noProof/>
        </w:rPr>
        <w:t>The committee requests the advice of the minis</w:t>
      </w:r>
      <w:r>
        <w:rPr>
          <w:b/>
          <w:noProof/>
        </w:rPr>
        <w:t xml:space="preserve">ter in relation to this matter; </w:t>
      </w:r>
      <w:r w:rsidRPr="00062BA5">
        <w:rPr>
          <w:b/>
          <w:noProof/>
        </w:rPr>
        <w:t xml:space="preserve">and requests that the ES be updated in accordance with the requirements of the </w:t>
      </w:r>
      <w:r w:rsidRPr="00062BA5">
        <w:rPr>
          <w:b/>
          <w:i/>
          <w:noProof/>
        </w:rPr>
        <w:t xml:space="preserve">Legislation </w:t>
      </w:r>
      <w:r>
        <w:rPr>
          <w:b/>
          <w:i/>
          <w:noProof/>
        </w:rPr>
        <w:t>Act 2003</w:t>
      </w:r>
      <w:r w:rsidRPr="00062BA5">
        <w:rPr>
          <w:b/>
          <w:noProof/>
        </w:rPr>
        <w:t>.</w:t>
      </w:r>
    </w:p>
    <w:p w:rsidR="00630D81" w:rsidRPr="00062BA5" w:rsidRDefault="00630D81" w:rsidP="00630D81">
      <w:pPr>
        <w:rPr>
          <w:b/>
          <w:noProof/>
        </w:rPr>
      </w:pPr>
    </w:p>
    <w:p w:rsidR="00630D81" w:rsidRDefault="00630D81" w:rsidP="00630D81">
      <w:pPr>
        <w:rPr>
          <w:b/>
          <w:noProof/>
        </w:rPr>
      </w:pPr>
      <w:r w:rsidRPr="005C3B4E">
        <w:rPr>
          <w:b/>
          <w:noProof/>
        </w:rPr>
        <w:t>No statement of compatibility</w:t>
      </w:r>
    </w:p>
    <w:p w:rsidR="00630D81" w:rsidRDefault="00630D81" w:rsidP="00630D81">
      <w:r>
        <w:t xml:space="preserve">Section 9 of the </w:t>
      </w:r>
      <w:r w:rsidRPr="00062BA5">
        <w:rPr>
          <w:i/>
        </w:rPr>
        <w:t xml:space="preserve">Human Rights (Parliamentary Scrutiny) </w:t>
      </w:r>
      <w:r>
        <w:rPr>
          <w:i/>
        </w:rPr>
        <w:t>Act 2</w:t>
      </w:r>
      <w:r w:rsidRPr="00062BA5">
        <w:rPr>
          <w:i/>
        </w:rPr>
        <w:t>011</w:t>
      </w:r>
      <w:r>
        <w:t xml:space="preserve"> requires the maker of a disallowable instrument to have prepared a statement of compatibility in relation to the instrument. The statement of compatibility must include an assessment of whether the instrument is compatible with human rights, and must be included in the ES for the instrument. </w:t>
      </w:r>
    </w:p>
    <w:p w:rsidR="00630D81" w:rsidRDefault="00630D81" w:rsidP="00630D81">
      <w:r>
        <w:lastRenderedPageBreak/>
        <w:t>With reference to this requirement, the committee notes that the ES for this proclamation does not include a statement of compatibility.</w:t>
      </w:r>
    </w:p>
    <w:p w:rsidR="00630D81" w:rsidRDefault="00630D81" w:rsidP="00630D81">
      <w:pPr>
        <w:rPr>
          <w:b/>
        </w:rPr>
      </w:pPr>
      <w:r w:rsidRPr="007B5B8D">
        <w:rPr>
          <w:b/>
        </w:rPr>
        <w:t xml:space="preserve">The committee requests the advice of the minister in relation to this matter; and requests that the ES be updated in accordance with the requirements of the </w:t>
      </w:r>
      <w:r w:rsidRPr="007B5B8D">
        <w:rPr>
          <w:b/>
          <w:i/>
        </w:rPr>
        <w:t xml:space="preserve">Human Rights (Parliamentary Scrutiny) </w:t>
      </w:r>
      <w:r>
        <w:rPr>
          <w:b/>
          <w:i/>
        </w:rPr>
        <w:t>Act 2</w:t>
      </w:r>
      <w:r w:rsidRPr="007B5B8D">
        <w:rPr>
          <w:b/>
          <w:i/>
        </w:rPr>
        <w:t>011</w:t>
      </w:r>
      <w:r w:rsidRPr="007B5B8D">
        <w:rPr>
          <w:b/>
        </w:rPr>
        <w:t>.</w:t>
      </w:r>
    </w:p>
    <w:p w:rsidR="00B0130A" w:rsidRDefault="00B0130A" w:rsidP="00630D81">
      <w:pPr>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br w:type="page"/>
            </w: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5C3B4E">
              <w:rPr>
                <w:noProof/>
                <w:sz w:val="24"/>
                <w:szCs w:val="24"/>
              </w:rPr>
              <w:t>Legal Services Amendment (Solicitor-General Opinions) Direction 2016 [F2016L00645]</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Am</w:t>
            </w:r>
            <w:r w:rsidRPr="005C3B4E">
              <w:rPr>
                <w:noProof/>
                <w:sz w:val="24"/>
                <w:szCs w:val="24"/>
              </w:rPr>
              <w:t>ends the</w:t>
            </w:r>
            <w:r>
              <w:rPr>
                <w:noProof/>
                <w:sz w:val="24"/>
                <w:szCs w:val="24"/>
              </w:rPr>
              <w:t xml:space="preserve"> Legal Services Directions 2005 </w:t>
            </w:r>
            <w:r w:rsidRPr="005C3B4E">
              <w:rPr>
                <w:noProof/>
                <w:sz w:val="24"/>
                <w:szCs w:val="24"/>
              </w:rPr>
              <w:t xml:space="preserve">to insert new provisions about seeking opinions on questions of law </w:t>
            </w:r>
            <w:r>
              <w:rPr>
                <w:noProof/>
                <w:sz w:val="24"/>
                <w:szCs w:val="24"/>
              </w:rPr>
              <w:t>from</w:t>
            </w:r>
            <w:r w:rsidRPr="005C3B4E">
              <w:rPr>
                <w:noProof/>
                <w:sz w:val="24"/>
                <w:szCs w:val="24"/>
              </w:rPr>
              <w:t xml:space="preserve"> the Solicitor-General</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sidRPr="005F0EE7">
              <w:rPr>
                <w:sz w:val="24"/>
                <w:szCs w:val="24"/>
              </w:rPr>
              <w:t>28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5C3B4E">
              <w:rPr>
                <w:i/>
                <w:noProof/>
                <w:sz w:val="24"/>
                <w:szCs w:val="24"/>
              </w:rPr>
              <w:t>Judiciary Act 1903</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5C3B4E">
              <w:rPr>
                <w:noProof/>
                <w:sz w:val="24"/>
                <w:szCs w:val="24"/>
              </w:rPr>
              <w:t>Attorney-General's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jc w:val="left"/>
              <w:rPr>
                <w:noProof/>
                <w:sz w:val="24"/>
                <w:szCs w:val="24"/>
              </w:rPr>
            </w:pPr>
            <w:r>
              <w:rPr>
                <w:sz w:val="24"/>
                <w:szCs w:val="24"/>
              </w:rPr>
              <w:t>Standing Order 23(3)</w:t>
            </w:r>
            <w:r w:rsidRPr="005C3B4E">
              <w:rPr>
                <w:noProof/>
                <w:sz w:val="24"/>
                <w:szCs w:val="24"/>
              </w:rPr>
              <w:t>(d)</w:t>
            </w:r>
          </w:p>
        </w:tc>
      </w:tr>
    </w:tbl>
    <w:p w:rsidR="00630D81" w:rsidRDefault="00630D81" w:rsidP="00630D81"/>
    <w:p w:rsidR="00630D81" w:rsidRPr="006806C0" w:rsidRDefault="00630D81" w:rsidP="00630D81">
      <w:pPr>
        <w:rPr>
          <w:b/>
        </w:rPr>
      </w:pPr>
      <w:r w:rsidRPr="00365A75">
        <w:rPr>
          <w:b/>
          <w:noProof/>
        </w:rPr>
        <w:t>M</w:t>
      </w:r>
      <w:r w:rsidRPr="006806C0">
        <w:rPr>
          <w:b/>
          <w:noProof/>
        </w:rPr>
        <w:t>atter more appropriate for parliamentary enactment</w:t>
      </w:r>
    </w:p>
    <w:p w:rsidR="00630D81" w:rsidRPr="006806C0" w:rsidRDefault="00630D81" w:rsidP="00630D81">
      <w:r w:rsidRPr="006806C0">
        <w:t xml:space="preserve">Section 12 of the </w:t>
      </w:r>
      <w:r w:rsidRPr="006806C0">
        <w:rPr>
          <w:i/>
        </w:rPr>
        <w:t>Law Officers Act 1964</w:t>
      </w:r>
      <w:r w:rsidRPr="006806C0">
        <w:t xml:space="preserve"> prescribes the functions of the Solicitor-General. The functions prescribed in subsections 12(a)(viii) and 12(c) are performed by the Solicitor-General at the request of the Attorney-General, however, the functions of the Solicitor-General prescribed in subsections 12(a)(i)–(a)(vii) do not involve the Attorney-General, and include the function of the Solicitor-General to act as counsel for a minister (subsection 12(a)(iv)) or an officer of the Commonwealth (subsection 12(a)(v)).</w:t>
      </w:r>
    </w:p>
    <w:p w:rsidR="00630D81" w:rsidRPr="006806C0" w:rsidRDefault="00630D81" w:rsidP="00630D81">
      <w:r w:rsidRPr="006806C0">
        <w:t>The direction operates to preclude persons or bodies listed in 12(a)(i)–(a)(vii) from seeking the advice of the Solicitor-General on questions of law without the consent of the Attorney-General, unless the question of law arises in the course of a matter in which the Solicitor-General is acting as counsel.</w:t>
      </w:r>
    </w:p>
    <w:p w:rsidR="00630D81" w:rsidRPr="006806C0" w:rsidRDefault="00630D81" w:rsidP="00630D81">
      <w:r w:rsidRPr="006806C0">
        <w:t>Scrutiny principle 23(3)(d) of the committee's terms of reference requires the committee to ensure that instruments do not contain matters more appropriate for parliamentary enactment (that is, matters that should be enacted via primary rather than delegated legislation). This includes legislation which fundamentally changes the law.</w:t>
      </w:r>
    </w:p>
    <w:p w:rsidR="00630D81" w:rsidRPr="006806C0" w:rsidRDefault="00630D81" w:rsidP="00630D81">
      <w:r w:rsidRPr="006806C0">
        <w:t>The ES to the direction states that its purpose is to:</w:t>
      </w:r>
    </w:p>
    <w:p w:rsidR="00630D81" w:rsidRPr="006806C0" w:rsidRDefault="00630D81" w:rsidP="00630D81">
      <w:pPr>
        <w:pStyle w:val="Quote"/>
      </w:pPr>
      <w:r w:rsidRPr="006806C0">
        <w:lastRenderedPageBreak/>
        <w:t xml:space="preserve">…clarify the circumstances in which an opinion on a question of law may be sought from the Solicitor-General pursuant to paragraph 12(b) of the </w:t>
      </w:r>
      <w:r w:rsidRPr="006806C0">
        <w:rPr>
          <w:i/>
        </w:rPr>
        <w:t>Law Officers Act 1964</w:t>
      </w:r>
      <w:r w:rsidRPr="006806C0">
        <w:t xml:space="preserve"> and regularise the process by which referrals to the Solicitor-General for opinions are made.</w:t>
      </w:r>
    </w:p>
    <w:p w:rsidR="00630D81" w:rsidRPr="006806C0" w:rsidRDefault="00630D81" w:rsidP="00630D81">
      <w:r w:rsidRPr="006806C0">
        <w:t xml:space="preserve">However, the committee notes that, in effect, this direction appears to narrow the scope of the Solicitor-General's functions prescribed under subsections </w:t>
      </w:r>
      <w:r>
        <w:br/>
        <w:t>12(a)(i)–</w:t>
      </w:r>
      <w:r w:rsidRPr="006806C0">
        <w:t xml:space="preserve">(a)(vii) of the </w:t>
      </w:r>
      <w:r w:rsidRPr="006806C0">
        <w:rPr>
          <w:i/>
        </w:rPr>
        <w:t>Law  Officers Act 1964</w:t>
      </w:r>
      <w:r w:rsidRPr="006806C0">
        <w:t xml:space="preserve"> because</w:t>
      </w:r>
      <w:r>
        <w:t>,</w:t>
      </w:r>
      <w:r w:rsidRPr="006806C0">
        <w:t xml:space="preserve"> for example, </w:t>
      </w:r>
      <w:r>
        <w:t>m</w:t>
      </w:r>
      <w:r w:rsidRPr="006806C0">
        <w:t>inisters or officers of the Commonwealth can no longer seek the advice of the Solicitor-General on questions of law without the consent of the Attorney-General, unless the question of law arises in the course of a matter in which the Solicitor-General is acting as counsel.</w:t>
      </w:r>
    </w:p>
    <w:p w:rsidR="00630D81" w:rsidRPr="006806C0" w:rsidRDefault="00630D81" w:rsidP="00630D81">
      <w:r w:rsidRPr="006806C0">
        <w:t>Given this, the committee considers that the changes effected by the direction may be regarded as more appropriate for parliamentary enactment.</w:t>
      </w:r>
    </w:p>
    <w:p w:rsidR="00630D81" w:rsidRPr="002472FC" w:rsidRDefault="00630D81" w:rsidP="00630D81">
      <w:pPr>
        <w:rPr>
          <w:b/>
        </w:rPr>
      </w:pPr>
      <w:r w:rsidRPr="006806C0">
        <w:rPr>
          <w:b/>
        </w:rPr>
        <w:t>The committee requests the advice of the minister in relation to this matter.</w:t>
      </w:r>
    </w:p>
    <w:p w:rsidR="00630D81" w:rsidRDefault="00630D81" w:rsidP="00630D81"/>
    <w:tbl>
      <w:tblPr>
        <w:tblW w:w="0" w:type="auto"/>
        <w:tblInd w:w="108" w:type="dxa"/>
        <w:tblLook w:val="04A0" w:firstRow="1" w:lastRow="0" w:firstColumn="1" w:lastColumn="0" w:noHBand="0" w:noVBand="1"/>
      </w:tblPr>
      <w:tblGrid>
        <w:gridCol w:w="2694"/>
        <w:gridCol w:w="6378"/>
      </w:tblGrid>
      <w:tr w:rsidR="00630D81" w:rsidRPr="00681B17" w:rsidTr="00630D81">
        <w:tc>
          <w:tcPr>
            <w:tcW w:w="2694" w:type="dxa"/>
            <w:tcBorders>
              <w:top w:val="single" w:sz="12" w:space="0" w:color="auto"/>
              <w:right w:val="single" w:sz="12" w:space="0" w:color="auto"/>
            </w:tcBorders>
          </w:tcPr>
          <w:p w:rsidR="00630D81" w:rsidRPr="00E93009" w:rsidRDefault="00630D81" w:rsidP="00630D81">
            <w:pPr>
              <w:rPr>
                <w:b/>
                <w:sz w:val="24"/>
                <w:szCs w:val="24"/>
              </w:rPr>
            </w:pPr>
            <w:r w:rsidRPr="00E93009">
              <w:rPr>
                <w:b/>
                <w:sz w:val="24"/>
                <w:szCs w:val="24"/>
              </w:rPr>
              <w:t>Instrument</w:t>
            </w:r>
          </w:p>
        </w:tc>
        <w:tc>
          <w:tcPr>
            <w:tcW w:w="6378" w:type="dxa"/>
            <w:tcBorders>
              <w:top w:val="single" w:sz="12" w:space="0" w:color="auto"/>
              <w:left w:val="single" w:sz="12" w:space="0" w:color="auto"/>
            </w:tcBorders>
          </w:tcPr>
          <w:p w:rsidR="00630D81" w:rsidRPr="00CA0FF5" w:rsidRDefault="00630D81" w:rsidP="00630D81">
            <w:pPr>
              <w:pStyle w:val="Heading3"/>
              <w:rPr>
                <w:sz w:val="24"/>
                <w:szCs w:val="24"/>
              </w:rPr>
            </w:pPr>
            <w:r w:rsidRPr="00CA0FF5">
              <w:rPr>
                <w:sz w:val="24"/>
                <w:szCs w:val="24"/>
              </w:rPr>
              <w:t>Marine Order 12 (Construction - subdivision and stability, machinery and electrical installations) 2016 [F2016L01049]</w:t>
            </w:r>
          </w:p>
          <w:p w:rsidR="00630D81" w:rsidRPr="00CA0FF5" w:rsidRDefault="00630D81" w:rsidP="00630D81">
            <w:pPr>
              <w:pStyle w:val="Heading3"/>
              <w:rPr>
                <w:sz w:val="24"/>
                <w:szCs w:val="24"/>
              </w:rPr>
            </w:pPr>
            <w:r w:rsidRPr="00CA0FF5">
              <w:rPr>
                <w:sz w:val="24"/>
                <w:szCs w:val="24"/>
              </w:rPr>
              <w:t>Marine Order 21 (Safety and emergency arrangements) 2016 [F2016L01076]</w:t>
            </w:r>
          </w:p>
          <w:p w:rsidR="00630D81" w:rsidRPr="00E93009" w:rsidRDefault="00630D81" w:rsidP="00630D81">
            <w:pPr>
              <w:pStyle w:val="Heading3"/>
            </w:pPr>
            <w:r w:rsidRPr="00CA0FF5">
              <w:rPr>
                <w:sz w:val="24"/>
                <w:szCs w:val="24"/>
              </w:rPr>
              <w:t>Marine Order 27 (Safety of navigation and radio equipment) 2016 [F2016L01077]</w:t>
            </w:r>
          </w:p>
        </w:tc>
      </w:tr>
      <w:tr w:rsidR="00630D81" w:rsidRPr="00681B17" w:rsidTr="00630D81">
        <w:tc>
          <w:tcPr>
            <w:tcW w:w="2694" w:type="dxa"/>
            <w:tcBorders>
              <w:right w:val="single" w:sz="12" w:space="0" w:color="auto"/>
            </w:tcBorders>
          </w:tcPr>
          <w:p w:rsidR="00630D81" w:rsidRPr="00E93009" w:rsidRDefault="00630D81" w:rsidP="00630D81">
            <w:pPr>
              <w:rPr>
                <w:b/>
                <w:sz w:val="24"/>
                <w:szCs w:val="24"/>
              </w:rPr>
            </w:pPr>
            <w:r w:rsidRPr="00E93009">
              <w:rPr>
                <w:b/>
                <w:sz w:val="24"/>
                <w:szCs w:val="24"/>
              </w:rPr>
              <w:t>Purpose</w:t>
            </w:r>
          </w:p>
        </w:tc>
        <w:tc>
          <w:tcPr>
            <w:tcW w:w="6378" w:type="dxa"/>
            <w:tcBorders>
              <w:left w:val="single" w:sz="12" w:space="0" w:color="auto"/>
            </w:tcBorders>
          </w:tcPr>
          <w:p w:rsidR="00630D81" w:rsidRPr="00E93009" w:rsidRDefault="00630D81" w:rsidP="00630D81">
            <w:pPr>
              <w:rPr>
                <w:sz w:val="24"/>
                <w:szCs w:val="24"/>
              </w:rPr>
            </w:pPr>
            <w:r w:rsidRPr="00E93009">
              <w:rPr>
                <w:sz w:val="24"/>
                <w:szCs w:val="24"/>
              </w:rPr>
              <w:t xml:space="preserve">These </w:t>
            </w:r>
            <w:r>
              <w:rPr>
                <w:sz w:val="24"/>
                <w:szCs w:val="24"/>
              </w:rPr>
              <w:t>o</w:t>
            </w:r>
            <w:r w:rsidRPr="00E93009">
              <w:rPr>
                <w:sz w:val="24"/>
                <w:szCs w:val="24"/>
              </w:rPr>
              <w:t>rders prescribe standards for the structure, subdivision, stability, machinery and electrical installations for vessels; and safety measures</w:t>
            </w:r>
            <w:r>
              <w:rPr>
                <w:sz w:val="24"/>
                <w:szCs w:val="24"/>
              </w:rPr>
              <w:t>,</w:t>
            </w:r>
            <w:r w:rsidRPr="00E93009">
              <w:rPr>
                <w:sz w:val="24"/>
                <w:szCs w:val="24"/>
              </w:rPr>
              <w:t xml:space="preserve"> including emergency procedures and radio equipment</w:t>
            </w:r>
            <w:r>
              <w:rPr>
                <w:sz w:val="24"/>
                <w:szCs w:val="24"/>
              </w:rPr>
              <w:t>;</w:t>
            </w:r>
            <w:r w:rsidRPr="00E93009">
              <w:rPr>
                <w:sz w:val="24"/>
                <w:szCs w:val="24"/>
              </w:rPr>
              <w:t xml:space="preserve"> and danger, urgency and distress signals</w:t>
            </w:r>
          </w:p>
        </w:tc>
      </w:tr>
      <w:tr w:rsidR="00630D81" w:rsidRPr="00681B17" w:rsidTr="00630D81">
        <w:tc>
          <w:tcPr>
            <w:tcW w:w="2694" w:type="dxa"/>
            <w:tcBorders>
              <w:right w:val="single" w:sz="12" w:space="0" w:color="auto"/>
            </w:tcBorders>
          </w:tcPr>
          <w:p w:rsidR="00630D81" w:rsidRPr="00E93009" w:rsidRDefault="00630D81" w:rsidP="00630D81">
            <w:pPr>
              <w:rPr>
                <w:b/>
                <w:sz w:val="24"/>
                <w:szCs w:val="24"/>
              </w:rPr>
            </w:pPr>
            <w:r w:rsidRPr="00E93009">
              <w:rPr>
                <w:b/>
                <w:sz w:val="24"/>
                <w:szCs w:val="24"/>
              </w:rPr>
              <w:t>Last day to disallow</w:t>
            </w:r>
          </w:p>
        </w:tc>
        <w:tc>
          <w:tcPr>
            <w:tcW w:w="6378" w:type="dxa"/>
            <w:tcBorders>
              <w:left w:val="single" w:sz="12" w:space="0" w:color="auto"/>
            </w:tcBorders>
          </w:tcPr>
          <w:p w:rsidR="00630D81" w:rsidRPr="00E93009" w:rsidRDefault="00630D81" w:rsidP="00630D81">
            <w:pPr>
              <w:rPr>
                <w:sz w:val="24"/>
                <w:szCs w:val="24"/>
              </w:rPr>
            </w:pPr>
            <w:r>
              <w:rPr>
                <w:sz w:val="24"/>
                <w:szCs w:val="24"/>
              </w:rPr>
              <w:t>21 November 2016</w:t>
            </w:r>
          </w:p>
        </w:tc>
      </w:tr>
      <w:tr w:rsidR="00630D81" w:rsidRPr="00681B17" w:rsidTr="00630D81">
        <w:tc>
          <w:tcPr>
            <w:tcW w:w="2694" w:type="dxa"/>
            <w:tcBorders>
              <w:right w:val="single" w:sz="12" w:space="0" w:color="auto"/>
            </w:tcBorders>
          </w:tcPr>
          <w:p w:rsidR="00630D81" w:rsidRPr="00E93009" w:rsidRDefault="00630D81" w:rsidP="00630D81">
            <w:pPr>
              <w:rPr>
                <w:b/>
                <w:sz w:val="24"/>
                <w:szCs w:val="24"/>
              </w:rPr>
            </w:pPr>
            <w:r w:rsidRPr="00E93009">
              <w:rPr>
                <w:b/>
                <w:sz w:val="24"/>
                <w:szCs w:val="24"/>
              </w:rPr>
              <w:t>Authorising legislation</w:t>
            </w:r>
          </w:p>
        </w:tc>
        <w:tc>
          <w:tcPr>
            <w:tcW w:w="6378" w:type="dxa"/>
            <w:tcBorders>
              <w:left w:val="single" w:sz="12" w:space="0" w:color="auto"/>
            </w:tcBorders>
          </w:tcPr>
          <w:p w:rsidR="00630D81" w:rsidRPr="00E93009" w:rsidRDefault="00630D81" w:rsidP="00630D81">
            <w:pPr>
              <w:rPr>
                <w:i/>
                <w:sz w:val="24"/>
                <w:szCs w:val="24"/>
              </w:rPr>
            </w:pPr>
            <w:r w:rsidRPr="00E93009">
              <w:rPr>
                <w:i/>
                <w:sz w:val="24"/>
                <w:szCs w:val="24"/>
              </w:rPr>
              <w:t xml:space="preserve">Navigation Act 2012  </w:t>
            </w:r>
          </w:p>
        </w:tc>
      </w:tr>
      <w:tr w:rsidR="00630D81" w:rsidRPr="00681B17" w:rsidTr="00630D81">
        <w:tc>
          <w:tcPr>
            <w:tcW w:w="2694" w:type="dxa"/>
            <w:tcBorders>
              <w:right w:val="single" w:sz="12" w:space="0" w:color="auto"/>
            </w:tcBorders>
          </w:tcPr>
          <w:p w:rsidR="00630D81" w:rsidRPr="00E93009" w:rsidRDefault="00630D81" w:rsidP="00630D81">
            <w:pPr>
              <w:rPr>
                <w:b/>
                <w:sz w:val="24"/>
                <w:szCs w:val="24"/>
              </w:rPr>
            </w:pPr>
            <w:r w:rsidRPr="00E93009">
              <w:rPr>
                <w:b/>
                <w:sz w:val="24"/>
                <w:szCs w:val="24"/>
              </w:rPr>
              <w:t>Department</w:t>
            </w:r>
          </w:p>
        </w:tc>
        <w:tc>
          <w:tcPr>
            <w:tcW w:w="6378" w:type="dxa"/>
            <w:tcBorders>
              <w:left w:val="single" w:sz="12" w:space="0" w:color="auto"/>
            </w:tcBorders>
          </w:tcPr>
          <w:p w:rsidR="00630D81" w:rsidRPr="00E93009" w:rsidRDefault="00630D81" w:rsidP="00630D81">
            <w:pPr>
              <w:rPr>
                <w:sz w:val="24"/>
                <w:szCs w:val="24"/>
              </w:rPr>
            </w:pPr>
            <w:r w:rsidRPr="00E93009">
              <w:rPr>
                <w:sz w:val="24"/>
                <w:szCs w:val="24"/>
              </w:rPr>
              <w:t>Infrastructure and Regional Development</w:t>
            </w:r>
          </w:p>
        </w:tc>
      </w:tr>
      <w:tr w:rsidR="00630D81" w:rsidRPr="00681B17" w:rsidTr="00630D81">
        <w:tc>
          <w:tcPr>
            <w:tcW w:w="2694" w:type="dxa"/>
            <w:tcBorders>
              <w:bottom w:val="single" w:sz="12" w:space="0" w:color="auto"/>
              <w:right w:val="single" w:sz="12" w:space="0" w:color="auto"/>
            </w:tcBorders>
          </w:tcPr>
          <w:p w:rsidR="00630D81" w:rsidRPr="00E93009" w:rsidRDefault="00630D81" w:rsidP="00630D81">
            <w:pPr>
              <w:rPr>
                <w:b/>
                <w:sz w:val="24"/>
                <w:szCs w:val="24"/>
              </w:rPr>
            </w:pPr>
            <w:r w:rsidRPr="00E93009">
              <w:rPr>
                <w:b/>
                <w:sz w:val="24"/>
                <w:szCs w:val="24"/>
              </w:rPr>
              <w:t>Scrutiny principle</w:t>
            </w:r>
          </w:p>
        </w:tc>
        <w:tc>
          <w:tcPr>
            <w:tcW w:w="6378" w:type="dxa"/>
            <w:tcBorders>
              <w:left w:val="single" w:sz="12" w:space="0" w:color="auto"/>
              <w:bottom w:val="single" w:sz="12" w:space="0" w:color="auto"/>
            </w:tcBorders>
          </w:tcPr>
          <w:p w:rsidR="00630D81" w:rsidRPr="00E93009" w:rsidRDefault="00630D81" w:rsidP="00630D81">
            <w:pPr>
              <w:rPr>
                <w:sz w:val="24"/>
                <w:szCs w:val="24"/>
              </w:rPr>
            </w:pPr>
            <w:r w:rsidRPr="00E93009">
              <w:rPr>
                <w:sz w:val="24"/>
                <w:szCs w:val="24"/>
              </w:rPr>
              <w:t>Standing Order 23(3)(a)</w:t>
            </w:r>
          </w:p>
        </w:tc>
      </w:tr>
    </w:tbl>
    <w:p w:rsidR="00630D81" w:rsidRPr="00681B17" w:rsidRDefault="00630D81" w:rsidP="00630D81"/>
    <w:p w:rsidR="00630D81" w:rsidRPr="00681B17" w:rsidRDefault="00630D81" w:rsidP="00630D81">
      <w:pPr>
        <w:rPr>
          <w:b/>
        </w:rPr>
      </w:pPr>
      <w:r w:rsidRPr="00223620">
        <w:rPr>
          <w:b/>
        </w:rPr>
        <w:t>Incorporation of documents</w:t>
      </w:r>
    </w:p>
    <w:p w:rsidR="00630D81" w:rsidRPr="00681B17" w:rsidRDefault="00630D81" w:rsidP="00630D81">
      <w:r w:rsidRPr="00681B17">
        <w:t>Section 14 of the</w:t>
      </w:r>
      <w:r w:rsidRPr="00681B17">
        <w:rPr>
          <w:i/>
        </w:rPr>
        <w:t xml:space="preserve"> Legislation Act 2003</w:t>
      </w:r>
      <w:r w:rsidRPr="00681B17">
        <w:t xml:space="preserve"> allows legislative instruments to make provision in relation to matters by incorporating Acts and disallowable legislative instruments,</w:t>
      </w:r>
      <w:r>
        <w:t xml:space="preserve"> either</w:t>
      </w:r>
      <w:r w:rsidRPr="00681B17">
        <w:t xml:space="preserve"> as in force at a particular time or as in force from time to time. Other documents may only be incorporated as in force at the commencement of the </w:t>
      </w:r>
      <w:r w:rsidRPr="00681B17">
        <w:lastRenderedPageBreak/>
        <w:t>legislative instrument, unless authorising or other legislation alters the operation of section 14.</w:t>
      </w:r>
    </w:p>
    <w:p w:rsidR="00630D81" w:rsidRPr="00681B17" w:rsidRDefault="00630D81" w:rsidP="00630D81">
      <w:r w:rsidRPr="00681B17">
        <w:t>With reference to the above the committee notes that with respect to</w:t>
      </w:r>
      <w:r>
        <w:t xml:space="preserve"> these marine orders</w:t>
      </w:r>
      <w:r w:rsidRPr="00681B17">
        <w:t>:</w:t>
      </w:r>
    </w:p>
    <w:p w:rsidR="00630D81" w:rsidRPr="00681B17" w:rsidRDefault="00630D81" w:rsidP="00630D81">
      <w:pPr>
        <w:pStyle w:val="Bullet1"/>
        <w:spacing w:after="120"/>
      </w:pPr>
      <w:r w:rsidRPr="00681B17">
        <w:t>Marine Order 12 (Construction - subdivision and stability, machinery and electrical installations) 2016 [F2016L01049], section 1.4 incorporates AS 1735.1:2003; and paragraphs 22(b)(i)</w:t>
      </w:r>
      <w:r>
        <w:t>-</w:t>
      </w:r>
      <w:r w:rsidRPr="00681B17">
        <w:t>(iii) incorporate ISO 5488:2015; ISO 7061:2015 and ISO 7364:2016</w:t>
      </w:r>
      <w:r>
        <w:t>;</w:t>
      </w:r>
    </w:p>
    <w:p w:rsidR="00630D81" w:rsidRPr="00681B17" w:rsidRDefault="00630D81" w:rsidP="00630D81">
      <w:pPr>
        <w:pStyle w:val="Bullet1"/>
        <w:spacing w:after="120"/>
      </w:pPr>
      <w:r w:rsidRPr="00681B17">
        <w:t xml:space="preserve">Marine Order 21 (Safety and emergency arrangements) 2016 [F2016L01076], subsections 4(2) and 25(4), and section 4 of </w:t>
      </w:r>
      <w:r>
        <w:t>S</w:t>
      </w:r>
      <w:r w:rsidRPr="00681B17">
        <w:t>chedule 2 incorporate</w:t>
      </w:r>
      <w:r>
        <w:t>s</w:t>
      </w:r>
      <w:r w:rsidRPr="00681B17">
        <w:t xml:space="preserve"> AS/NZS 60079.29.1:2008; and subsection 25(4) incorporates AS/NZS60079.29.2:2008 and IEC 60079-29-2 Ed 1.0</w:t>
      </w:r>
      <w:r>
        <w:t>; and</w:t>
      </w:r>
    </w:p>
    <w:p w:rsidR="00630D81" w:rsidRPr="00681B17" w:rsidRDefault="00630D81" w:rsidP="00630D81">
      <w:pPr>
        <w:pStyle w:val="Bullet1"/>
        <w:spacing w:after="120"/>
      </w:pPr>
      <w:r w:rsidRPr="00681B17">
        <w:t>Marine Order 27 (Safety of navigation and radio equipment) 2016 [F2016L01077], subsection 19(1) incorporates IEC 60533:2015 and subsection 26(4) incorporates IEC 60945:2002.</w:t>
      </w:r>
    </w:p>
    <w:p w:rsidR="00630D81" w:rsidRDefault="00630D81" w:rsidP="00630D81">
      <w:r w:rsidRPr="00681B17">
        <w:t>However, neither the text of the</w:t>
      </w:r>
      <w:r>
        <w:t xml:space="preserve"> orders</w:t>
      </w:r>
      <w:r w:rsidRPr="00681B17">
        <w:t xml:space="preserve"> nor the ES</w:t>
      </w:r>
      <w:r>
        <w:t>s</w:t>
      </w:r>
      <w:r w:rsidRPr="00681B17">
        <w:t xml:space="preserve"> expressly state the manner in which the documents are incorporated.</w:t>
      </w:r>
    </w:p>
    <w:p w:rsidR="00630D81" w:rsidRDefault="00630D81" w:rsidP="00630D81">
      <w:pPr>
        <w:rPr>
          <w:szCs w:val="26"/>
        </w:rPr>
      </w:pPr>
      <w:r>
        <w:rPr>
          <w:szCs w:val="26"/>
        </w:rPr>
        <w:t>T</w:t>
      </w:r>
      <w:r w:rsidRPr="00C738E1">
        <w:rPr>
          <w:szCs w:val="26"/>
        </w:rPr>
        <w:t xml:space="preserve">he committee expects instruments (and ideally their accompanying ESs) </w:t>
      </w:r>
      <w:r>
        <w:rPr>
          <w:szCs w:val="26"/>
        </w:rPr>
        <w:t>to</w:t>
      </w:r>
      <w:r w:rsidRPr="00C738E1">
        <w:rPr>
          <w:szCs w:val="26"/>
        </w:rPr>
        <w:t xml:space="preserve"> clearly state the manner in which </w:t>
      </w:r>
      <w:r>
        <w:rPr>
          <w:szCs w:val="26"/>
        </w:rPr>
        <w:t>documents</w:t>
      </w:r>
      <w:r w:rsidRPr="00C738E1">
        <w:rPr>
          <w:szCs w:val="26"/>
        </w:rPr>
        <w:t xml:space="preserve">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630D81" w:rsidRDefault="00630D81" w:rsidP="00630D81">
      <w:pPr>
        <w:rPr>
          <w:b/>
        </w:rPr>
      </w:pPr>
      <w:r w:rsidRPr="00681B17">
        <w:rPr>
          <w:b/>
        </w:rPr>
        <w:t>The committee requests the advice of the minister in relation to this matter.</w:t>
      </w:r>
    </w:p>
    <w:p w:rsidR="00630D81" w:rsidRPr="00681B17" w:rsidRDefault="00630D81" w:rsidP="00630D81">
      <w:pPr>
        <w:rPr>
          <w:b/>
        </w:rPr>
      </w:pPr>
    </w:p>
    <w:p w:rsidR="00630D81" w:rsidRPr="00681B17" w:rsidRDefault="00630D81" w:rsidP="00630D81">
      <w:pPr>
        <w:pStyle w:val="Bullet1"/>
        <w:numPr>
          <w:ilvl w:val="0"/>
          <w:numId w:val="0"/>
        </w:numPr>
        <w:spacing w:before="120"/>
      </w:pPr>
      <w:r w:rsidRPr="00681B17">
        <w:rPr>
          <w:b/>
        </w:rPr>
        <w:t>Access to incorporated documents</w:t>
      </w:r>
    </w:p>
    <w:p w:rsidR="00630D81" w:rsidRPr="00681B17" w:rsidRDefault="00630D81" w:rsidP="00630D81">
      <w:r w:rsidRPr="00681B17">
        <w:t xml:space="preserve">Paragraph 15J(2)(c) of the </w:t>
      </w:r>
      <w:r w:rsidRPr="00681B17">
        <w:rPr>
          <w:i/>
        </w:rPr>
        <w:t xml:space="preserve">Legislation Act 2003 </w:t>
      </w:r>
      <w:r w:rsidRPr="00681B17">
        <w:t>requires the ES for a legislative instrument that incorporates a document to contain a description of that document and indicate how it may be obtained.</w:t>
      </w:r>
    </w:p>
    <w:p w:rsidR="00630D81" w:rsidRPr="00681B17" w:rsidRDefault="00630D81" w:rsidP="00630D81">
      <w:r w:rsidRPr="009436FF">
        <w:t>The committee's expectations where a legislative instrument incorporate</w:t>
      </w:r>
      <w:r>
        <w:t xml:space="preserve">s a document </w:t>
      </w:r>
      <w:r w:rsidRPr="00681B17">
        <w:t xml:space="preserve">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630D81" w:rsidRPr="00681B17" w:rsidRDefault="00630D81" w:rsidP="00630D81">
      <w:r w:rsidRPr="00681B17">
        <w:t xml:space="preserve">With reference to the above, the committee notes that various sections of the </w:t>
      </w:r>
      <w:r>
        <w:t>m</w:t>
      </w:r>
      <w:r w:rsidRPr="00681B17">
        <w:t xml:space="preserve">arine </w:t>
      </w:r>
      <w:r>
        <w:t>o</w:t>
      </w:r>
      <w:r w:rsidRPr="00681B17">
        <w:t>rders incorporate</w:t>
      </w:r>
      <w:r>
        <w:t xml:space="preserve"> a number of documents by reference</w:t>
      </w:r>
      <w:r w:rsidRPr="00681B17">
        <w:t xml:space="preserve">. </w:t>
      </w:r>
      <w:r>
        <w:t>While t</w:t>
      </w:r>
      <w:r w:rsidRPr="00681B17">
        <w:t xml:space="preserve">he ESs to the </w:t>
      </w:r>
      <w:r>
        <w:t>o</w:t>
      </w:r>
      <w:r w:rsidRPr="00681B17">
        <w:t xml:space="preserve">rders </w:t>
      </w:r>
      <w:r w:rsidRPr="00681B17">
        <w:lastRenderedPageBreak/>
        <w:t xml:space="preserve">provide </w:t>
      </w:r>
      <w:r>
        <w:t xml:space="preserve">a description of the documents and </w:t>
      </w:r>
      <w:r w:rsidRPr="00681B17">
        <w:t>information about how the</w:t>
      </w:r>
      <w:r>
        <w:t>y</w:t>
      </w:r>
      <w:r w:rsidRPr="00681B17">
        <w:t xml:space="preserve"> can be obtained, </w:t>
      </w:r>
      <w:r>
        <w:t xml:space="preserve">a number of </w:t>
      </w:r>
      <w:r w:rsidRPr="00681B17">
        <w:t>the document</w:t>
      </w:r>
      <w:r>
        <w:t>s</w:t>
      </w:r>
      <w:r w:rsidRPr="00681B17">
        <w:t xml:space="preserve"> are only available to purchase</w:t>
      </w:r>
      <w:r>
        <w:t>.</w:t>
      </w:r>
      <w:r w:rsidRPr="00681B17">
        <w:t xml:space="preserve"> </w:t>
      </w:r>
      <w:r>
        <w:t>T</w:t>
      </w:r>
      <w:r w:rsidRPr="00681B17">
        <w:t xml:space="preserve">he ESs do not contain information as to whether the documents are otherwise </w:t>
      </w:r>
      <w:r>
        <w:t xml:space="preserve">freely </w:t>
      </w:r>
      <w:r w:rsidRPr="00681B17">
        <w:t>accessible</w:t>
      </w:r>
      <w:r>
        <w:t>,</w:t>
      </w:r>
      <w:r w:rsidRPr="00681B17">
        <w:t xml:space="preserve"> other than to </w:t>
      </w:r>
      <w:r>
        <w:t xml:space="preserve">state </w:t>
      </w:r>
      <w:r w:rsidRPr="00681B17">
        <w:t>that 'persons having difficulty obtaining a copy of any standard mentioned in the Order[s] can contact AMSA.'</w:t>
      </w:r>
    </w:p>
    <w:p w:rsidR="00630D81" w:rsidRDefault="00630D81" w:rsidP="00630D81">
      <w:pPr>
        <w:rPr>
          <w:b/>
        </w:rPr>
      </w:pPr>
      <w:r w:rsidRPr="00681B17">
        <w:rPr>
          <w:b/>
        </w:rPr>
        <w:t xml:space="preserve">The committee requests the advice of the minister </w:t>
      </w:r>
      <w:r>
        <w:rPr>
          <w:b/>
        </w:rPr>
        <w:t xml:space="preserve">in relation to </w:t>
      </w:r>
      <w:r w:rsidRPr="00681B17">
        <w:rPr>
          <w:b/>
        </w:rPr>
        <w:t>this matter.</w:t>
      </w:r>
    </w:p>
    <w:p w:rsidR="00B0130A" w:rsidRPr="00681B17" w:rsidRDefault="00B0130A" w:rsidP="00630D81">
      <w:pPr>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szCs w:val="26"/>
              </w:rPr>
              <w:br w:type="page"/>
            </w: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4F2E07">
              <w:rPr>
                <w:noProof/>
                <w:sz w:val="24"/>
                <w:szCs w:val="24"/>
              </w:rPr>
              <w:t>Migration Act 1958 - Class of Persons Defined as Fast Track Applicants 2016/049 [F2016L00679]</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Defines certain non-citizen persons as fast track applicants</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Exempt</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Migration Act 1958</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Immigration and Border Protection</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23(3)(a) and (d)</w:t>
            </w:r>
          </w:p>
        </w:tc>
      </w:tr>
    </w:tbl>
    <w:p w:rsidR="00630D81" w:rsidRDefault="00630D81" w:rsidP="00630D81"/>
    <w:p w:rsidR="00630D81" w:rsidRPr="00C366DD" w:rsidRDefault="00630D81" w:rsidP="00630D81">
      <w:pPr>
        <w:rPr>
          <w:b/>
        </w:rPr>
      </w:pPr>
      <w:r w:rsidRPr="00C366DD">
        <w:rPr>
          <w:b/>
        </w:rPr>
        <w:t>Background</w:t>
      </w:r>
    </w:p>
    <w:p w:rsidR="00630D81" w:rsidRPr="00C366DD" w:rsidRDefault="00630D81" w:rsidP="00630D81">
      <w:r w:rsidRPr="00C366DD">
        <w:t>Th</w:t>
      </w:r>
      <w:r>
        <w:t xml:space="preserve">e </w:t>
      </w:r>
      <w:r w:rsidRPr="004F2E07">
        <w:rPr>
          <w:noProof/>
          <w:sz w:val="24"/>
          <w:szCs w:val="24"/>
        </w:rPr>
        <w:t>Migration Act 1958 - Class of Persons Defined as Fast Track Applicants 2016/049 [F2016L00679]</w:t>
      </w:r>
      <w:r w:rsidRPr="00C366DD">
        <w:t xml:space="preserve"> </w:t>
      </w:r>
      <w:r>
        <w:t xml:space="preserve">(the </w:t>
      </w:r>
      <w:r w:rsidRPr="00C366DD">
        <w:t>instrument</w:t>
      </w:r>
      <w:r>
        <w:t>)</w:t>
      </w:r>
      <w:r w:rsidRPr="00C366DD">
        <w:t xml:space="preserve"> </w:t>
      </w:r>
      <w:r>
        <w:t xml:space="preserve">is made under Part 1, paragraph 5(1AA)(b), of the </w:t>
      </w:r>
      <w:r w:rsidRPr="00C366DD">
        <w:rPr>
          <w:i/>
        </w:rPr>
        <w:t>Migration Act 1958</w:t>
      </w:r>
      <w:r w:rsidRPr="00C366DD">
        <w:t xml:space="preserve"> (the Migration Act)</w:t>
      </w:r>
      <w:r>
        <w:t xml:space="preserve">, and </w:t>
      </w:r>
      <w:r w:rsidRPr="00C366DD">
        <w:t xml:space="preserve">defines a class of persons who are fast track applicants for the purpose of paragraph 5(1)(b) of </w:t>
      </w:r>
      <w:r>
        <w:t>that Act</w:t>
      </w:r>
      <w:r w:rsidRPr="00C366DD">
        <w:t>. The committee understands the instrument to be exempt from disallowance by virtue of</w:t>
      </w:r>
      <w:r>
        <w:t xml:space="preserve"> table item 20</w:t>
      </w:r>
      <w:r w:rsidRPr="00C366DD">
        <w:t xml:space="preserve"> </w:t>
      </w:r>
      <w:r>
        <w:t xml:space="preserve">in </w:t>
      </w:r>
      <w:r w:rsidRPr="00C366DD">
        <w:t>section 10 of the Legislation (Exemptions and Other Matters) Regulation 2015 [</w:t>
      </w:r>
      <w:bookmarkStart w:id="27" w:name="OLE_LINK5"/>
      <w:r w:rsidRPr="00C366DD">
        <w:t>F2015L01475</w:t>
      </w:r>
      <w:bookmarkEnd w:id="27"/>
      <w:r w:rsidRPr="00C366DD">
        <w:t>] (the exemption regulation)</w:t>
      </w:r>
      <w:r>
        <w:t>, which exempts particular instruments made under the Migration Act from disallowance (including Part 1 under which the instrument is made).</w:t>
      </w:r>
    </w:p>
    <w:p w:rsidR="00630D81" w:rsidRPr="00C366DD" w:rsidRDefault="00630D81" w:rsidP="00630D81">
      <w:r w:rsidRPr="00C366DD">
        <w:t xml:space="preserve">The exemption regulation replaced the </w:t>
      </w:r>
      <w:r>
        <w:t xml:space="preserve">former </w:t>
      </w:r>
      <w:r w:rsidRPr="00C366DD">
        <w:t>Legislative Instruments Regulations</w:t>
      </w:r>
      <w:r>
        <w:t> </w:t>
      </w:r>
      <w:r w:rsidRPr="00C366DD">
        <w:t>2004, and implement</w:t>
      </w:r>
      <w:r>
        <w:t>ed</w:t>
      </w:r>
      <w:r w:rsidRPr="00C366DD">
        <w:t xml:space="preserve"> </w:t>
      </w:r>
      <w:r>
        <w:t xml:space="preserve">a number </w:t>
      </w:r>
      <w:r w:rsidRPr="00C366DD">
        <w:t xml:space="preserve">of changes </w:t>
      </w:r>
      <w:r>
        <w:t xml:space="preserve">to the regime governing legislative instruments </w:t>
      </w:r>
      <w:r w:rsidRPr="00C366DD">
        <w:t xml:space="preserve">by the </w:t>
      </w:r>
      <w:r w:rsidRPr="00C366DD">
        <w:rPr>
          <w:i/>
        </w:rPr>
        <w:t>Acts and Instruments (Framework Reform) Act 2015</w:t>
      </w:r>
      <w:r>
        <w:t xml:space="preserve"> </w:t>
      </w:r>
      <w:r w:rsidRPr="00C366DD">
        <w:t>(</w:t>
      </w:r>
      <w:r>
        <w:t xml:space="preserve">including changing the name of </w:t>
      </w:r>
      <w:r w:rsidRPr="00C366DD">
        <w:t xml:space="preserve">the </w:t>
      </w:r>
      <w:r w:rsidRPr="00C366DD">
        <w:rPr>
          <w:i/>
        </w:rPr>
        <w:t>Legislative Instruments Act 2003</w:t>
      </w:r>
      <w:r w:rsidRPr="00C366DD">
        <w:t xml:space="preserve"> </w:t>
      </w:r>
      <w:r>
        <w:t xml:space="preserve">to </w:t>
      </w:r>
      <w:r w:rsidRPr="00C366DD">
        <w:t xml:space="preserve">the </w:t>
      </w:r>
      <w:r w:rsidRPr="00C366DD">
        <w:rPr>
          <w:i/>
        </w:rPr>
        <w:t>Legislation Act 2003</w:t>
      </w:r>
      <w:r w:rsidRPr="00C366DD">
        <w:t>).</w:t>
      </w:r>
    </w:p>
    <w:p w:rsidR="00630D81" w:rsidRDefault="00630D81" w:rsidP="00630D81">
      <w:r w:rsidRPr="00C366DD">
        <w:t>In its report on the exemption regulation, the committee noted that the</w:t>
      </w:r>
      <w:r>
        <w:t xml:space="preserve"> </w:t>
      </w:r>
      <w:r w:rsidRPr="00C366DD">
        <w:t xml:space="preserve">item description of section 10 in the ES to the regulation provided justifications for </w:t>
      </w:r>
      <w:r>
        <w:t xml:space="preserve">the </w:t>
      </w:r>
      <w:r w:rsidRPr="00C366DD">
        <w:lastRenderedPageBreak/>
        <w:t>exemption of particular instruments from disallowance, explaining why their particular nature or character required them to be exempt from disallowance.</w:t>
      </w:r>
      <w:r w:rsidRPr="00C366DD">
        <w:rPr>
          <w:rStyle w:val="FootnoteReference"/>
        </w:rPr>
        <w:footnoteReference w:id="14"/>
      </w:r>
      <w:r w:rsidRPr="00C366DD">
        <w:t xml:space="preserve"> </w:t>
      </w:r>
    </w:p>
    <w:p w:rsidR="00630D81" w:rsidRPr="00C366DD" w:rsidRDefault="00630D81" w:rsidP="00630D81">
      <w:r w:rsidRPr="00C366DD">
        <w:t xml:space="preserve">However, no such justification was provided for item 20 of the table in section 10, </w:t>
      </w:r>
      <w:r>
        <w:t xml:space="preserve">which applies to the present instrument as described above. Accordingly, the </w:t>
      </w:r>
      <w:r w:rsidRPr="00C366DD">
        <w:t xml:space="preserve">committee sought </w:t>
      </w:r>
      <w:r>
        <w:t xml:space="preserve">a response </w:t>
      </w:r>
      <w:r w:rsidRPr="00C366DD">
        <w:t xml:space="preserve">from the Attorney-General in relation to </w:t>
      </w:r>
      <w:r>
        <w:t>this question.</w:t>
      </w:r>
    </w:p>
    <w:p w:rsidR="00630D81" w:rsidRPr="00C366DD" w:rsidRDefault="00630D81" w:rsidP="00630D81">
      <w:pPr>
        <w:rPr>
          <w:szCs w:val="26"/>
        </w:rPr>
      </w:pPr>
      <w:r w:rsidRPr="00C366DD">
        <w:rPr>
          <w:szCs w:val="26"/>
        </w:rPr>
        <w:t>In response, the Attorney-General advised:</w:t>
      </w:r>
    </w:p>
    <w:p w:rsidR="00630D81" w:rsidRPr="00C366DD" w:rsidRDefault="00630D81" w:rsidP="00630D81">
      <w:pPr>
        <w:pStyle w:val="Quote"/>
        <w:spacing w:before="120"/>
      </w:pPr>
      <w:r w:rsidRPr="00C366DD">
        <w:t>It is appropriate to continue to exempt the relevant instruments from disallowance. These instruments are crucial to the operation of the migration program. Continuing to exempt such instruments from disallowance ensures certainty in operational matters, as well as certainty for the rights and obligations of individuals with regard to visa and migration status.</w:t>
      </w:r>
    </w:p>
    <w:p w:rsidR="00630D81" w:rsidRPr="00C366DD" w:rsidRDefault="00630D81" w:rsidP="00630D81">
      <w:pPr>
        <w:pStyle w:val="Quote"/>
        <w:spacing w:before="120"/>
      </w:pPr>
      <w:r w:rsidRPr="00C366DD">
        <w:t>Many of these instruments support the machinery of the migration program by providing for administrative matters, such as the form required to make a valid visa application, the manner and place for lodging applications and appropriate course qualifications or language proficiency. In addition to ensuring certainty in the operation of the immigration program, these instruments are largely administrative in nature, and therefore would not ordinarily be considered legislative instruments under the Legislative Instruments Act.</w:t>
      </w:r>
      <w:r>
        <w:t>.</w:t>
      </w:r>
      <w:r w:rsidRPr="00C366DD">
        <w:t>.</w:t>
      </w:r>
      <w:r w:rsidRPr="00C366DD">
        <w:rPr>
          <w:rStyle w:val="FootnoteReference"/>
        </w:rPr>
        <w:footnoteReference w:id="15"/>
      </w:r>
    </w:p>
    <w:p w:rsidR="00630D81" w:rsidRPr="00C366DD" w:rsidRDefault="00630D81" w:rsidP="00630D81">
      <w:pPr>
        <w:rPr>
          <w:szCs w:val="26"/>
        </w:rPr>
      </w:pPr>
      <w:r w:rsidRPr="00C366DD">
        <w:rPr>
          <w:szCs w:val="26"/>
        </w:rPr>
        <w:t xml:space="preserve">The Attorney-General also provided the following examples of the nature and purpose of instruments </w:t>
      </w:r>
      <w:r>
        <w:rPr>
          <w:szCs w:val="26"/>
        </w:rPr>
        <w:t xml:space="preserve">commonly </w:t>
      </w:r>
      <w:r w:rsidRPr="00C366DD">
        <w:rPr>
          <w:szCs w:val="26"/>
        </w:rPr>
        <w:t>made under Part</w:t>
      </w:r>
      <w:r>
        <w:rPr>
          <w:szCs w:val="26"/>
        </w:rPr>
        <w:t> </w:t>
      </w:r>
      <w:r w:rsidRPr="00C366DD">
        <w:rPr>
          <w:szCs w:val="26"/>
        </w:rPr>
        <w:t>1of the Migration Act:</w:t>
      </w:r>
    </w:p>
    <w:p w:rsidR="00630D81" w:rsidRPr="00C366DD" w:rsidRDefault="00630D81" w:rsidP="00630D81">
      <w:pPr>
        <w:pStyle w:val="Bullet1"/>
        <w:spacing w:after="120"/>
      </w:pPr>
      <w:r w:rsidRPr="00C366DD">
        <w:t>authorisation of officers for certain purposes;</w:t>
      </w:r>
    </w:p>
    <w:p w:rsidR="00630D81" w:rsidRPr="00C366DD" w:rsidRDefault="00630D81" w:rsidP="00630D81">
      <w:pPr>
        <w:pStyle w:val="Bullet1"/>
        <w:spacing w:after="120"/>
      </w:pPr>
      <w:r w:rsidRPr="00C366DD">
        <w:t>approved places of immigration detention; and</w:t>
      </w:r>
    </w:p>
    <w:p w:rsidR="00630D81" w:rsidRPr="00C366DD" w:rsidRDefault="00630D81" w:rsidP="00630D81">
      <w:pPr>
        <w:pStyle w:val="Bullet1"/>
        <w:spacing w:after="120"/>
      </w:pPr>
      <w:r w:rsidRPr="00C366DD">
        <w:t>appointment of ports.</w:t>
      </w:r>
    </w:p>
    <w:p w:rsidR="00630D81" w:rsidRDefault="00630D81" w:rsidP="00630D81">
      <w:pPr>
        <w:pStyle w:val="Bullet1"/>
        <w:numPr>
          <w:ilvl w:val="0"/>
          <w:numId w:val="0"/>
        </w:numPr>
        <w:spacing w:before="120"/>
      </w:pPr>
      <w:r w:rsidRPr="00C366DD">
        <w:t>In concluding the matter, the committee noted the Attorney-General's advice that exempting such instruments from disallowance ensures certainty in operational matters and provides for administrative matters to support the machinery of the migration program.</w:t>
      </w:r>
    </w:p>
    <w:p w:rsidR="00B0130A" w:rsidRDefault="00B0130A" w:rsidP="00630D81">
      <w:pPr>
        <w:rPr>
          <w:b/>
          <w:bCs/>
          <w:noProof/>
        </w:rPr>
      </w:pPr>
    </w:p>
    <w:p w:rsidR="00630D81" w:rsidRPr="00C366DD" w:rsidRDefault="00630D81" w:rsidP="00630D81">
      <w:pPr>
        <w:rPr>
          <w:b/>
          <w:bCs/>
          <w:noProof/>
        </w:rPr>
      </w:pPr>
      <w:r w:rsidRPr="00C366DD">
        <w:rPr>
          <w:b/>
          <w:bCs/>
          <w:noProof/>
        </w:rPr>
        <w:lastRenderedPageBreak/>
        <w:t>Exemption of instrument from disallowance</w:t>
      </w:r>
      <w:r>
        <w:rPr>
          <w:rStyle w:val="FootnoteReference"/>
          <w:noProof/>
          <w:sz w:val="24"/>
          <w:szCs w:val="24"/>
        </w:rPr>
        <w:footnoteReference w:id="16"/>
      </w:r>
    </w:p>
    <w:p w:rsidR="00630D81" w:rsidRPr="00C366DD" w:rsidRDefault="00630D81" w:rsidP="00630D81">
      <w:pPr>
        <w:rPr>
          <w:szCs w:val="26"/>
        </w:rPr>
      </w:pPr>
      <w:r w:rsidRPr="00C366DD">
        <w:rPr>
          <w:szCs w:val="26"/>
        </w:rPr>
        <w:t xml:space="preserve">As noted above, the purpose of the instrument is to define a class of persons as fast track applicants for the purposes of paragraph 5(1)(b) of the Migration Act. </w:t>
      </w:r>
    </w:p>
    <w:p w:rsidR="00630D81" w:rsidRPr="00C366DD" w:rsidRDefault="00630D81" w:rsidP="00630D81">
      <w:pPr>
        <w:rPr>
          <w:szCs w:val="26"/>
        </w:rPr>
      </w:pPr>
      <w:r w:rsidRPr="00C366DD">
        <w:rPr>
          <w:szCs w:val="26"/>
        </w:rPr>
        <w:t>Paragraph 6 of the ES to the instrument states:</w:t>
      </w:r>
    </w:p>
    <w:p w:rsidR="00630D81" w:rsidRPr="00C366DD" w:rsidRDefault="00630D81" w:rsidP="00630D81">
      <w:pPr>
        <w:pStyle w:val="Quote"/>
        <w:spacing w:before="120"/>
      </w:pPr>
      <w:r w:rsidRPr="00C366DD">
        <w:t xml:space="preserve">Under section 42 of the </w:t>
      </w:r>
      <w:r w:rsidRPr="00C366DD">
        <w:rPr>
          <w:i/>
        </w:rPr>
        <w:t>Legislation Act 2003</w:t>
      </w:r>
      <w:r w:rsidRPr="00C366DD">
        <w:t>, the Instrument is subject to disallowance…</w:t>
      </w:r>
    </w:p>
    <w:p w:rsidR="00630D81" w:rsidRPr="00C366DD" w:rsidRDefault="00630D81" w:rsidP="00630D81">
      <w:r w:rsidRPr="00C366DD">
        <w:t xml:space="preserve">However, as set out above, the </w:t>
      </w:r>
      <w:r>
        <w:t>instrument is made under Part 1 </w:t>
      </w:r>
      <w:r w:rsidRPr="00C366DD">
        <w:t>of the Migration Act, and the committee therefore understands it to be exempt from disallowance by virtue of section 10 of the exemption regulation.</w:t>
      </w:r>
    </w:p>
    <w:p w:rsidR="00630D81" w:rsidRPr="00C366DD" w:rsidRDefault="00630D81" w:rsidP="00630D81">
      <w:r w:rsidRPr="00C366DD">
        <w:t>With reference to the Attorney-General's previous advice about the nature of instruments made under Part 1 of the Migration Act, and the examples provided of the nature and purpose of such instruments, the committee notes that the instrument provides a substantive definition relating to classes of persons who are fast track applicants for the purposes of the Migration Act. In this respect, it is unclear to the committee that the instrument is properly characterised as providing merely for 'administrative matters to support the machinery of the migration program', so as to justify its exemption from disallowance (and thereby being effectively removed from the effective oversight of the Parliament).</w:t>
      </w:r>
    </w:p>
    <w:p w:rsidR="00630D81" w:rsidRDefault="00630D81" w:rsidP="00630D81">
      <w:pPr>
        <w:rPr>
          <w:b/>
        </w:rPr>
      </w:pPr>
      <w:r w:rsidRPr="00C366DD">
        <w:rPr>
          <w:b/>
        </w:rPr>
        <w:t>The committee requests the advice of the minister in relation to this matter.</w:t>
      </w:r>
    </w:p>
    <w:p w:rsidR="00630D81" w:rsidRPr="00B0130A" w:rsidRDefault="00630D81" w:rsidP="00630D81">
      <w:pPr>
        <w:rPr>
          <w:sz w:val="24"/>
          <w:szCs w:val="24"/>
        </w:rPr>
      </w:pPr>
    </w:p>
    <w:tbl>
      <w:tblPr>
        <w:tblW w:w="0" w:type="auto"/>
        <w:tblInd w:w="108" w:type="dxa"/>
        <w:tblLook w:val="04A0" w:firstRow="1" w:lastRow="0" w:firstColumn="1" w:lastColumn="0" w:noHBand="0" w:noVBand="1"/>
      </w:tblPr>
      <w:tblGrid>
        <w:gridCol w:w="2694"/>
        <w:gridCol w:w="6378"/>
      </w:tblGrid>
      <w:tr w:rsidR="00630D81" w:rsidRPr="00681B17" w:rsidTr="00630D81">
        <w:tc>
          <w:tcPr>
            <w:tcW w:w="2694" w:type="dxa"/>
            <w:tcBorders>
              <w:top w:val="single" w:sz="12" w:space="0" w:color="auto"/>
              <w:right w:val="single" w:sz="12" w:space="0" w:color="auto"/>
            </w:tcBorders>
          </w:tcPr>
          <w:p w:rsidR="00630D81" w:rsidRPr="00274CB8" w:rsidRDefault="00630D81" w:rsidP="00630D81">
            <w:pPr>
              <w:rPr>
                <w:b/>
                <w:sz w:val="24"/>
                <w:szCs w:val="24"/>
              </w:rPr>
            </w:pPr>
            <w:r w:rsidRPr="00274CB8">
              <w:rPr>
                <w:b/>
                <w:sz w:val="24"/>
                <w:szCs w:val="24"/>
              </w:rPr>
              <w:t>Instrument</w:t>
            </w:r>
          </w:p>
        </w:tc>
        <w:tc>
          <w:tcPr>
            <w:tcW w:w="6378" w:type="dxa"/>
            <w:tcBorders>
              <w:top w:val="single" w:sz="12" w:space="0" w:color="auto"/>
              <w:left w:val="single" w:sz="12" w:space="0" w:color="auto"/>
            </w:tcBorders>
          </w:tcPr>
          <w:p w:rsidR="00630D81" w:rsidRPr="00CA0FF5" w:rsidRDefault="00630D81" w:rsidP="00630D81">
            <w:pPr>
              <w:pStyle w:val="Heading3"/>
              <w:rPr>
                <w:sz w:val="24"/>
                <w:szCs w:val="24"/>
              </w:rPr>
            </w:pPr>
            <w:r w:rsidRPr="00CA0FF5">
              <w:rPr>
                <w:sz w:val="24"/>
                <w:szCs w:val="24"/>
              </w:rPr>
              <w:t>Migration Regulations 1994 - Working Holiday Visa - Definitions of Specified Work and Regional Australia 2016/041 [F2016L00757]</w:t>
            </w:r>
          </w:p>
          <w:p w:rsidR="00630D81" w:rsidRPr="00CA0FF5" w:rsidRDefault="00630D81" w:rsidP="00630D81">
            <w:pPr>
              <w:pStyle w:val="Heading3"/>
              <w:rPr>
                <w:sz w:val="24"/>
                <w:szCs w:val="24"/>
              </w:rPr>
            </w:pPr>
            <w:r w:rsidRPr="00CA0FF5">
              <w:rPr>
                <w:sz w:val="24"/>
                <w:szCs w:val="24"/>
              </w:rPr>
              <w:t>Migration Regulations 1994 - Specification of Designated Areas - IMMI 16/044 [F2016L00777]</w:t>
            </w:r>
          </w:p>
          <w:p w:rsidR="00630D81" w:rsidRPr="00CA0FF5" w:rsidRDefault="00630D81" w:rsidP="00630D81">
            <w:pPr>
              <w:pStyle w:val="Heading3"/>
              <w:rPr>
                <w:sz w:val="24"/>
                <w:szCs w:val="24"/>
              </w:rPr>
            </w:pPr>
            <w:r w:rsidRPr="00CA0FF5">
              <w:rPr>
                <w:sz w:val="24"/>
                <w:szCs w:val="24"/>
              </w:rPr>
              <w:t>Migration Regulations 1994 - Specification of Regional Certifying Bodies and Regional Postcodes - IMMI 16/045 [F2016L00778]</w:t>
            </w:r>
          </w:p>
          <w:p w:rsidR="00630D81" w:rsidRPr="00CA0FF5" w:rsidRDefault="00630D81" w:rsidP="00630D81">
            <w:pPr>
              <w:pStyle w:val="Heading3"/>
              <w:rPr>
                <w:sz w:val="24"/>
                <w:szCs w:val="24"/>
              </w:rPr>
            </w:pPr>
            <w:r w:rsidRPr="00CA0FF5">
              <w:rPr>
                <w:sz w:val="24"/>
                <w:szCs w:val="24"/>
              </w:rPr>
              <w:t xml:space="preserve">Migration Regulations 1994 - Specification of Arrangements for Resident Return Visa Applications </w:t>
            </w:r>
            <w:r w:rsidRPr="00CA0FF5">
              <w:rPr>
                <w:sz w:val="24"/>
                <w:szCs w:val="24"/>
              </w:rPr>
              <w:lastRenderedPageBreak/>
              <w:t>2016/042 - IMMI 16/042 [F2016L00785]</w:t>
            </w:r>
          </w:p>
          <w:p w:rsidR="00630D81" w:rsidRPr="00CA0FF5" w:rsidRDefault="00630D81" w:rsidP="00630D81">
            <w:pPr>
              <w:pStyle w:val="Heading3"/>
              <w:rPr>
                <w:sz w:val="24"/>
                <w:szCs w:val="24"/>
              </w:rPr>
            </w:pPr>
            <w:r w:rsidRPr="00CA0FF5">
              <w:rPr>
                <w:sz w:val="24"/>
                <w:szCs w:val="24"/>
              </w:rPr>
              <w:t>Migration Regulations 1994 - Specification of Arrangements for Other Visas 2016/043 - IMMI 16/043 [F2016L00786]</w:t>
            </w:r>
          </w:p>
          <w:p w:rsidR="00630D81" w:rsidRPr="00274CB8" w:rsidRDefault="00630D81" w:rsidP="00630D81">
            <w:pPr>
              <w:pStyle w:val="Heading3"/>
            </w:pPr>
            <w:r w:rsidRPr="00CA0FF5">
              <w:rPr>
                <w:sz w:val="24"/>
                <w:szCs w:val="24"/>
              </w:rPr>
              <w:t>Migration Regulations 1994 - Specification of  Visa Subclass for the Purposes of the Health Requirement - IMMI 16/067 [F2016L01126]</w:t>
            </w:r>
          </w:p>
        </w:tc>
      </w:tr>
      <w:tr w:rsidR="00630D81" w:rsidRPr="00681B17" w:rsidTr="00630D81">
        <w:tc>
          <w:tcPr>
            <w:tcW w:w="2694" w:type="dxa"/>
            <w:tcBorders>
              <w:right w:val="single" w:sz="12" w:space="0" w:color="auto"/>
            </w:tcBorders>
          </w:tcPr>
          <w:p w:rsidR="00630D81" w:rsidRPr="00274CB8" w:rsidRDefault="00630D81" w:rsidP="00630D81">
            <w:pPr>
              <w:rPr>
                <w:b/>
                <w:sz w:val="24"/>
                <w:szCs w:val="24"/>
              </w:rPr>
            </w:pPr>
            <w:r w:rsidRPr="00274CB8">
              <w:rPr>
                <w:b/>
                <w:sz w:val="24"/>
                <w:szCs w:val="24"/>
              </w:rPr>
              <w:lastRenderedPageBreak/>
              <w:t>Purpose</w:t>
            </w:r>
          </w:p>
        </w:tc>
        <w:tc>
          <w:tcPr>
            <w:tcW w:w="6378" w:type="dxa"/>
            <w:tcBorders>
              <w:left w:val="single" w:sz="12" w:space="0" w:color="auto"/>
            </w:tcBorders>
          </w:tcPr>
          <w:p w:rsidR="00630D81" w:rsidRPr="00274CB8" w:rsidRDefault="00630D81" w:rsidP="00630D81">
            <w:pPr>
              <w:rPr>
                <w:sz w:val="24"/>
                <w:szCs w:val="24"/>
              </w:rPr>
            </w:pPr>
            <w:r w:rsidRPr="00274CB8">
              <w:rPr>
                <w:sz w:val="24"/>
                <w:szCs w:val="24"/>
              </w:rPr>
              <w:t xml:space="preserve">These </w:t>
            </w:r>
            <w:r>
              <w:rPr>
                <w:sz w:val="24"/>
                <w:szCs w:val="24"/>
              </w:rPr>
              <w:t xml:space="preserve">regulations </w:t>
            </w:r>
            <w:r w:rsidRPr="00274CB8">
              <w:rPr>
                <w:sz w:val="24"/>
                <w:szCs w:val="24"/>
              </w:rPr>
              <w:t xml:space="preserve">specify various requirements relevant to the transition of Norfolk Island permit holders and foreign national residents to the Australian visa regime </w:t>
            </w:r>
          </w:p>
        </w:tc>
      </w:tr>
      <w:tr w:rsidR="00630D81" w:rsidRPr="00681B17" w:rsidTr="00630D81">
        <w:tc>
          <w:tcPr>
            <w:tcW w:w="2694" w:type="dxa"/>
            <w:tcBorders>
              <w:right w:val="single" w:sz="12" w:space="0" w:color="auto"/>
            </w:tcBorders>
          </w:tcPr>
          <w:p w:rsidR="00630D81" w:rsidRPr="00274CB8" w:rsidRDefault="00630D81" w:rsidP="00630D81">
            <w:pPr>
              <w:rPr>
                <w:b/>
                <w:sz w:val="24"/>
                <w:szCs w:val="24"/>
              </w:rPr>
            </w:pPr>
            <w:r w:rsidRPr="00274CB8">
              <w:rPr>
                <w:b/>
                <w:sz w:val="24"/>
                <w:szCs w:val="24"/>
              </w:rPr>
              <w:t>Last day to disallow</w:t>
            </w:r>
          </w:p>
        </w:tc>
        <w:tc>
          <w:tcPr>
            <w:tcW w:w="6378" w:type="dxa"/>
            <w:tcBorders>
              <w:left w:val="single" w:sz="12" w:space="0" w:color="auto"/>
            </w:tcBorders>
          </w:tcPr>
          <w:p w:rsidR="00630D81" w:rsidRPr="00274CB8" w:rsidRDefault="00630D81" w:rsidP="00630D81">
            <w:pPr>
              <w:rPr>
                <w:sz w:val="24"/>
                <w:szCs w:val="24"/>
              </w:rPr>
            </w:pPr>
            <w:r>
              <w:rPr>
                <w:sz w:val="24"/>
                <w:szCs w:val="24"/>
              </w:rPr>
              <w:t>21 November 2016</w:t>
            </w:r>
          </w:p>
        </w:tc>
      </w:tr>
      <w:tr w:rsidR="00630D81" w:rsidRPr="00681B17" w:rsidTr="00630D81">
        <w:tc>
          <w:tcPr>
            <w:tcW w:w="2694" w:type="dxa"/>
            <w:tcBorders>
              <w:right w:val="single" w:sz="12" w:space="0" w:color="auto"/>
            </w:tcBorders>
          </w:tcPr>
          <w:p w:rsidR="00630D81" w:rsidRPr="00274CB8" w:rsidRDefault="00630D81" w:rsidP="00630D81">
            <w:pPr>
              <w:rPr>
                <w:b/>
                <w:sz w:val="24"/>
                <w:szCs w:val="24"/>
              </w:rPr>
            </w:pPr>
            <w:r w:rsidRPr="00274CB8">
              <w:rPr>
                <w:b/>
                <w:sz w:val="24"/>
                <w:szCs w:val="24"/>
              </w:rPr>
              <w:t>Authorising legislation</w:t>
            </w:r>
          </w:p>
        </w:tc>
        <w:tc>
          <w:tcPr>
            <w:tcW w:w="6378" w:type="dxa"/>
            <w:tcBorders>
              <w:left w:val="single" w:sz="12" w:space="0" w:color="auto"/>
            </w:tcBorders>
          </w:tcPr>
          <w:p w:rsidR="00630D81" w:rsidRPr="00274CB8" w:rsidRDefault="00630D81" w:rsidP="00630D81">
            <w:pPr>
              <w:rPr>
                <w:i/>
                <w:sz w:val="24"/>
                <w:szCs w:val="24"/>
              </w:rPr>
            </w:pPr>
            <w:r w:rsidRPr="00274CB8">
              <w:rPr>
                <w:i/>
                <w:sz w:val="24"/>
                <w:szCs w:val="24"/>
              </w:rPr>
              <w:t xml:space="preserve">Migration Regulations 1994  </w:t>
            </w:r>
          </w:p>
        </w:tc>
      </w:tr>
      <w:tr w:rsidR="00630D81" w:rsidRPr="00681B17" w:rsidTr="00630D81">
        <w:tc>
          <w:tcPr>
            <w:tcW w:w="2694" w:type="dxa"/>
            <w:tcBorders>
              <w:right w:val="single" w:sz="12" w:space="0" w:color="auto"/>
            </w:tcBorders>
          </w:tcPr>
          <w:p w:rsidR="00630D81" w:rsidRPr="00274CB8" w:rsidRDefault="00630D81" w:rsidP="00630D81">
            <w:pPr>
              <w:rPr>
                <w:b/>
                <w:sz w:val="24"/>
                <w:szCs w:val="24"/>
              </w:rPr>
            </w:pPr>
            <w:r w:rsidRPr="00274CB8">
              <w:rPr>
                <w:b/>
                <w:sz w:val="24"/>
                <w:szCs w:val="24"/>
              </w:rPr>
              <w:t>Department</w:t>
            </w:r>
          </w:p>
        </w:tc>
        <w:tc>
          <w:tcPr>
            <w:tcW w:w="6378" w:type="dxa"/>
            <w:tcBorders>
              <w:left w:val="single" w:sz="12" w:space="0" w:color="auto"/>
            </w:tcBorders>
          </w:tcPr>
          <w:p w:rsidR="00630D81" w:rsidRPr="00274CB8" w:rsidRDefault="00630D81" w:rsidP="00630D81">
            <w:pPr>
              <w:rPr>
                <w:sz w:val="24"/>
                <w:szCs w:val="24"/>
              </w:rPr>
            </w:pPr>
            <w:r w:rsidRPr="00274CB8">
              <w:rPr>
                <w:sz w:val="24"/>
                <w:szCs w:val="24"/>
              </w:rPr>
              <w:t>Immigration and Border Protection</w:t>
            </w:r>
          </w:p>
        </w:tc>
      </w:tr>
      <w:tr w:rsidR="00630D81" w:rsidRPr="00681B17" w:rsidTr="00630D81">
        <w:tc>
          <w:tcPr>
            <w:tcW w:w="2694" w:type="dxa"/>
            <w:tcBorders>
              <w:bottom w:val="single" w:sz="12" w:space="0" w:color="auto"/>
              <w:right w:val="single" w:sz="12" w:space="0" w:color="auto"/>
            </w:tcBorders>
          </w:tcPr>
          <w:p w:rsidR="00630D81" w:rsidRPr="00274CB8" w:rsidRDefault="00630D81" w:rsidP="00630D81">
            <w:pPr>
              <w:rPr>
                <w:b/>
                <w:sz w:val="24"/>
                <w:szCs w:val="24"/>
              </w:rPr>
            </w:pPr>
            <w:r w:rsidRPr="00274CB8">
              <w:rPr>
                <w:b/>
                <w:sz w:val="24"/>
                <w:szCs w:val="24"/>
              </w:rPr>
              <w:t>Scrutiny principle</w:t>
            </w:r>
          </w:p>
        </w:tc>
        <w:tc>
          <w:tcPr>
            <w:tcW w:w="6378" w:type="dxa"/>
            <w:tcBorders>
              <w:left w:val="single" w:sz="12" w:space="0" w:color="auto"/>
              <w:bottom w:val="single" w:sz="12" w:space="0" w:color="auto"/>
            </w:tcBorders>
          </w:tcPr>
          <w:p w:rsidR="00630D81" w:rsidRPr="00274CB8" w:rsidRDefault="00630D81" w:rsidP="00630D81">
            <w:pPr>
              <w:rPr>
                <w:sz w:val="24"/>
                <w:szCs w:val="24"/>
              </w:rPr>
            </w:pPr>
            <w:r w:rsidRPr="00274CB8">
              <w:rPr>
                <w:sz w:val="24"/>
                <w:szCs w:val="24"/>
              </w:rPr>
              <w:t>Standing Order 23(3)(a)</w:t>
            </w:r>
          </w:p>
        </w:tc>
      </w:tr>
    </w:tbl>
    <w:p w:rsidR="00630D81" w:rsidRDefault="00630D81" w:rsidP="00630D81">
      <w:pPr>
        <w:rPr>
          <w:b/>
        </w:rPr>
      </w:pPr>
    </w:p>
    <w:p w:rsidR="00630D81" w:rsidRPr="00681B17" w:rsidRDefault="00630D81" w:rsidP="00630D81">
      <w:r w:rsidRPr="00681B17">
        <w:rPr>
          <w:b/>
        </w:rPr>
        <w:t>Classification as a disallowable instrument</w:t>
      </w:r>
    </w:p>
    <w:p w:rsidR="00630D81" w:rsidRDefault="00630D81" w:rsidP="00630D81">
      <w:r w:rsidRPr="00681B17">
        <w:t xml:space="preserve">These </w:t>
      </w:r>
      <w:r>
        <w:t xml:space="preserve">regulations </w:t>
      </w:r>
      <w:r w:rsidRPr="00681B17">
        <w:t>specify various requirements relevant to the transition of Norfolk Island permit holders and foreign national residents to the Australian visa regime.</w:t>
      </w:r>
    </w:p>
    <w:p w:rsidR="00630D81" w:rsidRDefault="00630D81" w:rsidP="00630D81">
      <w:r w:rsidRPr="00641780">
        <w:t xml:space="preserve">The committee understands these instruments to be exempt from disallowance </w:t>
      </w:r>
      <w:r>
        <w:t xml:space="preserve">because they are made under certain schedules or parts of the Migration Regulations 1994 (the Migration Regulations) that are specified </w:t>
      </w:r>
      <w:r w:rsidRPr="00641780">
        <w:t>in item 20 of the table in section</w:t>
      </w:r>
      <w:r>
        <w:t> </w:t>
      </w:r>
      <w:r w:rsidRPr="00641780">
        <w:t>10 of the Legislation (Exemptions and Other Matters) Regulation 2015 [F2015L01475] (</w:t>
      </w:r>
      <w:r>
        <w:t xml:space="preserve">the </w:t>
      </w:r>
      <w:r w:rsidRPr="00641780">
        <w:t>exemption regulation).</w:t>
      </w:r>
      <w:r>
        <w:t xml:space="preserve"> The relevant schedules or parts under which the regulations are made are as follows:</w:t>
      </w:r>
    </w:p>
    <w:p w:rsidR="00630D81" w:rsidRPr="00681B17" w:rsidRDefault="00630D81" w:rsidP="00630D81">
      <w:pPr>
        <w:pStyle w:val="Bullet1"/>
        <w:spacing w:after="120"/>
      </w:pPr>
      <w:r w:rsidRPr="00681B17">
        <w:t>Migration Regulations 1994 - Working Holiday Visa - Definitions of Specified Work and Regional Australia 2016/041 [F2016L00757]</w:t>
      </w:r>
      <w:r>
        <w:t>:</w:t>
      </w:r>
      <w:r w:rsidRPr="00681B17">
        <w:t xml:space="preserve"> Schedule 1 of the</w:t>
      </w:r>
      <w:r>
        <w:t xml:space="preserve"> Migration R</w:t>
      </w:r>
      <w:r w:rsidRPr="00681B17">
        <w:t>egulations</w:t>
      </w:r>
      <w:r>
        <w:t>;</w:t>
      </w:r>
    </w:p>
    <w:p w:rsidR="00630D81" w:rsidRPr="00681B17" w:rsidRDefault="00630D81" w:rsidP="00630D81">
      <w:pPr>
        <w:pStyle w:val="Bullet1"/>
        <w:spacing w:after="120"/>
      </w:pPr>
      <w:r w:rsidRPr="00681B17">
        <w:t>Migration Regulations 1994 - Specification of Designated Areas - IMMI 16/044 [F2016L00777]</w:t>
      </w:r>
      <w:r>
        <w:t>:</w:t>
      </w:r>
      <w:r w:rsidRPr="00681B17">
        <w:t xml:space="preserve"> Part 1 of the </w:t>
      </w:r>
      <w:r>
        <w:t>Migration R</w:t>
      </w:r>
      <w:r w:rsidRPr="00681B17">
        <w:t>egulations</w:t>
      </w:r>
      <w:r>
        <w:t>;</w:t>
      </w:r>
    </w:p>
    <w:p w:rsidR="00630D81" w:rsidRPr="00681B17" w:rsidRDefault="00630D81" w:rsidP="00630D81">
      <w:pPr>
        <w:pStyle w:val="Bullet1"/>
        <w:spacing w:after="120"/>
      </w:pPr>
      <w:r w:rsidRPr="00681B17">
        <w:t>Migration Regulations 1994 - Specification of Regional Certifying Bodies and Regional Postcodes - IMMI 16/045 [F2016L00778]</w:t>
      </w:r>
      <w:r>
        <w:t>:</w:t>
      </w:r>
      <w:r w:rsidRPr="00681B17">
        <w:t xml:space="preserve"> Part 5 of the </w:t>
      </w:r>
      <w:r>
        <w:t>Migration R</w:t>
      </w:r>
      <w:r w:rsidRPr="00681B17">
        <w:t>egulations</w:t>
      </w:r>
      <w:r>
        <w:t>;</w:t>
      </w:r>
    </w:p>
    <w:p w:rsidR="00630D81" w:rsidRPr="00681B17" w:rsidRDefault="00630D81" w:rsidP="00630D81">
      <w:pPr>
        <w:pStyle w:val="Bullet1"/>
        <w:spacing w:after="120"/>
      </w:pPr>
      <w:r w:rsidRPr="00681B17">
        <w:t xml:space="preserve">Migration Regulations 1994 - Specification of Arrangements for Resident Return Visa Applications 2016/042 - IMMI 16/042 [F2016L00785] and Migration Regulations 1994 - Specification of Arrangements for Other Visas </w:t>
      </w:r>
      <w:r w:rsidRPr="00681B17">
        <w:lastRenderedPageBreak/>
        <w:t>2016/043 - IMMI 16/043 [F2016L00786]</w:t>
      </w:r>
      <w:r>
        <w:t xml:space="preserve">: </w:t>
      </w:r>
      <w:r w:rsidRPr="00681B17">
        <w:t>Part 2 of the</w:t>
      </w:r>
      <w:r>
        <w:t xml:space="preserve"> Migration R</w:t>
      </w:r>
      <w:r w:rsidRPr="00681B17">
        <w:t>egulations</w:t>
      </w:r>
      <w:r>
        <w:t>; and</w:t>
      </w:r>
    </w:p>
    <w:p w:rsidR="00630D81" w:rsidRPr="00681B17" w:rsidRDefault="00630D81" w:rsidP="00630D81">
      <w:pPr>
        <w:pStyle w:val="Bullet1"/>
        <w:spacing w:after="120"/>
      </w:pPr>
      <w:r w:rsidRPr="00681B17">
        <w:t>Migration Regulations 1994 - Specification of Visa Subclass for the Purposes of the Health Requirement - IMMI 16/067 [F2016L01126]</w:t>
      </w:r>
      <w:r>
        <w:t>:</w:t>
      </w:r>
      <w:r w:rsidRPr="00681B17">
        <w:t xml:space="preserve"> Schedule 4 of the </w:t>
      </w:r>
      <w:r>
        <w:t>Migration R</w:t>
      </w:r>
      <w:r w:rsidRPr="00681B17">
        <w:t>egulations</w:t>
      </w:r>
      <w:r>
        <w:t>.</w:t>
      </w:r>
    </w:p>
    <w:p w:rsidR="00630D81" w:rsidRPr="00641780" w:rsidRDefault="00630D81" w:rsidP="00630D81">
      <w:r>
        <w:t>However, notwithstanding the apparent exemption of the regulations from disallowance, t</w:t>
      </w:r>
      <w:r w:rsidRPr="00641780">
        <w:t xml:space="preserve">he ESs </w:t>
      </w:r>
      <w:r>
        <w:t>for</w:t>
      </w:r>
      <w:r w:rsidRPr="00641780">
        <w:t xml:space="preserve"> the </w:t>
      </w:r>
      <w:r>
        <w:t xml:space="preserve">regulations state that they are disallowable under </w:t>
      </w:r>
      <w:r w:rsidRPr="00641780">
        <w:t>section</w:t>
      </w:r>
      <w:r>
        <w:t> </w:t>
      </w:r>
      <w:r w:rsidRPr="00641780">
        <w:t xml:space="preserve">42 of the </w:t>
      </w:r>
      <w:r w:rsidRPr="00641780">
        <w:rPr>
          <w:i/>
        </w:rPr>
        <w:t>Legislation Act 2003</w:t>
      </w:r>
      <w:r>
        <w:t>.</w:t>
      </w:r>
    </w:p>
    <w:p w:rsidR="00B0130A" w:rsidRPr="00B0130A" w:rsidRDefault="00630D81" w:rsidP="00630D81">
      <w:pPr>
        <w:rPr>
          <w:b/>
        </w:rPr>
      </w:pPr>
      <w:r w:rsidRPr="00641780">
        <w:rPr>
          <w:b/>
        </w:rPr>
        <w:t>The committee requests the advice of the minister in relation to this matter.</w:t>
      </w:r>
      <w:r w:rsidR="00B0130A">
        <w:rPr>
          <w:b/>
        </w:rPr>
        <w:br/>
      </w: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5C3B4E">
              <w:rPr>
                <w:noProof/>
                <w:sz w:val="24"/>
                <w:szCs w:val="24"/>
              </w:rPr>
              <w:t>Minister's Road User Charge Determination 2016 (No. 1) [F2016L00556]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Sp</w:t>
            </w:r>
            <w:r w:rsidRPr="005C3B4E">
              <w:rPr>
                <w:noProof/>
                <w:sz w:val="24"/>
                <w:szCs w:val="24"/>
              </w:rPr>
              <w:t>ecifies the rate of the Road User Charge</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8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5C3B4E">
              <w:rPr>
                <w:i/>
                <w:noProof/>
                <w:sz w:val="24"/>
                <w:szCs w:val="24"/>
              </w:rPr>
              <w:t xml:space="preserve">Fuel Tax </w:t>
            </w:r>
            <w:r>
              <w:rPr>
                <w:i/>
                <w:noProof/>
                <w:sz w:val="24"/>
                <w:szCs w:val="24"/>
              </w:rPr>
              <w:t>Act 2</w:t>
            </w:r>
            <w:r w:rsidRPr="005C3B4E">
              <w:rPr>
                <w:i/>
                <w:noProof/>
                <w:sz w:val="24"/>
                <w:szCs w:val="24"/>
              </w:rPr>
              <w:t>006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5C3B4E">
              <w:rPr>
                <w:noProof/>
                <w:sz w:val="24"/>
                <w:szCs w:val="24"/>
              </w:rPr>
              <w:t>Infrastructure and Regional Development</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5C3B4E">
              <w:rPr>
                <w:noProof/>
                <w:sz w:val="24"/>
                <w:szCs w:val="24"/>
              </w:rPr>
              <w:t>(a)</w:t>
            </w:r>
          </w:p>
        </w:tc>
      </w:tr>
    </w:tbl>
    <w:p w:rsidR="00630D81" w:rsidRDefault="00630D81" w:rsidP="00630D81"/>
    <w:p w:rsidR="00630D81" w:rsidRDefault="00630D81" w:rsidP="00630D81">
      <w:pPr>
        <w:rPr>
          <w:b/>
          <w:noProof/>
        </w:rPr>
      </w:pPr>
      <w:r w:rsidRPr="005C3B4E">
        <w:rPr>
          <w:b/>
          <w:noProof/>
        </w:rPr>
        <w:t>No statement of compatibility</w:t>
      </w:r>
    </w:p>
    <w:p w:rsidR="00630D81" w:rsidRDefault="00630D81" w:rsidP="00630D81">
      <w:r>
        <w:t xml:space="preserve">Section 9 of the </w:t>
      </w:r>
      <w:r w:rsidRPr="00062BA5">
        <w:rPr>
          <w:i/>
        </w:rPr>
        <w:t xml:space="preserve">Human Rights (Parliamentary Scrutiny) </w:t>
      </w:r>
      <w:r>
        <w:rPr>
          <w:i/>
        </w:rPr>
        <w:t>Act 2</w:t>
      </w:r>
      <w:r w:rsidRPr="00062BA5">
        <w:rPr>
          <w:i/>
        </w:rPr>
        <w:t>011</w:t>
      </w:r>
      <w:r>
        <w:t xml:space="preserve"> requires the maker of a disallowable instrument to have prepared a statement of compatibility in relation to the instrument. The statement of compatibility must include an assessment of whether the legislative instrument is compatible with human rights, and must be included in the ES for the legislative instrument. </w:t>
      </w:r>
    </w:p>
    <w:p w:rsidR="00630D81" w:rsidRDefault="00630D81" w:rsidP="00630D81">
      <w:r>
        <w:t>With reference to this requirement, the committee notes that the ES for this determination does not include a statement of compatibility.</w:t>
      </w:r>
    </w:p>
    <w:p w:rsidR="00630D81" w:rsidRDefault="00630D81" w:rsidP="00630D81">
      <w:pPr>
        <w:rPr>
          <w:b/>
        </w:rPr>
      </w:pPr>
      <w:r w:rsidRPr="007B5B8D">
        <w:rPr>
          <w:b/>
        </w:rPr>
        <w:t xml:space="preserve">The committee requests the advice of the minister in relation to this matter; and requests that the ES be updated in accordance with the requirements of the </w:t>
      </w:r>
      <w:r w:rsidRPr="007B5B8D">
        <w:rPr>
          <w:b/>
          <w:i/>
        </w:rPr>
        <w:t xml:space="preserve">Human Rights (Parliamentary Scrutiny) </w:t>
      </w:r>
      <w:r>
        <w:rPr>
          <w:b/>
          <w:i/>
        </w:rPr>
        <w:t>Act 2</w:t>
      </w:r>
      <w:r w:rsidRPr="007B5B8D">
        <w:rPr>
          <w:b/>
          <w:i/>
        </w:rPr>
        <w:t>011</w:t>
      </w:r>
      <w:r w:rsidRPr="007B5B8D">
        <w:rPr>
          <w:b/>
        </w:rPr>
        <w:t>.</w:t>
      </w:r>
    </w:p>
    <w:p w:rsidR="00B0130A" w:rsidRPr="00B0130A" w:rsidRDefault="00B0130A" w:rsidP="00630D81">
      <w:pPr>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5C3B4E">
              <w:rPr>
                <w:noProof/>
                <w:sz w:val="24"/>
                <w:szCs w:val="24"/>
              </w:rPr>
              <w:t>National Disability Insurance Scheme (Becoming a Participant) Rules 2016 [F2016L00544]</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Sets</w:t>
            </w:r>
            <w:r w:rsidRPr="005C3B4E">
              <w:rPr>
                <w:noProof/>
                <w:sz w:val="24"/>
                <w:szCs w:val="24"/>
              </w:rPr>
              <w:t xml:space="preserve"> eligibility requirements relating to age, residence and disability or early intervention</w:t>
            </w:r>
            <w:r>
              <w:rPr>
                <w:noProof/>
                <w:sz w:val="24"/>
                <w:szCs w:val="24"/>
              </w:rPr>
              <w:t xml:space="preserve"> to become a participant in the </w:t>
            </w:r>
            <w:r>
              <w:rPr>
                <w:noProof/>
                <w:sz w:val="24"/>
                <w:szCs w:val="24"/>
              </w:rPr>
              <w:lastRenderedPageBreak/>
              <w:t>National Disability Insurance Scheme</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lastRenderedPageBreak/>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8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5C3B4E">
              <w:rPr>
                <w:i/>
                <w:noProof/>
                <w:sz w:val="24"/>
                <w:szCs w:val="24"/>
              </w:rPr>
              <w:t xml:space="preserve">National Disability Insurance Scheme </w:t>
            </w:r>
            <w:r>
              <w:rPr>
                <w:i/>
                <w:noProof/>
                <w:sz w:val="24"/>
                <w:szCs w:val="24"/>
              </w:rPr>
              <w:t>Act 2</w:t>
            </w:r>
            <w:r w:rsidRPr="005C3B4E">
              <w:rPr>
                <w:i/>
                <w:noProof/>
                <w:sz w:val="24"/>
                <w:szCs w:val="24"/>
              </w:rPr>
              <w:t>013</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5C3B4E">
              <w:rPr>
                <w:noProof/>
                <w:sz w:val="24"/>
                <w:szCs w:val="24"/>
              </w:rPr>
              <w:t>Social Services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jc w:val="left"/>
              <w:rPr>
                <w:sz w:val="24"/>
                <w:szCs w:val="24"/>
              </w:rPr>
            </w:pPr>
            <w:r>
              <w:rPr>
                <w:sz w:val="24"/>
                <w:szCs w:val="24"/>
              </w:rPr>
              <w:t>Standing Order 23(3)</w:t>
            </w:r>
            <w:r w:rsidRPr="005C3B4E">
              <w:rPr>
                <w:noProof/>
                <w:sz w:val="24"/>
                <w:szCs w:val="24"/>
              </w:rPr>
              <w:t>(a)</w:t>
            </w:r>
          </w:p>
        </w:tc>
      </w:tr>
    </w:tbl>
    <w:p w:rsidR="00630D81" w:rsidRDefault="00630D81" w:rsidP="00630D81"/>
    <w:p w:rsidR="00630D81" w:rsidRPr="00837ADE" w:rsidRDefault="00630D81" w:rsidP="00630D81">
      <w:pPr>
        <w:rPr>
          <w:b/>
          <w:noProof/>
        </w:rPr>
      </w:pPr>
      <w:r w:rsidRPr="00223620">
        <w:rPr>
          <w:b/>
          <w:noProof/>
        </w:rPr>
        <w:t>Incorporation of documents</w:t>
      </w:r>
      <w:r>
        <w:rPr>
          <w:rStyle w:val="FootnoteReference"/>
          <w:b/>
          <w:noProof/>
        </w:rPr>
        <w:footnoteReference w:id="17"/>
      </w:r>
      <w:r w:rsidRPr="00837ADE">
        <w:rPr>
          <w:b/>
          <w:noProof/>
        </w:rPr>
        <w:t xml:space="preserve"> </w:t>
      </w:r>
    </w:p>
    <w:p w:rsidR="00630D81" w:rsidRDefault="00630D81" w:rsidP="00630D81">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incorporating</w:t>
      </w:r>
      <w:r>
        <w:rPr>
          <w:szCs w:val="26"/>
        </w:rPr>
        <w:t xml:space="preserve"> Acts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the commencement of the</w:t>
      </w:r>
      <w:r>
        <w:rPr>
          <w:szCs w:val="26"/>
        </w:rPr>
        <w:t xml:space="preserve"> legislative</w:t>
      </w:r>
      <w:r w:rsidRPr="00025437">
        <w:rPr>
          <w:szCs w:val="26"/>
        </w:rPr>
        <w:t xml:space="preserve"> instrument, unless authorising or other legislation alters the operation of section 14.</w:t>
      </w:r>
    </w:p>
    <w:p w:rsidR="00630D81" w:rsidRPr="00837ADE" w:rsidRDefault="00630D81" w:rsidP="00630D81">
      <w:pPr>
        <w:rPr>
          <w:noProof/>
        </w:rPr>
      </w:pPr>
      <w:r w:rsidRPr="00837ADE">
        <w:rPr>
          <w:noProof/>
        </w:rPr>
        <w:t>With reference to the above</w:t>
      </w:r>
      <w:r>
        <w:rPr>
          <w:noProof/>
        </w:rPr>
        <w:t>,</w:t>
      </w:r>
      <w:r w:rsidRPr="00837ADE">
        <w:rPr>
          <w:noProof/>
        </w:rPr>
        <w:t xml:space="preserve"> the committee notes that</w:t>
      </w:r>
      <w:r>
        <w:rPr>
          <w:noProof/>
        </w:rPr>
        <w:t xml:space="preserve"> s</w:t>
      </w:r>
      <w:r w:rsidRPr="00837ADE">
        <w:rPr>
          <w:noProof/>
        </w:rPr>
        <w:t>ection 8</w:t>
      </w:r>
      <w:r w:rsidRPr="00837ADE">
        <w:t>.4 of the</w:t>
      </w:r>
      <w:r w:rsidRPr="001D661D">
        <w:t xml:space="preserve"> National Disability Insurance Scheme (Becoming a Participant) Rules 2016 [F2016L00544]</w:t>
      </w:r>
      <w:r>
        <w:t xml:space="preserve"> (the becoming a participant rules) </w:t>
      </w:r>
      <w:r w:rsidRPr="00837ADE">
        <w:t>contains the following definition:</w:t>
      </w:r>
    </w:p>
    <w:p w:rsidR="00630D81" w:rsidRPr="00837ADE" w:rsidRDefault="00630D81" w:rsidP="00630D81">
      <w:pPr>
        <w:pStyle w:val="Quote"/>
        <w:spacing w:before="120"/>
        <w:contextualSpacing/>
        <w:rPr>
          <w:noProof/>
        </w:rPr>
      </w:pPr>
      <w:r w:rsidRPr="00837ADE">
        <w:rPr>
          <w:b/>
          <w:i/>
          <w:noProof/>
        </w:rPr>
        <w:t>2016 NDIS early transition areas</w:t>
      </w:r>
      <w:r w:rsidRPr="00837ADE">
        <w:rPr>
          <w:noProof/>
        </w:rPr>
        <w:t xml:space="preserve"> means the areas specified in Schedules 1 and 2 of the Local Government Regulation 2012 (Qld) as:</w:t>
      </w:r>
    </w:p>
    <w:p w:rsidR="00630D81" w:rsidRPr="00837ADE" w:rsidRDefault="00630D81" w:rsidP="00630D81">
      <w:pPr>
        <w:pStyle w:val="Level2"/>
        <w:numPr>
          <w:ilvl w:val="1"/>
          <w:numId w:val="21"/>
        </w:numPr>
        <w:spacing w:before="120" w:after="120"/>
        <w:ind w:left="1418"/>
        <w:contextualSpacing/>
        <w:rPr>
          <w:noProof/>
          <w:sz w:val="24"/>
          <w:szCs w:val="24"/>
        </w:rPr>
      </w:pPr>
      <w:r w:rsidRPr="00837ADE">
        <w:rPr>
          <w:noProof/>
          <w:sz w:val="24"/>
          <w:szCs w:val="24"/>
        </w:rPr>
        <w:t>Townsville City Council;</w:t>
      </w:r>
    </w:p>
    <w:p w:rsidR="00630D81" w:rsidRPr="00837ADE" w:rsidRDefault="00630D81" w:rsidP="00630D81">
      <w:pPr>
        <w:pStyle w:val="Level2"/>
        <w:numPr>
          <w:ilvl w:val="1"/>
          <w:numId w:val="21"/>
        </w:numPr>
        <w:spacing w:before="120" w:after="120"/>
        <w:ind w:left="1418"/>
        <w:contextualSpacing/>
        <w:rPr>
          <w:noProof/>
          <w:sz w:val="24"/>
          <w:szCs w:val="24"/>
        </w:rPr>
      </w:pPr>
      <w:r w:rsidRPr="00837ADE">
        <w:rPr>
          <w:noProof/>
          <w:sz w:val="24"/>
          <w:szCs w:val="24"/>
        </w:rPr>
        <w:t>Charters Towers Regional Council;</w:t>
      </w:r>
    </w:p>
    <w:p w:rsidR="00630D81" w:rsidRPr="00223620" w:rsidRDefault="00630D81" w:rsidP="00630D81">
      <w:pPr>
        <w:pStyle w:val="Level2"/>
        <w:numPr>
          <w:ilvl w:val="1"/>
          <w:numId w:val="21"/>
        </w:numPr>
        <w:spacing w:before="120" w:after="120"/>
        <w:ind w:left="1418"/>
        <w:contextualSpacing/>
        <w:rPr>
          <w:noProof/>
          <w:sz w:val="24"/>
          <w:szCs w:val="24"/>
        </w:rPr>
      </w:pPr>
      <w:r w:rsidRPr="00837ADE">
        <w:rPr>
          <w:noProof/>
          <w:sz w:val="24"/>
          <w:szCs w:val="24"/>
        </w:rPr>
        <w:t xml:space="preserve">Palm </w:t>
      </w:r>
      <w:r>
        <w:rPr>
          <w:noProof/>
          <w:sz w:val="24"/>
          <w:szCs w:val="24"/>
        </w:rPr>
        <w:t>Island Aboriginal Shire Council.</w:t>
      </w:r>
    </w:p>
    <w:p w:rsidR="00630D81" w:rsidRDefault="00630D81" w:rsidP="00630D81">
      <w:pPr>
        <w:pStyle w:val="Level1"/>
        <w:numPr>
          <w:ilvl w:val="0"/>
          <w:numId w:val="0"/>
        </w:numPr>
        <w:rPr>
          <w:noProof/>
        </w:rPr>
      </w:pPr>
      <w:r>
        <w:rPr>
          <w:noProof/>
        </w:rPr>
        <w:t xml:space="preserve">The committee further notes that </w:t>
      </w:r>
      <w:r w:rsidRPr="00837ADE">
        <w:rPr>
          <w:noProof/>
        </w:rPr>
        <w:t xml:space="preserve">subsection 209(2) of the </w:t>
      </w:r>
      <w:r w:rsidRPr="00837ADE">
        <w:rPr>
          <w:i/>
          <w:noProof/>
        </w:rPr>
        <w:t>National Disability Insurance Scheme Act 2013</w:t>
      </w:r>
      <w:r w:rsidRPr="00837ADE">
        <w:rPr>
          <w:noProof/>
        </w:rPr>
        <w:t xml:space="preserve"> provides that, despite section 14 of the </w:t>
      </w:r>
      <w:r w:rsidRPr="00837ADE">
        <w:rPr>
          <w:i/>
          <w:noProof/>
        </w:rPr>
        <w:t>Legislation Act 2003</w:t>
      </w:r>
      <w:r w:rsidRPr="00837ADE">
        <w:rPr>
          <w:noProof/>
        </w:rPr>
        <w:t xml:space="preserve">, the National Disability Insurance Scheme Rules ‘may make provision for or in relation to a matter by applying, adopting or incorporating any matter contained in an instrument or other writing as in force </w:t>
      </w:r>
      <w:r>
        <w:rPr>
          <w:noProof/>
        </w:rPr>
        <w:t xml:space="preserve">or existing from time to time’. </w:t>
      </w:r>
      <w:r w:rsidRPr="00837ADE">
        <w:rPr>
          <w:noProof/>
        </w:rPr>
        <w:t xml:space="preserve">However, neither the text of the </w:t>
      </w:r>
      <w:r>
        <w:rPr>
          <w:noProof/>
        </w:rPr>
        <w:t xml:space="preserve">becoming a participant rules </w:t>
      </w:r>
      <w:r w:rsidRPr="00837ADE">
        <w:rPr>
          <w:noProof/>
        </w:rPr>
        <w:t xml:space="preserve">nor the ES expressly states the manner in which </w:t>
      </w:r>
      <w:r>
        <w:rPr>
          <w:noProof/>
        </w:rPr>
        <w:t xml:space="preserve">the relevant parts of schedules 1 and 2 of </w:t>
      </w:r>
      <w:r w:rsidRPr="00837ADE">
        <w:rPr>
          <w:noProof/>
        </w:rPr>
        <w:t xml:space="preserve">Local Government Regulation 2012 (Qld) </w:t>
      </w:r>
      <w:r>
        <w:rPr>
          <w:noProof/>
        </w:rPr>
        <w:t>are</w:t>
      </w:r>
      <w:r w:rsidRPr="00837ADE">
        <w:rPr>
          <w:noProof/>
        </w:rPr>
        <w:t xml:space="preserve"> incorporated.</w:t>
      </w:r>
    </w:p>
    <w:p w:rsidR="00630D81" w:rsidRDefault="00630D81" w:rsidP="00630D81">
      <w:pPr>
        <w:rPr>
          <w:szCs w:val="26"/>
        </w:rPr>
      </w:pPr>
      <w:r>
        <w:rPr>
          <w:szCs w:val="26"/>
        </w:rPr>
        <w:t>T</w:t>
      </w:r>
      <w:r w:rsidRPr="00C738E1">
        <w:rPr>
          <w:szCs w:val="26"/>
        </w:rPr>
        <w:t xml:space="preserve">he committee expects </w:t>
      </w:r>
      <w:r>
        <w:rPr>
          <w:szCs w:val="26"/>
        </w:rPr>
        <w:t>i</w:t>
      </w:r>
      <w:r w:rsidRPr="00C738E1">
        <w:rPr>
          <w:szCs w:val="26"/>
        </w:rPr>
        <w:t xml:space="preserve">nstruments (and ideally their accompanying ESs) </w:t>
      </w:r>
      <w:r>
        <w:rPr>
          <w:szCs w:val="26"/>
        </w:rPr>
        <w:t>to</w:t>
      </w:r>
      <w:r w:rsidRPr="00C738E1">
        <w:rPr>
          <w:szCs w:val="26"/>
        </w:rPr>
        <w:t xml:space="preserve"> clearly state the manner in which </w:t>
      </w:r>
      <w:r>
        <w:rPr>
          <w:szCs w:val="26"/>
        </w:rPr>
        <w:t xml:space="preserve">State regulations </w:t>
      </w:r>
      <w:r w:rsidRPr="00C738E1">
        <w:rPr>
          <w:szCs w:val="26"/>
        </w:rPr>
        <w:t xml:space="preserve">are incorporated (that is, either as in force from time to time or as in force at the commencement of the legislative instrument). This enables persons interested in or affected by the instrument to understand its </w:t>
      </w:r>
      <w:r w:rsidRPr="00C738E1">
        <w:rPr>
          <w:szCs w:val="26"/>
        </w:rPr>
        <w:lastRenderedPageBreak/>
        <w:t>operation without the need to rely on specialist legal knowledge or advice, or consult extrinsic material.</w:t>
      </w:r>
    </w:p>
    <w:p w:rsidR="00630D81" w:rsidRDefault="00630D81" w:rsidP="00630D81">
      <w:pPr>
        <w:rPr>
          <w:b/>
          <w:noProof/>
        </w:rPr>
      </w:pPr>
      <w:r w:rsidRPr="00837ADE">
        <w:rPr>
          <w:b/>
          <w:noProof/>
        </w:rPr>
        <w:t>The committee requests the advice of the minister in relation to this matter</w:t>
      </w:r>
      <w:r>
        <w:rPr>
          <w:b/>
          <w:noProof/>
        </w:rPr>
        <w:t>.</w:t>
      </w:r>
    </w:p>
    <w:p w:rsidR="00630D81" w:rsidRPr="00B73093" w:rsidRDefault="00630D81" w:rsidP="00630D81">
      <w:pPr>
        <w:rPr>
          <w:b/>
          <w:noProof/>
        </w:rPr>
      </w:pPr>
    </w:p>
    <w:p w:rsidR="00630D81" w:rsidRDefault="00630D81" w:rsidP="00630D81">
      <w:pPr>
        <w:jc w:val="left"/>
        <w:rPr>
          <w:b/>
          <w:noProof/>
        </w:rPr>
      </w:pPr>
      <w:r w:rsidRPr="005C3B4E">
        <w:rPr>
          <w:b/>
          <w:noProof/>
        </w:rPr>
        <w:t>Consultation</w:t>
      </w:r>
    </w:p>
    <w:p w:rsidR="00630D81" w:rsidRPr="00C162AA" w:rsidRDefault="00630D81" w:rsidP="00630D81">
      <w:pPr>
        <w:rPr>
          <w:noProof/>
        </w:rPr>
      </w:pPr>
      <w:r w:rsidRPr="00C162AA">
        <w:rPr>
          <w:noProof/>
        </w:rPr>
        <w:t xml:space="preserve">Section 17 of the </w:t>
      </w:r>
      <w:r w:rsidRPr="00C162AA">
        <w:rPr>
          <w:i/>
          <w:noProof/>
        </w:rPr>
        <w:t>Legislation Act 2003</w:t>
      </w:r>
      <w:r w:rsidRPr="00C162AA">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630D81" w:rsidRPr="00C162AA" w:rsidRDefault="00630D81" w:rsidP="00630D81">
      <w:pPr>
        <w:rPr>
          <w:noProof/>
        </w:rPr>
      </w:pPr>
      <w:r w:rsidRPr="00C162AA">
        <w:rPr>
          <w:noProof/>
        </w:rPr>
        <w:t xml:space="preserve">With reference to these requirements, the committee notes that the ES for the </w:t>
      </w:r>
      <w:r>
        <w:rPr>
          <w:noProof/>
        </w:rPr>
        <w:t xml:space="preserve">becoming a participant rules </w:t>
      </w:r>
      <w:r w:rsidRPr="00C162AA">
        <w:rPr>
          <w:noProof/>
        </w:rPr>
        <w:t>states:</w:t>
      </w:r>
    </w:p>
    <w:p w:rsidR="00630D81" w:rsidRPr="000468A9" w:rsidRDefault="00630D81" w:rsidP="00630D81">
      <w:pPr>
        <w:pStyle w:val="Quote"/>
        <w:spacing w:before="120"/>
        <w:rPr>
          <w:b/>
          <w:noProof/>
        </w:rPr>
      </w:pPr>
      <w:r>
        <w:rPr>
          <w:b/>
          <w:noProof/>
        </w:rPr>
        <w:t>Consultation</w:t>
      </w:r>
    </w:p>
    <w:p w:rsidR="00630D81" w:rsidRPr="00C162AA" w:rsidRDefault="00630D81" w:rsidP="00630D81">
      <w:pPr>
        <w:pStyle w:val="Quote"/>
        <w:spacing w:before="120"/>
        <w:rPr>
          <w:noProof/>
        </w:rPr>
      </w:pPr>
      <w:r w:rsidRPr="00C162AA">
        <w:rPr>
          <w:noProof/>
        </w:rPr>
        <w:t>The Commonwealth and each host jurisdiction have agreed to the making of the Becoming a Participant Rules.</w:t>
      </w:r>
    </w:p>
    <w:p w:rsidR="00630D81" w:rsidRDefault="00630D81" w:rsidP="00630D81">
      <w:pPr>
        <w:rPr>
          <w:noProof/>
        </w:rPr>
      </w:pPr>
      <w:r w:rsidRPr="00C162AA">
        <w:rPr>
          <w:noProof/>
        </w:rPr>
        <w:t xml:space="preserve">While the committee does not interpret paragraphs 15J(2)(d) and (e) </w:t>
      </w:r>
      <w:r>
        <w:rPr>
          <w:noProof/>
        </w:rPr>
        <w:t xml:space="preserve">of the </w:t>
      </w:r>
      <w:r>
        <w:rPr>
          <w:i/>
          <w:noProof/>
        </w:rPr>
        <w:t xml:space="preserve">Legislation Act 2003 </w:t>
      </w:r>
      <w:r w:rsidRPr="00C162AA">
        <w:rPr>
          <w:noProof/>
        </w:rPr>
        <w:t xml:space="preserve">as requiring a highly detailed description of consultation undertaken, it considers that an overly bare or general description is insufficient to satisfy the requirements of the </w:t>
      </w:r>
      <w:r w:rsidRPr="00C162AA">
        <w:rPr>
          <w:i/>
          <w:noProof/>
        </w:rPr>
        <w:t>Legislation Act 2003</w:t>
      </w:r>
      <w:r w:rsidRPr="00C162AA">
        <w:rPr>
          <w:noProof/>
        </w:rPr>
        <w:t xml:space="preserve">. In the committee's view, the general statement that </w:t>
      </w:r>
      <w:r>
        <w:rPr>
          <w:noProof/>
        </w:rPr>
        <w:t>t</w:t>
      </w:r>
      <w:r w:rsidRPr="00C162AA">
        <w:rPr>
          <w:noProof/>
        </w:rPr>
        <w:t>he Commonwealth and host jurisdiction</w:t>
      </w:r>
      <w:r>
        <w:rPr>
          <w:noProof/>
        </w:rPr>
        <w:t>s</w:t>
      </w:r>
      <w:r w:rsidRPr="00C162AA">
        <w:rPr>
          <w:noProof/>
        </w:rPr>
        <w:t xml:space="preserve"> have agreed to the making of the </w:t>
      </w:r>
      <w:r>
        <w:rPr>
          <w:noProof/>
        </w:rPr>
        <w:t>r</w:t>
      </w:r>
      <w:r w:rsidRPr="00C162AA">
        <w:rPr>
          <w:noProof/>
        </w:rPr>
        <w:t xml:space="preserve">ules </w:t>
      </w:r>
      <w:r w:rsidRPr="00A37595">
        <w:rPr>
          <w:noProof/>
        </w:rPr>
        <w:t xml:space="preserve">is </w:t>
      </w:r>
      <w:r>
        <w:rPr>
          <w:noProof/>
        </w:rPr>
        <w:t xml:space="preserve">not </w:t>
      </w:r>
      <w:r w:rsidRPr="00A37595">
        <w:rPr>
          <w:noProof/>
        </w:rPr>
        <w:t>sufficient to meet the requirement</w:t>
      </w:r>
      <w:r>
        <w:rPr>
          <w:noProof/>
        </w:rPr>
        <w:t xml:space="preserve"> that the ES describe the </w:t>
      </w:r>
      <w:r>
        <w:rPr>
          <w:i/>
          <w:noProof/>
        </w:rPr>
        <w:t>nature</w:t>
      </w:r>
      <w:r>
        <w:rPr>
          <w:noProof/>
        </w:rPr>
        <w:t xml:space="preserve"> of any consultation undertaken.</w:t>
      </w:r>
    </w:p>
    <w:p w:rsidR="00630D81" w:rsidRPr="00C162AA" w:rsidRDefault="00630D81" w:rsidP="00630D81">
      <w:pPr>
        <w:rPr>
          <w:noProof/>
        </w:rPr>
      </w:pPr>
      <w:r w:rsidRPr="00C162AA">
        <w:rPr>
          <w:noProof/>
        </w:rPr>
        <w:t xml:space="preserve">The committee's expectations in this regard are set out in the guideline on consultation contained in Appendix 2. </w:t>
      </w:r>
    </w:p>
    <w:p w:rsidR="00630D81" w:rsidRPr="00C162AA" w:rsidRDefault="00630D81" w:rsidP="00630D81">
      <w:pPr>
        <w:rPr>
          <w:b/>
          <w:noProof/>
        </w:rPr>
      </w:pPr>
      <w:r w:rsidRPr="00C162AA">
        <w:rPr>
          <w:b/>
          <w:noProof/>
        </w:rPr>
        <w:t xml:space="preserve">The committee requests the advice of the minister in relation to this matter; and requests that the ES be updated in accordance with the requirements of the </w:t>
      </w:r>
      <w:r w:rsidRPr="00C162AA">
        <w:rPr>
          <w:b/>
          <w:i/>
          <w:noProof/>
        </w:rPr>
        <w:t>Legislation Act 2003</w:t>
      </w:r>
      <w:r w:rsidRPr="00C162AA">
        <w:rPr>
          <w:b/>
          <w:noProof/>
        </w:rPr>
        <w:t>.</w:t>
      </w:r>
    </w:p>
    <w:p w:rsidR="00630D81" w:rsidRDefault="00630D81" w:rsidP="00630D81">
      <w:pPr>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4F2E07">
              <w:rPr>
                <w:noProof/>
                <w:sz w:val="24"/>
                <w:szCs w:val="24"/>
              </w:rPr>
              <w:t>National Disability Insurance Scheme (Prescribed Programs—New South Wales) Rules 2016 [F2016L00792]</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Provides for people in</w:t>
            </w:r>
            <w:r w:rsidRPr="004F2E07">
              <w:rPr>
                <w:noProof/>
                <w:sz w:val="24"/>
                <w:szCs w:val="24"/>
              </w:rPr>
              <w:t xml:space="preserve"> New South Wales currently receiving </w:t>
            </w:r>
            <w:r>
              <w:rPr>
                <w:noProof/>
                <w:sz w:val="24"/>
                <w:szCs w:val="24"/>
              </w:rPr>
              <w:t xml:space="preserve">certain </w:t>
            </w:r>
            <w:r w:rsidRPr="004F2E07">
              <w:rPr>
                <w:noProof/>
                <w:sz w:val="24"/>
                <w:szCs w:val="24"/>
              </w:rPr>
              <w:t xml:space="preserve">disability services </w:t>
            </w:r>
            <w:r>
              <w:rPr>
                <w:noProof/>
                <w:sz w:val="24"/>
                <w:szCs w:val="24"/>
              </w:rPr>
              <w:t xml:space="preserve">to </w:t>
            </w:r>
            <w:r w:rsidRPr="004F2E07">
              <w:rPr>
                <w:noProof/>
                <w:sz w:val="24"/>
                <w:szCs w:val="24"/>
              </w:rPr>
              <w:t>be supported as participants in the National Disability Insurance Scheme</w:t>
            </w:r>
            <w:r>
              <w:rPr>
                <w:noProof/>
                <w:sz w:val="24"/>
                <w:szCs w:val="24"/>
              </w:rPr>
              <w:t>, irrespective of whether they</w:t>
            </w:r>
            <w:r w:rsidRPr="004F2E07">
              <w:rPr>
                <w:noProof/>
                <w:sz w:val="24"/>
                <w:szCs w:val="24"/>
              </w:rPr>
              <w:t xml:space="preserve"> meet the residence requirements </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lastRenderedPageBreak/>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National Disability Insurance Scheme Act 2013</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Social Services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4F2E07">
              <w:rPr>
                <w:noProof/>
                <w:sz w:val="24"/>
                <w:szCs w:val="24"/>
              </w:rPr>
              <w:t>(a)</w:t>
            </w:r>
          </w:p>
        </w:tc>
      </w:tr>
    </w:tbl>
    <w:p w:rsidR="00630D81" w:rsidRDefault="00630D81" w:rsidP="00F26EC0">
      <w:pPr>
        <w:spacing w:before="120" w:after="120"/>
      </w:pPr>
    </w:p>
    <w:p w:rsidR="00630D81" w:rsidRDefault="00630D81" w:rsidP="00630D81">
      <w:r w:rsidRPr="004F2E07">
        <w:rPr>
          <w:b/>
          <w:noProof/>
        </w:rPr>
        <w:t>No statement of compatibility</w:t>
      </w:r>
    </w:p>
    <w:p w:rsidR="00630D81" w:rsidRPr="007855AA" w:rsidRDefault="00630D81" w:rsidP="00630D81">
      <w:pPr>
        <w:rPr>
          <w:szCs w:val="26"/>
        </w:rPr>
      </w:pPr>
      <w:r>
        <w:t xml:space="preserve">Section 9 of the </w:t>
      </w:r>
      <w:r w:rsidRPr="00062BA5">
        <w:rPr>
          <w:i/>
        </w:rPr>
        <w:t xml:space="preserve">Human Rights (Parliamentary Scrutiny) </w:t>
      </w:r>
      <w:r>
        <w:rPr>
          <w:i/>
        </w:rPr>
        <w:t>Act 2</w:t>
      </w:r>
      <w:r w:rsidRPr="00062BA5">
        <w:rPr>
          <w:i/>
        </w:rPr>
        <w:t>011</w:t>
      </w:r>
      <w:r>
        <w:t xml:space="preserve"> requires the maker of a disallowable instrument to have prepared a statement of compatibility in relation to the instrument</w:t>
      </w:r>
      <w:r w:rsidRPr="007855AA">
        <w:rPr>
          <w:szCs w:val="26"/>
        </w:rPr>
        <w:t>. The statement of compatibility must include an assessment of whether the instrument is compatible with human rights, and must be included in the ES for the instrument.</w:t>
      </w:r>
    </w:p>
    <w:p w:rsidR="00630D81" w:rsidRDefault="00630D81" w:rsidP="00630D81">
      <w:pPr>
        <w:rPr>
          <w:szCs w:val="26"/>
        </w:rPr>
      </w:pPr>
      <w:r w:rsidRPr="007855AA">
        <w:rPr>
          <w:szCs w:val="26"/>
        </w:rPr>
        <w:t>With reference to th</w:t>
      </w:r>
      <w:r>
        <w:rPr>
          <w:szCs w:val="26"/>
        </w:rPr>
        <w:t>i</w:t>
      </w:r>
      <w:r w:rsidRPr="007855AA">
        <w:rPr>
          <w:szCs w:val="26"/>
        </w:rPr>
        <w:t>s requirement, the committee notes that the ES for this instrument does not include a statement of compatibility.</w:t>
      </w:r>
    </w:p>
    <w:p w:rsidR="00630D81" w:rsidRDefault="00630D81" w:rsidP="00630D81">
      <w:pPr>
        <w:rPr>
          <w:b/>
          <w:szCs w:val="26"/>
        </w:rPr>
      </w:pPr>
      <w:r w:rsidRPr="007855AA">
        <w:rPr>
          <w:b/>
          <w:szCs w:val="26"/>
        </w:rPr>
        <w:t>The committee requests the advice of the minister in relation to this matter; and requests that the ES be updated in accordance with the requirements of the</w:t>
      </w:r>
      <w:r w:rsidRPr="007855AA">
        <w:rPr>
          <w:b/>
          <w:i/>
          <w:szCs w:val="26"/>
        </w:rPr>
        <w:t xml:space="preserve"> Human Rights (Parliamentary Scrutiny) Act 2011</w:t>
      </w:r>
      <w:r w:rsidRPr="007855AA">
        <w:rPr>
          <w:b/>
          <w:szCs w:val="26"/>
        </w:rPr>
        <w:t>.</w:t>
      </w:r>
    </w:p>
    <w:p w:rsidR="00F26EC0" w:rsidRDefault="00F26EC0" w:rsidP="00F26EC0">
      <w:pPr>
        <w:spacing w:before="120" w:after="120"/>
        <w:rPr>
          <w:b/>
          <w:szCs w:val="26"/>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Cs w:val="26"/>
              </w:rPr>
              <w:br w:type="page"/>
            </w: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4F2E07">
              <w:rPr>
                <w:noProof/>
                <w:sz w:val="24"/>
                <w:szCs w:val="24"/>
              </w:rPr>
              <w:t>National Health Determination under paragraph 98C(1)(b) Amendment 2016 (No. 4) (PB 44 of 2016) [F2016L00855]</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R</w:t>
            </w:r>
            <w:r w:rsidRPr="00B874AA">
              <w:rPr>
                <w:noProof/>
                <w:sz w:val="24"/>
                <w:szCs w:val="24"/>
              </w:rPr>
              <w:t xml:space="preserve">ectifies a typographical error in </w:t>
            </w:r>
            <w:r w:rsidRPr="004F2E07">
              <w:rPr>
                <w:noProof/>
                <w:sz w:val="24"/>
                <w:szCs w:val="24"/>
              </w:rPr>
              <w:t xml:space="preserve"> PB 119 of 2008</w:t>
            </w:r>
            <w:r>
              <w:rPr>
                <w:noProof/>
                <w:sz w:val="24"/>
                <w:szCs w:val="24"/>
              </w:rPr>
              <w:t xml:space="preserve"> </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National Health Act 1953</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Health</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4F2E07">
              <w:rPr>
                <w:noProof/>
                <w:sz w:val="24"/>
                <w:szCs w:val="24"/>
              </w:rPr>
              <w:t>(a)</w:t>
            </w:r>
          </w:p>
        </w:tc>
      </w:tr>
    </w:tbl>
    <w:p w:rsidR="00630D81" w:rsidRDefault="00630D81" w:rsidP="00630D81"/>
    <w:p w:rsidR="00630D81" w:rsidRDefault="00630D81" w:rsidP="00630D81">
      <w:pPr>
        <w:rPr>
          <w:b/>
          <w:noProof/>
        </w:rPr>
      </w:pPr>
      <w:r w:rsidRPr="004F2E07">
        <w:rPr>
          <w:b/>
          <w:noProof/>
        </w:rPr>
        <w:t>No description of consultation</w:t>
      </w:r>
    </w:p>
    <w:p w:rsidR="00630D81" w:rsidRPr="00C366DD" w:rsidRDefault="00630D81" w:rsidP="00630D81">
      <w:r w:rsidRPr="00C366DD">
        <w:rPr>
          <w:szCs w:val="26"/>
        </w:rPr>
        <w:t xml:space="preserve">Section 17 of the </w:t>
      </w:r>
      <w:r w:rsidRPr="00C366DD">
        <w:rPr>
          <w:i/>
          <w:iCs/>
          <w:szCs w:val="26"/>
        </w:rPr>
        <w:t xml:space="preserve">Legislation Act 2003 </w:t>
      </w:r>
      <w:r w:rsidRPr="00C366DD">
        <w:rPr>
          <w:szCs w:val="26"/>
        </w:rPr>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630D81" w:rsidRPr="00C366DD" w:rsidRDefault="00630D81" w:rsidP="00630D81">
      <w:r w:rsidRPr="00C366DD">
        <w:t xml:space="preserve">With reference to these requirements, the committee notes that the ES for the </w:t>
      </w:r>
      <w:r>
        <w:t xml:space="preserve">determination </w:t>
      </w:r>
      <w:r w:rsidRPr="00C366DD">
        <w:t>provides no information regarding consultation.</w:t>
      </w:r>
    </w:p>
    <w:p w:rsidR="00630D81" w:rsidRDefault="00630D81" w:rsidP="00630D81">
      <w:pPr>
        <w:rPr>
          <w:b/>
          <w:bCs/>
          <w:szCs w:val="26"/>
        </w:rPr>
      </w:pPr>
      <w:r w:rsidRPr="00C366DD">
        <w:rPr>
          <w:b/>
          <w:bCs/>
          <w:szCs w:val="26"/>
        </w:rPr>
        <w:lastRenderedPageBreak/>
        <w:t xml:space="preserve">The committee requests the advice of the minister in relation to this matter; and requests that the ES be updated in accordance with the requirements of the </w:t>
      </w:r>
      <w:r w:rsidRPr="00C366DD">
        <w:rPr>
          <w:b/>
          <w:bCs/>
          <w:i/>
          <w:iCs/>
          <w:szCs w:val="26"/>
        </w:rPr>
        <w:t>Legislation Act 2003</w:t>
      </w:r>
      <w:r w:rsidRPr="00C366DD">
        <w:rPr>
          <w:b/>
          <w:bCs/>
          <w:szCs w:val="26"/>
        </w:rPr>
        <w:t>.</w:t>
      </w:r>
    </w:p>
    <w:p w:rsidR="00630D81" w:rsidRDefault="00630D81" w:rsidP="00630D81"/>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9D1F6D" w:rsidRDefault="00630D81" w:rsidP="00630D81">
            <w:pPr>
              <w:rPr>
                <w:b/>
                <w:sz w:val="24"/>
                <w:szCs w:val="24"/>
              </w:rPr>
            </w:pPr>
            <w:r w:rsidRPr="009D1F6D">
              <w:rPr>
                <w:b/>
                <w:sz w:val="24"/>
                <w:szCs w:val="24"/>
              </w:rPr>
              <w:t>Instrument</w:t>
            </w:r>
          </w:p>
        </w:tc>
        <w:tc>
          <w:tcPr>
            <w:tcW w:w="6378" w:type="dxa"/>
            <w:tcBorders>
              <w:top w:val="single" w:sz="12" w:space="0" w:color="auto"/>
              <w:left w:val="single" w:sz="12" w:space="0" w:color="auto"/>
            </w:tcBorders>
          </w:tcPr>
          <w:p w:rsidR="00630D81" w:rsidRPr="009D1F6D" w:rsidRDefault="00630D81" w:rsidP="00630D81">
            <w:pPr>
              <w:pStyle w:val="Heading3"/>
              <w:rPr>
                <w:sz w:val="24"/>
                <w:szCs w:val="24"/>
              </w:rPr>
            </w:pPr>
            <w:r w:rsidRPr="009D1F6D">
              <w:rPr>
                <w:noProof/>
                <w:sz w:val="24"/>
                <w:szCs w:val="24"/>
              </w:rPr>
              <w:t>Norfolk Island Customs Ordinance 2016 [F2016L00736]</w:t>
            </w:r>
          </w:p>
        </w:tc>
      </w:tr>
      <w:tr w:rsidR="00630D81" w:rsidRPr="00164622" w:rsidTr="00630D81">
        <w:tc>
          <w:tcPr>
            <w:tcW w:w="2694" w:type="dxa"/>
            <w:tcBorders>
              <w:right w:val="single" w:sz="12" w:space="0" w:color="auto"/>
            </w:tcBorders>
          </w:tcPr>
          <w:p w:rsidR="00630D81" w:rsidRPr="009D1F6D" w:rsidRDefault="00630D81" w:rsidP="00630D81">
            <w:pPr>
              <w:rPr>
                <w:b/>
                <w:sz w:val="24"/>
                <w:szCs w:val="24"/>
              </w:rPr>
            </w:pPr>
            <w:r w:rsidRPr="009D1F6D">
              <w:rPr>
                <w:b/>
                <w:sz w:val="24"/>
                <w:szCs w:val="24"/>
              </w:rPr>
              <w:t>Purpose</w:t>
            </w:r>
          </w:p>
        </w:tc>
        <w:tc>
          <w:tcPr>
            <w:tcW w:w="6378" w:type="dxa"/>
            <w:tcBorders>
              <w:left w:val="single" w:sz="12" w:space="0" w:color="auto"/>
            </w:tcBorders>
          </w:tcPr>
          <w:p w:rsidR="00630D81" w:rsidRPr="009D1F6D" w:rsidRDefault="00630D81" w:rsidP="00630D81">
            <w:pPr>
              <w:rPr>
                <w:sz w:val="24"/>
                <w:szCs w:val="24"/>
              </w:rPr>
            </w:pPr>
            <w:r w:rsidRPr="009D1F6D">
              <w:rPr>
                <w:noProof/>
                <w:sz w:val="24"/>
                <w:szCs w:val="24"/>
              </w:rPr>
              <w:t xml:space="preserve">Applies the </w:t>
            </w:r>
            <w:r w:rsidRPr="009D1F6D">
              <w:rPr>
                <w:i/>
                <w:noProof/>
                <w:sz w:val="24"/>
                <w:szCs w:val="24"/>
              </w:rPr>
              <w:t>Customs Act 1901</w:t>
            </w:r>
            <w:r w:rsidRPr="009D1F6D">
              <w:rPr>
                <w:noProof/>
                <w:sz w:val="24"/>
                <w:szCs w:val="24"/>
              </w:rPr>
              <w:t>, the Customs Regulation 2015 and the Customs (International Obligations) Regulation 2015 in Norfolk Island, as modified by the Norfolk Island Customs Ordinance 2016</w:t>
            </w:r>
          </w:p>
        </w:tc>
      </w:tr>
      <w:tr w:rsidR="00630D81" w:rsidRPr="00164622" w:rsidTr="00630D81">
        <w:tc>
          <w:tcPr>
            <w:tcW w:w="2694" w:type="dxa"/>
            <w:tcBorders>
              <w:right w:val="single" w:sz="12" w:space="0" w:color="auto"/>
            </w:tcBorders>
          </w:tcPr>
          <w:p w:rsidR="00630D81" w:rsidRPr="009D1F6D" w:rsidRDefault="00630D81" w:rsidP="00630D81">
            <w:pPr>
              <w:rPr>
                <w:b/>
                <w:sz w:val="24"/>
                <w:szCs w:val="24"/>
              </w:rPr>
            </w:pPr>
            <w:r w:rsidRPr="009D1F6D">
              <w:rPr>
                <w:b/>
                <w:sz w:val="24"/>
                <w:szCs w:val="24"/>
              </w:rPr>
              <w:t>Last day to disallow</w:t>
            </w:r>
          </w:p>
        </w:tc>
        <w:tc>
          <w:tcPr>
            <w:tcW w:w="6378" w:type="dxa"/>
            <w:tcBorders>
              <w:left w:val="single" w:sz="12" w:space="0" w:color="auto"/>
            </w:tcBorders>
          </w:tcPr>
          <w:p w:rsidR="00630D81" w:rsidRPr="009D1F6D"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9D1F6D" w:rsidRDefault="00630D81" w:rsidP="00630D81">
            <w:pPr>
              <w:rPr>
                <w:b/>
                <w:sz w:val="24"/>
                <w:szCs w:val="24"/>
              </w:rPr>
            </w:pPr>
            <w:r w:rsidRPr="009D1F6D">
              <w:rPr>
                <w:b/>
                <w:sz w:val="24"/>
                <w:szCs w:val="24"/>
              </w:rPr>
              <w:t>Authorising legislation</w:t>
            </w:r>
          </w:p>
        </w:tc>
        <w:tc>
          <w:tcPr>
            <w:tcW w:w="6378" w:type="dxa"/>
            <w:tcBorders>
              <w:left w:val="single" w:sz="12" w:space="0" w:color="auto"/>
            </w:tcBorders>
          </w:tcPr>
          <w:p w:rsidR="00630D81" w:rsidRPr="009D1F6D" w:rsidRDefault="00630D81" w:rsidP="00630D81">
            <w:pPr>
              <w:rPr>
                <w:i/>
                <w:sz w:val="24"/>
                <w:szCs w:val="24"/>
              </w:rPr>
            </w:pPr>
            <w:r w:rsidRPr="009D1F6D">
              <w:rPr>
                <w:i/>
                <w:noProof/>
                <w:sz w:val="24"/>
                <w:szCs w:val="24"/>
              </w:rPr>
              <w:t>Norfolk Island Act 1979</w:t>
            </w:r>
          </w:p>
        </w:tc>
      </w:tr>
      <w:tr w:rsidR="00630D81" w:rsidRPr="00164622" w:rsidTr="00630D81">
        <w:tc>
          <w:tcPr>
            <w:tcW w:w="2694" w:type="dxa"/>
            <w:tcBorders>
              <w:right w:val="single" w:sz="12" w:space="0" w:color="auto"/>
            </w:tcBorders>
          </w:tcPr>
          <w:p w:rsidR="00630D81" w:rsidRPr="009D1F6D" w:rsidRDefault="00630D81" w:rsidP="00630D81">
            <w:pPr>
              <w:rPr>
                <w:b/>
                <w:sz w:val="24"/>
                <w:szCs w:val="24"/>
              </w:rPr>
            </w:pPr>
            <w:r w:rsidRPr="009D1F6D">
              <w:rPr>
                <w:b/>
                <w:sz w:val="24"/>
                <w:szCs w:val="24"/>
              </w:rPr>
              <w:t>Department</w:t>
            </w:r>
          </w:p>
        </w:tc>
        <w:tc>
          <w:tcPr>
            <w:tcW w:w="6378" w:type="dxa"/>
            <w:tcBorders>
              <w:left w:val="single" w:sz="12" w:space="0" w:color="auto"/>
            </w:tcBorders>
          </w:tcPr>
          <w:p w:rsidR="00630D81" w:rsidRPr="009D1F6D" w:rsidRDefault="00630D81" w:rsidP="00630D81">
            <w:pPr>
              <w:rPr>
                <w:sz w:val="24"/>
                <w:szCs w:val="24"/>
              </w:rPr>
            </w:pPr>
            <w:r w:rsidRPr="009D1F6D">
              <w:rPr>
                <w:noProof/>
                <w:sz w:val="24"/>
                <w:szCs w:val="24"/>
              </w:rPr>
              <w:t>Infrastructure and Regional Development</w:t>
            </w:r>
          </w:p>
        </w:tc>
      </w:tr>
      <w:tr w:rsidR="00630D81" w:rsidRPr="00164622" w:rsidTr="00630D81">
        <w:tc>
          <w:tcPr>
            <w:tcW w:w="2694" w:type="dxa"/>
            <w:tcBorders>
              <w:bottom w:val="single" w:sz="12" w:space="0" w:color="auto"/>
              <w:right w:val="single" w:sz="12" w:space="0" w:color="auto"/>
            </w:tcBorders>
          </w:tcPr>
          <w:p w:rsidR="00630D81" w:rsidRPr="009D1F6D" w:rsidRDefault="00630D81" w:rsidP="00630D81">
            <w:pPr>
              <w:rPr>
                <w:b/>
                <w:sz w:val="24"/>
                <w:szCs w:val="24"/>
              </w:rPr>
            </w:pPr>
            <w:r w:rsidRPr="009D1F6D">
              <w:rPr>
                <w:b/>
                <w:sz w:val="24"/>
                <w:szCs w:val="24"/>
              </w:rPr>
              <w:t>Scrutiny principle</w:t>
            </w:r>
          </w:p>
        </w:tc>
        <w:tc>
          <w:tcPr>
            <w:tcW w:w="6378" w:type="dxa"/>
            <w:tcBorders>
              <w:left w:val="single" w:sz="12" w:space="0" w:color="auto"/>
              <w:bottom w:val="single" w:sz="12" w:space="0" w:color="auto"/>
            </w:tcBorders>
          </w:tcPr>
          <w:p w:rsidR="00630D81" w:rsidRPr="009D1F6D" w:rsidRDefault="00630D81" w:rsidP="00630D81">
            <w:pPr>
              <w:rPr>
                <w:sz w:val="24"/>
                <w:szCs w:val="24"/>
              </w:rPr>
            </w:pPr>
            <w:r w:rsidRPr="009D1F6D">
              <w:rPr>
                <w:sz w:val="24"/>
                <w:szCs w:val="24"/>
              </w:rPr>
              <w:t>Standing Order 23(3)</w:t>
            </w:r>
            <w:r w:rsidRPr="009D1F6D">
              <w:rPr>
                <w:noProof/>
                <w:sz w:val="24"/>
                <w:szCs w:val="24"/>
              </w:rPr>
              <w:t>(a)</w:t>
            </w:r>
          </w:p>
        </w:tc>
      </w:tr>
    </w:tbl>
    <w:p w:rsidR="00630D81" w:rsidRDefault="00630D81" w:rsidP="00630D81"/>
    <w:p w:rsidR="00630D81" w:rsidRPr="00E47311" w:rsidRDefault="00630D81" w:rsidP="00630D81">
      <w:pPr>
        <w:rPr>
          <w:b/>
          <w:noProof/>
          <w:szCs w:val="26"/>
        </w:rPr>
      </w:pPr>
      <w:r w:rsidRPr="00E47311">
        <w:rPr>
          <w:b/>
          <w:noProof/>
          <w:szCs w:val="26"/>
        </w:rPr>
        <w:t>Sub-delegation</w:t>
      </w:r>
    </w:p>
    <w:p w:rsidR="00630D81" w:rsidRDefault="00630D81" w:rsidP="00630D81">
      <w:r w:rsidRPr="00E47311">
        <w:rPr>
          <w:szCs w:val="26"/>
        </w:rPr>
        <w:t xml:space="preserve">Section 9 of the </w:t>
      </w:r>
      <w:r w:rsidRPr="00E47311">
        <w:rPr>
          <w:noProof/>
          <w:szCs w:val="26"/>
        </w:rPr>
        <w:t>Norfolk Island Customs Ordinance 2016 [F2016L00736] (the</w:t>
      </w:r>
      <w:r>
        <w:rPr>
          <w:noProof/>
          <w:szCs w:val="26"/>
        </w:rPr>
        <w:t> </w:t>
      </w:r>
      <w:r w:rsidRPr="00E47311">
        <w:rPr>
          <w:noProof/>
          <w:szCs w:val="26"/>
        </w:rPr>
        <w:t xml:space="preserve">ordinance) </w:t>
      </w:r>
      <w:r w:rsidRPr="00E47311">
        <w:rPr>
          <w:szCs w:val="26"/>
        </w:rPr>
        <w:t xml:space="preserve">provides that the Comptroller-General of Customs </w:t>
      </w:r>
      <w:r>
        <w:t xml:space="preserve">may delegate any of their functions or powers under an applied customs law (other than section 179 of the </w:t>
      </w:r>
      <w:r w:rsidRPr="00F44145">
        <w:rPr>
          <w:i/>
        </w:rPr>
        <w:t>Customs Act 1901</w:t>
      </w:r>
      <w:r>
        <w:t xml:space="preserve"> (NI)) to the secretary of the relevant department or to 'another officer of Customs'. Subsection 9(3) of the ordinance further provides that the secretary may sub-delegate powers delegated by the Comptroller-General of Customs to 'another officer of Customs'.</w:t>
      </w:r>
    </w:p>
    <w:p w:rsidR="00630D81" w:rsidRDefault="00630D81" w:rsidP="00630D81">
      <w:r>
        <w:t xml:space="preserve">The ordinance defines an 'officer of Customs' as </w:t>
      </w:r>
      <w:r w:rsidRPr="00741322">
        <w:t>an officer within the meaning of the </w:t>
      </w:r>
      <w:r w:rsidRPr="00741322">
        <w:rPr>
          <w:i/>
          <w:iCs/>
        </w:rPr>
        <w:t>Customs Act 1901</w:t>
      </w:r>
      <w:r>
        <w:rPr>
          <w:iCs/>
        </w:rPr>
        <w:t>, which provides a very broad definition of the term.</w:t>
      </w:r>
      <w:r>
        <w:rPr>
          <w:rStyle w:val="FootnoteReference"/>
          <w:iCs/>
        </w:rPr>
        <w:footnoteReference w:id="18"/>
      </w:r>
    </w:p>
    <w:p w:rsidR="00630D81" w:rsidRDefault="00630D81" w:rsidP="00630D81">
      <w:r>
        <w:t xml:space="preserve">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 </w:t>
      </w:r>
    </w:p>
    <w:p w:rsidR="00630D81" w:rsidRDefault="00630D81" w:rsidP="00630D81">
      <w:r w:rsidRPr="007601B6">
        <w:lastRenderedPageBreak/>
        <w:t xml:space="preserve">In this respect, the ES for the </w:t>
      </w:r>
      <w:r>
        <w:t>ordinance</w:t>
      </w:r>
      <w:r w:rsidRPr="007601B6">
        <w:t xml:space="preserve"> provides no justification for the broad delegation</w:t>
      </w:r>
      <w:r>
        <w:t xml:space="preserve"> and sub-delegation</w:t>
      </w:r>
      <w:r w:rsidRPr="007601B6">
        <w:t xml:space="preserve"> of the </w:t>
      </w:r>
      <w:r>
        <w:t>Comptroller-General of Customs'</w:t>
      </w:r>
      <w:r w:rsidRPr="007601B6">
        <w:t xml:space="preserve"> powers under the </w:t>
      </w:r>
      <w:r>
        <w:t xml:space="preserve">ordinance </w:t>
      </w:r>
      <w:r w:rsidRPr="007601B6">
        <w:t>to an 'officer</w:t>
      </w:r>
      <w:r>
        <w:t xml:space="preserve"> of Customs</w:t>
      </w:r>
      <w:r w:rsidRPr="007601B6">
        <w:t xml:space="preserve">'. </w:t>
      </w:r>
    </w:p>
    <w:p w:rsidR="00630D81" w:rsidRDefault="00630D81" w:rsidP="00630D81">
      <w:pPr>
        <w:rPr>
          <w:b/>
        </w:rPr>
      </w:pPr>
      <w:r w:rsidRPr="007601B6">
        <w:rPr>
          <w:b/>
        </w:rPr>
        <w:t>The committee requests the advice of the minister in relation to this matter.</w:t>
      </w:r>
    </w:p>
    <w:p w:rsidR="00630D81" w:rsidRPr="00530BD9" w:rsidRDefault="00630D81" w:rsidP="00630D81">
      <w:pPr>
        <w:rPr>
          <w:b/>
        </w:rPr>
      </w:pPr>
    </w:p>
    <w:tbl>
      <w:tblPr>
        <w:tblW w:w="0" w:type="auto"/>
        <w:tblInd w:w="108" w:type="dxa"/>
        <w:tblLook w:val="04A0" w:firstRow="1" w:lastRow="0" w:firstColumn="1" w:lastColumn="0" w:noHBand="0" w:noVBand="1"/>
      </w:tblPr>
      <w:tblGrid>
        <w:gridCol w:w="2694"/>
        <w:gridCol w:w="6378"/>
      </w:tblGrid>
      <w:tr w:rsidR="00630D81" w:rsidRPr="00EF0F04" w:rsidTr="00630D81">
        <w:tc>
          <w:tcPr>
            <w:tcW w:w="2694" w:type="dxa"/>
            <w:tcBorders>
              <w:top w:val="single" w:sz="12" w:space="0" w:color="auto"/>
              <w:right w:val="single" w:sz="12" w:space="0" w:color="auto"/>
            </w:tcBorders>
          </w:tcPr>
          <w:p w:rsidR="00630D81" w:rsidRPr="009D1F6D" w:rsidRDefault="00630D81" w:rsidP="00630D81">
            <w:pPr>
              <w:rPr>
                <w:b/>
                <w:sz w:val="24"/>
                <w:szCs w:val="24"/>
              </w:rPr>
            </w:pPr>
            <w:r w:rsidRPr="009D1F6D">
              <w:rPr>
                <w:b/>
                <w:sz w:val="24"/>
                <w:szCs w:val="24"/>
              </w:rPr>
              <w:t>Instrument</w:t>
            </w:r>
          </w:p>
        </w:tc>
        <w:tc>
          <w:tcPr>
            <w:tcW w:w="6378" w:type="dxa"/>
            <w:tcBorders>
              <w:top w:val="single" w:sz="12" w:space="0" w:color="auto"/>
              <w:left w:val="single" w:sz="12" w:space="0" w:color="auto"/>
            </w:tcBorders>
          </w:tcPr>
          <w:p w:rsidR="00630D81" w:rsidRPr="00860BEA" w:rsidRDefault="00630D81" w:rsidP="00630D81">
            <w:pPr>
              <w:pStyle w:val="Heading3"/>
              <w:rPr>
                <w:sz w:val="24"/>
                <w:szCs w:val="24"/>
              </w:rPr>
            </w:pPr>
            <w:r w:rsidRPr="00860BEA">
              <w:rPr>
                <w:noProof/>
                <w:sz w:val="24"/>
                <w:szCs w:val="24"/>
              </w:rPr>
              <w:t>Part 21 Manual of Standards Instrument 2016 [F2016L00915]</w:t>
            </w:r>
          </w:p>
        </w:tc>
      </w:tr>
      <w:tr w:rsidR="00630D81" w:rsidRPr="00EF0F04" w:rsidTr="00630D81">
        <w:tc>
          <w:tcPr>
            <w:tcW w:w="2694" w:type="dxa"/>
            <w:tcBorders>
              <w:right w:val="single" w:sz="12" w:space="0" w:color="auto"/>
            </w:tcBorders>
          </w:tcPr>
          <w:p w:rsidR="00630D81" w:rsidRPr="009D1F6D" w:rsidRDefault="00630D81" w:rsidP="00630D81">
            <w:pPr>
              <w:rPr>
                <w:b/>
                <w:sz w:val="24"/>
                <w:szCs w:val="24"/>
              </w:rPr>
            </w:pPr>
            <w:r w:rsidRPr="009D1F6D">
              <w:rPr>
                <w:b/>
                <w:sz w:val="24"/>
                <w:szCs w:val="24"/>
              </w:rPr>
              <w:t>Purpose</w:t>
            </w:r>
          </w:p>
        </w:tc>
        <w:tc>
          <w:tcPr>
            <w:tcW w:w="6378" w:type="dxa"/>
            <w:tcBorders>
              <w:left w:val="single" w:sz="12" w:space="0" w:color="auto"/>
            </w:tcBorders>
          </w:tcPr>
          <w:p w:rsidR="00630D81" w:rsidRPr="009D1F6D" w:rsidRDefault="00630D81" w:rsidP="00630D81">
            <w:pPr>
              <w:rPr>
                <w:sz w:val="24"/>
                <w:szCs w:val="24"/>
              </w:rPr>
            </w:pPr>
            <w:r w:rsidRPr="009D1F6D">
              <w:rPr>
                <w:noProof/>
                <w:sz w:val="24"/>
                <w:szCs w:val="24"/>
              </w:rPr>
              <w:t>Prescribes standards for classes of light sport aircraft</w:t>
            </w:r>
            <w:r>
              <w:rPr>
                <w:noProof/>
                <w:sz w:val="24"/>
                <w:szCs w:val="24"/>
              </w:rPr>
              <w:t xml:space="preserve"> and</w:t>
            </w:r>
            <w:r w:rsidRPr="0039140B">
              <w:rPr>
                <w:noProof/>
                <w:sz w:val="24"/>
                <w:szCs w:val="24"/>
              </w:rPr>
              <w:t xml:space="preserve"> for articles for use on civil aircraft</w:t>
            </w:r>
            <w:r w:rsidRPr="009D1F6D">
              <w:rPr>
                <w:noProof/>
                <w:sz w:val="24"/>
                <w:szCs w:val="24"/>
              </w:rPr>
              <w:t>;</w:t>
            </w:r>
            <w:r>
              <w:rPr>
                <w:noProof/>
                <w:sz w:val="24"/>
                <w:szCs w:val="24"/>
              </w:rPr>
              <w:t xml:space="preserve"> and</w:t>
            </w:r>
            <w:r w:rsidRPr="009D1F6D">
              <w:rPr>
                <w:noProof/>
                <w:sz w:val="24"/>
                <w:szCs w:val="24"/>
              </w:rPr>
              <w:t xml:space="preserve"> requirements for special certificates of airworthiness and persons carrying out approved design activities for approved design organisations</w:t>
            </w:r>
          </w:p>
        </w:tc>
      </w:tr>
      <w:tr w:rsidR="00630D81" w:rsidRPr="00EF0F04" w:rsidTr="00630D81">
        <w:tc>
          <w:tcPr>
            <w:tcW w:w="2694" w:type="dxa"/>
            <w:tcBorders>
              <w:right w:val="single" w:sz="12" w:space="0" w:color="auto"/>
            </w:tcBorders>
          </w:tcPr>
          <w:p w:rsidR="00630D81" w:rsidRPr="009D1F6D" w:rsidRDefault="00630D81" w:rsidP="00630D81">
            <w:pPr>
              <w:rPr>
                <w:b/>
                <w:sz w:val="24"/>
                <w:szCs w:val="24"/>
              </w:rPr>
            </w:pPr>
            <w:r w:rsidRPr="009D1F6D">
              <w:rPr>
                <w:b/>
                <w:sz w:val="24"/>
                <w:szCs w:val="24"/>
              </w:rPr>
              <w:t>Last day to disallow</w:t>
            </w:r>
          </w:p>
        </w:tc>
        <w:tc>
          <w:tcPr>
            <w:tcW w:w="6378" w:type="dxa"/>
            <w:tcBorders>
              <w:left w:val="single" w:sz="12" w:space="0" w:color="auto"/>
            </w:tcBorders>
          </w:tcPr>
          <w:p w:rsidR="00630D81" w:rsidRPr="009D1F6D" w:rsidRDefault="00630D81" w:rsidP="00630D81">
            <w:pPr>
              <w:rPr>
                <w:sz w:val="24"/>
                <w:szCs w:val="24"/>
              </w:rPr>
            </w:pPr>
            <w:r>
              <w:rPr>
                <w:sz w:val="24"/>
                <w:szCs w:val="24"/>
              </w:rPr>
              <w:t>21 November 2016</w:t>
            </w:r>
          </w:p>
        </w:tc>
      </w:tr>
      <w:tr w:rsidR="00630D81" w:rsidRPr="00EF0F04" w:rsidTr="00630D81">
        <w:tc>
          <w:tcPr>
            <w:tcW w:w="2694" w:type="dxa"/>
            <w:tcBorders>
              <w:right w:val="single" w:sz="12" w:space="0" w:color="auto"/>
            </w:tcBorders>
          </w:tcPr>
          <w:p w:rsidR="00630D81" w:rsidRPr="009D1F6D" w:rsidRDefault="00630D81" w:rsidP="00630D81">
            <w:pPr>
              <w:rPr>
                <w:b/>
                <w:sz w:val="24"/>
                <w:szCs w:val="24"/>
              </w:rPr>
            </w:pPr>
            <w:r w:rsidRPr="009D1F6D">
              <w:rPr>
                <w:b/>
                <w:sz w:val="24"/>
                <w:szCs w:val="24"/>
              </w:rPr>
              <w:t>Authorising legislation</w:t>
            </w:r>
          </w:p>
        </w:tc>
        <w:tc>
          <w:tcPr>
            <w:tcW w:w="6378" w:type="dxa"/>
            <w:tcBorders>
              <w:left w:val="single" w:sz="12" w:space="0" w:color="auto"/>
            </w:tcBorders>
          </w:tcPr>
          <w:p w:rsidR="00630D81" w:rsidRPr="0039140B" w:rsidRDefault="00630D81" w:rsidP="00630D81">
            <w:pPr>
              <w:rPr>
                <w:sz w:val="24"/>
                <w:szCs w:val="24"/>
              </w:rPr>
            </w:pPr>
            <w:r w:rsidRPr="0039140B">
              <w:rPr>
                <w:noProof/>
                <w:sz w:val="24"/>
                <w:szCs w:val="24"/>
              </w:rPr>
              <w:t>Civil Aviation Safety Regulations 1998</w:t>
            </w:r>
          </w:p>
        </w:tc>
      </w:tr>
      <w:tr w:rsidR="00630D81" w:rsidRPr="00EF0F04" w:rsidTr="00630D81">
        <w:tc>
          <w:tcPr>
            <w:tcW w:w="2694" w:type="dxa"/>
            <w:tcBorders>
              <w:right w:val="single" w:sz="12" w:space="0" w:color="auto"/>
            </w:tcBorders>
          </w:tcPr>
          <w:p w:rsidR="00630D81" w:rsidRPr="009D1F6D" w:rsidRDefault="00630D81" w:rsidP="00630D81">
            <w:pPr>
              <w:rPr>
                <w:b/>
                <w:sz w:val="24"/>
                <w:szCs w:val="24"/>
              </w:rPr>
            </w:pPr>
            <w:r w:rsidRPr="009D1F6D">
              <w:rPr>
                <w:b/>
                <w:sz w:val="24"/>
                <w:szCs w:val="24"/>
              </w:rPr>
              <w:t>Department</w:t>
            </w:r>
          </w:p>
        </w:tc>
        <w:tc>
          <w:tcPr>
            <w:tcW w:w="6378" w:type="dxa"/>
            <w:tcBorders>
              <w:left w:val="single" w:sz="12" w:space="0" w:color="auto"/>
            </w:tcBorders>
          </w:tcPr>
          <w:p w:rsidR="00630D81" w:rsidRPr="009D1F6D" w:rsidRDefault="00630D81" w:rsidP="00630D81">
            <w:pPr>
              <w:rPr>
                <w:sz w:val="24"/>
                <w:szCs w:val="24"/>
              </w:rPr>
            </w:pPr>
            <w:r w:rsidRPr="009D1F6D">
              <w:rPr>
                <w:noProof/>
                <w:sz w:val="24"/>
                <w:szCs w:val="24"/>
              </w:rPr>
              <w:t>Infrastructure and Regional Development</w:t>
            </w:r>
          </w:p>
        </w:tc>
      </w:tr>
      <w:tr w:rsidR="00630D81" w:rsidRPr="00EF0F04" w:rsidTr="00630D81">
        <w:tc>
          <w:tcPr>
            <w:tcW w:w="2694" w:type="dxa"/>
            <w:tcBorders>
              <w:bottom w:val="single" w:sz="12" w:space="0" w:color="auto"/>
              <w:right w:val="single" w:sz="12" w:space="0" w:color="auto"/>
            </w:tcBorders>
          </w:tcPr>
          <w:p w:rsidR="00630D81" w:rsidRPr="009D1F6D" w:rsidRDefault="00630D81" w:rsidP="00630D81">
            <w:pPr>
              <w:rPr>
                <w:b/>
                <w:sz w:val="24"/>
                <w:szCs w:val="24"/>
              </w:rPr>
            </w:pPr>
            <w:r w:rsidRPr="009D1F6D">
              <w:rPr>
                <w:b/>
                <w:sz w:val="24"/>
                <w:szCs w:val="24"/>
              </w:rPr>
              <w:t>Scrutiny principle</w:t>
            </w:r>
          </w:p>
        </w:tc>
        <w:tc>
          <w:tcPr>
            <w:tcW w:w="6378" w:type="dxa"/>
            <w:tcBorders>
              <w:left w:val="single" w:sz="12" w:space="0" w:color="auto"/>
              <w:bottom w:val="single" w:sz="12" w:space="0" w:color="auto"/>
            </w:tcBorders>
          </w:tcPr>
          <w:p w:rsidR="00630D81" w:rsidRPr="009D1F6D" w:rsidRDefault="00630D81" w:rsidP="00630D81">
            <w:pPr>
              <w:rPr>
                <w:sz w:val="24"/>
                <w:szCs w:val="24"/>
              </w:rPr>
            </w:pPr>
            <w:r w:rsidRPr="009D1F6D">
              <w:rPr>
                <w:sz w:val="24"/>
                <w:szCs w:val="24"/>
              </w:rPr>
              <w:t>Standing Order 23(3)(a)</w:t>
            </w:r>
          </w:p>
        </w:tc>
      </w:tr>
    </w:tbl>
    <w:p w:rsidR="00630D81" w:rsidRDefault="00630D81" w:rsidP="00630D81">
      <w:pPr>
        <w:rPr>
          <w:b/>
          <w:noProof/>
        </w:rPr>
      </w:pPr>
    </w:p>
    <w:p w:rsidR="00630D81" w:rsidRDefault="00630D81" w:rsidP="00630D81">
      <w:pPr>
        <w:rPr>
          <w:b/>
          <w:noProof/>
        </w:rPr>
      </w:pPr>
      <w:r>
        <w:rPr>
          <w:b/>
          <w:noProof/>
        </w:rPr>
        <w:t xml:space="preserve">Description of and access to incorporated documents </w:t>
      </w:r>
    </w:p>
    <w:p w:rsidR="00630D81" w:rsidRDefault="00630D81" w:rsidP="00630D81">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incorporating</w:t>
      </w:r>
      <w:r>
        <w:rPr>
          <w:szCs w:val="26"/>
        </w:rPr>
        <w:t xml:space="preserve"> Acts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w:t>
      </w:r>
      <w:r>
        <w:rPr>
          <w:szCs w:val="26"/>
        </w:rPr>
        <w:t>the commencement of a legislative instrument</w:t>
      </w:r>
      <w:r w:rsidRPr="00025437">
        <w:rPr>
          <w:szCs w:val="26"/>
        </w:rPr>
        <w:t>, unless authorising or other legislation alters the operation of section 14.</w:t>
      </w:r>
    </w:p>
    <w:p w:rsidR="00630D81" w:rsidRPr="00231304" w:rsidRDefault="00630D81" w:rsidP="00630D81">
      <w:pPr>
        <w:rPr>
          <w:szCs w:val="26"/>
        </w:rPr>
      </w:pPr>
      <w:r>
        <w:rPr>
          <w:szCs w:val="26"/>
        </w:rPr>
        <w:t>P</w:t>
      </w:r>
      <w:r w:rsidRPr="00C978EE">
        <w:rPr>
          <w:szCs w:val="26"/>
        </w:rPr>
        <w:t>aragraph 15J(2)(c)</w:t>
      </w:r>
      <w:r>
        <w:rPr>
          <w:szCs w:val="26"/>
        </w:rPr>
        <w:t xml:space="preserve"> </w:t>
      </w:r>
      <w:r w:rsidRPr="00C978EE">
        <w:rPr>
          <w:szCs w:val="26"/>
        </w:rPr>
        <w:t xml:space="preserve">of the </w:t>
      </w:r>
      <w:r w:rsidRPr="00C978EE">
        <w:rPr>
          <w:i/>
          <w:szCs w:val="26"/>
        </w:rPr>
        <w:t xml:space="preserve">Legislation Act 2003 </w:t>
      </w:r>
      <w:r w:rsidRPr="00C978EE">
        <w:rPr>
          <w:szCs w:val="26"/>
        </w:rPr>
        <w:t xml:space="preserve">requires the </w:t>
      </w:r>
      <w:r>
        <w:rPr>
          <w:szCs w:val="26"/>
        </w:rPr>
        <w:t>ES f</w:t>
      </w:r>
      <w:r w:rsidRPr="00C978EE">
        <w:rPr>
          <w:szCs w:val="26"/>
        </w:rPr>
        <w:t xml:space="preserve">or </w:t>
      </w:r>
      <w:r>
        <w:rPr>
          <w:szCs w:val="26"/>
        </w:rPr>
        <w:t>a</w:t>
      </w:r>
      <w:r w:rsidRPr="00C978EE">
        <w:rPr>
          <w:szCs w:val="26"/>
        </w:rPr>
        <w:t xml:space="preserve"> </w:t>
      </w:r>
      <w:r>
        <w:rPr>
          <w:szCs w:val="26"/>
        </w:rPr>
        <w:t xml:space="preserve">legislative </w:t>
      </w:r>
      <w:r w:rsidRPr="00C978EE">
        <w:rPr>
          <w:szCs w:val="26"/>
        </w:rPr>
        <w:t xml:space="preserve">instrument </w:t>
      </w:r>
      <w:r>
        <w:rPr>
          <w:szCs w:val="26"/>
        </w:rPr>
        <w:t xml:space="preserve">that incorporates a document to contain a description of that </w:t>
      </w:r>
      <w:r w:rsidRPr="00C978EE">
        <w:rPr>
          <w:szCs w:val="26"/>
        </w:rPr>
        <w:t xml:space="preserve">document and </w:t>
      </w:r>
      <w:r w:rsidRPr="00231304">
        <w:rPr>
          <w:szCs w:val="26"/>
        </w:rPr>
        <w:t>indicate how it may be obtained.</w:t>
      </w:r>
    </w:p>
    <w:p w:rsidR="00630D81" w:rsidRPr="00681B17" w:rsidRDefault="00630D81" w:rsidP="00630D81">
      <w:r w:rsidRPr="009436FF">
        <w:t>The committee's expectations where a legislative instrument incorporate</w:t>
      </w:r>
      <w:r>
        <w:t xml:space="preserve">s a document </w:t>
      </w:r>
      <w:r w:rsidRPr="00681B17">
        <w:t xml:space="preserve">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630D81" w:rsidRDefault="00630D81" w:rsidP="00630D81">
      <w:pPr>
        <w:rPr>
          <w:szCs w:val="26"/>
        </w:rPr>
      </w:pPr>
      <w:r w:rsidRPr="00231304">
        <w:rPr>
          <w:noProof/>
        </w:rPr>
        <w:t>With reference to the above, the committee notes that section 1.10 of the instrument incorporates</w:t>
      </w:r>
      <w:r>
        <w:rPr>
          <w:noProof/>
        </w:rPr>
        <w:t>, as in force from time to time,</w:t>
      </w:r>
      <w:r w:rsidRPr="00231304">
        <w:rPr>
          <w:noProof/>
        </w:rPr>
        <w:t xml:space="preserve"> various international airworthiness requirements, certification specifications and standards. However, </w:t>
      </w:r>
      <w:r w:rsidRPr="00231304">
        <w:rPr>
          <w:szCs w:val="26"/>
        </w:rPr>
        <w:t>n</w:t>
      </w:r>
      <w:r w:rsidRPr="00046DC2">
        <w:rPr>
          <w:szCs w:val="26"/>
        </w:rPr>
        <w:t xml:space="preserve">either the text of </w:t>
      </w:r>
      <w:r w:rsidRPr="00046DC2">
        <w:rPr>
          <w:szCs w:val="26"/>
        </w:rPr>
        <w:lastRenderedPageBreak/>
        <w:t>the instrument nor the ES provides a description of the</w:t>
      </w:r>
      <w:r>
        <w:rPr>
          <w:szCs w:val="26"/>
        </w:rPr>
        <w:t xml:space="preserve">se documents or indicates how they </w:t>
      </w:r>
      <w:r w:rsidRPr="00046DC2">
        <w:rPr>
          <w:szCs w:val="26"/>
        </w:rPr>
        <w:t xml:space="preserve">may be obtained. </w:t>
      </w:r>
    </w:p>
    <w:p w:rsidR="00630D81" w:rsidRDefault="00630D81" w:rsidP="00630D81">
      <w:pPr>
        <w:rPr>
          <w:szCs w:val="26"/>
        </w:rPr>
      </w:pPr>
      <w:r w:rsidRPr="00DC482E">
        <w:rPr>
          <w:szCs w:val="26"/>
        </w:rPr>
        <w:t xml:space="preserve">While the committee does not interpret paragraph 15J(2)(c) as requiring a detailed description of an incorporated document and how it may be obtained, it considers that </w:t>
      </w:r>
      <w:r>
        <w:rPr>
          <w:szCs w:val="26"/>
        </w:rPr>
        <w:t xml:space="preserve"> an ES that does not contain any description of an incorporated document</w:t>
      </w:r>
      <w:r w:rsidRPr="00DC482E">
        <w:rPr>
          <w:szCs w:val="26"/>
        </w:rPr>
        <w:t xml:space="preserve"> </w:t>
      </w:r>
      <w:r>
        <w:rPr>
          <w:szCs w:val="26"/>
        </w:rPr>
        <w:t xml:space="preserve">fails to </w:t>
      </w:r>
      <w:r w:rsidRPr="00DC482E">
        <w:rPr>
          <w:szCs w:val="26"/>
        </w:rPr>
        <w:t xml:space="preserve">satisfy the requirements of the </w:t>
      </w:r>
      <w:r w:rsidRPr="00471814">
        <w:rPr>
          <w:i/>
          <w:szCs w:val="26"/>
        </w:rPr>
        <w:t>Legislation Act 2003</w:t>
      </w:r>
      <w:r>
        <w:rPr>
          <w:szCs w:val="26"/>
        </w:rPr>
        <w:t xml:space="preserve">. </w:t>
      </w:r>
      <w:r w:rsidRPr="00DC482E">
        <w:rPr>
          <w:szCs w:val="26"/>
        </w:rPr>
        <w:t xml:space="preserve"> </w:t>
      </w:r>
    </w:p>
    <w:p w:rsidR="00630D81" w:rsidRDefault="00630D81" w:rsidP="00630D81">
      <w:pPr>
        <w:rPr>
          <w:b/>
          <w:szCs w:val="26"/>
        </w:rPr>
      </w:pPr>
      <w:r>
        <w:rPr>
          <w:b/>
          <w:szCs w:val="26"/>
        </w:rPr>
        <w:t>T</w:t>
      </w:r>
      <w:r w:rsidRPr="00C978EE">
        <w:rPr>
          <w:b/>
          <w:szCs w:val="26"/>
        </w:rPr>
        <w:t xml:space="preserve">he committee requests the advice of the minister </w:t>
      </w:r>
      <w:r>
        <w:rPr>
          <w:b/>
          <w:szCs w:val="26"/>
        </w:rPr>
        <w:t xml:space="preserve">in relation to </w:t>
      </w:r>
      <w:r w:rsidRPr="00C978EE">
        <w:rPr>
          <w:b/>
          <w:szCs w:val="26"/>
        </w:rPr>
        <w:t>this matter.</w:t>
      </w:r>
    </w:p>
    <w:p w:rsidR="00630D81" w:rsidRDefault="00630D81" w:rsidP="00630D81"/>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4F2E07">
              <w:rPr>
                <w:noProof/>
                <w:sz w:val="24"/>
                <w:szCs w:val="24"/>
              </w:rPr>
              <w:t>Primary Industries (Customs) Charges Amendment (Fodder) Regulation 2016 [F2016L00760]</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A</w:t>
            </w:r>
            <w:r w:rsidRPr="004F2E07">
              <w:rPr>
                <w:noProof/>
                <w:sz w:val="24"/>
                <w:szCs w:val="24"/>
              </w:rPr>
              <w:t>uthorises the imposition of a new export charge on fodder products to fund research and development activities</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Primary Industries (Customs) Charges Act 1999</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Agriculture and Water Resources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4F2E07">
              <w:rPr>
                <w:noProof/>
                <w:sz w:val="24"/>
                <w:szCs w:val="24"/>
              </w:rPr>
              <w:t>(a)</w:t>
            </w:r>
          </w:p>
        </w:tc>
      </w:tr>
    </w:tbl>
    <w:p w:rsidR="00630D81" w:rsidRDefault="00630D81" w:rsidP="00630D81"/>
    <w:p w:rsidR="00630D81" w:rsidRDefault="00630D81" w:rsidP="00630D81">
      <w:pPr>
        <w:rPr>
          <w:b/>
          <w:noProof/>
        </w:rPr>
      </w:pPr>
      <w:r w:rsidRPr="004F2E07">
        <w:rPr>
          <w:b/>
          <w:noProof/>
        </w:rPr>
        <w:t>Unclear basis for determining fees</w:t>
      </w:r>
    </w:p>
    <w:p w:rsidR="00630D81" w:rsidRDefault="00630D81" w:rsidP="00630D81">
      <w:r>
        <w:t>T</w:t>
      </w:r>
      <w:r w:rsidRPr="00E47311">
        <w:t>he regulation</w:t>
      </w:r>
      <w:r>
        <w:t xml:space="preserve"> </w:t>
      </w:r>
      <w:r w:rsidRPr="00E47311">
        <w:t>authoris</w:t>
      </w:r>
      <w:r>
        <w:t>es the imposition of a new export charge on certain fodder products to fund research and development activities. Funds raised by the export charge will be collected by the Department of Agriculture and Water Resources, and passed on to the Rural Industries Research and Development Corporation for the administration of fodder industry research.</w:t>
      </w:r>
    </w:p>
    <w:p w:rsidR="00630D81" w:rsidRDefault="00630D81" w:rsidP="00630D81">
      <w:r>
        <w:t>Clause 5.2 of the regulation s</w:t>
      </w:r>
      <w:r w:rsidRPr="00A723F6">
        <w:t>ets the rate of the charge at 50 cents per tonne of fodder.</w:t>
      </w:r>
      <w:r>
        <w:t xml:space="preserve"> However, the ES does not explain the basis on which the new export charge has been calculated or set.</w:t>
      </w:r>
    </w:p>
    <w:p w:rsidR="00630D81" w:rsidRDefault="00630D81" w:rsidP="00630D81">
      <w:r>
        <w:t>The committee's usual expectation in cases where an instrument of delegated legislation carries financial implications via the imposition of or change to a charge, fee, levy, scale or rate of costs or payment is that the relevant ES makes clear the basis on which the imposition or change has been calculated.</w:t>
      </w:r>
    </w:p>
    <w:p w:rsidR="00630D81" w:rsidRDefault="00630D81" w:rsidP="00630D81">
      <w:pPr>
        <w:rPr>
          <w:b/>
        </w:rPr>
      </w:pPr>
      <w:r w:rsidRPr="00BB31A2">
        <w:rPr>
          <w:b/>
        </w:rPr>
        <w:t>The committee requests the advice of the minister in relation to this matter.</w:t>
      </w:r>
    </w:p>
    <w:p w:rsidR="00630D81" w:rsidRDefault="00630D81" w:rsidP="00630D81"/>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8737C8" w:rsidRDefault="00630D81" w:rsidP="00630D81">
            <w:pPr>
              <w:rPr>
                <w:b/>
                <w:sz w:val="24"/>
                <w:szCs w:val="24"/>
              </w:rPr>
            </w:pPr>
            <w:r w:rsidRPr="008737C8">
              <w:rPr>
                <w:b/>
                <w:sz w:val="24"/>
                <w:szCs w:val="24"/>
              </w:rPr>
              <w:lastRenderedPageBreak/>
              <w:t>Instrument</w:t>
            </w:r>
          </w:p>
        </w:tc>
        <w:tc>
          <w:tcPr>
            <w:tcW w:w="6378" w:type="dxa"/>
            <w:tcBorders>
              <w:top w:val="single" w:sz="12" w:space="0" w:color="auto"/>
              <w:left w:val="single" w:sz="12" w:space="0" w:color="auto"/>
            </w:tcBorders>
          </w:tcPr>
          <w:p w:rsidR="00630D81" w:rsidRPr="008737C8" w:rsidRDefault="00630D81" w:rsidP="00630D81">
            <w:pPr>
              <w:pStyle w:val="Heading3"/>
              <w:rPr>
                <w:noProof/>
                <w:sz w:val="24"/>
                <w:szCs w:val="24"/>
              </w:rPr>
            </w:pPr>
            <w:r w:rsidRPr="008737C8">
              <w:rPr>
                <w:noProof/>
                <w:sz w:val="24"/>
                <w:szCs w:val="24"/>
              </w:rPr>
              <w:t>Primary Industries (Customs) Charges Amendment (Citrus) Regulation 2016 [F2016L00708]</w:t>
            </w:r>
          </w:p>
          <w:p w:rsidR="00630D81" w:rsidRPr="008737C8" w:rsidRDefault="00630D81" w:rsidP="00630D81">
            <w:pPr>
              <w:pStyle w:val="Heading3"/>
              <w:rPr>
                <w:sz w:val="24"/>
                <w:szCs w:val="24"/>
              </w:rPr>
            </w:pPr>
            <w:r w:rsidRPr="008737C8">
              <w:rPr>
                <w:noProof/>
                <w:sz w:val="24"/>
                <w:szCs w:val="24"/>
              </w:rPr>
              <w:t>Primary Industries (Excise) Levies Amendment (Citrus) Regulation 2016 [F2016L00716]</w:t>
            </w:r>
          </w:p>
        </w:tc>
      </w:tr>
      <w:tr w:rsidR="00630D81" w:rsidRPr="00164622" w:rsidTr="00630D81">
        <w:tc>
          <w:tcPr>
            <w:tcW w:w="2694" w:type="dxa"/>
            <w:tcBorders>
              <w:right w:val="single" w:sz="12" w:space="0" w:color="auto"/>
            </w:tcBorders>
          </w:tcPr>
          <w:p w:rsidR="00630D81" w:rsidRPr="008737C8" w:rsidRDefault="00630D81" w:rsidP="00630D81">
            <w:pPr>
              <w:rPr>
                <w:b/>
                <w:sz w:val="24"/>
                <w:szCs w:val="24"/>
              </w:rPr>
            </w:pPr>
            <w:r w:rsidRPr="008737C8">
              <w:rPr>
                <w:b/>
                <w:sz w:val="24"/>
                <w:szCs w:val="24"/>
              </w:rPr>
              <w:t>Purpose</w:t>
            </w:r>
          </w:p>
        </w:tc>
        <w:tc>
          <w:tcPr>
            <w:tcW w:w="6378" w:type="dxa"/>
            <w:tcBorders>
              <w:left w:val="single" w:sz="12" w:space="0" w:color="auto"/>
            </w:tcBorders>
          </w:tcPr>
          <w:p w:rsidR="00630D81" w:rsidRPr="008737C8" w:rsidRDefault="00630D81" w:rsidP="00630D81">
            <w:pPr>
              <w:rPr>
                <w:sz w:val="24"/>
                <w:szCs w:val="24"/>
              </w:rPr>
            </w:pPr>
            <w:r w:rsidRPr="008737C8">
              <w:rPr>
                <w:noProof/>
                <w:sz w:val="24"/>
                <w:szCs w:val="24"/>
              </w:rPr>
              <w:t>The</w:t>
            </w:r>
            <w:r>
              <w:rPr>
                <w:noProof/>
                <w:sz w:val="24"/>
                <w:szCs w:val="24"/>
              </w:rPr>
              <w:t>se</w:t>
            </w:r>
            <w:r w:rsidRPr="008737C8">
              <w:rPr>
                <w:noProof/>
                <w:sz w:val="24"/>
                <w:szCs w:val="24"/>
              </w:rPr>
              <w:t xml:space="preserve"> regulations increase the statutory charge and levy rates on citrus in the Primary Industries (Customs) Charges Regulations 2000 and Primary Industries (Excise) Levies Regulations 1999</w:t>
            </w:r>
          </w:p>
        </w:tc>
      </w:tr>
      <w:tr w:rsidR="00630D81" w:rsidRPr="00164622" w:rsidTr="00630D81">
        <w:tc>
          <w:tcPr>
            <w:tcW w:w="2694" w:type="dxa"/>
            <w:tcBorders>
              <w:right w:val="single" w:sz="12" w:space="0" w:color="auto"/>
            </w:tcBorders>
          </w:tcPr>
          <w:p w:rsidR="00630D81" w:rsidRPr="008737C8" w:rsidRDefault="00630D81" w:rsidP="00630D81">
            <w:pPr>
              <w:rPr>
                <w:b/>
                <w:sz w:val="24"/>
                <w:szCs w:val="24"/>
              </w:rPr>
            </w:pPr>
            <w:r w:rsidRPr="008737C8">
              <w:rPr>
                <w:b/>
                <w:sz w:val="24"/>
                <w:szCs w:val="24"/>
              </w:rPr>
              <w:t>Last day to disallow</w:t>
            </w:r>
          </w:p>
        </w:tc>
        <w:tc>
          <w:tcPr>
            <w:tcW w:w="6378" w:type="dxa"/>
            <w:tcBorders>
              <w:left w:val="single" w:sz="12" w:space="0" w:color="auto"/>
            </w:tcBorders>
          </w:tcPr>
          <w:p w:rsidR="00630D81" w:rsidRPr="008737C8"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8737C8" w:rsidRDefault="00630D81" w:rsidP="00630D81">
            <w:pPr>
              <w:rPr>
                <w:b/>
                <w:sz w:val="24"/>
                <w:szCs w:val="24"/>
              </w:rPr>
            </w:pPr>
            <w:r w:rsidRPr="008737C8">
              <w:rPr>
                <w:b/>
                <w:sz w:val="24"/>
                <w:szCs w:val="24"/>
              </w:rPr>
              <w:t>Authorising legislation</w:t>
            </w:r>
          </w:p>
        </w:tc>
        <w:tc>
          <w:tcPr>
            <w:tcW w:w="6378" w:type="dxa"/>
            <w:tcBorders>
              <w:left w:val="single" w:sz="12" w:space="0" w:color="auto"/>
            </w:tcBorders>
          </w:tcPr>
          <w:p w:rsidR="00630D81" w:rsidRPr="008737C8" w:rsidRDefault="00630D81" w:rsidP="00630D81">
            <w:pPr>
              <w:rPr>
                <w:i/>
                <w:sz w:val="24"/>
                <w:szCs w:val="24"/>
              </w:rPr>
            </w:pPr>
            <w:r w:rsidRPr="008737C8">
              <w:rPr>
                <w:i/>
                <w:noProof/>
                <w:sz w:val="24"/>
                <w:szCs w:val="24"/>
              </w:rPr>
              <w:t>Primary Industries (Customs) Charges Act 1999</w:t>
            </w:r>
            <w:r>
              <w:rPr>
                <w:noProof/>
                <w:sz w:val="24"/>
                <w:szCs w:val="24"/>
              </w:rPr>
              <w:t xml:space="preserve">; and </w:t>
            </w:r>
            <w:r>
              <w:rPr>
                <w:i/>
                <w:noProof/>
                <w:sz w:val="24"/>
                <w:szCs w:val="24"/>
              </w:rPr>
              <w:t>Primary </w:t>
            </w:r>
            <w:r w:rsidRPr="008737C8">
              <w:rPr>
                <w:i/>
                <w:noProof/>
                <w:sz w:val="24"/>
                <w:szCs w:val="24"/>
              </w:rPr>
              <w:t>Industries (Excise) Levies Act 1999</w:t>
            </w:r>
          </w:p>
        </w:tc>
      </w:tr>
      <w:tr w:rsidR="00630D81" w:rsidRPr="00164622" w:rsidTr="00630D81">
        <w:tc>
          <w:tcPr>
            <w:tcW w:w="2694" w:type="dxa"/>
            <w:tcBorders>
              <w:right w:val="single" w:sz="12" w:space="0" w:color="auto"/>
            </w:tcBorders>
          </w:tcPr>
          <w:p w:rsidR="00630D81" w:rsidRPr="008737C8" w:rsidRDefault="00630D81" w:rsidP="00630D81">
            <w:pPr>
              <w:rPr>
                <w:b/>
                <w:sz w:val="24"/>
                <w:szCs w:val="24"/>
              </w:rPr>
            </w:pPr>
            <w:r w:rsidRPr="008737C8">
              <w:rPr>
                <w:b/>
                <w:sz w:val="24"/>
                <w:szCs w:val="24"/>
              </w:rPr>
              <w:t>Department</w:t>
            </w:r>
          </w:p>
        </w:tc>
        <w:tc>
          <w:tcPr>
            <w:tcW w:w="6378" w:type="dxa"/>
            <w:tcBorders>
              <w:left w:val="single" w:sz="12" w:space="0" w:color="auto"/>
            </w:tcBorders>
          </w:tcPr>
          <w:p w:rsidR="00630D81" w:rsidRPr="008737C8" w:rsidRDefault="00630D81" w:rsidP="00630D81">
            <w:pPr>
              <w:rPr>
                <w:sz w:val="24"/>
                <w:szCs w:val="24"/>
              </w:rPr>
            </w:pPr>
            <w:r w:rsidRPr="008737C8">
              <w:rPr>
                <w:noProof/>
                <w:sz w:val="24"/>
                <w:szCs w:val="24"/>
              </w:rPr>
              <w:t>Agriculture and Water Resources</w:t>
            </w:r>
          </w:p>
        </w:tc>
      </w:tr>
      <w:tr w:rsidR="00630D81" w:rsidRPr="00164622" w:rsidTr="00630D81">
        <w:tc>
          <w:tcPr>
            <w:tcW w:w="2694" w:type="dxa"/>
            <w:tcBorders>
              <w:bottom w:val="single" w:sz="12" w:space="0" w:color="auto"/>
              <w:right w:val="single" w:sz="12" w:space="0" w:color="auto"/>
            </w:tcBorders>
          </w:tcPr>
          <w:p w:rsidR="00630D81" w:rsidRPr="008737C8" w:rsidRDefault="00630D81" w:rsidP="00630D81">
            <w:pPr>
              <w:rPr>
                <w:b/>
                <w:sz w:val="24"/>
                <w:szCs w:val="24"/>
              </w:rPr>
            </w:pPr>
            <w:r w:rsidRPr="008737C8">
              <w:rPr>
                <w:b/>
                <w:sz w:val="24"/>
                <w:szCs w:val="24"/>
              </w:rPr>
              <w:t>Scrutiny principle</w:t>
            </w:r>
          </w:p>
        </w:tc>
        <w:tc>
          <w:tcPr>
            <w:tcW w:w="6378" w:type="dxa"/>
            <w:tcBorders>
              <w:left w:val="single" w:sz="12" w:space="0" w:color="auto"/>
              <w:bottom w:val="single" w:sz="12" w:space="0" w:color="auto"/>
            </w:tcBorders>
          </w:tcPr>
          <w:p w:rsidR="00630D81" w:rsidRPr="008737C8" w:rsidRDefault="00630D81" w:rsidP="00630D81">
            <w:pPr>
              <w:rPr>
                <w:sz w:val="24"/>
                <w:szCs w:val="24"/>
              </w:rPr>
            </w:pPr>
            <w:r w:rsidRPr="008737C8">
              <w:rPr>
                <w:sz w:val="24"/>
                <w:szCs w:val="24"/>
              </w:rPr>
              <w:t>Standing Order 23(3)</w:t>
            </w:r>
            <w:r w:rsidRPr="008737C8">
              <w:rPr>
                <w:noProof/>
                <w:sz w:val="24"/>
                <w:szCs w:val="24"/>
              </w:rPr>
              <w:t>(a)</w:t>
            </w:r>
          </w:p>
        </w:tc>
      </w:tr>
    </w:tbl>
    <w:p w:rsidR="00630D81" w:rsidRDefault="00630D81" w:rsidP="00630D81"/>
    <w:p w:rsidR="00630D81" w:rsidRDefault="00630D81" w:rsidP="00630D81">
      <w:pPr>
        <w:rPr>
          <w:b/>
          <w:noProof/>
        </w:rPr>
      </w:pPr>
      <w:r w:rsidRPr="004F2E07">
        <w:rPr>
          <w:b/>
          <w:noProof/>
        </w:rPr>
        <w:t>Unclear basis for determining fees</w:t>
      </w:r>
    </w:p>
    <w:p w:rsidR="00630D81" w:rsidRDefault="00630D81" w:rsidP="00630D81">
      <w:pPr>
        <w:rPr>
          <w:noProof/>
        </w:rPr>
      </w:pPr>
      <w:r w:rsidRPr="00220624">
        <w:rPr>
          <w:noProof/>
        </w:rPr>
        <w:t xml:space="preserve">The </w:t>
      </w:r>
      <w:r>
        <w:rPr>
          <w:noProof/>
        </w:rPr>
        <w:t xml:space="preserve">regulations increase the statutory charge and levy rates on citrus in the </w:t>
      </w:r>
      <w:r w:rsidRPr="00220624">
        <w:rPr>
          <w:noProof/>
        </w:rPr>
        <w:t>Primary Industries (Customs) Charges Regulations 2000</w:t>
      </w:r>
      <w:r>
        <w:rPr>
          <w:noProof/>
        </w:rPr>
        <w:t xml:space="preserve"> and </w:t>
      </w:r>
      <w:r w:rsidRPr="00220624">
        <w:rPr>
          <w:noProof/>
        </w:rPr>
        <w:t>Primary Industries (Excise) Levies Regulations 1999</w:t>
      </w:r>
      <w:r>
        <w:rPr>
          <w:noProof/>
        </w:rPr>
        <w:t xml:space="preserve">. </w:t>
      </w:r>
    </w:p>
    <w:p w:rsidR="00630D81" w:rsidRPr="00220624" w:rsidRDefault="00630D81" w:rsidP="00630D81">
      <w:pPr>
        <w:rPr>
          <w:noProof/>
        </w:rPr>
      </w:pPr>
      <w:r>
        <w:rPr>
          <w:noProof/>
          <w:lang w:val="en-GB"/>
        </w:rPr>
        <w:t>T</w:t>
      </w:r>
      <w:r w:rsidRPr="00641716">
        <w:rPr>
          <w:noProof/>
          <w:lang w:val="en-GB"/>
        </w:rPr>
        <w:t>he rate</w:t>
      </w:r>
      <w:r>
        <w:rPr>
          <w:noProof/>
          <w:lang w:val="en-GB"/>
        </w:rPr>
        <w:t>s</w:t>
      </w:r>
      <w:r w:rsidRPr="00641716">
        <w:rPr>
          <w:noProof/>
          <w:lang w:val="en-GB"/>
        </w:rPr>
        <w:t xml:space="preserve"> for research and development</w:t>
      </w:r>
      <w:r>
        <w:rPr>
          <w:noProof/>
          <w:lang w:val="en-GB"/>
        </w:rPr>
        <w:t xml:space="preserve"> have increased from $1.97 per tonne or 3.94 </w:t>
      </w:r>
      <w:r w:rsidRPr="00641716">
        <w:rPr>
          <w:noProof/>
          <w:lang w:val="en-GB"/>
        </w:rPr>
        <w:t xml:space="preserve">cents per box to $3.20 </w:t>
      </w:r>
      <w:r>
        <w:rPr>
          <w:noProof/>
          <w:lang w:val="en-GB"/>
        </w:rPr>
        <w:t xml:space="preserve">per tonne or 6.4 cents per box; and the Plant Health Australia </w:t>
      </w:r>
      <w:r w:rsidRPr="00641716">
        <w:rPr>
          <w:noProof/>
          <w:lang w:val="en-GB"/>
        </w:rPr>
        <w:t xml:space="preserve">membership charge </w:t>
      </w:r>
      <w:r>
        <w:rPr>
          <w:noProof/>
          <w:lang w:val="en-GB"/>
        </w:rPr>
        <w:t xml:space="preserve">and levy </w:t>
      </w:r>
      <w:r w:rsidRPr="00641716">
        <w:rPr>
          <w:noProof/>
          <w:lang w:val="en-GB"/>
        </w:rPr>
        <w:t>rate</w:t>
      </w:r>
      <w:r>
        <w:rPr>
          <w:noProof/>
          <w:lang w:val="en-GB"/>
        </w:rPr>
        <w:t xml:space="preserve">s have increased </w:t>
      </w:r>
      <w:r w:rsidRPr="00641716">
        <w:rPr>
          <w:noProof/>
          <w:lang w:val="en-GB"/>
        </w:rPr>
        <w:t>from 3 cents per tonne or 0.06 of a cent per box to 30 cents per tonne or 0.6 of a cent per box.</w:t>
      </w:r>
      <w:r>
        <w:rPr>
          <w:noProof/>
        </w:rPr>
        <w:t xml:space="preserve"> </w:t>
      </w:r>
      <w:r w:rsidRPr="00220624">
        <w:rPr>
          <w:noProof/>
        </w:rPr>
        <w:t>However, the ES</w:t>
      </w:r>
      <w:r>
        <w:rPr>
          <w:noProof/>
        </w:rPr>
        <w:t>s for the regulations</w:t>
      </w:r>
      <w:r w:rsidRPr="00220624">
        <w:rPr>
          <w:noProof/>
        </w:rPr>
        <w:t xml:space="preserve"> do not explicitly state the basis on which the charges have been calculated.</w:t>
      </w:r>
    </w:p>
    <w:p w:rsidR="00630D81" w:rsidRPr="00220624" w:rsidRDefault="00630D81" w:rsidP="00630D81">
      <w:pPr>
        <w:rPr>
          <w:noProof/>
        </w:rPr>
      </w:pPr>
      <w:r w:rsidRPr="00220624">
        <w:rPr>
          <w:noProof/>
        </w:rPr>
        <w:t xml:space="preserve">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630D81" w:rsidRDefault="00630D81" w:rsidP="00630D81">
      <w:pPr>
        <w:rPr>
          <w:b/>
          <w:noProof/>
        </w:rPr>
      </w:pPr>
      <w:r w:rsidRPr="00220624">
        <w:rPr>
          <w:b/>
          <w:noProof/>
        </w:rPr>
        <w:t>The committee requests the advice of the minis</w:t>
      </w:r>
      <w:r>
        <w:rPr>
          <w:b/>
          <w:noProof/>
        </w:rPr>
        <w:t>ter in relation to this matter.</w:t>
      </w:r>
    </w:p>
    <w:p w:rsidR="00630D81" w:rsidRDefault="00630D81" w:rsidP="00F26EC0">
      <w:pPr>
        <w:spacing w:before="120" w:after="120"/>
        <w:rPr>
          <w:noProof/>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4F2E07">
              <w:rPr>
                <w:noProof/>
                <w:sz w:val="24"/>
                <w:szCs w:val="24"/>
              </w:rPr>
              <w:t>Primary Industries (Excise) Levies Amendment (Forest Growers) Regulation 2016 [F2016L00715]</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Introduces an Emergency Plant Pest Response levy on growers of certain plantation trees</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lastRenderedPageBreak/>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 xml:space="preserve">Primary Industries (Excise) Levies </w:t>
            </w:r>
            <w:r>
              <w:rPr>
                <w:i/>
                <w:noProof/>
                <w:sz w:val="24"/>
                <w:szCs w:val="24"/>
              </w:rPr>
              <w:t>Act 1</w:t>
            </w:r>
            <w:r w:rsidRPr="004F2E07">
              <w:rPr>
                <w:i/>
                <w:noProof/>
                <w:sz w:val="24"/>
                <w:szCs w:val="24"/>
              </w:rPr>
              <w:t>999</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Agriculture and Water Resources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4F2E07">
              <w:rPr>
                <w:noProof/>
                <w:sz w:val="24"/>
                <w:szCs w:val="24"/>
              </w:rPr>
              <w:t>(a)</w:t>
            </w:r>
          </w:p>
        </w:tc>
      </w:tr>
    </w:tbl>
    <w:p w:rsidR="00630D81" w:rsidRDefault="00630D81" w:rsidP="00630D81"/>
    <w:p w:rsidR="00630D81" w:rsidRDefault="00630D81" w:rsidP="00630D81">
      <w:pPr>
        <w:rPr>
          <w:b/>
          <w:noProof/>
        </w:rPr>
      </w:pPr>
      <w:r>
        <w:rPr>
          <w:b/>
          <w:noProof/>
        </w:rPr>
        <w:t>Unclear basis for determining fees</w:t>
      </w:r>
    </w:p>
    <w:p w:rsidR="00630D81" w:rsidRDefault="00630D81" w:rsidP="00630D81">
      <w:r w:rsidRPr="00641716">
        <w:t xml:space="preserve">The </w:t>
      </w:r>
      <w:r>
        <w:t>r</w:t>
      </w:r>
      <w:r w:rsidRPr="00641716">
        <w:t xml:space="preserve">egulation </w:t>
      </w:r>
      <w:r>
        <w:t xml:space="preserve">amends the statutory levies for forest growers to replace the category of leviable logs processed from trees felled in a plantation with two new categories; and introduces an </w:t>
      </w:r>
      <w:r w:rsidRPr="007524D7">
        <w:t>Emergency Plant Pest Response levy on growers of certain plantation trees</w:t>
      </w:r>
      <w:r>
        <w:t>.</w:t>
      </w:r>
    </w:p>
    <w:p w:rsidR="00630D81" w:rsidRPr="00641716" w:rsidRDefault="00630D81" w:rsidP="00630D81">
      <w:r>
        <w:t>Schedule 1 of the regulation</w:t>
      </w:r>
      <w:r w:rsidRPr="007524D7">
        <w:t xml:space="preserve"> </w:t>
      </w:r>
      <w:r w:rsidRPr="00641716">
        <w:t>provides for growers of</w:t>
      </w:r>
      <w:r>
        <w:rPr>
          <w:i/>
          <w:iCs/>
        </w:rPr>
        <w:t xml:space="preserve"> </w:t>
      </w:r>
      <w:r w:rsidRPr="00641716">
        <w:rPr>
          <w:iCs/>
        </w:rPr>
        <w:t>certain</w:t>
      </w:r>
      <w:r>
        <w:rPr>
          <w:i/>
          <w:iCs/>
        </w:rPr>
        <w:t xml:space="preserve"> </w:t>
      </w:r>
      <w:r w:rsidRPr="00641716">
        <w:t>plan</w:t>
      </w:r>
      <w:r>
        <w:t xml:space="preserve">tation trees to pay an </w:t>
      </w:r>
      <w:r w:rsidRPr="00257848">
        <w:t>Emergency</w:t>
      </w:r>
      <w:r>
        <w:t> </w:t>
      </w:r>
      <w:r w:rsidRPr="00257848">
        <w:t xml:space="preserve">Plant Pest Response levy </w:t>
      </w:r>
      <w:r>
        <w:t>of 5 </w:t>
      </w:r>
      <w:r w:rsidRPr="00641716">
        <w:t xml:space="preserve">cents per cubic metre of logs felled in those plantations. However, the ES does not explicitly state the basis on which the </w:t>
      </w:r>
      <w:r>
        <w:t xml:space="preserve">levy has </w:t>
      </w:r>
      <w:r w:rsidRPr="00641716">
        <w:t>been calculated.</w:t>
      </w:r>
    </w:p>
    <w:p w:rsidR="00630D81" w:rsidRPr="00641716" w:rsidRDefault="00630D81" w:rsidP="00630D81">
      <w:r w:rsidRPr="00641716">
        <w:t xml:space="preserve">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630D81" w:rsidRDefault="00630D81" w:rsidP="00630D81">
      <w:pPr>
        <w:rPr>
          <w:b/>
        </w:rPr>
      </w:pPr>
      <w:r w:rsidRPr="00641716">
        <w:rPr>
          <w:b/>
        </w:rPr>
        <w:t>The committee requests the advice of the minister in relation to this matter.</w:t>
      </w:r>
    </w:p>
    <w:p w:rsidR="00D53138" w:rsidRPr="00641716" w:rsidRDefault="00D53138" w:rsidP="00630D81">
      <w:pPr>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rPr>
              <w:br w:type="page"/>
            </w: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5C3B4E">
              <w:rPr>
                <w:noProof/>
                <w:sz w:val="24"/>
                <w:szCs w:val="24"/>
              </w:rPr>
              <w:t>Private Ancillary Fund and Public Ancillary Fund Amendment Guidelines 2016 [F2016L00651]</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A</w:t>
            </w:r>
            <w:r w:rsidRPr="005C3B4E">
              <w:rPr>
                <w:noProof/>
                <w:sz w:val="24"/>
                <w:szCs w:val="24"/>
              </w:rPr>
              <w:t>mends the Private Ancillary Fund Guidelines 2009 and the Public Ancillary Fund Guidelines 2011</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5C3B4E">
              <w:rPr>
                <w:i/>
                <w:noProof/>
                <w:sz w:val="24"/>
                <w:szCs w:val="24"/>
              </w:rPr>
              <w:t xml:space="preserve">Taxation Administration </w:t>
            </w:r>
            <w:r>
              <w:rPr>
                <w:i/>
                <w:noProof/>
                <w:sz w:val="24"/>
                <w:szCs w:val="24"/>
              </w:rPr>
              <w:t>Act 1</w:t>
            </w:r>
            <w:r w:rsidRPr="005C3B4E">
              <w:rPr>
                <w:i/>
                <w:noProof/>
                <w:sz w:val="24"/>
                <w:szCs w:val="24"/>
              </w:rPr>
              <w:t>953</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5C3B4E">
              <w:rPr>
                <w:noProof/>
                <w:sz w:val="24"/>
                <w:szCs w:val="24"/>
              </w:rPr>
              <w:t>Treasury</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5C3B4E">
              <w:rPr>
                <w:noProof/>
                <w:sz w:val="24"/>
                <w:szCs w:val="24"/>
              </w:rPr>
              <w:t>(a)</w:t>
            </w:r>
          </w:p>
        </w:tc>
      </w:tr>
    </w:tbl>
    <w:p w:rsidR="00630D81" w:rsidRDefault="00630D81" w:rsidP="00630D81"/>
    <w:p w:rsidR="00630D81" w:rsidRDefault="00630D81" w:rsidP="00630D81">
      <w:pPr>
        <w:rPr>
          <w:b/>
          <w:noProof/>
        </w:rPr>
      </w:pPr>
      <w:r w:rsidRPr="005C3B4E">
        <w:rPr>
          <w:b/>
          <w:noProof/>
        </w:rPr>
        <w:t>No statement of compatibility</w:t>
      </w:r>
    </w:p>
    <w:p w:rsidR="00630D81" w:rsidRDefault="00630D81" w:rsidP="00630D81">
      <w:r>
        <w:t xml:space="preserve">Section 9 of the </w:t>
      </w:r>
      <w:r w:rsidRPr="00062BA5">
        <w:rPr>
          <w:i/>
        </w:rPr>
        <w:t xml:space="preserve">Human Rights (Parliamentary Scrutiny) </w:t>
      </w:r>
      <w:r>
        <w:rPr>
          <w:i/>
        </w:rPr>
        <w:t>Act 2</w:t>
      </w:r>
      <w:r w:rsidRPr="00062BA5">
        <w:rPr>
          <w:i/>
        </w:rPr>
        <w:t>011</w:t>
      </w:r>
      <w:r>
        <w:t xml:space="preserve"> requires the maker of a disallowable instrument to have prepared a statement of compatibility in relation </w:t>
      </w:r>
      <w:r>
        <w:lastRenderedPageBreak/>
        <w:t xml:space="preserve">to the instrument. The statement of compatibility must include an assessment of whether the legislative instrument is compatible with human rights, and must be included in the ES for the legislative instrument. </w:t>
      </w:r>
    </w:p>
    <w:p w:rsidR="00630D81" w:rsidRDefault="00630D81" w:rsidP="00630D81">
      <w:r>
        <w:t>With reference to this requirement, the committee notes that the ES for this instrument does not include a statement of compatibility.</w:t>
      </w:r>
    </w:p>
    <w:p w:rsidR="00630D81" w:rsidRDefault="00630D81" w:rsidP="00630D81">
      <w:pPr>
        <w:rPr>
          <w:b/>
        </w:rPr>
      </w:pPr>
      <w:r w:rsidRPr="007B5B8D">
        <w:rPr>
          <w:b/>
        </w:rPr>
        <w:t xml:space="preserve">The committee requests the advice of the minister in relation to this matter; and requests that the ES be updated in accordance with the requirements of the </w:t>
      </w:r>
      <w:r w:rsidRPr="007B5B8D">
        <w:rPr>
          <w:b/>
          <w:i/>
        </w:rPr>
        <w:t xml:space="preserve">Human Rights (Parliamentary Scrutiny) </w:t>
      </w:r>
      <w:r>
        <w:rPr>
          <w:b/>
          <w:i/>
        </w:rPr>
        <w:t>Act 2</w:t>
      </w:r>
      <w:r w:rsidRPr="007B5B8D">
        <w:rPr>
          <w:b/>
          <w:i/>
        </w:rPr>
        <w:t>011</w:t>
      </w:r>
      <w:r w:rsidRPr="007B5B8D">
        <w:rPr>
          <w:b/>
        </w:rPr>
        <w:t>.</w:t>
      </w:r>
    </w:p>
    <w:p w:rsidR="00D53138" w:rsidRDefault="00D53138" w:rsidP="00630D81">
      <w:pPr>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rPr>
              <w:br w:type="page"/>
            </w: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5C3B4E">
              <w:rPr>
                <w:noProof/>
                <w:sz w:val="24"/>
                <w:szCs w:val="24"/>
              </w:rPr>
              <w:t>Public Lending Right Scheme 1997 (Modification No. 1 of 2016) [</w:t>
            </w:r>
            <w:bookmarkStart w:id="29" w:name="OLE_LINK1"/>
            <w:r w:rsidRPr="005C3B4E">
              <w:rPr>
                <w:noProof/>
                <w:sz w:val="24"/>
                <w:szCs w:val="24"/>
              </w:rPr>
              <w:t>F2016L00610</w:t>
            </w:r>
            <w:bookmarkEnd w:id="29"/>
            <w:r w:rsidRPr="005C3B4E">
              <w:rPr>
                <w:noProof/>
                <w:sz w:val="24"/>
                <w:szCs w:val="24"/>
              </w:rPr>
              <w:t>]</w:t>
            </w:r>
            <w:r>
              <w:rPr>
                <w:rStyle w:val="FootnoteReference"/>
                <w:noProof/>
                <w:sz w:val="24"/>
                <w:szCs w:val="24"/>
              </w:rPr>
              <w:footnoteReference w:id="19"/>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M</w:t>
            </w:r>
            <w:r w:rsidRPr="005C3B4E">
              <w:rPr>
                <w:noProof/>
                <w:sz w:val="24"/>
                <w:szCs w:val="24"/>
              </w:rPr>
              <w:t>odifies the Public Lending Right Scheme 1997 to increase the creator rate of payment for 201</w:t>
            </w:r>
            <w:r>
              <w:rPr>
                <w:noProof/>
                <w:sz w:val="24"/>
                <w:szCs w:val="24"/>
              </w:rPr>
              <w:t>5</w:t>
            </w:r>
            <w:r w:rsidRPr="005C3B4E">
              <w:rPr>
                <w:noProof/>
                <w:sz w:val="24"/>
                <w:szCs w:val="24"/>
              </w:rPr>
              <w:t>–1</w:t>
            </w:r>
            <w:r>
              <w:rPr>
                <w:noProof/>
                <w:sz w:val="24"/>
                <w:szCs w:val="24"/>
              </w:rPr>
              <w:t>6</w:t>
            </w:r>
            <w:r w:rsidRPr="005C3B4E">
              <w:rPr>
                <w:noProof/>
                <w:sz w:val="24"/>
                <w:szCs w:val="24"/>
              </w:rPr>
              <w:t xml:space="preserve"> from $2.02 to $2.11 and the publisher rate of payment from 50.5 cents to 52.75 cents</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9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5C3B4E">
              <w:rPr>
                <w:i/>
                <w:noProof/>
                <w:sz w:val="24"/>
                <w:szCs w:val="24"/>
              </w:rPr>
              <w:t xml:space="preserve">Public Lending Right </w:t>
            </w:r>
            <w:r>
              <w:rPr>
                <w:i/>
                <w:noProof/>
                <w:sz w:val="24"/>
                <w:szCs w:val="24"/>
              </w:rPr>
              <w:t>Act 1</w:t>
            </w:r>
            <w:r w:rsidRPr="005C3B4E">
              <w:rPr>
                <w:i/>
                <w:noProof/>
                <w:sz w:val="24"/>
                <w:szCs w:val="24"/>
              </w:rPr>
              <w:t>985</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5C3B4E">
              <w:rPr>
                <w:noProof/>
                <w:sz w:val="24"/>
                <w:szCs w:val="24"/>
              </w:rPr>
              <w:t>Communications and the Arts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jc w:val="left"/>
              <w:rPr>
                <w:sz w:val="24"/>
                <w:szCs w:val="24"/>
              </w:rPr>
            </w:pPr>
            <w:r>
              <w:rPr>
                <w:sz w:val="24"/>
                <w:szCs w:val="24"/>
              </w:rPr>
              <w:t>Standing Order 23(3)</w:t>
            </w:r>
            <w:r w:rsidRPr="005C3B4E">
              <w:rPr>
                <w:noProof/>
                <w:sz w:val="24"/>
                <w:szCs w:val="24"/>
              </w:rPr>
              <w:t>(a)</w:t>
            </w:r>
          </w:p>
        </w:tc>
      </w:tr>
    </w:tbl>
    <w:p w:rsidR="00630D81" w:rsidRDefault="00630D81" w:rsidP="00630D81"/>
    <w:p w:rsidR="00630D81" w:rsidRDefault="00630D81" w:rsidP="00630D81">
      <w:pPr>
        <w:rPr>
          <w:b/>
          <w:noProof/>
        </w:rPr>
      </w:pPr>
      <w:r>
        <w:rPr>
          <w:b/>
          <w:noProof/>
        </w:rPr>
        <w:t>No d</w:t>
      </w:r>
      <w:r w:rsidRPr="005C3B4E">
        <w:rPr>
          <w:b/>
          <w:noProof/>
        </w:rPr>
        <w:t>escription of consultation</w:t>
      </w:r>
    </w:p>
    <w:p w:rsidR="00630D81" w:rsidRDefault="00630D81" w:rsidP="00630D81">
      <w:pPr>
        <w:rPr>
          <w:noProof/>
        </w:rPr>
      </w:pPr>
      <w:r w:rsidRPr="00062BA5">
        <w:rPr>
          <w:noProof/>
        </w:rPr>
        <w:t xml:space="preserve">Section 17 of the </w:t>
      </w:r>
      <w:r w:rsidRPr="00062BA5">
        <w:rPr>
          <w:i/>
          <w:noProof/>
        </w:rPr>
        <w:t xml:space="preserve">Legislation </w:t>
      </w:r>
      <w:r>
        <w:rPr>
          <w:i/>
          <w:noProof/>
        </w:rPr>
        <w:t>Act 2003</w:t>
      </w:r>
      <w:r w:rsidRPr="00062BA5">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630D81" w:rsidRDefault="00630D81" w:rsidP="00630D81">
      <w:pPr>
        <w:rPr>
          <w:noProof/>
        </w:rPr>
      </w:pPr>
      <w:r w:rsidRPr="00062BA5">
        <w:rPr>
          <w:noProof/>
        </w:rPr>
        <w:t>With reference to these requirements, t</w:t>
      </w:r>
      <w:r>
        <w:rPr>
          <w:noProof/>
        </w:rPr>
        <w:t>he committee notes that the ES for the instrument provides no information regarding consultation.</w:t>
      </w:r>
    </w:p>
    <w:p w:rsidR="00630D81" w:rsidRDefault="00630D81" w:rsidP="00630D81">
      <w:pPr>
        <w:rPr>
          <w:b/>
          <w:noProof/>
        </w:rPr>
      </w:pPr>
      <w:r w:rsidRPr="00062BA5">
        <w:rPr>
          <w:b/>
          <w:noProof/>
        </w:rPr>
        <w:t xml:space="preserve">The committee requests the advice of the minister in relation to this matter; and requests that the ES be updated in accordance with the requirements of the </w:t>
      </w:r>
      <w:r w:rsidRPr="00062BA5">
        <w:rPr>
          <w:b/>
          <w:i/>
          <w:noProof/>
        </w:rPr>
        <w:t xml:space="preserve">Legislation </w:t>
      </w:r>
      <w:r>
        <w:rPr>
          <w:b/>
          <w:i/>
          <w:noProof/>
        </w:rPr>
        <w:t>Act 2003</w:t>
      </w:r>
      <w:r w:rsidRPr="00062BA5">
        <w:rPr>
          <w:b/>
          <w:noProof/>
        </w:rPr>
        <w:t>.</w:t>
      </w:r>
    </w:p>
    <w:p w:rsidR="00630D81" w:rsidRDefault="00630D81" w:rsidP="00630D81">
      <w:pPr>
        <w:rPr>
          <w:b/>
          <w:noProof/>
        </w:rPr>
      </w:pPr>
      <w:r w:rsidRPr="005C3B4E">
        <w:rPr>
          <w:b/>
          <w:noProof/>
        </w:rPr>
        <w:lastRenderedPageBreak/>
        <w:t>Unclear basis for determining fees</w:t>
      </w:r>
    </w:p>
    <w:p w:rsidR="00630D81" w:rsidRDefault="00630D81" w:rsidP="00630D81">
      <w:r>
        <w:t>Items 2 and 3 of the instrument increase the creator of books rate of payment for 2015–16 from $2.02 to $2.11; and the publisher of books rate of payment from 50.5 cents to 52.75 cents. However, the ES does not explain the basis on which the new rates have been calculated or set.</w:t>
      </w:r>
    </w:p>
    <w:p w:rsidR="00630D81" w:rsidRDefault="00630D81" w:rsidP="00630D81">
      <w:r>
        <w:t xml:space="preserve">The committee's usual expectation in cases where an instrument of delegated legislation carries financial implications via the imposition of or change to a charge, fee, levy, scale or rate of costs or payment is that the relevant ES makes clear the basis on which the imposition or change has been calculated. </w:t>
      </w:r>
    </w:p>
    <w:p w:rsidR="00630D81" w:rsidRDefault="00630D81" w:rsidP="00630D81">
      <w:r w:rsidRPr="00062BA5">
        <w:rPr>
          <w:b/>
        </w:rPr>
        <w:t>The committee requests the advice of the minister in relation to this matter.</w:t>
      </w:r>
    </w:p>
    <w:p w:rsidR="00630D81" w:rsidRPr="00164622" w:rsidRDefault="00630D81" w:rsidP="00630D81">
      <w:pPr>
        <w:rPr>
          <w:szCs w:val="26"/>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4F2E07">
              <w:rPr>
                <w:noProof/>
                <w:sz w:val="24"/>
                <w:szCs w:val="24"/>
              </w:rPr>
              <w:t>Quality Agency Principles Amendment Principle 2016 [</w:t>
            </w:r>
            <w:bookmarkStart w:id="30" w:name="OLE_LINK2"/>
            <w:r w:rsidRPr="004F2E07">
              <w:rPr>
                <w:noProof/>
                <w:sz w:val="24"/>
                <w:szCs w:val="24"/>
              </w:rPr>
              <w:t>F2016L00830</w:t>
            </w:r>
            <w:bookmarkEnd w:id="30"/>
            <w:r w:rsidRPr="004F2E07">
              <w:rPr>
                <w:noProof/>
                <w:sz w:val="24"/>
                <w:szCs w:val="24"/>
              </w:rPr>
              <w:t>]</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 xml:space="preserve">Removes the methods for calculation and indexation of  application fees for accrediation from the </w:t>
            </w:r>
            <w:r w:rsidRPr="004F2E07">
              <w:rPr>
                <w:noProof/>
                <w:sz w:val="24"/>
                <w:szCs w:val="24"/>
              </w:rPr>
              <w:t>Quality Agency Principle</w:t>
            </w:r>
            <w:r>
              <w:rPr>
                <w:noProof/>
                <w:sz w:val="24"/>
                <w:szCs w:val="24"/>
              </w:rPr>
              <w:t xml:space="preserve">s 2013 </w:t>
            </w:r>
            <w:r w:rsidRPr="0009088A">
              <w:rPr>
                <w:noProof/>
                <w:sz w:val="24"/>
                <w:szCs w:val="24"/>
              </w:rPr>
              <w:t>[F2016C00652]</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Australian Aged Care Quality Agency Act 2013</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Health</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4F2E07">
              <w:rPr>
                <w:noProof/>
                <w:sz w:val="24"/>
                <w:szCs w:val="24"/>
              </w:rPr>
              <w:t>(a)</w:t>
            </w:r>
          </w:p>
        </w:tc>
      </w:tr>
    </w:tbl>
    <w:p w:rsidR="00630D81" w:rsidRDefault="00630D81" w:rsidP="00630D81"/>
    <w:p w:rsidR="00630D81" w:rsidRDefault="00630D81" w:rsidP="00630D81">
      <w:pPr>
        <w:rPr>
          <w:b/>
          <w:noProof/>
        </w:rPr>
      </w:pPr>
      <w:r>
        <w:rPr>
          <w:b/>
          <w:noProof/>
        </w:rPr>
        <w:t>Removing fees from a disallowable legislative instrument</w:t>
      </w:r>
    </w:p>
    <w:p w:rsidR="00630D81" w:rsidRDefault="00630D81" w:rsidP="00630D81">
      <w:r>
        <w:t>T</w:t>
      </w:r>
      <w:r w:rsidRPr="00BB31A2">
        <w:t xml:space="preserve">his </w:t>
      </w:r>
      <w:r w:rsidRPr="007E0CC1">
        <w:rPr>
          <w:noProof/>
          <w:szCs w:val="24"/>
        </w:rPr>
        <w:t xml:space="preserve">Quality Agency Principles Amendment Principle 2016 [F2016L00830] </w:t>
      </w:r>
      <w:r>
        <w:rPr>
          <w:noProof/>
          <w:szCs w:val="24"/>
        </w:rPr>
        <w:t xml:space="preserve">(the amendment principle) </w:t>
      </w:r>
      <w:r>
        <w:t>removes from the Quality Agency Principles 2013 [</w:t>
      </w:r>
      <w:r w:rsidRPr="004E6450">
        <w:t>F2016C00652</w:t>
      </w:r>
      <w:r>
        <w:t xml:space="preserve">] (the 2013 principles) the details of how application </w:t>
      </w:r>
      <w:r w:rsidRPr="00BB31A2">
        <w:t>fees for accreditation of certain aged care services</w:t>
      </w:r>
      <w:r>
        <w:t xml:space="preserve"> are calculated</w:t>
      </w:r>
      <w:r w:rsidRPr="00BB31A2">
        <w:t xml:space="preserve"> </w:t>
      </w:r>
      <w:r>
        <w:t xml:space="preserve">and indexed. As such, the fees </w:t>
      </w:r>
      <w:r w:rsidRPr="00BB31A2">
        <w:t>will no longer be set out in a disallowable legislative instrument</w:t>
      </w:r>
      <w:r>
        <w:t xml:space="preserve">, and instead will be </w:t>
      </w:r>
      <w:r w:rsidRPr="00BB31A2">
        <w:t>determined by the C</w:t>
      </w:r>
      <w:r>
        <w:t xml:space="preserve">hief </w:t>
      </w:r>
      <w:r w:rsidRPr="00BB31A2">
        <w:t>E</w:t>
      </w:r>
      <w:r>
        <w:t xml:space="preserve">xecutive </w:t>
      </w:r>
      <w:r w:rsidRPr="00BB31A2">
        <w:t>O</w:t>
      </w:r>
      <w:r>
        <w:t>fficer</w:t>
      </w:r>
      <w:r w:rsidRPr="00BB31A2">
        <w:t xml:space="preserve"> of the Australian Aged Care Quality Agency and published on that agency’s website. </w:t>
      </w:r>
    </w:p>
    <w:p w:rsidR="00630D81" w:rsidRDefault="00630D81" w:rsidP="00630D81">
      <w:r>
        <w:t>The committee acknowledges that t</w:t>
      </w:r>
      <w:r w:rsidRPr="00BB31A2">
        <w:t xml:space="preserve">he </w:t>
      </w:r>
      <w:r w:rsidRPr="00D43761">
        <w:rPr>
          <w:i/>
        </w:rPr>
        <w:t>Australian Aged Care Quality Agency Act 2013</w:t>
      </w:r>
      <w:r w:rsidRPr="00BB31A2">
        <w:t xml:space="preserve"> </w:t>
      </w:r>
      <w:r>
        <w:t xml:space="preserve">(Quality Agency Act) </w:t>
      </w:r>
      <w:r w:rsidRPr="00BB31A2">
        <w:t>does not require these fees to be inclu</w:t>
      </w:r>
      <w:r>
        <w:t xml:space="preserve">ded in a disallowable legislative instrument. </w:t>
      </w:r>
      <w:r w:rsidDel="00471814">
        <w:t xml:space="preserve"> </w:t>
      </w:r>
      <w:r>
        <w:t xml:space="preserve">However, the committee notes that, when considering the bill that became the Quality Agency Act, the Scrutiny of Bills committee sought a justification from the minister for including important matters relating to the accreditation of care services in the 2013 principles. The minister's response advised </w:t>
      </w:r>
      <w:r>
        <w:lastRenderedPageBreak/>
        <w:t>that the information to be included in the quality agency principles, such as application fees, was not appropriate for inclusion in primary legislation as the information needed regular updating. The minister further justified this approach by noting that the 2013 principles would be subject to oversight by this committee.</w:t>
      </w:r>
      <w:r>
        <w:rPr>
          <w:rStyle w:val="FootnoteReference"/>
        </w:rPr>
        <w:footnoteReference w:id="20"/>
      </w:r>
    </w:p>
    <w:p w:rsidR="00630D81" w:rsidRDefault="00630D81" w:rsidP="00630D81">
      <w:r>
        <w:t xml:space="preserve">The amendment principle removes the </w:t>
      </w:r>
      <w:r w:rsidRPr="005E7CE7">
        <w:t>details of how application fees for accreditation of certain aged care services are calculated and indexed</w:t>
      </w:r>
      <w:r>
        <w:t xml:space="preserve"> from the 2013 principles (a disallowable legislative instrument), and therefore from direct parliamentary oversight (including consideration by this committee). </w:t>
      </w:r>
    </w:p>
    <w:p w:rsidR="00630D81" w:rsidRDefault="00630D81" w:rsidP="00630D81">
      <w:r>
        <w:t xml:space="preserve">The committee is concerned that the ES for the amendment principle does not provide a justification for the removal of the </w:t>
      </w:r>
      <w:r w:rsidRPr="00F67B0E">
        <w:t>calculat</w:t>
      </w:r>
      <w:r>
        <w:t xml:space="preserve">ion </w:t>
      </w:r>
      <w:r w:rsidRPr="00F67B0E">
        <w:t>and index</w:t>
      </w:r>
      <w:r>
        <w:t>ation of a</w:t>
      </w:r>
      <w:r w:rsidRPr="006806C0">
        <w:t xml:space="preserve">pplication fees for accreditation of certain aged care services </w:t>
      </w:r>
      <w:r w:rsidRPr="00F67B0E">
        <w:t>from the Quality Agency Principles</w:t>
      </w:r>
      <w:r>
        <w:t xml:space="preserve">; nor information on whether it is appropriate to remove this process from a disallowable legislative instrument (thereby removing the process </w:t>
      </w:r>
      <w:r w:rsidRPr="008539FF">
        <w:t xml:space="preserve">from </w:t>
      </w:r>
      <w:r>
        <w:t>the effective oversight of the Parliament).</w:t>
      </w:r>
    </w:p>
    <w:p w:rsidR="00630D81" w:rsidRDefault="00630D81" w:rsidP="00630D81">
      <w:pPr>
        <w:rPr>
          <w:b/>
        </w:rPr>
      </w:pPr>
      <w:r w:rsidRPr="00D43761">
        <w:rPr>
          <w:b/>
        </w:rPr>
        <w:t xml:space="preserve">The committee requests the advice of the minister in relation to this matter. </w:t>
      </w:r>
    </w:p>
    <w:p w:rsidR="00630D81" w:rsidRDefault="00630D81" w:rsidP="00630D81"/>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2875FC">
              <w:rPr>
                <w:noProof/>
                <w:sz w:val="24"/>
                <w:szCs w:val="24"/>
              </w:rPr>
              <w:t>Radiocommunications (Aircraft and Aeronautical Mobile Stations) Class Licence 2016 [F2016L01294]</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Revokes and replaces the Radiocommunications (Aircraft and Aeronautical Mobile Stations) Class Licence 2006</w:t>
            </w:r>
            <w:r>
              <w:rPr>
                <w:noProof/>
                <w:sz w:val="24"/>
                <w:szCs w:val="24"/>
              </w:rPr>
              <w:t xml:space="preserve"> [</w:t>
            </w:r>
            <w:r w:rsidRPr="002F743C">
              <w:rPr>
                <w:noProof/>
                <w:sz w:val="24"/>
                <w:szCs w:val="24"/>
              </w:rPr>
              <w:t>F2012C00581</w:t>
            </w:r>
            <w:r>
              <w:rPr>
                <w:noProof/>
                <w:sz w:val="24"/>
                <w:szCs w:val="24"/>
              </w:rPr>
              <w:t>]</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2875FC">
              <w:rPr>
                <w:i/>
                <w:noProof/>
                <w:sz w:val="24"/>
                <w:szCs w:val="24"/>
              </w:rPr>
              <w:t>Radiocommunications Act 1992</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Communications and the Arts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2875FC">
              <w:rPr>
                <w:noProof/>
                <w:sz w:val="24"/>
                <w:szCs w:val="24"/>
              </w:rPr>
              <w:t>(a)</w:t>
            </w:r>
          </w:p>
        </w:tc>
      </w:tr>
    </w:tbl>
    <w:p w:rsidR="00630D81" w:rsidRDefault="00630D81" w:rsidP="00630D81"/>
    <w:p w:rsidR="00630D81" w:rsidRDefault="00630D81" w:rsidP="00630D81">
      <w:pPr>
        <w:rPr>
          <w:b/>
          <w:noProof/>
        </w:rPr>
      </w:pPr>
      <w:r>
        <w:rPr>
          <w:b/>
          <w:noProof/>
        </w:rPr>
        <w:t>Access to incorporated documents</w:t>
      </w:r>
    </w:p>
    <w:p w:rsidR="00630D81" w:rsidRPr="00681B17" w:rsidRDefault="00630D81" w:rsidP="00630D81">
      <w:r w:rsidRPr="00681B17">
        <w:t>Section 14 of the</w:t>
      </w:r>
      <w:r w:rsidRPr="00681B17">
        <w:rPr>
          <w:i/>
        </w:rPr>
        <w:t xml:space="preserve"> Legislation Act 2003</w:t>
      </w:r>
      <w:r w:rsidRPr="00681B17">
        <w:t xml:space="preserve"> allows legislative instruments to make provision in relation to matters by incorporating Acts and disallowable legislative instruments,</w:t>
      </w:r>
      <w:r>
        <w:t xml:space="preserve"> either</w:t>
      </w:r>
      <w:r w:rsidRPr="00681B17">
        <w:t xml:space="preserve"> as in force at a particular time or as in force from time to time. Other documents may only be incorporated as in force at the commencement of a </w:t>
      </w:r>
      <w:r w:rsidRPr="00681B17">
        <w:lastRenderedPageBreak/>
        <w:t>legislative instrument, unless authorising or other legislation alters the operation of section 14.</w:t>
      </w:r>
    </w:p>
    <w:p w:rsidR="00630D81" w:rsidRPr="009436FF" w:rsidRDefault="00630D81" w:rsidP="00630D81">
      <w:r w:rsidRPr="00681B17">
        <w:t>Para</w:t>
      </w:r>
      <w:r w:rsidRPr="009436FF">
        <w:t xml:space="preserve">graph 15J(2)(c) of the </w:t>
      </w:r>
      <w:r w:rsidRPr="009436FF">
        <w:rPr>
          <w:i/>
        </w:rPr>
        <w:t xml:space="preserve">Legislation Act 2003 </w:t>
      </w:r>
      <w:r w:rsidRPr="009436FF">
        <w:t>requires the ES for a legislative instrument that incorporates a document to contain a description of that document and indicate how it may be obtained.</w:t>
      </w:r>
    </w:p>
    <w:p w:rsidR="00630D81" w:rsidRPr="00681B17" w:rsidRDefault="00630D81" w:rsidP="00630D81">
      <w:r w:rsidRPr="009436FF">
        <w:t>The committee's expectations where a legislative instrument incorporate</w:t>
      </w:r>
      <w:r>
        <w:t xml:space="preserve">s a document </w:t>
      </w:r>
      <w:r w:rsidRPr="00681B17">
        <w:t xml:space="preserve">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630D81" w:rsidRPr="005F0EE7" w:rsidRDefault="00630D81" w:rsidP="00630D81">
      <w:pPr>
        <w:rPr>
          <w:noProof/>
        </w:rPr>
      </w:pPr>
      <w:r w:rsidRPr="00880C43">
        <w:rPr>
          <w:noProof/>
        </w:rPr>
        <w:t>With reference to the above</w:t>
      </w:r>
      <w:r>
        <w:rPr>
          <w:noProof/>
        </w:rPr>
        <w:t>,</w:t>
      </w:r>
      <w:r w:rsidRPr="00880C43">
        <w:rPr>
          <w:noProof/>
        </w:rPr>
        <w:t xml:space="preserve"> the committee notes that section 6 of Radiocommunications (Aircraft and Aeronautical Mobile Stations) Class Licence 2016 [F2016L01294] (the </w:t>
      </w:r>
      <w:r>
        <w:rPr>
          <w:noProof/>
        </w:rPr>
        <w:t>Class Licence</w:t>
      </w:r>
      <w:r w:rsidRPr="00880C43">
        <w:rPr>
          <w:noProof/>
        </w:rPr>
        <w:t>) incorpora</w:t>
      </w:r>
      <w:r w:rsidRPr="005F0EE7">
        <w:rPr>
          <w:noProof/>
        </w:rPr>
        <w:t>tes as in force from time to time</w:t>
      </w:r>
      <w:r w:rsidRPr="005F0EE7">
        <w:t xml:space="preserve"> 'A</w:t>
      </w:r>
      <w:r w:rsidRPr="005F0EE7">
        <w:rPr>
          <w:noProof/>
        </w:rPr>
        <w:t>S/NZS IEC 62287.1: 2007: Maritime navigation and radiocommunication equipment and systems—Class B shipborne equipment of the automatic identification system (AIS), Part 1: Carrier</w:t>
      </w:r>
      <w:r w:rsidRPr="005F0EE7">
        <w:rPr>
          <w:rFonts w:ascii="MS Mincho" w:eastAsia="MS Mincho" w:hAnsi="MS Mincho" w:cs="MS Mincho" w:hint="eastAsia"/>
          <w:noProof/>
        </w:rPr>
        <w:t>‑</w:t>
      </w:r>
      <w:r w:rsidRPr="005F0EE7">
        <w:rPr>
          <w:noProof/>
        </w:rPr>
        <w:t xml:space="preserve">sense time division multiple access (CSTDMA) techniques, published by Standards Australia' (AS/NZS IEC 62287.1:2007). </w:t>
      </w:r>
    </w:p>
    <w:p w:rsidR="00630D81" w:rsidRDefault="00630D81" w:rsidP="00630D81">
      <w:pPr>
        <w:rPr>
          <w:noProof/>
          <w:highlight w:val="yellow"/>
        </w:rPr>
      </w:pPr>
      <w:r w:rsidRPr="005F0EE7">
        <w:rPr>
          <w:noProof/>
        </w:rPr>
        <w:t xml:space="preserve">However, the committee notes that </w:t>
      </w:r>
      <w:r w:rsidRPr="005F0EE7">
        <w:t>A</w:t>
      </w:r>
      <w:r w:rsidRPr="005F0EE7">
        <w:rPr>
          <w:noProof/>
        </w:rPr>
        <w:t xml:space="preserve">S/NZS IEC 62287.1: 2007, published by Standards Australia, appears to be only available for a fee of $228.34 from SAI Global, and the ES does not provide any information as to whether </w:t>
      </w:r>
      <w:r w:rsidRPr="005F0EE7">
        <w:t>A</w:t>
      </w:r>
      <w:r w:rsidRPr="005F0EE7">
        <w:rPr>
          <w:noProof/>
        </w:rPr>
        <w:t>S/NZS IEC 62287.1: 2007, published by Standards Australia, is otherwise freely</w:t>
      </w:r>
      <w:r>
        <w:rPr>
          <w:noProof/>
        </w:rPr>
        <w:t xml:space="preserve"> available.</w:t>
      </w:r>
    </w:p>
    <w:p w:rsidR="00630D81" w:rsidRDefault="00630D81" w:rsidP="00630D81">
      <w:pPr>
        <w:pStyle w:val="Bullet1"/>
        <w:numPr>
          <w:ilvl w:val="0"/>
          <w:numId w:val="0"/>
        </w:numPr>
        <w:spacing w:before="120"/>
        <w:rPr>
          <w:b/>
        </w:rPr>
      </w:pPr>
      <w:r w:rsidRPr="00E87B83">
        <w:rPr>
          <w:b/>
        </w:rPr>
        <w:t>The committee requests the advice of the minister in relation to this matter.</w:t>
      </w:r>
    </w:p>
    <w:p w:rsidR="00630D81" w:rsidRDefault="00630D81" w:rsidP="00630D81"/>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4F2E07">
              <w:rPr>
                <w:noProof/>
                <w:sz w:val="24"/>
                <w:szCs w:val="24"/>
              </w:rPr>
              <w:t>Radiocommunications (Spectrum Access Charges - 2 GHz Band) Determination 2016 [F2016L01021]</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F</w:t>
            </w:r>
            <w:r w:rsidRPr="00ED198B">
              <w:rPr>
                <w:noProof/>
                <w:sz w:val="24"/>
                <w:szCs w:val="24"/>
              </w:rPr>
              <w:t>ixes the spectrum access charges payable by various licensees for the re-issue of specified licences in the 2 GHz band</w:t>
            </w:r>
            <w:r>
              <w:rPr>
                <w:noProof/>
                <w:sz w:val="24"/>
                <w:szCs w:val="24"/>
              </w:rPr>
              <w:t>;</w:t>
            </w:r>
            <w:r w:rsidRPr="00ED198B">
              <w:rPr>
                <w:noProof/>
                <w:sz w:val="24"/>
                <w:szCs w:val="24"/>
              </w:rPr>
              <w:t xml:space="preserve"> and specifies the times</w:t>
            </w:r>
            <w:r>
              <w:rPr>
                <w:noProof/>
                <w:sz w:val="24"/>
                <w:szCs w:val="24"/>
              </w:rPr>
              <w:t xml:space="preserve"> when those charges are payable</w:t>
            </w:r>
          </w:p>
        </w:tc>
      </w:tr>
      <w:tr w:rsidR="00630D81" w:rsidRPr="00164622" w:rsidTr="00630D81">
        <w:trPr>
          <w:trHeight w:val="449"/>
        </w:trPr>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Radiocommunications Act 1992</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Communications and the Arts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4F2E07">
              <w:rPr>
                <w:noProof/>
                <w:sz w:val="24"/>
                <w:szCs w:val="24"/>
              </w:rPr>
              <w:t>(a)</w:t>
            </w:r>
          </w:p>
        </w:tc>
      </w:tr>
    </w:tbl>
    <w:p w:rsidR="00630D81" w:rsidRDefault="00630D81" w:rsidP="00630D81"/>
    <w:p w:rsidR="00630D81" w:rsidRDefault="00630D81" w:rsidP="00630D81">
      <w:r w:rsidRPr="005B2C06">
        <w:rPr>
          <w:b/>
          <w:noProof/>
        </w:rPr>
        <w:lastRenderedPageBreak/>
        <w:t>Incorporation of documents</w:t>
      </w:r>
    </w:p>
    <w:p w:rsidR="00630D81" w:rsidRDefault="00630D81" w:rsidP="00630D81">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incorporating</w:t>
      </w:r>
      <w:r>
        <w:rPr>
          <w:szCs w:val="26"/>
        </w:rPr>
        <w:t xml:space="preserve"> Acts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the commencement of the</w:t>
      </w:r>
      <w:r>
        <w:rPr>
          <w:szCs w:val="26"/>
        </w:rPr>
        <w:t xml:space="preserve"> legislative</w:t>
      </w:r>
      <w:r w:rsidRPr="00025437">
        <w:rPr>
          <w:szCs w:val="26"/>
        </w:rPr>
        <w:t xml:space="preserve"> instrument, unless authorising or other legislation alters the operation of section 14.</w:t>
      </w:r>
    </w:p>
    <w:p w:rsidR="00630D81" w:rsidRDefault="00630D81" w:rsidP="00630D81">
      <w:pPr>
        <w:rPr>
          <w:szCs w:val="26"/>
        </w:rPr>
      </w:pPr>
      <w:r w:rsidRPr="004A6691">
        <w:rPr>
          <w:noProof/>
        </w:rPr>
        <w:t>With reference to the above</w:t>
      </w:r>
      <w:r>
        <w:rPr>
          <w:noProof/>
        </w:rPr>
        <w:t>,</w:t>
      </w:r>
      <w:r w:rsidRPr="004A6691">
        <w:rPr>
          <w:noProof/>
        </w:rPr>
        <w:t xml:space="preserve"> </w:t>
      </w:r>
      <w:r>
        <w:rPr>
          <w:noProof/>
        </w:rPr>
        <w:t>the committee notes that</w:t>
      </w:r>
      <w:r w:rsidRPr="004A6691">
        <w:rPr>
          <w:noProof/>
        </w:rPr>
        <w:t xml:space="preserve"> section 4 of the </w:t>
      </w:r>
      <w:r>
        <w:rPr>
          <w:noProof/>
        </w:rPr>
        <w:t xml:space="preserve">determination incorporates </w:t>
      </w:r>
      <w:r w:rsidRPr="00CB06CB">
        <w:rPr>
          <w:noProof/>
        </w:rPr>
        <w:t>Radiocommunications (Spectrum Access Charges) Direction 2012</w:t>
      </w:r>
      <w:r>
        <w:rPr>
          <w:noProof/>
        </w:rPr>
        <w:t xml:space="preserve"> (the direction),</w:t>
      </w:r>
      <w:r w:rsidRPr="00A64563">
        <w:t xml:space="preserve"> </w:t>
      </w:r>
      <w:r w:rsidRPr="00A64563">
        <w:rPr>
          <w:noProof/>
        </w:rPr>
        <w:t xml:space="preserve">which is made under subsection </w:t>
      </w:r>
      <w:r>
        <w:rPr>
          <w:noProof/>
        </w:rPr>
        <w:t>294(2</w:t>
      </w:r>
      <w:r w:rsidRPr="00A64563">
        <w:rPr>
          <w:noProof/>
        </w:rPr>
        <w:t xml:space="preserve">) of the </w:t>
      </w:r>
      <w:r>
        <w:rPr>
          <w:i/>
          <w:noProof/>
        </w:rPr>
        <w:t xml:space="preserve">Radiocommunications Act 1992 </w:t>
      </w:r>
      <w:r w:rsidRPr="00A64563">
        <w:rPr>
          <w:noProof/>
        </w:rPr>
        <w:t>(</w:t>
      </w:r>
      <w:r>
        <w:rPr>
          <w:noProof/>
        </w:rPr>
        <w:t>Radiocommunications</w:t>
      </w:r>
      <w:r w:rsidRPr="00A64563">
        <w:rPr>
          <w:noProof/>
        </w:rPr>
        <w:t xml:space="preserve"> Act)</w:t>
      </w:r>
      <w:r>
        <w:rPr>
          <w:noProof/>
        </w:rPr>
        <w:t xml:space="preserve">. </w:t>
      </w:r>
      <w:r w:rsidRPr="004A6691">
        <w:rPr>
          <w:szCs w:val="26"/>
        </w:rPr>
        <w:t xml:space="preserve">However, neither the text of the </w:t>
      </w:r>
      <w:r>
        <w:rPr>
          <w:szCs w:val="26"/>
        </w:rPr>
        <w:t xml:space="preserve">determination </w:t>
      </w:r>
      <w:r w:rsidRPr="004A6691">
        <w:rPr>
          <w:szCs w:val="26"/>
        </w:rPr>
        <w:t>nor the ES expressly state</w:t>
      </w:r>
      <w:r>
        <w:rPr>
          <w:szCs w:val="26"/>
        </w:rPr>
        <w:t>s</w:t>
      </w:r>
      <w:r w:rsidRPr="004A6691">
        <w:rPr>
          <w:szCs w:val="26"/>
        </w:rPr>
        <w:t xml:space="preserve"> the manner in which </w:t>
      </w:r>
      <w:r>
        <w:rPr>
          <w:szCs w:val="26"/>
        </w:rPr>
        <w:t xml:space="preserve">the direction </w:t>
      </w:r>
      <w:r w:rsidRPr="004A6691">
        <w:rPr>
          <w:szCs w:val="26"/>
        </w:rPr>
        <w:t>is incorporated.</w:t>
      </w:r>
      <w:r>
        <w:rPr>
          <w:szCs w:val="26"/>
        </w:rPr>
        <w:t xml:space="preserve"> </w:t>
      </w:r>
    </w:p>
    <w:p w:rsidR="00630D81" w:rsidRDefault="00630D81" w:rsidP="00630D81">
      <w:pPr>
        <w:rPr>
          <w:szCs w:val="26"/>
        </w:rPr>
      </w:pPr>
      <w:r w:rsidRPr="00C738E1">
        <w:rPr>
          <w:iCs/>
          <w:noProof/>
        </w:rPr>
        <w:t>The committee further notes that subsection </w:t>
      </w:r>
      <w:r>
        <w:rPr>
          <w:iCs/>
          <w:noProof/>
        </w:rPr>
        <w:t xml:space="preserve"> 294(5)</w:t>
      </w:r>
      <w:r w:rsidRPr="00C738E1">
        <w:rPr>
          <w:iCs/>
          <w:noProof/>
        </w:rPr>
        <w:t xml:space="preserve"> of the </w:t>
      </w:r>
      <w:r>
        <w:rPr>
          <w:iCs/>
          <w:noProof/>
        </w:rPr>
        <w:t xml:space="preserve">Radiocommunications Act </w:t>
      </w:r>
      <w:r w:rsidRPr="00C738E1">
        <w:rPr>
          <w:iCs/>
          <w:noProof/>
        </w:rPr>
        <w:t>provides that the d</w:t>
      </w:r>
      <w:r>
        <w:rPr>
          <w:iCs/>
          <w:noProof/>
        </w:rPr>
        <w:t xml:space="preserve">irection </w:t>
      </w:r>
      <w:r w:rsidRPr="00C738E1">
        <w:rPr>
          <w:iCs/>
          <w:noProof/>
        </w:rPr>
        <w:t>is a legislative instrument that is not subject to disallowance</w:t>
      </w:r>
      <w:r>
        <w:rPr>
          <w:iCs/>
          <w:noProof/>
        </w:rPr>
        <w:t xml:space="preserve"> (an exempt instrument)</w:t>
      </w:r>
      <w:r w:rsidRPr="00C738E1">
        <w:rPr>
          <w:iCs/>
          <w:noProof/>
        </w:rPr>
        <w:t xml:space="preserve">. Subsection 14(3) of the </w:t>
      </w:r>
      <w:r w:rsidRPr="0064118E">
        <w:rPr>
          <w:i/>
          <w:iCs/>
          <w:noProof/>
        </w:rPr>
        <w:t>Legislation Act 2003</w:t>
      </w:r>
      <w:r w:rsidRPr="00C738E1">
        <w:rPr>
          <w:iCs/>
          <w:noProof/>
        </w:rPr>
        <w:t xml:space="preserve"> provides that only disallowable legislative instruments may be incorporated as in force from time to time. The committee therefore understands that the d</w:t>
      </w:r>
      <w:r>
        <w:rPr>
          <w:iCs/>
          <w:noProof/>
        </w:rPr>
        <w:t>irection</w:t>
      </w:r>
      <w:r w:rsidRPr="00C738E1">
        <w:rPr>
          <w:iCs/>
          <w:noProof/>
        </w:rPr>
        <w:t xml:space="preserve"> may only be incorporated as in force at the commenceme</w:t>
      </w:r>
      <w:r>
        <w:rPr>
          <w:iCs/>
          <w:noProof/>
        </w:rPr>
        <w:t xml:space="preserve">nt of the determination, </w:t>
      </w:r>
      <w:r w:rsidRPr="0064118E">
        <w:rPr>
          <w:iCs/>
          <w:noProof/>
        </w:rPr>
        <w:t>unless authorising or other legislation alters the operation of section 14.</w:t>
      </w:r>
    </w:p>
    <w:p w:rsidR="00630D81" w:rsidRPr="00C738E1" w:rsidRDefault="00630D81" w:rsidP="00630D81">
      <w:pPr>
        <w:rPr>
          <w:szCs w:val="26"/>
        </w:rPr>
      </w:pPr>
      <w:r>
        <w:rPr>
          <w:szCs w:val="26"/>
        </w:rPr>
        <w:t>However, t</w:t>
      </w:r>
      <w:r w:rsidRPr="00C738E1">
        <w:rPr>
          <w:szCs w:val="26"/>
        </w:rPr>
        <w:t xml:space="preserve">he committee expects </w:t>
      </w:r>
      <w:r>
        <w:rPr>
          <w:szCs w:val="26"/>
        </w:rPr>
        <w:t>i</w:t>
      </w:r>
      <w:r w:rsidRPr="00C738E1">
        <w:rPr>
          <w:szCs w:val="26"/>
        </w:rPr>
        <w:t xml:space="preserve">nstruments (and ideally their accompanying ESs) </w:t>
      </w:r>
      <w:r>
        <w:rPr>
          <w:szCs w:val="26"/>
        </w:rPr>
        <w:t>to</w:t>
      </w:r>
      <w:r w:rsidRPr="00C738E1">
        <w:rPr>
          <w:szCs w:val="26"/>
        </w:rPr>
        <w:t xml:space="preserve"> clearly state the manner in which exempt instruments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630D81" w:rsidRDefault="00630D81" w:rsidP="00630D81">
      <w:pPr>
        <w:rPr>
          <w:b/>
          <w:szCs w:val="26"/>
        </w:rPr>
      </w:pPr>
      <w:r w:rsidRPr="00C978EE">
        <w:rPr>
          <w:b/>
          <w:szCs w:val="26"/>
        </w:rPr>
        <w:t>The committee requests the advice of the minis</w:t>
      </w:r>
      <w:r>
        <w:rPr>
          <w:b/>
          <w:szCs w:val="26"/>
        </w:rPr>
        <w:t>ter in relation to this matter.</w:t>
      </w:r>
    </w:p>
    <w:p w:rsidR="00630D81" w:rsidRPr="00C978EE" w:rsidRDefault="00630D81" w:rsidP="00630D81">
      <w:pPr>
        <w:rPr>
          <w:b/>
          <w:szCs w:val="26"/>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4F2E07">
              <w:rPr>
                <w:noProof/>
                <w:sz w:val="24"/>
                <w:szCs w:val="24"/>
              </w:rPr>
              <w:t>Social Security (International Agreements) Amendment (Republic of Austria) Regulation 2016 [F2016L00720]</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Pr>
                <w:noProof/>
                <w:sz w:val="24"/>
                <w:szCs w:val="24"/>
              </w:rPr>
              <w:t>Repeals and substitutes section 10 of the</w:t>
            </w:r>
            <w:r w:rsidRPr="004F2E07">
              <w:rPr>
                <w:noProof/>
                <w:sz w:val="24"/>
                <w:szCs w:val="24"/>
              </w:rPr>
              <w:t xml:space="preserve"> </w:t>
            </w:r>
            <w:r w:rsidRPr="00A723F6">
              <w:rPr>
                <w:i/>
                <w:noProof/>
                <w:sz w:val="24"/>
                <w:szCs w:val="24"/>
              </w:rPr>
              <w:t>Social Security (International Agreements) Act 1999</w:t>
            </w:r>
            <w:r>
              <w:rPr>
                <w:noProof/>
                <w:sz w:val="24"/>
                <w:szCs w:val="24"/>
              </w:rPr>
              <w:t>,</w:t>
            </w:r>
            <w:r w:rsidRPr="004F2E07">
              <w:rPr>
                <w:noProof/>
                <w:sz w:val="24"/>
                <w:szCs w:val="24"/>
              </w:rPr>
              <w:t xml:space="preserve"> </w:t>
            </w:r>
            <w:r>
              <w:rPr>
                <w:noProof/>
                <w:sz w:val="24"/>
                <w:szCs w:val="24"/>
              </w:rPr>
              <w:t xml:space="preserve">setting out </w:t>
            </w:r>
            <w:r w:rsidRPr="004F2E07">
              <w:rPr>
                <w:noProof/>
                <w:sz w:val="24"/>
                <w:szCs w:val="24"/>
              </w:rPr>
              <w:t xml:space="preserve">the terms of the Agreement between Australia </w:t>
            </w:r>
            <w:r>
              <w:rPr>
                <w:noProof/>
                <w:sz w:val="24"/>
                <w:szCs w:val="24"/>
              </w:rPr>
              <w:t>and the Republic of Austria on social s</w:t>
            </w:r>
            <w:r w:rsidRPr="004F2E07">
              <w:rPr>
                <w:noProof/>
                <w:sz w:val="24"/>
                <w:szCs w:val="24"/>
              </w:rPr>
              <w:t>ecurity</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4F2E07">
              <w:rPr>
                <w:i/>
                <w:noProof/>
                <w:sz w:val="24"/>
                <w:szCs w:val="24"/>
              </w:rPr>
              <w:t>Social Security (International Agreements) Act 1999</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4F2E07">
              <w:rPr>
                <w:noProof/>
                <w:sz w:val="24"/>
                <w:szCs w:val="24"/>
              </w:rPr>
              <w:t>Social Services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lastRenderedPageBreak/>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4F2E07">
              <w:rPr>
                <w:noProof/>
                <w:sz w:val="24"/>
                <w:szCs w:val="24"/>
              </w:rPr>
              <w:t>(a)</w:t>
            </w:r>
          </w:p>
        </w:tc>
      </w:tr>
    </w:tbl>
    <w:p w:rsidR="00630D81" w:rsidRDefault="00630D81" w:rsidP="00630D81"/>
    <w:p w:rsidR="00630D81" w:rsidRDefault="00630D81" w:rsidP="00630D81">
      <w:r w:rsidRPr="005B2C06">
        <w:rPr>
          <w:b/>
          <w:noProof/>
        </w:rPr>
        <w:t>Incorporation of documents</w:t>
      </w:r>
    </w:p>
    <w:p w:rsidR="00630D81" w:rsidRPr="001C7820" w:rsidRDefault="00630D81" w:rsidP="00630D81">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incorporating</w:t>
      </w:r>
      <w:r>
        <w:rPr>
          <w:szCs w:val="26"/>
        </w:rPr>
        <w:t xml:space="preserve"> Acts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the commencement of the</w:t>
      </w:r>
      <w:r>
        <w:rPr>
          <w:szCs w:val="26"/>
        </w:rPr>
        <w:t xml:space="preserve"> legislative</w:t>
      </w:r>
      <w:r w:rsidRPr="00025437">
        <w:rPr>
          <w:szCs w:val="26"/>
        </w:rPr>
        <w:t xml:space="preserve"> instrument, unless authorising or other legislation alters the operation of </w:t>
      </w:r>
      <w:r w:rsidRPr="001C7820">
        <w:rPr>
          <w:szCs w:val="26"/>
        </w:rPr>
        <w:t>section 14.</w:t>
      </w:r>
    </w:p>
    <w:p w:rsidR="00630D81" w:rsidRDefault="00630D81" w:rsidP="00630D81">
      <w:pPr>
        <w:rPr>
          <w:szCs w:val="26"/>
        </w:rPr>
      </w:pPr>
      <w:r w:rsidRPr="001C7820">
        <w:rPr>
          <w:szCs w:val="26"/>
        </w:rPr>
        <w:t>With reference to the above the committee notes that Schedule 1 to the Social Security (International Agreements) Amendment (Republic of Austria) Regulation 2016 [F2016L00720]</w:t>
      </w:r>
      <w:r>
        <w:rPr>
          <w:szCs w:val="26"/>
        </w:rPr>
        <w:t xml:space="preserve"> (the </w:t>
      </w:r>
      <w:r w:rsidRPr="001C7820">
        <w:rPr>
          <w:szCs w:val="26"/>
        </w:rPr>
        <w:t>regulation</w:t>
      </w:r>
      <w:r>
        <w:rPr>
          <w:szCs w:val="26"/>
        </w:rPr>
        <w:t>)</w:t>
      </w:r>
      <w:r w:rsidRPr="001C7820">
        <w:rPr>
          <w:szCs w:val="26"/>
        </w:rPr>
        <w:t xml:space="preserve"> contains the text of the Agreement between Australia and the Republic of Austria on Social Security, and incorporate</w:t>
      </w:r>
      <w:r>
        <w:rPr>
          <w:szCs w:val="26"/>
        </w:rPr>
        <w:t>s</w:t>
      </w:r>
      <w:r w:rsidRPr="001C7820">
        <w:rPr>
          <w:szCs w:val="26"/>
        </w:rPr>
        <w:t xml:space="preserve"> at Article 14(2)</w:t>
      </w:r>
      <w:r>
        <w:rPr>
          <w:szCs w:val="26"/>
        </w:rPr>
        <w:t>,</w:t>
      </w:r>
      <w:r w:rsidRPr="001C7820">
        <w:rPr>
          <w:szCs w:val="26"/>
        </w:rPr>
        <w:t xml:space="preserve"> </w:t>
      </w:r>
      <w:r w:rsidRPr="001C7820">
        <w:t>Regulation (EC) No. 883/2004 (</w:t>
      </w:r>
      <w:r>
        <w:t xml:space="preserve">the </w:t>
      </w:r>
      <w:r w:rsidRPr="001C7820">
        <w:t>EC</w:t>
      </w:r>
      <w:r>
        <w:t xml:space="preserve"> Regulation</w:t>
      </w:r>
      <w:r w:rsidRPr="001C7820">
        <w:t xml:space="preserve">). </w:t>
      </w:r>
      <w:r w:rsidRPr="001C7820">
        <w:rPr>
          <w:szCs w:val="26"/>
        </w:rPr>
        <w:t xml:space="preserve">However, neither the text of the </w:t>
      </w:r>
      <w:r>
        <w:rPr>
          <w:szCs w:val="26"/>
        </w:rPr>
        <w:t>regulation</w:t>
      </w:r>
      <w:r w:rsidRPr="001C7820">
        <w:rPr>
          <w:szCs w:val="26"/>
        </w:rPr>
        <w:t xml:space="preserve"> nor the ES expressly states the manner in which </w:t>
      </w:r>
      <w:r>
        <w:rPr>
          <w:szCs w:val="26"/>
        </w:rPr>
        <w:t xml:space="preserve">the EC </w:t>
      </w:r>
      <w:r w:rsidRPr="001C7820">
        <w:rPr>
          <w:szCs w:val="26"/>
        </w:rPr>
        <w:t>Regulation is incorporated.</w:t>
      </w:r>
    </w:p>
    <w:p w:rsidR="00630D81" w:rsidRDefault="00630D81" w:rsidP="00630D81">
      <w:pPr>
        <w:rPr>
          <w:szCs w:val="26"/>
        </w:rPr>
      </w:pPr>
      <w:r>
        <w:rPr>
          <w:szCs w:val="26"/>
        </w:rPr>
        <w:t>T</w:t>
      </w:r>
      <w:r w:rsidRPr="00C738E1">
        <w:rPr>
          <w:szCs w:val="26"/>
        </w:rPr>
        <w:t xml:space="preserve">he committee expects instruments (and ideally their accompanying ESs) </w:t>
      </w:r>
      <w:r>
        <w:rPr>
          <w:szCs w:val="26"/>
        </w:rPr>
        <w:t xml:space="preserve">to </w:t>
      </w:r>
      <w:r w:rsidRPr="00C738E1">
        <w:rPr>
          <w:szCs w:val="26"/>
        </w:rPr>
        <w:t xml:space="preserve">clearly state the manner in which </w:t>
      </w:r>
      <w:r>
        <w:rPr>
          <w:szCs w:val="26"/>
        </w:rPr>
        <w:t xml:space="preserve">documents </w:t>
      </w:r>
      <w:r w:rsidRPr="00C738E1">
        <w:rPr>
          <w:szCs w:val="26"/>
        </w:rPr>
        <w:t>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630D81" w:rsidRDefault="00630D81" w:rsidP="00630D81">
      <w:pPr>
        <w:rPr>
          <w:b/>
          <w:szCs w:val="26"/>
        </w:rPr>
      </w:pPr>
      <w:r w:rsidRPr="00C978EE">
        <w:rPr>
          <w:b/>
          <w:szCs w:val="26"/>
        </w:rPr>
        <w:t>The committee requests the advice of the minister in relation to this matter.</w:t>
      </w:r>
    </w:p>
    <w:p w:rsidR="00630D81" w:rsidRDefault="00630D81" w:rsidP="00630D81">
      <w:pPr>
        <w:rPr>
          <w:b/>
          <w:szCs w:val="26"/>
        </w:rPr>
      </w:pPr>
      <w:r>
        <w:rPr>
          <w:b/>
          <w:szCs w:val="26"/>
        </w:rPr>
        <w:t>Description of and access to incorporated documents</w:t>
      </w:r>
    </w:p>
    <w:p w:rsidR="00630D81" w:rsidRPr="0040765E" w:rsidRDefault="00630D81" w:rsidP="00630D81">
      <w:pPr>
        <w:rPr>
          <w:szCs w:val="26"/>
        </w:rPr>
      </w:pPr>
      <w:r>
        <w:rPr>
          <w:szCs w:val="26"/>
        </w:rPr>
        <w:t>P</w:t>
      </w:r>
      <w:r w:rsidRPr="00C978EE">
        <w:rPr>
          <w:szCs w:val="26"/>
        </w:rPr>
        <w:t>aragraph 15J(2)(c)</w:t>
      </w:r>
      <w:r>
        <w:rPr>
          <w:szCs w:val="26"/>
        </w:rPr>
        <w:t xml:space="preserve"> </w:t>
      </w:r>
      <w:r w:rsidRPr="00C978EE">
        <w:rPr>
          <w:szCs w:val="26"/>
        </w:rPr>
        <w:t xml:space="preserve">of the </w:t>
      </w:r>
      <w:r w:rsidRPr="00C978EE">
        <w:rPr>
          <w:i/>
          <w:szCs w:val="26"/>
        </w:rPr>
        <w:t xml:space="preserve">Legislation Act 2003 </w:t>
      </w:r>
      <w:r w:rsidRPr="00C978EE">
        <w:rPr>
          <w:szCs w:val="26"/>
        </w:rPr>
        <w:t xml:space="preserve">requires the </w:t>
      </w:r>
      <w:r>
        <w:rPr>
          <w:szCs w:val="26"/>
        </w:rPr>
        <w:t>ES f</w:t>
      </w:r>
      <w:r w:rsidRPr="00C978EE">
        <w:rPr>
          <w:szCs w:val="26"/>
        </w:rPr>
        <w:t xml:space="preserve">or </w:t>
      </w:r>
      <w:r>
        <w:rPr>
          <w:szCs w:val="26"/>
        </w:rPr>
        <w:t>a</w:t>
      </w:r>
      <w:r w:rsidRPr="00C978EE">
        <w:rPr>
          <w:szCs w:val="26"/>
        </w:rPr>
        <w:t xml:space="preserve"> </w:t>
      </w:r>
      <w:r>
        <w:rPr>
          <w:szCs w:val="26"/>
        </w:rPr>
        <w:t xml:space="preserve">legislative </w:t>
      </w:r>
      <w:r w:rsidRPr="00C978EE">
        <w:rPr>
          <w:szCs w:val="26"/>
        </w:rPr>
        <w:t xml:space="preserve">instrument </w:t>
      </w:r>
      <w:r>
        <w:rPr>
          <w:szCs w:val="26"/>
        </w:rPr>
        <w:t xml:space="preserve">that incorporates a document to contain a description of that </w:t>
      </w:r>
      <w:r w:rsidRPr="00C978EE">
        <w:rPr>
          <w:szCs w:val="26"/>
        </w:rPr>
        <w:t xml:space="preserve">document and indicate how </w:t>
      </w:r>
      <w:r>
        <w:rPr>
          <w:szCs w:val="26"/>
        </w:rPr>
        <w:t xml:space="preserve">it </w:t>
      </w:r>
      <w:r w:rsidRPr="0040765E">
        <w:rPr>
          <w:szCs w:val="26"/>
        </w:rPr>
        <w:t>may be obtained.</w:t>
      </w:r>
    </w:p>
    <w:p w:rsidR="00630D81" w:rsidRPr="00681B17" w:rsidRDefault="00630D81" w:rsidP="00630D81">
      <w:r w:rsidRPr="009436FF">
        <w:t>The committee's expectations where a legislative instrument incorporate</w:t>
      </w:r>
      <w:r>
        <w:t xml:space="preserve">s a document </w:t>
      </w:r>
      <w:r w:rsidRPr="00681B17">
        <w:t xml:space="preserve">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630D81" w:rsidRDefault="00630D81" w:rsidP="00630D81">
      <w:pPr>
        <w:rPr>
          <w:szCs w:val="26"/>
        </w:rPr>
      </w:pPr>
      <w:r w:rsidRPr="00C978EE">
        <w:rPr>
          <w:szCs w:val="26"/>
        </w:rPr>
        <w:t xml:space="preserve">With reference to the </w:t>
      </w:r>
      <w:r>
        <w:rPr>
          <w:szCs w:val="26"/>
        </w:rPr>
        <w:t>above, the committee notes that</w:t>
      </w:r>
      <w:r w:rsidRPr="001C7820">
        <w:t xml:space="preserve"> </w:t>
      </w:r>
      <w:r w:rsidRPr="001C7820">
        <w:rPr>
          <w:szCs w:val="26"/>
        </w:rPr>
        <w:t>that Schedule 1 to the regulation contains the text of the Agreement between Australia and the Republic of Austria on Social Security, and incorporates at Article 14(2),</w:t>
      </w:r>
      <w:r>
        <w:rPr>
          <w:szCs w:val="26"/>
        </w:rPr>
        <w:t xml:space="preserve"> the EC Regulation. </w:t>
      </w:r>
      <w:r w:rsidRPr="00046DC2">
        <w:rPr>
          <w:szCs w:val="26"/>
        </w:rPr>
        <w:t xml:space="preserve">However, </w:t>
      </w:r>
      <w:r w:rsidRPr="00046DC2">
        <w:rPr>
          <w:szCs w:val="26"/>
        </w:rPr>
        <w:lastRenderedPageBreak/>
        <w:t xml:space="preserve">neither the text of the </w:t>
      </w:r>
      <w:r>
        <w:rPr>
          <w:szCs w:val="26"/>
        </w:rPr>
        <w:t>regulation</w:t>
      </w:r>
      <w:r w:rsidRPr="00046DC2">
        <w:rPr>
          <w:szCs w:val="26"/>
        </w:rPr>
        <w:t xml:space="preserve"> nor the ES provides a description of </w:t>
      </w:r>
      <w:r>
        <w:rPr>
          <w:szCs w:val="26"/>
        </w:rPr>
        <w:t xml:space="preserve">the EC Regulation or </w:t>
      </w:r>
      <w:r w:rsidRPr="00046DC2">
        <w:rPr>
          <w:szCs w:val="26"/>
        </w:rPr>
        <w:t>in</w:t>
      </w:r>
      <w:r>
        <w:rPr>
          <w:szCs w:val="26"/>
        </w:rPr>
        <w:t>dicates how it may be freely obtained.</w:t>
      </w:r>
    </w:p>
    <w:p w:rsidR="00630D81" w:rsidRDefault="00630D81" w:rsidP="00630D81">
      <w:pPr>
        <w:rPr>
          <w:szCs w:val="26"/>
        </w:rPr>
      </w:pPr>
      <w:r>
        <w:t xml:space="preserve">While the committee does not interpret paragraph 15J(2)(c) as requiring a detailed description of an incorporated document and how it may be obtained, it considers that </w:t>
      </w:r>
      <w:r w:rsidRPr="00DE61C3">
        <w:t>an ES that does not contain any description of an incorporated document fails</w:t>
      </w:r>
      <w:r>
        <w:t xml:space="preserve"> to satisfy the requirements of the </w:t>
      </w:r>
      <w:r>
        <w:rPr>
          <w:i/>
        </w:rPr>
        <w:t>Legislation Act 2003</w:t>
      </w:r>
      <w:r>
        <w:t>.</w:t>
      </w:r>
    </w:p>
    <w:p w:rsidR="00630D81" w:rsidRDefault="00630D81" w:rsidP="00630D81">
      <w:pPr>
        <w:rPr>
          <w:b/>
          <w:szCs w:val="26"/>
        </w:rPr>
      </w:pPr>
      <w:r>
        <w:rPr>
          <w:b/>
          <w:szCs w:val="26"/>
        </w:rPr>
        <w:t>T</w:t>
      </w:r>
      <w:r w:rsidRPr="00C978EE">
        <w:rPr>
          <w:b/>
          <w:szCs w:val="26"/>
        </w:rPr>
        <w:t xml:space="preserve">he committee requests the advice of the minister </w:t>
      </w:r>
      <w:r>
        <w:rPr>
          <w:b/>
          <w:szCs w:val="26"/>
        </w:rPr>
        <w:t>in relation to</w:t>
      </w:r>
      <w:r w:rsidRPr="00C978EE">
        <w:rPr>
          <w:b/>
          <w:szCs w:val="26"/>
        </w:rPr>
        <w:t xml:space="preserve"> this matter.</w:t>
      </w:r>
    </w:p>
    <w:p w:rsidR="00630D81" w:rsidRPr="00681B17" w:rsidRDefault="00630D81" w:rsidP="00630D81"/>
    <w:tbl>
      <w:tblPr>
        <w:tblW w:w="0" w:type="auto"/>
        <w:tblInd w:w="108" w:type="dxa"/>
        <w:tblLook w:val="04A0" w:firstRow="1" w:lastRow="0" w:firstColumn="1" w:lastColumn="0" w:noHBand="0" w:noVBand="1"/>
      </w:tblPr>
      <w:tblGrid>
        <w:gridCol w:w="2694"/>
        <w:gridCol w:w="6378"/>
      </w:tblGrid>
      <w:tr w:rsidR="00630D81" w:rsidRPr="00681B17" w:rsidTr="00630D81">
        <w:tc>
          <w:tcPr>
            <w:tcW w:w="2694" w:type="dxa"/>
            <w:tcBorders>
              <w:top w:val="single" w:sz="12" w:space="0" w:color="auto"/>
              <w:right w:val="single" w:sz="12" w:space="0" w:color="auto"/>
            </w:tcBorders>
          </w:tcPr>
          <w:p w:rsidR="00630D81" w:rsidRPr="00467BB9" w:rsidRDefault="00630D81" w:rsidP="00630D81">
            <w:pPr>
              <w:rPr>
                <w:b/>
                <w:sz w:val="24"/>
                <w:szCs w:val="24"/>
              </w:rPr>
            </w:pPr>
            <w:r w:rsidRPr="00467BB9">
              <w:rPr>
                <w:b/>
                <w:sz w:val="24"/>
                <w:szCs w:val="24"/>
              </w:rPr>
              <w:t>Instrument</w:t>
            </w:r>
          </w:p>
        </w:tc>
        <w:tc>
          <w:tcPr>
            <w:tcW w:w="6378" w:type="dxa"/>
            <w:tcBorders>
              <w:top w:val="single" w:sz="12" w:space="0" w:color="auto"/>
              <w:left w:val="single" w:sz="12" w:space="0" w:color="auto"/>
            </w:tcBorders>
          </w:tcPr>
          <w:p w:rsidR="00630D81" w:rsidRPr="004D3236" w:rsidRDefault="00630D81" w:rsidP="00630D81">
            <w:pPr>
              <w:pStyle w:val="Heading3"/>
              <w:rPr>
                <w:sz w:val="24"/>
                <w:szCs w:val="24"/>
              </w:rPr>
            </w:pPr>
            <w:r w:rsidRPr="004D3236">
              <w:rPr>
                <w:sz w:val="24"/>
                <w:szCs w:val="24"/>
              </w:rPr>
              <w:t>Tertiary Education Quality and Standards Agency Act 2011 - Determination of Fees (Amendment) No. 1 of 2016 [F2016L01078]</w:t>
            </w:r>
          </w:p>
        </w:tc>
      </w:tr>
      <w:tr w:rsidR="00630D81" w:rsidRPr="00681B17" w:rsidTr="00630D81">
        <w:tc>
          <w:tcPr>
            <w:tcW w:w="2694" w:type="dxa"/>
            <w:tcBorders>
              <w:right w:val="single" w:sz="12" w:space="0" w:color="auto"/>
            </w:tcBorders>
          </w:tcPr>
          <w:p w:rsidR="00630D81" w:rsidRPr="00467BB9" w:rsidRDefault="00630D81" w:rsidP="00630D81">
            <w:pPr>
              <w:rPr>
                <w:b/>
                <w:sz w:val="24"/>
                <w:szCs w:val="24"/>
              </w:rPr>
            </w:pPr>
            <w:r w:rsidRPr="00467BB9">
              <w:rPr>
                <w:b/>
                <w:sz w:val="24"/>
                <w:szCs w:val="24"/>
              </w:rPr>
              <w:t>Purpose</w:t>
            </w:r>
          </w:p>
        </w:tc>
        <w:tc>
          <w:tcPr>
            <w:tcW w:w="6378" w:type="dxa"/>
            <w:tcBorders>
              <w:left w:val="single" w:sz="12" w:space="0" w:color="auto"/>
            </w:tcBorders>
          </w:tcPr>
          <w:p w:rsidR="00630D81" w:rsidRPr="00467BB9" w:rsidRDefault="00630D81" w:rsidP="00630D81">
            <w:pPr>
              <w:rPr>
                <w:sz w:val="24"/>
                <w:szCs w:val="24"/>
              </w:rPr>
            </w:pPr>
            <w:r w:rsidRPr="00467BB9">
              <w:rPr>
                <w:sz w:val="24"/>
                <w:szCs w:val="24"/>
              </w:rPr>
              <w:t xml:space="preserve">Provides for the fees payable for applications for registration and renewal of registration under the </w:t>
            </w:r>
            <w:r w:rsidRPr="00467BB9">
              <w:rPr>
                <w:i/>
                <w:sz w:val="24"/>
                <w:szCs w:val="24"/>
              </w:rPr>
              <w:t>Education Services for Overseas Students Act 2000</w:t>
            </w:r>
          </w:p>
        </w:tc>
      </w:tr>
      <w:tr w:rsidR="00630D81" w:rsidRPr="00681B17" w:rsidTr="00630D81">
        <w:tc>
          <w:tcPr>
            <w:tcW w:w="2694" w:type="dxa"/>
            <w:tcBorders>
              <w:right w:val="single" w:sz="12" w:space="0" w:color="auto"/>
            </w:tcBorders>
          </w:tcPr>
          <w:p w:rsidR="00630D81" w:rsidRPr="00467BB9" w:rsidRDefault="00630D81" w:rsidP="00630D81">
            <w:pPr>
              <w:rPr>
                <w:b/>
                <w:sz w:val="24"/>
                <w:szCs w:val="24"/>
              </w:rPr>
            </w:pPr>
            <w:r w:rsidRPr="00467BB9">
              <w:rPr>
                <w:b/>
                <w:sz w:val="24"/>
                <w:szCs w:val="24"/>
              </w:rPr>
              <w:t>Last day to disallow</w:t>
            </w:r>
          </w:p>
        </w:tc>
        <w:tc>
          <w:tcPr>
            <w:tcW w:w="6378" w:type="dxa"/>
            <w:tcBorders>
              <w:left w:val="single" w:sz="12" w:space="0" w:color="auto"/>
            </w:tcBorders>
          </w:tcPr>
          <w:p w:rsidR="00630D81" w:rsidRPr="00467BB9" w:rsidRDefault="00630D81" w:rsidP="00630D81">
            <w:pPr>
              <w:rPr>
                <w:sz w:val="24"/>
                <w:szCs w:val="24"/>
              </w:rPr>
            </w:pPr>
            <w:r>
              <w:rPr>
                <w:sz w:val="24"/>
                <w:szCs w:val="24"/>
              </w:rPr>
              <w:t>21 November 2016</w:t>
            </w:r>
          </w:p>
        </w:tc>
      </w:tr>
      <w:tr w:rsidR="00630D81" w:rsidRPr="00681B17" w:rsidTr="00630D81">
        <w:tc>
          <w:tcPr>
            <w:tcW w:w="2694" w:type="dxa"/>
            <w:tcBorders>
              <w:right w:val="single" w:sz="12" w:space="0" w:color="auto"/>
            </w:tcBorders>
          </w:tcPr>
          <w:p w:rsidR="00630D81" w:rsidRPr="00467BB9" w:rsidRDefault="00630D81" w:rsidP="00630D81">
            <w:pPr>
              <w:rPr>
                <w:b/>
                <w:sz w:val="24"/>
                <w:szCs w:val="24"/>
              </w:rPr>
            </w:pPr>
            <w:r w:rsidRPr="00467BB9">
              <w:rPr>
                <w:b/>
                <w:sz w:val="24"/>
                <w:szCs w:val="24"/>
              </w:rPr>
              <w:t>Authorising legislation</w:t>
            </w:r>
          </w:p>
        </w:tc>
        <w:tc>
          <w:tcPr>
            <w:tcW w:w="6378" w:type="dxa"/>
            <w:tcBorders>
              <w:left w:val="single" w:sz="12" w:space="0" w:color="auto"/>
            </w:tcBorders>
          </w:tcPr>
          <w:p w:rsidR="00630D81" w:rsidRPr="00467BB9" w:rsidRDefault="00630D81" w:rsidP="00630D81">
            <w:pPr>
              <w:rPr>
                <w:i/>
                <w:sz w:val="24"/>
                <w:szCs w:val="24"/>
              </w:rPr>
            </w:pPr>
            <w:r w:rsidRPr="00467BB9">
              <w:rPr>
                <w:i/>
                <w:sz w:val="24"/>
                <w:szCs w:val="24"/>
              </w:rPr>
              <w:t>Tertiary Education Quality and Standards Agency Act 2011</w:t>
            </w:r>
          </w:p>
        </w:tc>
      </w:tr>
      <w:tr w:rsidR="00630D81" w:rsidRPr="00681B17" w:rsidTr="00630D81">
        <w:tc>
          <w:tcPr>
            <w:tcW w:w="2694" w:type="dxa"/>
            <w:tcBorders>
              <w:right w:val="single" w:sz="12" w:space="0" w:color="auto"/>
            </w:tcBorders>
          </w:tcPr>
          <w:p w:rsidR="00630D81" w:rsidRPr="00467BB9" w:rsidRDefault="00630D81" w:rsidP="00630D81">
            <w:pPr>
              <w:rPr>
                <w:b/>
                <w:sz w:val="24"/>
                <w:szCs w:val="24"/>
              </w:rPr>
            </w:pPr>
            <w:r w:rsidRPr="00467BB9">
              <w:rPr>
                <w:b/>
                <w:sz w:val="24"/>
                <w:szCs w:val="24"/>
              </w:rPr>
              <w:t>Department</w:t>
            </w:r>
          </w:p>
        </w:tc>
        <w:tc>
          <w:tcPr>
            <w:tcW w:w="6378" w:type="dxa"/>
            <w:tcBorders>
              <w:left w:val="single" w:sz="12" w:space="0" w:color="auto"/>
            </w:tcBorders>
          </w:tcPr>
          <w:p w:rsidR="00630D81" w:rsidRPr="00467BB9" w:rsidRDefault="00630D81" w:rsidP="00630D81">
            <w:pPr>
              <w:rPr>
                <w:sz w:val="24"/>
                <w:szCs w:val="24"/>
              </w:rPr>
            </w:pPr>
            <w:r w:rsidRPr="00467BB9">
              <w:rPr>
                <w:sz w:val="24"/>
                <w:szCs w:val="24"/>
              </w:rPr>
              <w:t>Education and Training</w:t>
            </w:r>
          </w:p>
        </w:tc>
      </w:tr>
      <w:tr w:rsidR="00630D81" w:rsidRPr="00681B17" w:rsidTr="00630D81">
        <w:tc>
          <w:tcPr>
            <w:tcW w:w="2694" w:type="dxa"/>
            <w:tcBorders>
              <w:bottom w:val="single" w:sz="12" w:space="0" w:color="auto"/>
              <w:right w:val="single" w:sz="12" w:space="0" w:color="auto"/>
            </w:tcBorders>
          </w:tcPr>
          <w:p w:rsidR="00630D81" w:rsidRPr="00467BB9" w:rsidRDefault="00630D81" w:rsidP="00630D81">
            <w:pPr>
              <w:rPr>
                <w:b/>
                <w:sz w:val="24"/>
                <w:szCs w:val="24"/>
              </w:rPr>
            </w:pPr>
            <w:r w:rsidRPr="00467BB9">
              <w:rPr>
                <w:b/>
                <w:sz w:val="24"/>
                <w:szCs w:val="24"/>
              </w:rPr>
              <w:t>Scrutiny principle</w:t>
            </w:r>
          </w:p>
        </w:tc>
        <w:tc>
          <w:tcPr>
            <w:tcW w:w="6378" w:type="dxa"/>
            <w:tcBorders>
              <w:left w:val="single" w:sz="12" w:space="0" w:color="auto"/>
              <w:bottom w:val="single" w:sz="12" w:space="0" w:color="auto"/>
            </w:tcBorders>
          </w:tcPr>
          <w:p w:rsidR="00630D81" w:rsidRPr="00467BB9" w:rsidRDefault="00630D81" w:rsidP="00630D81">
            <w:pPr>
              <w:rPr>
                <w:sz w:val="24"/>
                <w:szCs w:val="24"/>
              </w:rPr>
            </w:pPr>
            <w:r w:rsidRPr="00467BB9">
              <w:rPr>
                <w:sz w:val="24"/>
                <w:szCs w:val="24"/>
              </w:rPr>
              <w:t>Standing Order 23(3)(a)</w:t>
            </w:r>
          </w:p>
        </w:tc>
      </w:tr>
    </w:tbl>
    <w:p w:rsidR="00630D81" w:rsidRDefault="00630D81" w:rsidP="00630D81">
      <w:pPr>
        <w:rPr>
          <w:b/>
        </w:rPr>
      </w:pPr>
    </w:p>
    <w:p w:rsidR="00630D81" w:rsidRPr="00681B17" w:rsidRDefault="00630D81" w:rsidP="00630D81">
      <w:pPr>
        <w:rPr>
          <w:b/>
        </w:rPr>
      </w:pPr>
      <w:r w:rsidRPr="00681B17">
        <w:rPr>
          <w:b/>
        </w:rPr>
        <w:t>Unclear basis for determining fees</w:t>
      </w:r>
    </w:p>
    <w:p w:rsidR="00630D81" w:rsidRDefault="00630D81" w:rsidP="00630D81">
      <w:r w:rsidRPr="00681B17">
        <w:t xml:space="preserve">The </w:t>
      </w:r>
      <w:r w:rsidRPr="006A14F9">
        <w:t>Tertiary Education Quality and Standards Agency Act 2011 - Determination of Fees (Amendment) No. 1 of 2016 [F2016L01078]</w:t>
      </w:r>
      <w:r>
        <w:t xml:space="preserve"> (the determination) </w:t>
      </w:r>
      <w:r w:rsidRPr="00681B17">
        <w:t xml:space="preserve">amends </w:t>
      </w:r>
      <w:r>
        <w:t xml:space="preserve">the </w:t>
      </w:r>
      <w:r w:rsidRPr="00681B17">
        <w:t xml:space="preserve">Determination of Fees No. 3 of 2013 to provide that the fee for applications for registration and renewal of registration under the </w:t>
      </w:r>
      <w:r w:rsidRPr="00681B17">
        <w:rPr>
          <w:i/>
        </w:rPr>
        <w:t>Education Services for Overseas Students Act</w:t>
      </w:r>
      <w:r w:rsidRPr="00681B17">
        <w:t xml:space="preserve"> </w:t>
      </w:r>
      <w:r>
        <w:rPr>
          <w:i/>
        </w:rPr>
        <w:t xml:space="preserve">2000 </w:t>
      </w:r>
      <w:r w:rsidRPr="00681B17">
        <w:t>is $5000.</w:t>
      </w:r>
    </w:p>
    <w:p w:rsidR="00630D81" w:rsidRPr="00681B17" w:rsidRDefault="00630D81" w:rsidP="00630D81">
      <w:r w:rsidRPr="00681B17">
        <w:t xml:space="preserve">The ES to the </w:t>
      </w:r>
      <w:r>
        <w:t xml:space="preserve">determination </w:t>
      </w:r>
      <w:r w:rsidRPr="00681B17">
        <w:t xml:space="preserve">states: </w:t>
      </w:r>
    </w:p>
    <w:p w:rsidR="00630D81" w:rsidRPr="00681B17" w:rsidRDefault="00630D81" w:rsidP="00630D81">
      <w:pPr>
        <w:pStyle w:val="Quote"/>
        <w:spacing w:before="120"/>
      </w:pPr>
      <w:r w:rsidRPr="00681B17">
        <w:t xml:space="preserve">The amendment made by this instrument provides that the same fee will be payable for applications for registration or renewal of registration as is currently payable under the ESOS Act for the equivalent applications to TEQSA in its capacity as a designated authority. </w:t>
      </w:r>
    </w:p>
    <w:p w:rsidR="00630D81" w:rsidRPr="00681B17" w:rsidRDefault="00630D81" w:rsidP="00630D81">
      <w:pPr>
        <w:pStyle w:val="Quote"/>
        <w:spacing w:before="120"/>
      </w:pPr>
      <w:r w:rsidRPr="00681B17">
        <w:t xml:space="preserve">The Australian Government has previously decided that TEQSA is to function on a cost recovery basis for certain activities. The 2016-17 Budget includes a measure for the Department of Education and Training to undertake a review of TEQSA’s cost recovery arrangements. Accordingly, the fee amended by this instrument will be considered as part of that review. </w:t>
      </w:r>
    </w:p>
    <w:p w:rsidR="00630D81" w:rsidRDefault="00630D81" w:rsidP="00630D81">
      <w:r w:rsidRPr="00681B17">
        <w:lastRenderedPageBreak/>
        <w:t>The committee's usual expectation in cases where instruments of delegated legislation carry financial implications via the imposition of a charge, fee, levy, scale or rate of costs or payment is that the relevant ES makes clear the specific basis on which an individual imposition or change has been calculated.</w:t>
      </w:r>
    </w:p>
    <w:p w:rsidR="00630D81" w:rsidRPr="00681B17" w:rsidRDefault="00630D81" w:rsidP="00630D81">
      <w:r w:rsidRPr="00681B17">
        <w:t>With reference to th</w:t>
      </w:r>
      <w:r>
        <w:t>i</w:t>
      </w:r>
      <w:r w:rsidRPr="00681B17">
        <w:t>s</w:t>
      </w:r>
      <w:r>
        <w:t xml:space="preserve"> expectation</w:t>
      </w:r>
      <w:r w:rsidRPr="00681B17">
        <w:t>, the committee notes that</w:t>
      </w:r>
      <w:r>
        <w:t xml:space="preserve">, while the </w:t>
      </w:r>
      <w:r w:rsidRPr="00681B17">
        <w:t xml:space="preserve">ES for the </w:t>
      </w:r>
      <w:r>
        <w:t xml:space="preserve">determination suggests that the revised fee relating to registration will be considered as part of a forthcoming review of cost-recovery arrangements, it </w:t>
      </w:r>
      <w:r w:rsidRPr="00681B17">
        <w:t xml:space="preserve">provides no indication as to the basis on which the fee </w:t>
      </w:r>
      <w:r>
        <w:t xml:space="preserve">has </w:t>
      </w:r>
      <w:r w:rsidRPr="00681B17">
        <w:t xml:space="preserve">been calculated </w:t>
      </w:r>
      <w:r>
        <w:t>for the purposes of the making of the determination.</w:t>
      </w:r>
    </w:p>
    <w:p w:rsidR="00630D81" w:rsidRDefault="00630D81" w:rsidP="00630D81">
      <w:pPr>
        <w:rPr>
          <w:b/>
          <w:bCs/>
        </w:rPr>
      </w:pPr>
      <w:r w:rsidRPr="00681B17">
        <w:rPr>
          <w:b/>
          <w:bCs/>
        </w:rPr>
        <w:t>The committee requests the advice of the minister in relation to this matter.</w:t>
      </w:r>
    </w:p>
    <w:p w:rsidR="00630D81" w:rsidRDefault="00630D81" w:rsidP="00630D81">
      <w:pPr>
        <w:pStyle w:val="Bullet1"/>
        <w:numPr>
          <w:ilvl w:val="0"/>
          <w:numId w:val="0"/>
        </w:numPr>
        <w:spacing w:before="120"/>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2875FC">
              <w:rPr>
                <w:noProof/>
                <w:sz w:val="24"/>
                <w:szCs w:val="24"/>
              </w:rPr>
              <w:t>Therapeutic Goods (Permissible Ingredients) Determination No. 2 of 2016 [F2016L01253]</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Revokes Therapeutic Goods (Permissible Ingredients) Determination No.1 of 2016</w:t>
            </w:r>
            <w:r>
              <w:rPr>
                <w:noProof/>
                <w:sz w:val="24"/>
                <w:szCs w:val="24"/>
              </w:rPr>
              <w:t xml:space="preserve"> [</w:t>
            </w:r>
            <w:r w:rsidRPr="00016B29">
              <w:rPr>
                <w:noProof/>
                <w:sz w:val="24"/>
                <w:szCs w:val="24"/>
              </w:rPr>
              <w:t>F2016L00588</w:t>
            </w:r>
            <w:r>
              <w:rPr>
                <w:noProof/>
                <w:sz w:val="24"/>
                <w:szCs w:val="24"/>
              </w:rPr>
              <w:t>]</w:t>
            </w:r>
            <w:r w:rsidRPr="002875FC">
              <w:rPr>
                <w:noProof/>
                <w:sz w:val="24"/>
                <w:szCs w:val="24"/>
              </w:rPr>
              <w:t xml:space="preserve"> and</w:t>
            </w:r>
            <w:r>
              <w:rPr>
                <w:noProof/>
                <w:sz w:val="24"/>
                <w:szCs w:val="24"/>
              </w:rPr>
              <w:t xml:space="preserve"> specifies ingredients and related requirements for</w:t>
            </w:r>
            <w:r w:rsidRPr="002875FC">
              <w:rPr>
                <w:noProof/>
                <w:sz w:val="24"/>
                <w:szCs w:val="24"/>
              </w:rPr>
              <w:t xml:space="preserve"> medicines listed on the Australian Register of Therapeutic Goods</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2875FC">
              <w:rPr>
                <w:i/>
                <w:noProof/>
                <w:sz w:val="24"/>
                <w:szCs w:val="24"/>
              </w:rPr>
              <w:t xml:space="preserve">Therapeutic Goods Act 1989  </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Health</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2875FC">
              <w:rPr>
                <w:noProof/>
                <w:sz w:val="24"/>
                <w:szCs w:val="24"/>
              </w:rPr>
              <w:t>(a)</w:t>
            </w:r>
          </w:p>
        </w:tc>
      </w:tr>
    </w:tbl>
    <w:p w:rsidR="00630D81" w:rsidRDefault="00630D81" w:rsidP="00630D81">
      <w:pPr>
        <w:jc w:val="left"/>
        <w:rPr>
          <w:b/>
          <w:noProof/>
        </w:rPr>
      </w:pPr>
    </w:p>
    <w:p w:rsidR="00630D81" w:rsidRDefault="00630D81" w:rsidP="00630D81">
      <w:pPr>
        <w:jc w:val="left"/>
        <w:rPr>
          <w:b/>
          <w:noProof/>
        </w:rPr>
      </w:pPr>
      <w:r w:rsidRPr="002875FC">
        <w:rPr>
          <w:b/>
          <w:noProof/>
        </w:rPr>
        <w:t>Incorporation of documents</w:t>
      </w:r>
    </w:p>
    <w:p w:rsidR="00630D81" w:rsidRPr="00015907" w:rsidRDefault="00630D81" w:rsidP="00630D81">
      <w:pPr>
        <w:rPr>
          <w:noProof/>
        </w:rPr>
      </w:pPr>
      <w:r w:rsidRPr="00015907">
        <w:rPr>
          <w:noProof/>
        </w:rPr>
        <w:t xml:space="preserve">Section 14 of the </w:t>
      </w:r>
      <w:r w:rsidRPr="00015907">
        <w:rPr>
          <w:i/>
          <w:noProof/>
        </w:rPr>
        <w:t xml:space="preserve">Legislation Act 2003 </w:t>
      </w:r>
      <w:r w:rsidRPr="00015907">
        <w:rPr>
          <w:noProof/>
        </w:rPr>
        <w:t>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630D81" w:rsidRDefault="00630D81" w:rsidP="00630D81">
      <w:pPr>
        <w:rPr>
          <w:noProof/>
        </w:rPr>
      </w:pPr>
      <w:r w:rsidRPr="00880C43">
        <w:rPr>
          <w:noProof/>
        </w:rPr>
        <w:t>With reference to the above the committee notes that</w:t>
      </w:r>
      <w:r>
        <w:rPr>
          <w:noProof/>
        </w:rPr>
        <w:t xml:space="preserve"> Schedule 1 of the determination incorporates at:</w:t>
      </w:r>
    </w:p>
    <w:p w:rsidR="00630D81" w:rsidRDefault="00630D81" w:rsidP="00630D81">
      <w:pPr>
        <w:pStyle w:val="Bullet1"/>
        <w:spacing w:before="120" w:after="120"/>
        <w:rPr>
          <w:noProof/>
        </w:rPr>
      </w:pPr>
      <w:r>
        <w:rPr>
          <w:noProof/>
        </w:rPr>
        <w:t xml:space="preserve">Items 1700 and 1701: the </w:t>
      </w:r>
      <w:r w:rsidRPr="00016B29">
        <w:rPr>
          <w:i/>
          <w:noProof/>
        </w:rPr>
        <w:t>Animal Products Act 1999</w:t>
      </w:r>
      <w:r w:rsidRPr="001E0E8A">
        <w:rPr>
          <w:noProof/>
        </w:rPr>
        <w:t xml:space="preserve"> (NZ) and t</w:t>
      </w:r>
      <w:r>
        <w:rPr>
          <w:noProof/>
        </w:rPr>
        <w:t xml:space="preserve">he </w:t>
      </w:r>
      <w:r w:rsidRPr="00016B29">
        <w:rPr>
          <w:i/>
          <w:noProof/>
        </w:rPr>
        <w:t xml:space="preserve">Animal Welfare Act 1999 </w:t>
      </w:r>
      <w:r>
        <w:rPr>
          <w:noProof/>
        </w:rPr>
        <w:t>(NZ) (the NZ Acts); and</w:t>
      </w:r>
    </w:p>
    <w:p w:rsidR="00630D81" w:rsidRDefault="00630D81" w:rsidP="00630D81">
      <w:pPr>
        <w:pStyle w:val="Bullet1"/>
        <w:spacing w:before="120" w:after="120"/>
        <w:rPr>
          <w:noProof/>
        </w:rPr>
      </w:pPr>
      <w:r w:rsidRPr="001E0E8A">
        <w:rPr>
          <w:noProof/>
        </w:rPr>
        <w:t>Items 2328, 2349 and 3921</w:t>
      </w:r>
      <w:r>
        <w:rPr>
          <w:noProof/>
        </w:rPr>
        <w:t>:</w:t>
      </w:r>
      <w:r w:rsidRPr="001E0E8A">
        <w:rPr>
          <w:noProof/>
        </w:rPr>
        <w:t xml:space="preserve"> the relevant FCC monograph and ICH/BP/USP  requirements for residual solvents and catalysts</w:t>
      </w:r>
      <w:r>
        <w:rPr>
          <w:noProof/>
        </w:rPr>
        <w:t xml:space="preserve"> (the FCC </w:t>
      </w:r>
      <w:r w:rsidRPr="001E0E8A">
        <w:rPr>
          <w:noProof/>
        </w:rPr>
        <w:t>and ICH/BP/USP</w:t>
      </w:r>
      <w:r>
        <w:rPr>
          <w:noProof/>
        </w:rPr>
        <w:t>)</w:t>
      </w:r>
      <w:r w:rsidRPr="001E0E8A">
        <w:rPr>
          <w:noProof/>
        </w:rPr>
        <w:t>.</w:t>
      </w:r>
    </w:p>
    <w:p w:rsidR="00630D81" w:rsidRDefault="00630D81" w:rsidP="00630D81">
      <w:pPr>
        <w:rPr>
          <w:noProof/>
        </w:rPr>
      </w:pPr>
      <w:r>
        <w:rPr>
          <w:noProof/>
        </w:rPr>
        <w:lastRenderedPageBreak/>
        <w:t xml:space="preserve">However, neither the text of the determination nor the ES expressly states the manner in which the NZ Acts, the </w:t>
      </w:r>
      <w:r w:rsidRPr="001E0E8A">
        <w:rPr>
          <w:noProof/>
        </w:rPr>
        <w:t>FCC and ICH/BP/USP</w:t>
      </w:r>
      <w:r>
        <w:rPr>
          <w:noProof/>
        </w:rPr>
        <w:t xml:space="preserve"> are incorpoated.</w:t>
      </w:r>
    </w:p>
    <w:p w:rsidR="00630D81" w:rsidRDefault="00630D81" w:rsidP="00630D81">
      <w:pPr>
        <w:rPr>
          <w:noProof/>
          <w:highlight w:val="yellow"/>
        </w:rPr>
      </w:pPr>
      <w:r>
        <w:rPr>
          <w:noProof/>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630D81" w:rsidRDefault="00630D81" w:rsidP="00630D81">
      <w:pPr>
        <w:pStyle w:val="Bullet1"/>
        <w:numPr>
          <w:ilvl w:val="0"/>
          <w:numId w:val="0"/>
        </w:numPr>
        <w:spacing w:before="120"/>
        <w:rPr>
          <w:b/>
        </w:rPr>
      </w:pPr>
      <w:r w:rsidRPr="00E87B83">
        <w:rPr>
          <w:b/>
        </w:rPr>
        <w:t>The committee requests the advice of the minister in relation to this matter.</w:t>
      </w:r>
    </w:p>
    <w:p w:rsidR="00630D81" w:rsidRDefault="00630D81" w:rsidP="00D53138">
      <w:pPr>
        <w:pStyle w:val="Bullet1"/>
        <w:numPr>
          <w:ilvl w:val="0"/>
          <w:numId w:val="0"/>
        </w:numPr>
        <w:spacing w:before="120" w:after="120"/>
        <w:rPr>
          <w:b/>
        </w:rPr>
      </w:pPr>
    </w:p>
    <w:p w:rsidR="00630D81" w:rsidRDefault="00630D81" w:rsidP="00630D81">
      <w:pPr>
        <w:jc w:val="left"/>
        <w:rPr>
          <w:b/>
          <w:noProof/>
        </w:rPr>
      </w:pPr>
      <w:r>
        <w:rPr>
          <w:b/>
          <w:noProof/>
        </w:rPr>
        <w:t>Description of and a</w:t>
      </w:r>
      <w:r w:rsidRPr="002875FC">
        <w:rPr>
          <w:b/>
          <w:noProof/>
        </w:rPr>
        <w:t xml:space="preserve">ccess to incorporated documents </w:t>
      </w:r>
    </w:p>
    <w:p w:rsidR="00630D81" w:rsidRPr="006F0D47" w:rsidRDefault="00630D81" w:rsidP="00630D81">
      <w:r w:rsidRPr="006F0D47">
        <w:t xml:space="preserve">Paragraph 15J(2)(c) of the </w:t>
      </w:r>
      <w:r w:rsidRPr="006F0D47">
        <w:rPr>
          <w:i/>
        </w:rPr>
        <w:t xml:space="preserve">Legislation Act 2003 </w:t>
      </w:r>
      <w:r w:rsidRPr="006F0D47">
        <w:t>requires the ES for a legislative instrument that incorporates a document to contain a description of that document and indicate how it may be obtained.</w:t>
      </w:r>
    </w:p>
    <w:p w:rsidR="00630D81" w:rsidRPr="006F0D47" w:rsidRDefault="00630D81" w:rsidP="00630D81">
      <w:r w:rsidRPr="006F0D47">
        <w:t>The committee's expectations</w:t>
      </w:r>
      <w:r>
        <w:t xml:space="preserve"> where a legislative instrument incorporates a document </w:t>
      </w:r>
      <w:r w:rsidRPr="006F0D47">
        <w:t xml:space="preserve">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630D81" w:rsidRPr="005F0EE7" w:rsidRDefault="00630D81" w:rsidP="00630D81">
      <w:r w:rsidRPr="006F0D47">
        <w:t xml:space="preserve">With reference to the above, the committee notes that </w:t>
      </w:r>
      <w:r>
        <w:t xml:space="preserve">Schedule 1, items 1700, 1701, 2328, 2349 and 3921 of the determination </w:t>
      </w:r>
      <w:r w:rsidRPr="006F0D47">
        <w:t xml:space="preserve">incorporate </w:t>
      </w:r>
      <w:r w:rsidRPr="001E0E8A">
        <w:t>NZ Acts</w:t>
      </w:r>
      <w:r>
        <w:t>,</w:t>
      </w:r>
      <w:r w:rsidRPr="001E0E8A">
        <w:t xml:space="preserve"> the FCC and I</w:t>
      </w:r>
      <w:r w:rsidRPr="005F0EE7">
        <w:t>CH/BP/USP. However, neither the text of the determination nor the ES provides a description of the FCC and ICH/BP/USP, or indicates how the NZ Acts, the FCC and ICH/BP/USP may be freely obtained.</w:t>
      </w:r>
    </w:p>
    <w:p w:rsidR="00630D81" w:rsidRPr="00D53138" w:rsidRDefault="00630D81" w:rsidP="00630D81">
      <w:pPr>
        <w:rPr>
          <w:szCs w:val="26"/>
        </w:rPr>
      </w:pPr>
      <w:r w:rsidRPr="005F0EE7">
        <w:t xml:space="preserve">While the committee does not interpret paragraph 15J(2)(c) as requiring a detailed description of an incorporated document and how it may be obtained, it considers that an ES that does not contain any description of an incorporated document fails to satisfy the requirements of the </w:t>
      </w:r>
      <w:r w:rsidRPr="005F0EE7">
        <w:rPr>
          <w:i/>
        </w:rPr>
        <w:t>Legislation Act 2003</w:t>
      </w:r>
      <w:r w:rsidRPr="005F0EE7">
        <w:t>.</w:t>
      </w:r>
    </w:p>
    <w:p w:rsidR="00630D81" w:rsidRDefault="00630D81" w:rsidP="00630D81">
      <w:pPr>
        <w:rPr>
          <w:b/>
          <w:szCs w:val="26"/>
        </w:rPr>
      </w:pPr>
      <w:r w:rsidRPr="006F0D47">
        <w:rPr>
          <w:b/>
          <w:szCs w:val="26"/>
        </w:rPr>
        <w:t>The committee requests the advice of the minister in relation to this matter.</w:t>
      </w:r>
    </w:p>
    <w:p w:rsidR="00630D81" w:rsidRDefault="00630D81" w:rsidP="00630D81">
      <w:pPr>
        <w:spacing w:after="0"/>
        <w:jc w:val="left"/>
        <w:rPr>
          <w:b/>
          <w:szCs w:val="26"/>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2875FC">
              <w:rPr>
                <w:noProof/>
                <w:sz w:val="24"/>
                <w:szCs w:val="24"/>
              </w:rPr>
              <w:t>Water Efficiency Labelling and Standards Amendment (WELS Standard) Determination 2016 [F2016L01293]</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Amends the Water Efficiency Labelling and Standards Determination 2013 (No. 2)</w:t>
            </w:r>
            <w:r>
              <w:rPr>
                <w:noProof/>
                <w:sz w:val="24"/>
                <w:szCs w:val="24"/>
              </w:rPr>
              <w:t xml:space="preserve"> [</w:t>
            </w:r>
            <w:r w:rsidRPr="00260745">
              <w:rPr>
                <w:noProof/>
                <w:sz w:val="24"/>
                <w:szCs w:val="24"/>
              </w:rPr>
              <w:t>F2013L01574</w:t>
            </w:r>
            <w:r>
              <w:rPr>
                <w:noProof/>
                <w:sz w:val="24"/>
                <w:szCs w:val="24"/>
              </w:rPr>
              <w:t>]</w:t>
            </w:r>
            <w:r w:rsidRPr="002875FC">
              <w:rPr>
                <w:noProof/>
                <w:sz w:val="24"/>
                <w:szCs w:val="24"/>
              </w:rPr>
              <w:t xml:space="preserve"> to incorporate a new standard</w:t>
            </w:r>
            <w:r>
              <w:rPr>
                <w:noProof/>
                <w:sz w:val="24"/>
                <w:szCs w:val="24"/>
              </w:rPr>
              <w:t>,</w:t>
            </w:r>
            <w:r w:rsidRPr="002875FC">
              <w:rPr>
                <w:noProof/>
                <w:sz w:val="24"/>
                <w:szCs w:val="24"/>
              </w:rPr>
              <w:t xml:space="preserve"> modify existing standards</w:t>
            </w:r>
            <w:r>
              <w:rPr>
                <w:noProof/>
                <w:sz w:val="24"/>
                <w:szCs w:val="24"/>
              </w:rPr>
              <w:t xml:space="preserve"> and provide for </w:t>
            </w:r>
            <w:r>
              <w:rPr>
                <w:noProof/>
                <w:sz w:val="24"/>
                <w:szCs w:val="24"/>
              </w:rPr>
              <w:lastRenderedPageBreak/>
              <w:t>transitional arrangments</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lastRenderedPageBreak/>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2875FC">
              <w:rPr>
                <w:i/>
                <w:noProof/>
                <w:sz w:val="24"/>
                <w:szCs w:val="24"/>
              </w:rPr>
              <w:t>Water Efficiency Labelling and Standards Act 2005</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2875FC">
              <w:rPr>
                <w:noProof/>
                <w:sz w:val="24"/>
                <w:szCs w:val="24"/>
              </w:rPr>
              <w:t>Agriculture and Water Resources</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2875FC">
              <w:rPr>
                <w:noProof/>
                <w:sz w:val="24"/>
                <w:szCs w:val="24"/>
              </w:rPr>
              <w:t>(a)</w:t>
            </w:r>
          </w:p>
        </w:tc>
      </w:tr>
    </w:tbl>
    <w:p w:rsidR="00630D81" w:rsidRDefault="00630D81" w:rsidP="00630D81"/>
    <w:p w:rsidR="00630D81" w:rsidRDefault="00630D81" w:rsidP="00630D81">
      <w:pPr>
        <w:rPr>
          <w:b/>
          <w:noProof/>
        </w:rPr>
      </w:pPr>
      <w:r w:rsidRPr="00681B17">
        <w:rPr>
          <w:b/>
        </w:rPr>
        <w:t>Access to incorporated</w:t>
      </w:r>
      <w:r>
        <w:rPr>
          <w:b/>
          <w:noProof/>
        </w:rPr>
        <w:t xml:space="preserve"> documents</w:t>
      </w:r>
    </w:p>
    <w:p w:rsidR="00630D81" w:rsidRDefault="00630D81" w:rsidP="00630D81">
      <w:pPr>
        <w:rPr>
          <w:szCs w:val="26"/>
        </w:rPr>
      </w:pPr>
      <w:r w:rsidRPr="00025437">
        <w:rPr>
          <w:szCs w:val="26"/>
        </w:rPr>
        <w:t>Section 14 of the</w:t>
      </w:r>
      <w:r w:rsidRPr="00025437">
        <w:rPr>
          <w:i/>
          <w:szCs w:val="26"/>
        </w:rPr>
        <w:t xml:space="preserve"> Legislation Act 2003</w:t>
      </w:r>
      <w:r w:rsidRPr="00025437">
        <w:rPr>
          <w:szCs w:val="26"/>
        </w:rPr>
        <w:t xml:space="preserve"> allows </w:t>
      </w:r>
      <w:r>
        <w:rPr>
          <w:szCs w:val="26"/>
        </w:rPr>
        <w:t xml:space="preserve">legislative instruments to make provision in relation to matters by </w:t>
      </w:r>
      <w:r w:rsidRPr="005D78E9">
        <w:rPr>
          <w:szCs w:val="26"/>
        </w:rPr>
        <w:t>incorpor</w:t>
      </w:r>
      <w:r w:rsidRPr="00260745">
        <w:rPr>
          <w:szCs w:val="26"/>
        </w:rPr>
        <w:t>ating A</w:t>
      </w:r>
      <w:r>
        <w:rPr>
          <w:szCs w:val="26"/>
        </w:rPr>
        <w:t>cts and disallowable legislative instruments</w:t>
      </w:r>
      <w:r w:rsidRPr="005D78E9">
        <w:rPr>
          <w:szCs w:val="26"/>
        </w:rPr>
        <w:t xml:space="preserve">, </w:t>
      </w:r>
      <w:r>
        <w:rPr>
          <w:szCs w:val="26"/>
        </w:rPr>
        <w:t xml:space="preserve">either </w:t>
      </w:r>
      <w:r w:rsidRPr="005D78E9">
        <w:rPr>
          <w:szCs w:val="26"/>
        </w:rPr>
        <w:t>as in force at a particular time or as</w:t>
      </w:r>
      <w:r>
        <w:rPr>
          <w:szCs w:val="26"/>
        </w:rPr>
        <w:t xml:space="preserve"> in force from time to time. Other documents</w:t>
      </w:r>
      <w:r w:rsidRPr="00025437">
        <w:rPr>
          <w:szCs w:val="26"/>
        </w:rPr>
        <w:t xml:space="preserve"> may only be incorporated as in force at </w:t>
      </w:r>
      <w:r>
        <w:rPr>
          <w:szCs w:val="26"/>
        </w:rPr>
        <w:t>the commencement of a legislative instrument</w:t>
      </w:r>
      <w:r w:rsidRPr="00025437">
        <w:rPr>
          <w:szCs w:val="26"/>
        </w:rPr>
        <w:t>, unless authorising or other legislation alters the operation of section 14.</w:t>
      </w:r>
    </w:p>
    <w:p w:rsidR="00630D81" w:rsidRDefault="00630D81" w:rsidP="00630D81">
      <w:r w:rsidRPr="00681B17">
        <w:rPr>
          <w:noProof/>
        </w:rPr>
        <w:t>Paragraph</w:t>
      </w:r>
      <w:r w:rsidRPr="00681B17">
        <w:t xml:space="preserve"> 15J(2)(c) of the </w:t>
      </w:r>
      <w:r w:rsidRPr="00681B17">
        <w:rPr>
          <w:i/>
        </w:rPr>
        <w:t xml:space="preserve">Legislation Act 2003 </w:t>
      </w:r>
      <w:r w:rsidRPr="00681B17">
        <w:t>requires the ES for a legislative instrument that incorporates a document to contain a description of that document and indicate how it may be obtained.</w:t>
      </w:r>
    </w:p>
    <w:p w:rsidR="00630D81" w:rsidRPr="00585FEA" w:rsidRDefault="00630D81" w:rsidP="00630D81">
      <w:r>
        <w:t>T</w:t>
      </w:r>
      <w:r w:rsidRPr="00681B17">
        <w:t>he committee's expectations</w:t>
      </w:r>
      <w:r>
        <w:t xml:space="preserve"> where a legislative instrument incorporates a document,</w:t>
      </w:r>
      <w:r w:rsidRPr="00681B17">
        <w:t xml:space="preserve"> generally accord with the approach of the Senate Standing Committee on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w:t>
      </w:r>
      <w:r w:rsidRPr="00585FEA">
        <w:t xml:space="preserve">terms. </w:t>
      </w:r>
    </w:p>
    <w:p w:rsidR="00630D81" w:rsidRDefault="00630D81" w:rsidP="00630D81">
      <w:r w:rsidRPr="00585FEA">
        <w:t>With reference to the above, the committee notes that Schedule 1, item 1 of the determination incorporates</w:t>
      </w:r>
      <w:r>
        <w:t>:</w:t>
      </w:r>
    </w:p>
    <w:p w:rsidR="00630D81" w:rsidRDefault="00630D81" w:rsidP="00630D81">
      <w:pPr>
        <w:pStyle w:val="Bullet1"/>
      </w:pPr>
      <w:r w:rsidRPr="00585FEA">
        <w:t xml:space="preserve">Australian Standard AS 3662:2013 Performance of showers for bathing, as in force on 1 July 2016 and as modified by subsection 5B(2) </w:t>
      </w:r>
      <w:r w:rsidRPr="00355C2D">
        <w:t xml:space="preserve">of the determination </w:t>
      </w:r>
      <w:r w:rsidRPr="00585FEA">
        <w:t>(AS 3662:2013)</w:t>
      </w:r>
      <w:r w:rsidRPr="00355C2D">
        <w:t>; and</w:t>
      </w:r>
    </w:p>
    <w:p w:rsidR="00630D81" w:rsidRPr="005F0EE7" w:rsidRDefault="00630D81" w:rsidP="00630D81">
      <w:pPr>
        <w:pStyle w:val="Bullet1"/>
      </w:pPr>
      <w:r w:rsidRPr="00585FEA">
        <w:t>Australian/New Zealand Standard AS/NZS 6400:2016 Water efficient products—Rating and labelling published jointly by, or on behalf of, Standards Australia and Standards New Zealand, as in force on 1 July 2016 and as modified by subsection 5B(1) of the determination</w:t>
      </w:r>
      <w:r>
        <w:t xml:space="preserve"> (</w:t>
      </w:r>
      <w:r w:rsidRPr="00585FEA">
        <w:t>AS/NZS 6</w:t>
      </w:r>
      <w:r w:rsidRPr="005F0EE7">
        <w:t>400:2016).</w:t>
      </w:r>
    </w:p>
    <w:p w:rsidR="00630D81" w:rsidRPr="00585FEA" w:rsidRDefault="00630D81" w:rsidP="00630D81">
      <w:r w:rsidRPr="005F0EE7">
        <w:t xml:space="preserve">However, the committee notes that, while the standards are described in the ES and AS/NZS 6400:2016, as published by Standards Australia, is available for free from SAI Global; AS 3662:2013, as published by Standards Australia, appears to only be </w:t>
      </w:r>
      <w:r w:rsidRPr="005F0EE7">
        <w:lastRenderedPageBreak/>
        <w:t>available for a fee of $123.44 from SAI Global, and the ES does not provide any information as to whether AS 3662:2013 as published by Standards Australia, is otherwise freely available.</w:t>
      </w:r>
      <w:r w:rsidRPr="00585FEA" w:rsidDel="002901E0">
        <w:t xml:space="preserve"> </w:t>
      </w:r>
    </w:p>
    <w:p w:rsidR="00630D81" w:rsidRDefault="00630D81" w:rsidP="00630D81">
      <w:pPr>
        <w:rPr>
          <w:b/>
        </w:rPr>
      </w:pPr>
      <w:r w:rsidRPr="00585FEA">
        <w:rPr>
          <w:b/>
        </w:rPr>
        <w:t>The committee requests the advice of the</w:t>
      </w:r>
      <w:r w:rsidRPr="00681B17">
        <w:rPr>
          <w:b/>
        </w:rPr>
        <w:t xml:space="preserve"> </w:t>
      </w:r>
      <w:r>
        <w:rPr>
          <w:b/>
        </w:rPr>
        <w:t>m</w:t>
      </w:r>
      <w:r w:rsidRPr="00681B17">
        <w:rPr>
          <w:b/>
        </w:rPr>
        <w:t xml:space="preserve">inister </w:t>
      </w:r>
      <w:r>
        <w:rPr>
          <w:b/>
        </w:rPr>
        <w:t xml:space="preserve">in relation to </w:t>
      </w:r>
      <w:r w:rsidRPr="00681B17">
        <w:rPr>
          <w:b/>
        </w:rPr>
        <w:t>this matter.</w:t>
      </w:r>
    </w:p>
    <w:p w:rsidR="00630D81" w:rsidRDefault="00630D81" w:rsidP="00630D81">
      <w:pPr>
        <w:spacing w:after="0"/>
        <w:jc w:val="left"/>
        <w:rPr>
          <w:sz w:val="32"/>
          <w:szCs w:val="32"/>
        </w:rPr>
      </w:pPr>
      <w:r>
        <w:rPr>
          <w:sz w:val="32"/>
          <w:szCs w:val="32"/>
        </w:rPr>
        <w:br w:type="page"/>
      </w:r>
    </w:p>
    <w:p w:rsidR="00630D81" w:rsidRPr="00280828" w:rsidRDefault="00630D81" w:rsidP="00630D81">
      <w:pPr>
        <w:spacing w:after="0"/>
        <w:jc w:val="left"/>
        <w:rPr>
          <w:szCs w:val="26"/>
        </w:rPr>
      </w:pPr>
    </w:p>
    <w:p w:rsidR="00630D81" w:rsidRPr="00647493" w:rsidRDefault="00630D81" w:rsidP="00630D81">
      <w:pPr>
        <w:pStyle w:val="Heading2"/>
        <w:rPr>
          <w:sz w:val="32"/>
          <w:szCs w:val="32"/>
        </w:rPr>
      </w:pPr>
      <w:r>
        <w:rPr>
          <w:sz w:val="32"/>
          <w:szCs w:val="32"/>
        </w:rPr>
        <w:t xml:space="preserve">Advice </w:t>
      </w:r>
      <w:r w:rsidRPr="00647493">
        <w:rPr>
          <w:sz w:val="32"/>
          <w:szCs w:val="32"/>
        </w:rPr>
        <w:t>only</w:t>
      </w:r>
    </w:p>
    <w:p w:rsidR="00630D81" w:rsidRDefault="00630D81" w:rsidP="00630D81">
      <w:pPr>
        <w:pStyle w:val="Level1"/>
        <w:numPr>
          <w:ilvl w:val="0"/>
          <w:numId w:val="0"/>
        </w:num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630D81" w:rsidRPr="00F31099" w:rsidRDefault="00630D81" w:rsidP="00630D81">
      <w:pPr>
        <w:rPr>
          <w:b/>
          <w:iCs/>
          <w:noProof/>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bookmarkStart w:id="31" w:name="OLE_LINK6"/>
            <w:r w:rsidRPr="00FB5B83">
              <w:rPr>
                <w:noProof/>
                <w:sz w:val="24"/>
                <w:szCs w:val="24"/>
              </w:rPr>
              <w:t>Comptroller-General of Customs (Places of Detention - Norfolk Island) Directions 2016 [F2016L01036]</w:t>
            </w:r>
            <w:bookmarkEnd w:id="31"/>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sidRPr="00FB5B83">
              <w:rPr>
                <w:noProof/>
                <w:sz w:val="24"/>
                <w:szCs w:val="24"/>
              </w:rPr>
              <w:t>Identifies places which a</w:t>
            </w:r>
            <w:r>
              <w:rPr>
                <w:noProof/>
                <w:sz w:val="24"/>
                <w:szCs w:val="24"/>
              </w:rPr>
              <w:t xml:space="preserve"> </w:t>
            </w:r>
            <w:r w:rsidRPr="00FB5B83">
              <w:rPr>
                <w:noProof/>
                <w:sz w:val="24"/>
                <w:szCs w:val="24"/>
              </w:rPr>
              <w:t>Customs</w:t>
            </w:r>
            <w:r>
              <w:rPr>
                <w:noProof/>
                <w:sz w:val="24"/>
                <w:szCs w:val="24"/>
              </w:rPr>
              <w:t xml:space="preserve"> officer</w:t>
            </w:r>
            <w:r w:rsidRPr="00FB5B83">
              <w:rPr>
                <w:noProof/>
                <w:sz w:val="24"/>
                <w:szCs w:val="24"/>
              </w:rPr>
              <w:t xml:space="preserve"> is permitted to detain a person and specifies other matters relating to the detention of person under paragraph 219JE(1)(a) of </w:t>
            </w:r>
            <w:r w:rsidRPr="005C4809">
              <w:rPr>
                <w:i/>
                <w:noProof/>
                <w:sz w:val="24"/>
                <w:szCs w:val="24"/>
              </w:rPr>
              <w:t>Customs Act 1901</w:t>
            </w:r>
            <w:r w:rsidRPr="00FB5B83">
              <w:rPr>
                <w:noProof/>
                <w:sz w:val="24"/>
                <w:szCs w:val="24"/>
              </w:rPr>
              <w:t xml:space="preserve"> </w:t>
            </w:r>
            <w:r>
              <w:rPr>
                <w:noProof/>
                <w:sz w:val="24"/>
                <w:szCs w:val="24"/>
              </w:rPr>
              <w:t>(</w:t>
            </w:r>
            <w:r w:rsidRPr="00FB5B83">
              <w:rPr>
                <w:noProof/>
                <w:sz w:val="24"/>
                <w:szCs w:val="24"/>
              </w:rPr>
              <w:t>NI</w:t>
            </w:r>
            <w:r>
              <w:rPr>
                <w:noProof/>
                <w:sz w:val="24"/>
                <w:szCs w:val="24"/>
              </w:rPr>
              <w:t>)</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FB5B83">
              <w:rPr>
                <w:i/>
                <w:noProof/>
                <w:sz w:val="24"/>
                <w:szCs w:val="24"/>
              </w:rPr>
              <w:t xml:space="preserve">Customs Act 1901  </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FB5B83">
              <w:rPr>
                <w:noProof/>
                <w:sz w:val="24"/>
                <w:szCs w:val="24"/>
              </w:rPr>
              <w:t>Immigration and Border Protection</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FB5B83">
              <w:rPr>
                <w:noProof/>
                <w:sz w:val="24"/>
                <w:szCs w:val="24"/>
              </w:rPr>
              <w:t>(b)</w:t>
            </w:r>
          </w:p>
        </w:tc>
      </w:tr>
    </w:tbl>
    <w:p w:rsidR="00630D81" w:rsidRDefault="00630D81" w:rsidP="00630D81"/>
    <w:p w:rsidR="00630D81" w:rsidRDefault="00630D81" w:rsidP="00630D81">
      <w:pPr>
        <w:rPr>
          <w:b/>
        </w:rPr>
      </w:pPr>
      <w:r w:rsidRPr="00FB5B83">
        <w:rPr>
          <w:b/>
          <w:noProof/>
        </w:rPr>
        <w:t>Undue trespass on personal rights and liberties</w:t>
      </w:r>
    </w:p>
    <w:p w:rsidR="00630D81" w:rsidRDefault="00630D81" w:rsidP="00630D81">
      <w:r>
        <w:t xml:space="preserve">The </w:t>
      </w:r>
      <w:r w:rsidRPr="00EE6058">
        <w:t>Comptroller-General of Customs (Places of Detention - Norfolk Island) Directions 2016 [F2016L01036]</w:t>
      </w:r>
      <w:r>
        <w:t xml:space="preserve"> (the directions) specify, for Norfolk Island, places where an officer of Customs is permitted to detain a person; and other matters relating to the detention of persons under subsection 219ZJE(1) of the </w:t>
      </w:r>
      <w:r w:rsidRPr="00855B2A">
        <w:rPr>
          <w:i/>
        </w:rPr>
        <w:t>Customs Act 1901</w:t>
      </w:r>
      <w:r>
        <w:rPr>
          <w:i/>
        </w:rPr>
        <w:t xml:space="preserve"> </w:t>
      </w:r>
      <w:r>
        <w:t>(NI) (the NI Customs Act).</w:t>
      </w:r>
    </w:p>
    <w:p w:rsidR="00630D81" w:rsidRDefault="00630D81" w:rsidP="00630D81">
      <w:r w:rsidRPr="0098192E">
        <w:t xml:space="preserve">Item 1 of the </w:t>
      </w:r>
      <w:r>
        <w:t xml:space="preserve">directions </w:t>
      </w:r>
      <w:r w:rsidRPr="0098192E">
        <w:t xml:space="preserve">provide that a person must be detained in a room that meets certain standards or, if no such room is convenient and suitable, an Australian Border Force vehicle. Item 2 of the </w:t>
      </w:r>
      <w:r>
        <w:t>directions</w:t>
      </w:r>
      <w:r w:rsidRPr="0098192E">
        <w:t xml:space="preserve"> provides that, for the purposes of paragraph 219ZJE(1)(b) of the </w:t>
      </w:r>
      <w:r>
        <w:t xml:space="preserve">NI </w:t>
      </w:r>
      <w:r w:rsidRPr="0098192E">
        <w:t>Customs Act, if a Customs officer conducts a search before taking a person to a place mentioned in item 1 of the direction</w:t>
      </w:r>
      <w:r>
        <w:t>s</w:t>
      </w:r>
      <w:r w:rsidRPr="0098192E">
        <w:t>, the officer conducting the search must afford the detainee as much personal privacy 'as the circumstances of the search allow'.</w:t>
      </w:r>
    </w:p>
    <w:p w:rsidR="00630D81" w:rsidRDefault="00630D81" w:rsidP="00630D81">
      <w:r w:rsidRPr="0098192E">
        <w:t>S</w:t>
      </w:r>
      <w:r>
        <w:t>crutiny principle</w:t>
      </w:r>
      <w:r w:rsidRPr="0098192E">
        <w:t xml:space="preserve"> 23(3)(b) requires the committee to ensure that an instrument does not unduly trespass on personal rights and liberties.</w:t>
      </w:r>
      <w:r>
        <w:t xml:space="preserve"> The committee previously raised a concern, in relation to Comptroller-General of Customs (Places of Detention) Directions 2015 [F2015L00891] (the previous directions),</w:t>
      </w:r>
      <w:r>
        <w:rPr>
          <w:rStyle w:val="FootnoteReference"/>
        </w:rPr>
        <w:footnoteReference w:id="21"/>
      </w:r>
      <w:r>
        <w:t xml:space="preserve"> that </w:t>
      </w:r>
      <w:r w:rsidRPr="0098192E">
        <w:t xml:space="preserve">the requirement to </w:t>
      </w:r>
      <w:r w:rsidRPr="0098192E">
        <w:lastRenderedPageBreak/>
        <w:t>allow a detainee as much privacy 'as the circumstances of the search allow' lacks definition, and would appear to provide a broad discretion to an officer conducting a search in relation to the extent of privacy afforded to a person subject to a search.</w:t>
      </w:r>
      <w:r>
        <w:t xml:space="preserve"> The minister's response in that case advised that officers of Customs receive extensive training in relation to personal search powers, and stated:</w:t>
      </w:r>
    </w:p>
    <w:p w:rsidR="00630D81" w:rsidRPr="00DD53A1" w:rsidRDefault="00630D81" w:rsidP="00630D81">
      <w:pPr>
        <w:pStyle w:val="Quote"/>
        <w:spacing w:before="120"/>
      </w:pPr>
      <w:r w:rsidRPr="0098192E">
        <w:t>This training includes the procedures that must be followed and provides guidance on officers' obligations to ensure the highest standards of care, wellbeing and privacy considerations of the person.</w:t>
      </w:r>
      <w:r>
        <w:rPr>
          <w:rStyle w:val="FootnoteReference"/>
        </w:rPr>
        <w:footnoteReference w:id="22"/>
      </w:r>
    </w:p>
    <w:p w:rsidR="00630D81" w:rsidRDefault="00630D81" w:rsidP="00630D81">
      <w:r>
        <w:t>The committee notes that the ES to the directions does not address the issue of</w:t>
      </w:r>
      <w:r w:rsidRPr="00DF3681">
        <w:t xml:space="preserve"> the apparently broad discretion of an officer in relation to the extent of privacy afforded to a person subject to a search, and whether in this respect the directions unduly trespass on personal rights and liberties.</w:t>
      </w:r>
      <w:r>
        <w:t xml:space="preserve"> However, taking into account the advice provided by the minister with respect to the previous directions, the committee considers that the directions are unlikely to give rise to any undue trespass on a person's right to privacy.</w:t>
      </w:r>
    </w:p>
    <w:p w:rsidR="00630D81" w:rsidRDefault="00630D81" w:rsidP="00630D81">
      <w:pPr>
        <w:rPr>
          <w:b/>
        </w:rPr>
      </w:pPr>
      <w:r>
        <w:rPr>
          <w:b/>
        </w:rPr>
        <w:t>The committee draws this matter to the minister's attention, and highlights its expectation that scrutiny matters raised or identified previously by the committee are taken into account in the making of subsequent instruments, as applicable.</w:t>
      </w:r>
    </w:p>
    <w:p w:rsidR="00630D81" w:rsidRDefault="00630D81" w:rsidP="00630D81">
      <w:pPr>
        <w:rPr>
          <w:b/>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FB5B83" w:rsidRDefault="00630D81" w:rsidP="00630D81">
            <w:pPr>
              <w:pStyle w:val="Heading3"/>
              <w:rPr>
                <w:noProof/>
                <w:sz w:val="24"/>
                <w:szCs w:val="24"/>
              </w:rPr>
            </w:pPr>
            <w:r w:rsidRPr="00FB5B83">
              <w:rPr>
                <w:noProof/>
                <w:sz w:val="24"/>
                <w:szCs w:val="24"/>
              </w:rPr>
              <w:t>Export Market Development Grants (Change in Ownership of Business) Guidelines 2016 [F2016L01090]</w:t>
            </w:r>
          </w:p>
          <w:p w:rsidR="00630D81" w:rsidRPr="00FB5B83" w:rsidRDefault="00630D81" w:rsidP="00630D81">
            <w:pPr>
              <w:pStyle w:val="Heading3"/>
              <w:rPr>
                <w:noProof/>
                <w:sz w:val="24"/>
                <w:szCs w:val="24"/>
              </w:rPr>
            </w:pPr>
            <w:r w:rsidRPr="00FB5B83">
              <w:rPr>
                <w:noProof/>
                <w:sz w:val="24"/>
                <w:szCs w:val="24"/>
              </w:rPr>
              <w:t>Export Market Development Grants (Made in Australia) Guidelines 2016 [F2016L01094]</w:t>
            </w:r>
          </w:p>
          <w:p w:rsidR="00630D81" w:rsidRPr="00FB5B83" w:rsidRDefault="00630D81" w:rsidP="00630D81">
            <w:pPr>
              <w:pStyle w:val="Heading3"/>
              <w:rPr>
                <w:noProof/>
                <w:sz w:val="24"/>
                <w:szCs w:val="24"/>
              </w:rPr>
            </w:pPr>
            <w:r w:rsidRPr="00FB5B83">
              <w:rPr>
                <w:noProof/>
                <w:sz w:val="24"/>
                <w:szCs w:val="24"/>
              </w:rPr>
              <w:t>Export Market Development Grants (Close Relationships - General) Determination 2016 [F2016L01095]</w:t>
            </w:r>
          </w:p>
          <w:p w:rsidR="00630D81" w:rsidRPr="00FB5B83" w:rsidRDefault="00630D81" w:rsidP="00630D81">
            <w:pPr>
              <w:pStyle w:val="Heading3"/>
              <w:rPr>
                <w:noProof/>
                <w:sz w:val="24"/>
                <w:szCs w:val="24"/>
              </w:rPr>
            </w:pPr>
            <w:r w:rsidRPr="00FB5B83">
              <w:rPr>
                <w:noProof/>
                <w:sz w:val="24"/>
                <w:szCs w:val="24"/>
              </w:rPr>
              <w:t>Export Market Development Grants (Significant Net Benefit) Guidelines 2016 [F2016L01097]</w:t>
            </w:r>
          </w:p>
          <w:p w:rsidR="00630D81" w:rsidRPr="00BA36F8" w:rsidRDefault="00630D81" w:rsidP="00630D81">
            <w:pPr>
              <w:pStyle w:val="Heading3"/>
              <w:rPr>
                <w:sz w:val="24"/>
                <w:szCs w:val="24"/>
              </w:rPr>
            </w:pPr>
            <w:r w:rsidRPr="00FB5B83">
              <w:rPr>
                <w:noProof/>
                <w:sz w:val="24"/>
                <w:szCs w:val="24"/>
              </w:rPr>
              <w:t>Export Market Development Grants (Grants Entry Requirements) Determination 2016 [F2016L01108]</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sidRPr="00FB5B83">
              <w:rPr>
                <w:noProof/>
                <w:sz w:val="24"/>
                <w:szCs w:val="24"/>
              </w:rPr>
              <w:t>Details guidelines to be complied with by the Chief Executive Officer of Austrade</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FB5B83">
              <w:rPr>
                <w:i/>
                <w:noProof/>
                <w:sz w:val="24"/>
                <w:szCs w:val="24"/>
              </w:rPr>
              <w:t>Export Market Development Grants Act 1997</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lastRenderedPageBreak/>
              <w:t>Department</w:t>
            </w:r>
          </w:p>
        </w:tc>
        <w:tc>
          <w:tcPr>
            <w:tcW w:w="6378" w:type="dxa"/>
            <w:tcBorders>
              <w:left w:val="single" w:sz="12" w:space="0" w:color="auto"/>
            </w:tcBorders>
          </w:tcPr>
          <w:p w:rsidR="00630D81" w:rsidRPr="00A77228" w:rsidRDefault="00630D81" w:rsidP="00630D81">
            <w:pPr>
              <w:rPr>
                <w:sz w:val="24"/>
                <w:szCs w:val="24"/>
              </w:rPr>
            </w:pPr>
            <w:r w:rsidRPr="00FB5B83">
              <w:rPr>
                <w:noProof/>
                <w:sz w:val="24"/>
                <w:szCs w:val="24"/>
              </w:rPr>
              <w:t>Foreign Affairs and Trade</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FB5B83">
              <w:rPr>
                <w:noProof/>
                <w:sz w:val="24"/>
                <w:szCs w:val="24"/>
              </w:rPr>
              <w:t>(a)</w:t>
            </w:r>
          </w:p>
        </w:tc>
      </w:tr>
    </w:tbl>
    <w:p w:rsidR="00630D81" w:rsidRDefault="00630D81" w:rsidP="00630D81"/>
    <w:p w:rsidR="00630D81" w:rsidRDefault="00630D81" w:rsidP="00630D81">
      <w:pPr>
        <w:rPr>
          <w:b/>
        </w:rPr>
      </w:pPr>
      <w:r w:rsidRPr="00FB5B83">
        <w:rPr>
          <w:b/>
          <w:noProof/>
        </w:rPr>
        <w:t>Consultation</w:t>
      </w:r>
    </w:p>
    <w:p w:rsidR="00630D81" w:rsidRDefault="00630D81" w:rsidP="00630D81">
      <w:r w:rsidRPr="000E7A4D">
        <w:t xml:space="preserve">Section 17 of the </w:t>
      </w:r>
      <w:r w:rsidRPr="000E7A4D">
        <w:rPr>
          <w:i/>
        </w:rPr>
        <w:t>Legislation Act 2003</w:t>
      </w:r>
      <w:r w:rsidRPr="000E7A4D">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630D81" w:rsidRDefault="00630D81" w:rsidP="00630D81">
      <w:r w:rsidRPr="000E7A4D">
        <w:t xml:space="preserve">With reference to these requirements, the committee notes that the ES to </w:t>
      </w:r>
      <w:r>
        <w:t xml:space="preserve">each of </w:t>
      </w:r>
      <w:r w:rsidRPr="000E7A4D">
        <w:t xml:space="preserve">the </w:t>
      </w:r>
      <w:r>
        <w:t xml:space="preserve">instruments </w:t>
      </w:r>
      <w:r w:rsidRPr="000E7A4D">
        <w:t>states:</w:t>
      </w:r>
    </w:p>
    <w:p w:rsidR="00630D81" w:rsidRDefault="00630D81" w:rsidP="00630D81">
      <w:pPr>
        <w:pStyle w:val="Quote"/>
        <w:spacing w:before="120"/>
      </w:pPr>
      <w:r w:rsidRPr="000E7A4D">
        <w:t>Austrade conducted extensive stakeholder consultations before remaking this instrument.  All stakeholder responses supported this instrument being remade, unchanged.</w:t>
      </w:r>
    </w:p>
    <w:p w:rsidR="00630D81" w:rsidRDefault="00630D81" w:rsidP="00630D81">
      <w:r>
        <w:t xml:space="preserve">While the committee does not usually interpret </w:t>
      </w:r>
      <w:r w:rsidRPr="000E7A4D">
        <w:t>paragraphs 15J(2)(d) and (e)</w:t>
      </w:r>
      <w:r>
        <w:t xml:space="preserve"> as requiring a highly detailed description of consultation undertaken, it considers that an overly bare or general description is insufficient to satisfy the requirements of the </w:t>
      </w:r>
      <w:r w:rsidRPr="000E7A4D">
        <w:rPr>
          <w:i/>
        </w:rPr>
        <w:t>Legislation Act 2003</w:t>
      </w:r>
      <w:r>
        <w:t xml:space="preserve">. In this case, the committee considers that the ESs for the instruments, while stating that consultation occurred in relation to the making of the instrument, do not describe the </w:t>
      </w:r>
      <w:r w:rsidRPr="00590825">
        <w:rPr>
          <w:i/>
        </w:rPr>
        <w:t>nature</w:t>
      </w:r>
      <w:r>
        <w:t xml:space="preserve"> of the consultation undertaken (such as, for example, the manner and purpose of the consultation; the parties to the consultation; and </w:t>
      </w:r>
      <w:r w:rsidRPr="000E7A4D">
        <w:t>the issues</w:t>
      </w:r>
      <w:r>
        <w:t xml:space="preserve"> </w:t>
      </w:r>
      <w:r w:rsidRPr="000E7A4D">
        <w:t>raised in</w:t>
      </w:r>
      <w:r>
        <w:t>, and outcomes of, the consultation).</w:t>
      </w:r>
    </w:p>
    <w:p w:rsidR="00630D81" w:rsidRDefault="00630D81" w:rsidP="00630D81">
      <w:r>
        <w:t xml:space="preserve">The committee's expectations in this regard are set out in the guideline on consultation contained in Appendix 2. </w:t>
      </w:r>
    </w:p>
    <w:p w:rsidR="00630D81" w:rsidRDefault="00630D81" w:rsidP="00630D81">
      <w:pPr>
        <w:rPr>
          <w:b/>
          <w:noProof/>
        </w:rPr>
      </w:pPr>
      <w:r w:rsidRPr="000E7A4D">
        <w:rPr>
          <w:b/>
        </w:rPr>
        <w:t xml:space="preserve">The committee </w:t>
      </w:r>
      <w:r>
        <w:rPr>
          <w:b/>
        </w:rPr>
        <w:t>draws this matter to the minister's attention</w:t>
      </w:r>
      <w:r w:rsidRPr="000E7A4D">
        <w:rPr>
          <w:b/>
        </w:rPr>
        <w:t>.</w:t>
      </w:r>
    </w:p>
    <w:p w:rsidR="00630D81" w:rsidRPr="00F046EC" w:rsidRDefault="00630D81" w:rsidP="00630D81">
      <w:pPr>
        <w:pStyle w:val="Level1"/>
        <w:numPr>
          <w:ilvl w:val="0"/>
          <w:numId w:val="0"/>
        </w:numPr>
        <w:rPr>
          <w:b/>
          <w:noProof/>
        </w:rPr>
      </w:pPr>
    </w:p>
    <w:tbl>
      <w:tblPr>
        <w:tblW w:w="0" w:type="auto"/>
        <w:tblInd w:w="108" w:type="dxa"/>
        <w:tblLook w:val="04A0" w:firstRow="1" w:lastRow="0" w:firstColumn="1" w:lastColumn="0" w:noHBand="0" w:noVBand="1"/>
      </w:tblPr>
      <w:tblGrid>
        <w:gridCol w:w="2694"/>
        <w:gridCol w:w="6378"/>
      </w:tblGrid>
      <w:tr w:rsidR="00630D81" w:rsidRPr="00164622" w:rsidTr="00630D81">
        <w:tc>
          <w:tcPr>
            <w:tcW w:w="2694" w:type="dxa"/>
            <w:tcBorders>
              <w:top w:val="single" w:sz="12" w:space="0" w:color="auto"/>
              <w:right w:val="single" w:sz="12" w:space="0" w:color="auto"/>
            </w:tcBorders>
          </w:tcPr>
          <w:p w:rsidR="00630D81" w:rsidRPr="00A77228" w:rsidRDefault="00630D81" w:rsidP="00630D81">
            <w:pPr>
              <w:rPr>
                <w:b/>
                <w:sz w:val="24"/>
                <w:szCs w:val="24"/>
              </w:rPr>
            </w:pPr>
            <w:r>
              <w:rPr>
                <w:b/>
                <w:sz w:val="24"/>
                <w:szCs w:val="24"/>
              </w:rPr>
              <w:t>Instrument</w:t>
            </w:r>
          </w:p>
        </w:tc>
        <w:tc>
          <w:tcPr>
            <w:tcW w:w="6378" w:type="dxa"/>
            <w:tcBorders>
              <w:top w:val="single" w:sz="12" w:space="0" w:color="auto"/>
              <w:left w:val="single" w:sz="12" w:space="0" w:color="auto"/>
            </w:tcBorders>
          </w:tcPr>
          <w:p w:rsidR="00630D81" w:rsidRPr="00BA36F8" w:rsidRDefault="00630D81" w:rsidP="00630D81">
            <w:pPr>
              <w:pStyle w:val="Heading3"/>
              <w:rPr>
                <w:sz w:val="24"/>
                <w:szCs w:val="24"/>
              </w:rPr>
            </w:pPr>
            <w:r w:rsidRPr="00FB5B83">
              <w:rPr>
                <w:noProof/>
                <w:sz w:val="24"/>
                <w:szCs w:val="24"/>
              </w:rPr>
              <w:t>Income Tax Assessment Act – Cents per kilometre deduction rate for motor vehicle expenses [F2016L01157]</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Purpose</w:t>
            </w:r>
          </w:p>
        </w:tc>
        <w:tc>
          <w:tcPr>
            <w:tcW w:w="6378" w:type="dxa"/>
            <w:tcBorders>
              <w:left w:val="single" w:sz="12" w:space="0" w:color="auto"/>
            </w:tcBorders>
          </w:tcPr>
          <w:p w:rsidR="00630D81" w:rsidRPr="00A77228" w:rsidRDefault="00630D81" w:rsidP="00630D81">
            <w:pPr>
              <w:rPr>
                <w:sz w:val="24"/>
                <w:szCs w:val="24"/>
              </w:rPr>
            </w:pPr>
            <w:r w:rsidRPr="00FB5B83">
              <w:rPr>
                <w:noProof/>
                <w:sz w:val="24"/>
                <w:szCs w:val="24"/>
              </w:rPr>
              <w:t>Sets the rate at which work-related motor vehicle expense deductions may be claimed in an income year when using the cents per kilometre method</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Last day to disallow</w:t>
            </w:r>
          </w:p>
        </w:tc>
        <w:tc>
          <w:tcPr>
            <w:tcW w:w="6378" w:type="dxa"/>
            <w:tcBorders>
              <w:left w:val="single" w:sz="12" w:space="0" w:color="auto"/>
            </w:tcBorders>
          </w:tcPr>
          <w:p w:rsidR="00630D81" w:rsidRPr="00A77228" w:rsidRDefault="00630D81" w:rsidP="00630D81">
            <w:pPr>
              <w:rPr>
                <w:sz w:val="24"/>
                <w:szCs w:val="24"/>
              </w:rPr>
            </w:pPr>
            <w:r>
              <w:rPr>
                <w:noProof/>
                <w:sz w:val="24"/>
                <w:szCs w:val="24"/>
              </w:rPr>
              <w:t>21 November 2016</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Authorising legislation</w:t>
            </w:r>
          </w:p>
        </w:tc>
        <w:tc>
          <w:tcPr>
            <w:tcW w:w="6378" w:type="dxa"/>
            <w:tcBorders>
              <w:left w:val="single" w:sz="12" w:space="0" w:color="auto"/>
            </w:tcBorders>
          </w:tcPr>
          <w:p w:rsidR="00630D81" w:rsidRPr="00932D1C" w:rsidRDefault="00630D81" w:rsidP="00630D81">
            <w:pPr>
              <w:rPr>
                <w:i/>
                <w:sz w:val="24"/>
                <w:szCs w:val="24"/>
              </w:rPr>
            </w:pPr>
            <w:r w:rsidRPr="00FB5B83">
              <w:rPr>
                <w:i/>
                <w:noProof/>
                <w:sz w:val="24"/>
                <w:szCs w:val="24"/>
              </w:rPr>
              <w:t xml:space="preserve">Income Tax Assessment Act 1997  </w:t>
            </w:r>
          </w:p>
        </w:tc>
      </w:tr>
      <w:tr w:rsidR="00630D81" w:rsidRPr="00164622" w:rsidTr="00630D81">
        <w:tc>
          <w:tcPr>
            <w:tcW w:w="2694" w:type="dxa"/>
            <w:tcBorders>
              <w:right w:val="single" w:sz="12" w:space="0" w:color="auto"/>
            </w:tcBorders>
          </w:tcPr>
          <w:p w:rsidR="00630D81" w:rsidRPr="00A77228" w:rsidRDefault="00630D81" w:rsidP="00630D81">
            <w:pPr>
              <w:rPr>
                <w:b/>
                <w:sz w:val="24"/>
                <w:szCs w:val="24"/>
              </w:rPr>
            </w:pPr>
            <w:r w:rsidRPr="00A77228">
              <w:rPr>
                <w:b/>
                <w:sz w:val="24"/>
                <w:szCs w:val="24"/>
              </w:rPr>
              <w:t>Department</w:t>
            </w:r>
          </w:p>
        </w:tc>
        <w:tc>
          <w:tcPr>
            <w:tcW w:w="6378" w:type="dxa"/>
            <w:tcBorders>
              <w:left w:val="single" w:sz="12" w:space="0" w:color="auto"/>
            </w:tcBorders>
          </w:tcPr>
          <w:p w:rsidR="00630D81" w:rsidRPr="00A77228" w:rsidRDefault="00630D81" w:rsidP="00630D81">
            <w:pPr>
              <w:rPr>
                <w:sz w:val="24"/>
                <w:szCs w:val="24"/>
              </w:rPr>
            </w:pPr>
            <w:r w:rsidRPr="00FB5B83">
              <w:rPr>
                <w:noProof/>
                <w:sz w:val="24"/>
                <w:szCs w:val="24"/>
              </w:rPr>
              <w:t>Treasury</w:t>
            </w:r>
          </w:p>
        </w:tc>
      </w:tr>
      <w:tr w:rsidR="00630D81" w:rsidRPr="00164622" w:rsidTr="00630D81">
        <w:tc>
          <w:tcPr>
            <w:tcW w:w="2694" w:type="dxa"/>
            <w:tcBorders>
              <w:bottom w:val="single" w:sz="12" w:space="0" w:color="auto"/>
              <w:right w:val="single" w:sz="12" w:space="0" w:color="auto"/>
            </w:tcBorders>
          </w:tcPr>
          <w:p w:rsidR="00630D81" w:rsidRPr="00A77228" w:rsidRDefault="00630D81" w:rsidP="00630D81">
            <w:pPr>
              <w:rPr>
                <w:b/>
                <w:sz w:val="24"/>
                <w:szCs w:val="24"/>
              </w:rPr>
            </w:pPr>
            <w:r>
              <w:rPr>
                <w:b/>
                <w:sz w:val="24"/>
                <w:szCs w:val="24"/>
              </w:rPr>
              <w:lastRenderedPageBreak/>
              <w:t>Scrutiny principle</w:t>
            </w:r>
          </w:p>
        </w:tc>
        <w:tc>
          <w:tcPr>
            <w:tcW w:w="6378" w:type="dxa"/>
            <w:tcBorders>
              <w:left w:val="single" w:sz="12" w:space="0" w:color="auto"/>
              <w:bottom w:val="single" w:sz="12" w:space="0" w:color="auto"/>
            </w:tcBorders>
          </w:tcPr>
          <w:p w:rsidR="00630D81" w:rsidRPr="00A77228" w:rsidRDefault="00630D81" w:rsidP="00630D81">
            <w:pPr>
              <w:rPr>
                <w:sz w:val="24"/>
                <w:szCs w:val="24"/>
              </w:rPr>
            </w:pPr>
            <w:r>
              <w:rPr>
                <w:sz w:val="24"/>
                <w:szCs w:val="24"/>
              </w:rPr>
              <w:t>Standing Order 23(3)</w:t>
            </w:r>
            <w:r w:rsidRPr="00FB5B83">
              <w:rPr>
                <w:noProof/>
                <w:sz w:val="24"/>
                <w:szCs w:val="24"/>
              </w:rPr>
              <w:t>(a)</w:t>
            </w:r>
          </w:p>
        </w:tc>
      </w:tr>
    </w:tbl>
    <w:p w:rsidR="00630D81" w:rsidRDefault="00630D81" w:rsidP="00630D81"/>
    <w:p w:rsidR="00630D81" w:rsidRDefault="00630D81" w:rsidP="00630D81">
      <w:pPr>
        <w:rPr>
          <w:b/>
          <w:noProof/>
        </w:rPr>
      </w:pPr>
      <w:r>
        <w:rPr>
          <w:b/>
          <w:noProof/>
        </w:rPr>
        <w:t>Commencement before registration on the Federal Register of Legislation</w:t>
      </w:r>
    </w:p>
    <w:p w:rsidR="00630D81" w:rsidRDefault="00630D81" w:rsidP="00630D81">
      <w:pPr>
        <w:rPr>
          <w:noProof/>
        </w:rPr>
      </w:pPr>
      <w:r>
        <w:rPr>
          <w:noProof/>
        </w:rPr>
        <w:t xml:space="preserve">The </w:t>
      </w:r>
      <w:r w:rsidRPr="007E0CC1">
        <w:rPr>
          <w:noProof/>
          <w:szCs w:val="26"/>
        </w:rPr>
        <w:t xml:space="preserve">Income Tax Assessment Act – Cents per kilometre deduction rate for motor vehicle expenses [F2016L01157] (the instrument) </w:t>
      </w:r>
      <w:r>
        <w:rPr>
          <w:noProof/>
        </w:rPr>
        <w:t>sets a</w:t>
      </w:r>
      <w:r w:rsidRPr="00FD227F">
        <w:rPr>
          <w:noProof/>
        </w:rPr>
        <w:t xml:space="preserve"> rate</w:t>
      </w:r>
      <w:r>
        <w:rPr>
          <w:noProof/>
        </w:rPr>
        <w:t xml:space="preserve"> for taxpayers to claim</w:t>
      </w:r>
      <w:r w:rsidRPr="00FD227F">
        <w:rPr>
          <w:noProof/>
        </w:rPr>
        <w:t xml:space="preserve"> work-related motor vehicle expense deductions </w:t>
      </w:r>
      <w:r>
        <w:rPr>
          <w:noProof/>
        </w:rPr>
        <w:t xml:space="preserve">in an income year. The instrument commenced on 1 July 2016 but was registered on the Federal Register of Legislation on 4 July 2016. </w:t>
      </w:r>
    </w:p>
    <w:p w:rsidR="00630D81" w:rsidRDefault="00630D81" w:rsidP="00630D81">
      <w:pPr>
        <w:rPr>
          <w:noProof/>
        </w:rPr>
      </w:pPr>
      <w:r>
        <w:rPr>
          <w:noProof/>
        </w:rPr>
        <w:t xml:space="preserve">Subsection 12(2) of the </w:t>
      </w:r>
      <w:r>
        <w:rPr>
          <w:i/>
          <w:noProof/>
        </w:rPr>
        <w:t>Legislation Act 2003</w:t>
      </w:r>
      <w:r>
        <w:rPr>
          <w:noProof/>
        </w:rPr>
        <w:t xml:space="preserve"> provides that </w:t>
      </w:r>
      <w:r w:rsidRPr="00FD227F">
        <w:rPr>
          <w:noProof/>
        </w:rPr>
        <w:t xml:space="preserve">a </w:t>
      </w:r>
      <w:r>
        <w:rPr>
          <w:noProof/>
        </w:rPr>
        <w:t xml:space="preserve">provision of an </w:t>
      </w:r>
      <w:r w:rsidRPr="00FD227F">
        <w:rPr>
          <w:noProof/>
        </w:rPr>
        <w:t>instrument is of no effect if it would disadvantage the rights of a person (other than the Commonwealth) or impose a liability on a person (other than</w:t>
      </w:r>
      <w:r>
        <w:rPr>
          <w:noProof/>
        </w:rPr>
        <w:t xml:space="preserve"> the Commonwealth) for an act or omission before the instrument's date of registration. Accordingly, the committee's usual expectation where an instrument commences before it is registered is that its ES explicitly address the question of whether the instrument would disadvantage any person other than the Commonwealth.</w:t>
      </w:r>
    </w:p>
    <w:p w:rsidR="00630D81" w:rsidRDefault="00630D81" w:rsidP="00630D81">
      <w:pPr>
        <w:rPr>
          <w:noProof/>
        </w:rPr>
      </w:pPr>
      <w:r>
        <w:rPr>
          <w:noProof/>
        </w:rPr>
        <w:t>However, in this case the committee notes that the instrument appears to be beneficial in its effect as it allows</w:t>
      </w:r>
      <w:r w:rsidRPr="00DC482E">
        <w:rPr>
          <w:noProof/>
        </w:rPr>
        <w:t xml:space="preserve"> eligible taxpayers </w:t>
      </w:r>
      <w:r>
        <w:rPr>
          <w:noProof/>
        </w:rPr>
        <w:t>to</w:t>
      </w:r>
      <w:r w:rsidRPr="00DC482E">
        <w:rPr>
          <w:noProof/>
        </w:rPr>
        <w:t xml:space="preserve"> elect to use the cents per kilometre method when calculating</w:t>
      </w:r>
      <w:r>
        <w:rPr>
          <w:noProof/>
        </w:rPr>
        <w:t xml:space="preserve"> relevant</w:t>
      </w:r>
      <w:r w:rsidRPr="00DC482E">
        <w:rPr>
          <w:noProof/>
        </w:rPr>
        <w:t xml:space="preserve"> income tax deductions</w:t>
      </w:r>
      <w:r>
        <w:rPr>
          <w:noProof/>
        </w:rPr>
        <w:t xml:space="preserve">. </w:t>
      </w:r>
    </w:p>
    <w:p w:rsidR="00630D81" w:rsidRPr="00FD227F" w:rsidRDefault="00630D81" w:rsidP="00630D81">
      <w:pPr>
        <w:rPr>
          <w:b/>
          <w:noProof/>
        </w:rPr>
      </w:pPr>
      <w:r w:rsidRPr="00FD227F">
        <w:rPr>
          <w:b/>
          <w:noProof/>
        </w:rPr>
        <w:t>The committee draws this matter to the minister's attention.</w:t>
      </w:r>
    </w:p>
    <w:p w:rsidR="00630D81" w:rsidRDefault="00630D81" w:rsidP="00630D81">
      <w:pPr>
        <w:rPr>
          <w:noProof/>
        </w:rPr>
      </w:pPr>
    </w:p>
    <w:p w:rsidR="00630D81" w:rsidRPr="00FC4C2F" w:rsidRDefault="00630D81" w:rsidP="00630D81">
      <w:pPr>
        <w:pStyle w:val="Heading3"/>
        <w:rPr>
          <w:i/>
        </w:rPr>
      </w:pPr>
      <w:r w:rsidRPr="00075F16">
        <w:t xml:space="preserve">Multiple instruments </w:t>
      </w:r>
      <w:r w:rsidRPr="00E35D4F">
        <w:t xml:space="preserve">that appear to rely on section </w:t>
      </w:r>
      <w:r>
        <w:t>10</w:t>
      </w:r>
      <w:r w:rsidRPr="00E35D4F">
        <w:t xml:space="preserve"> of the </w:t>
      </w:r>
      <w:r>
        <w:rPr>
          <w:i/>
        </w:rPr>
        <w:t>Acts Interpretation Act 1901</w:t>
      </w:r>
      <w:r>
        <w:t xml:space="preserve"> (as applied by paragraph 13(1)(a) of the </w:t>
      </w:r>
      <w:r>
        <w:rPr>
          <w:i/>
        </w:rPr>
        <w:t>Legislation Act 2003)</w:t>
      </w:r>
    </w:p>
    <w:tbl>
      <w:tblPr>
        <w:tblStyle w:val="TableGrid"/>
        <w:tblW w:w="0" w:type="auto"/>
        <w:tblInd w:w="108" w:type="dxa"/>
        <w:tblLook w:val="04A0" w:firstRow="1" w:lastRow="0" w:firstColumn="1" w:lastColumn="0" w:noHBand="0" w:noVBand="1"/>
      </w:tblPr>
      <w:tblGrid>
        <w:gridCol w:w="2694"/>
        <w:gridCol w:w="6378"/>
      </w:tblGrid>
      <w:tr w:rsidR="00630D81" w:rsidRPr="002C1F31" w:rsidTr="00630D81">
        <w:tc>
          <w:tcPr>
            <w:tcW w:w="2694" w:type="dxa"/>
            <w:tcBorders>
              <w:top w:val="single" w:sz="12" w:space="0" w:color="auto"/>
              <w:left w:val="nil"/>
              <w:bottom w:val="nil"/>
              <w:right w:val="single" w:sz="12" w:space="0" w:color="auto"/>
            </w:tcBorders>
          </w:tcPr>
          <w:p w:rsidR="00630D81" w:rsidRPr="002C1F31" w:rsidRDefault="00630D81" w:rsidP="00630D81">
            <w:pPr>
              <w:spacing w:before="24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630D81" w:rsidRPr="00A637AE" w:rsidRDefault="00630D81" w:rsidP="00630D81">
            <w:pPr>
              <w:rPr>
                <w:sz w:val="22"/>
              </w:rPr>
            </w:pPr>
            <w:r w:rsidRPr="00A637AE">
              <w:rPr>
                <w:sz w:val="22"/>
              </w:rPr>
              <w:t>Aboriginal Land Grant (Jervis Bay Territory) By-Laws 2016 [F2016L00619]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Aged Care (Subsidy, Fees and Payments) Amendment (Short-term Restorative Care) Determination 2016 [F2016L00674]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Aged Care (Transitional Provisions) (Subsidy and Other Measures) Amendment (Short-term Restorative Care) Determination 2016 [F2016L00663]</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Aged Care Legislation Amendment (Short-term Restorative Care) Principles 2016 [F2016L00670]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ASIC Corporations (Derivative Transaction Reporting Exemption) Instrument 2016/0688 [F2016L01280]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Authorised Deposit-taking Institutions Supervisory Levy Imposition Determination 2016 [F2016L01159]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Biosecurity (Consequential Amendments and Transitional Provisions) Regulation 2016 [F2016L00717]</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Biosecurity Charges Imposition (Customs) Regulation 2016 [F2016L00723]</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Biosecurity Charges Imposition (General) Regulation 2016 [F2016L00727]</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General Insurance Supervisory Levy Imposition Determination 2016 [F2016L01155]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Health Insurance (General Medical Services Table) Regulation 2016 [F2016L00769]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Life Insurance Supervisory Levy Imposition Determination 2016 [F2016L01164]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National Disability Insurance Scheme (Facilitating the Preparation of Participants' Plans—New South Wales) Rules 2016 [F2016L00791</w:t>
            </w:r>
            <w:r>
              <w:rPr>
                <w:sz w:val="22"/>
              </w:rPr>
              <w:t>]</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National Disability Insurance Scheme (Facilitating the Preparation of Participants' Plans—Victoria) Rules 2016 [F2016L00794]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National Disability Insurance Scheme (Facilitating the Preparation of Participants' Plans—Tasmania) Rules 2016 [F2016L00795]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National Disability Insurance Scheme (Facilitating the Preparation of Participants' Plans—South Australia) Amendment Rules 2016 [F2016L00796]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National Disability Insurance Scheme (Timeframes for Decision Making) Amendment Rules 2016 [F2016L00545]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National Greenhouse and Energy Reporting (Measurement) Amendment Determination 2016 (No. 1) [F2016L00809]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National Health (Epworth and Cabrini Private Hospitals Paperless Prescribing and Claiming Trial) Special Arrangement 2016 (PB 28 of 2016) [F2016L01234]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National Health (Multiple Hospitals Paperless Claiming Trial) Special Arrangement 2016 (PB 59 of 2016) [F2016L01106]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Superannuation Supervisory Levy Imposition Determination 2016 [F2016L01156]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Therapeutic Goods (Permissible Ingredients) Determination No. 2 of 2016 [F2016L01253]</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Therapeutic Goods Order No. 91 - Standard for labels of prescription and related medicines [F2016L01285]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637AE" w:rsidRDefault="00630D81" w:rsidP="00630D81">
            <w:pPr>
              <w:rPr>
                <w:sz w:val="22"/>
              </w:rPr>
            </w:pPr>
            <w:r w:rsidRPr="00A637AE">
              <w:rPr>
                <w:sz w:val="22"/>
              </w:rPr>
              <w:t>Therapeutic Goods Order No. 92 - Standard for labels of non-prescription medicines [F2016L01287]</w:t>
            </w:r>
          </w:p>
        </w:tc>
      </w:tr>
      <w:tr w:rsidR="00630D81" w:rsidRPr="002C1F31" w:rsidTr="00630D81">
        <w:tc>
          <w:tcPr>
            <w:tcW w:w="2694" w:type="dxa"/>
            <w:tcBorders>
              <w:top w:val="nil"/>
              <w:left w:val="nil"/>
              <w:bottom w:val="single" w:sz="12" w:space="0" w:color="auto"/>
              <w:right w:val="single" w:sz="12" w:space="0" w:color="auto"/>
            </w:tcBorders>
          </w:tcPr>
          <w:p w:rsidR="00630D81" w:rsidRPr="002C1F31" w:rsidRDefault="00630D81" w:rsidP="00630D81">
            <w:pPr>
              <w:rPr>
                <w:sz w:val="22"/>
                <w:szCs w:val="22"/>
              </w:rPr>
            </w:pPr>
            <w:r>
              <w:rPr>
                <w:b/>
                <w:sz w:val="24"/>
                <w:szCs w:val="24"/>
              </w:rPr>
              <w:lastRenderedPageBreak/>
              <w:t>Scrutiny principle</w:t>
            </w:r>
          </w:p>
        </w:tc>
        <w:tc>
          <w:tcPr>
            <w:tcW w:w="6378" w:type="dxa"/>
            <w:tcBorders>
              <w:top w:val="nil"/>
              <w:left w:val="single" w:sz="12" w:space="0" w:color="auto"/>
              <w:bottom w:val="single" w:sz="12" w:space="0" w:color="auto"/>
              <w:right w:val="nil"/>
            </w:tcBorders>
          </w:tcPr>
          <w:p w:rsidR="00630D81" w:rsidRPr="002C1F31" w:rsidRDefault="00630D81" w:rsidP="00630D81">
            <w:pPr>
              <w:rPr>
                <w:sz w:val="22"/>
                <w:szCs w:val="22"/>
              </w:rPr>
            </w:pPr>
            <w:r>
              <w:rPr>
                <w:noProof/>
                <w:sz w:val="24"/>
                <w:szCs w:val="24"/>
              </w:rPr>
              <w:t>Standing Order 23(3)(a)</w:t>
            </w:r>
          </w:p>
        </w:tc>
      </w:tr>
    </w:tbl>
    <w:p w:rsidR="00630D81" w:rsidRDefault="00630D81" w:rsidP="00630D81">
      <w:pPr>
        <w:rPr>
          <w:b/>
        </w:rPr>
      </w:pPr>
    </w:p>
    <w:p w:rsidR="00630D81" w:rsidRDefault="00630D81" w:rsidP="00630D81">
      <w:pPr>
        <w:rPr>
          <w:b/>
        </w:rPr>
      </w:pPr>
      <w:r>
        <w:rPr>
          <w:b/>
        </w:rPr>
        <w:t>Incorporation of Commonwealth disallowable legislative instruments</w:t>
      </w:r>
    </w:p>
    <w:p w:rsidR="00630D81" w:rsidRDefault="00630D81" w:rsidP="00630D81">
      <w:r w:rsidRPr="00327EE3">
        <w:t xml:space="preserve">Section 14 of the </w:t>
      </w:r>
      <w:r w:rsidRPr="00327EE3">
        <w:rPr>
          <w:i/>
        </w:rPr>
        <w:t>Legislation Act 2003</w:t>
      </w:r>
      <w:r w:rsidRPr="00327EE3">
        <w:t xml:space="preserve"> allows legislative instruments to make provision in relation to matters by incorporating Acts and disallowable legislative instruments, </w:t>
      </w:r>
      <w:r>
        <w:t xml:space="preserve">either </w:t>
      </w:r>
      <w:r w:rsidRPr="00327EE3">
        <w:t xml:space="preserve">as in force at a particular time or as in force from time to time. </w:t>
      </w:r>
    </w:p>
    <w:p w:rsidR="00630D81" w:rsidRDefault="00630D81" w:rsidP="00630D81">
      <w:r>
        <w:t>The instruments identified above incorporate Commonwealth disallowable instruments. However, neither the text of the instruments nor their accompanying ESs state the manner in which they are incorporated.</w:t>
      </w:r>
    </w:p>
    <w:p w:rsidR="00630D81" w:rsidRDefault="00630D81" w:rsidP="00630D81">
      <w:r>
        <w:t xml:space="preserve">The committee acknowledges that </w:t>
      </w:r>
      <w:r w:rsidRPr="00327EE3">
        <w:t xml:space="preserve">section 10 of the </w:t>
      </w:r>
      <w:r w:rsidRPr="00327EE3">
        <w:rPr>
          <w:i/>
        </w:rPr>
        <w:t xml:space="preserve">Acts Interpretation Act 1901 </w:t>
      </w:r>
      <w:r w:rsidRPr="00327EE3">
        <w:t>(as applied by paragraph 13(1)(a) of the</w:t>
      </w:r>
      <w:r w:rsidRPr="00327EE3">
        <w:rPr>
          <w:i/>
        </w:rPr>
        <w:t xml:space="preserve"> Legislation Act 2003</w:t>
      </w:r>
      <w:r w:rsidRPr="00327EE3">
        <w:t>) has the effect that references to Commonwealth disallowable instruments can be taken to be references to versions of those instruments as in force from time to time.</w:t>
      </w:r>
    </w:p>
    <w:p w:rsidR="00630D81" w:rsidRDefault="00630D81" w:rsidP="00630D81">
      <w:r>
        <w:t>However, the committee expects instruments to clearly state the manner of incorporation (that is, either as in force from time to time or as in force at a particular time). This enables persons interested in or affected by an instrument to understand its operation, without the need to rely on specialist legal knowledge or advice, or consult extrinsic material.</w:t>
      </w:r>
    </w:p>
    <w:p w:rsidR="00630D81" w:rsidRDefault="00630D81" w:rsidP="00630D81">
      <w:r>
        <w:t xml:space="preserve">The committee therefore considers that, notwithstanding the operation of section 10 of the </w:t>
      </w:r>
      <w:r w:rsidRPr="00327EE3">
        <w:rPr>
          <w:i/>
        </w:rPr>
        <w:t>Acts Interpretation Act 1901</w:t>
      </w:r>
      <w:r>
        <w:t xml:space="preserve"> (as applied by paragraph 13(1)(a) of the </w:t>
      </w:r>
      <w:r w:rsidRPr="00327EE3">
        <w:rPr>
          <w:i/>
        </w:rPr>
        <w:t>Legislation Act 2003</w:t>
      </w:r>
      <w:r>
        <w:t>), and in the interests of promoting clarity and intelligibility of an instrument to persons interested in or affected by an instrument, instruments (and ideally their accompanying ESs) should clearly state the manner in which Commonwealth disallowable legislative instruments are incorporated.</w:t>
      </w:r>
    </w:p>
    <w:p w:rsidR="00630D81" w:rsidRPr="00560FA9" w:rsidRDefault="00630D81" w:rsidP="00630D81">
      <w:pPr>
        <w:rPr>
          <w:b/>
        </w:rPr>
      </w:pPr>
      <w:r w:rsidRPr="00560FA9">
        <w:rPr>
          <w:b/>
        </w:rPr>
        <w:t xml:space="preserve">The committee draws this matter to the attention of ministers. </w:t>
      </w:r>
    </w:p>
    <w:p w:rsidR="00630D81" w:rsidRDefault="00630D81" w:rsidP="00630D81">
      <w:pPr>
        <w:rPr>
          <w:noProof/>
        </w:rPr>
      </w:pPr>
    </w:p>
    <w:p w:rsidR="00630D81" w:rsidRDefault="00630D81" w:rsidP="00630D81">
      <w:pPr>
        <w:pStyle w:val="Heading3"/>
        <w:rPr>
          <w:i/>
        </w:rPr>
      </w:pPr>
      <w:r w:rsidRPr="00075F16">
        <w:t xml:space="preserve">Multiple instruments </w:t>
      </w:r>
      <w:r w:rsidRPr="00E35D4F">
        <w:t xml:space="preserve">that appear to rely on subsection </w:t>
      </w:r>
      <w:r>
        <w:t>4</w:t>
      </w:r>
      <w:r w:rsidRPr="00E35D4F">
        <w:t>(</w:t>
      </w:r>
      <w:r>
        <w:t>2</w:t>
      </w:r>
      <w:r w:rsidRPr="00E35D4F">
        <w:t xml:space="preserve">) of the </w:t>
      </w:r>
      <w:r w:rsidRPr="00D66E0A">
        <w:rPr>
          <w:i/>
        </w:rPr>
        <w:t xml:space="preserve">Acts Interpretation </w:t>
      </w:r>
      <w:r>
        <w:rPr>
          <w:i/>
        </w:rPr>
        <w:t>Act 1901</w:t>
      </w:r>
    </w:p>
    <w:tbl>
      <w:tblPr>
        <w:tblStyle w:val="TableGrid"/>
        <w:tblW w:w="0" w:type="auto"/>
        <w:tblInd w:w="108" w:type="dxa"/>
        <w:tblLook w:val="04A0" w:firstRow="1" w:lastRow="0" w:firstColumn="1" w:lastColumn="0" w:noHBand="0" w:noVBand="1"/>
      </w:tblPr>
      <w:tblGrid>
        <w:gridCol w:w="2694"/>
        <w:gridCol w:w="6378"/>
      </w:tblGrid>
      <w:tr w:rsidR="00630D81" w:rsidRPr="002C1F31" w:rsidTr="00630D81">
        <w:tc>
          <w:tcPr>
            <w:tcW w:w="2694" w:type="dxa"/>
            <w:tcBorders>
              <w:top w:val="single" w:sz="12" w:space="0" w:color="auto"/>
              <w:left w:val="nil"/>
              <w:bottom w:val="nil"/>
              <w:right w:val="single" w:sz="12" w:space="0" w:color="auto"/>
            </w:tcBorders>
          </w:tcPr>
          <w:p w:rsidR="00630D81" w:rsidRPr="002C1F31" w:rsidRDefault="00630D81" w:rsidP="00630D81">
            <w:pPr>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630D81" w:rsidRPr="00B80F8D" w:rsidRDefault="00630D81" w:rsidP="00630D81">
            <w:pPr>
              <w:rPr>
                <w:sz w:val="22"/>
              </w:rPr>
            </w:pPr>
            <w:r w:rsidRPr="00D371CD">
              <w:rPr>
                <w:sz w:val="22"/>
              </w:rPr>
              <w:t>Australian Crime Commission (National Policing Information Charges) Determination 2016 [F2016L00678]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2822F0">
              <w:rPr>
                <w:sz w:val="22"/>
              </w:rPr>
              <w:t>Biosecurity (Acceptable Ballast Water Exchange Area) Declaration 2016 [F2016L00860]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2822F0">
              <w:rPr>
                <w:sz w:val="22"/>
              </w:rPr>
              <w:t>Biosecurity (Entry Requirements) Determination 2016 [F2016L00811]</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2822F0">
              <w:rPr>
                <w:sz w:val="22"/>
              </w:rPr>
              <w:t xml:space="preserve">Biosecurity (Exposed Conveyances—Exceptions from Biosecurity </w:t>
            </w:r>
            <w:r w:rsidRPr="002822F0">
              <w:rPr>
                <w:sz w:val="22"/>
              </w:rPr>
              <w:lastRenderedPageBreak/>
              <w:t>Control) Determination 2016 [F2016L00851]</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2822F0" w:rsidRDefault="00630D81" w:rsidP="00630D81">
            <w:pPr>
              <w:rPr>
                <w:sz w:val="22"/>
              </w:rPr>
            </w:pPr>
            <w:r w:rsidRPr="00D371CD">
              <w:rPr>
                <w:sz w:val="22"/>
              </w:rPr>
              <w:t>Biosecurity (Human Health) Regulation 2016 [F2016L00719]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2822F0">
              <w:rPr>
                <w:sz w:val="22"/>
              </w:rPr>
              <w:t>Biosecurity (Methods of Ballast Water Management) Approval 2016 [F2016L00858]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2822F0">
              <w:rPr>
                <w:sz w:val="22"/>
              </w:rPr>
              <w:t>Biosecurity (Reportable Biosecurity Incidents) Determination 2016 [F2016L00853]</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2822F0">
              <w:rPr>
                <w:sz w:val="22"/>
              </w:rPr>
              <w:t>Biosecurity Regulation 2016 [F2016L00756]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2822F0">
              <w:rPr>
                <w:sz w:val="22"/>
              </w:rPr>
              <w:t>Defence (Payments to ADF Cadets) Determination 2016 [F2016L01098]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2822F0">
              <w:rPr>
                <w:sz w:val="22"/>
              </w:rPr>
              <w:t>Parliamentary Injury Compensation Scheme Instrument 2016 [F2016L00652]</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2822F0" w:rsidRDefault="00630D81" w:rsidP="00630D81">
            <w:pPr>
              <w:rPr>
                <w:sz w:val="22"/>
              </w:rPr>
            </w:pPr>
            <w:r w:rsidRPr="00D371CD">
              <w:rPr>
                <w:sz w:val="22"/>
              </w:rPr>
              <w:t>Part 21 Manual of Standards Instrument 2016 [F2016L00915]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2822F0">
              <w:rPr>
                <w:sz w:val="22"/>
              </w:rPr>
              <w:t>Part 45 Manual of Standards Instrument 2016 [F2016L00850]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2822F0" w:rsidRDefault="00630D81" w:rsidP="00630D81">
            <w:pPr>
              <w:rPr>
                <w:sz w:val="22"/>
              </w:rPr>
            </w:pPr>
            <w:r w:rsidRPr="002822F0">
              <w:rPr>
                <w:sz w:val="22"/>
              </w:rPr>
              <w:t>Social Security (New Apprentice) Determination 2016 [F2016L00772]</w:t>
            </w:r>
          </w:p>
        </w:tc>
      </w:tr>
      <w:tr w:rsidR="00630D81" w:rsidRPr="002C1F31" w:rsidTr="00630D81">
        <w:tc>
          <w:tcPr>
            <w:tcW w:w="2694" w:type="dxa"/>
            <w:tcBorders>
              <w:top w:val="nil"/>
              <w:left w:val="nil"/>
              <w:bottom w:val="single" w:sz="12" w:space="0" w:color="auto"/>
              <w:right w:val="single" w:sz="12" w:space="0" w:color="auto"/>
            </w:tcBorders>
          </w:tcPr>
          <w:p w:rsidR="00630D81" w:rsidRPr="002C1F31" w:rsidRDefault="00630D81" w:rsidP="00630D81">
            <w:pPr>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630D81" w:rsidRPr="002C1F31" w:rsidRDefault="00630D81" w:rsidP="00630D81">
            <w:pPr>
              <w:rPr>
                <w:sz w:val="22"/>
                <w:szCs w:val="22"/>
              </w:rPr>
            </w:pPr>
            <w:r>
              <w:rPr>
                <w:noProof/>
                <w:sz w:val="24"/>
                <w:szCs w:val="24"/>
              </w:rPr>
              <w:t>Standing Order 23(3)(a)</w:t>
            </w:r>
          </w:p>
        </w:tc>
      </w:tr>
    </w:tbl>
    <w:p w:rsidR="00630D81" w:rsidRPr="006F66FE" w:rsidRDefault="001D663A" w:rsidP="00630D81">
      <w:pPr>
        <w:rPr>
          <w:b/>
          <w:i/>
        </w:rPr>
      </w:pPr>
      <w:r>
        <w:rPr>
          <w:b/>
        </w:rPr>
        <w:br/>
      </w:r>
      <w:r w:rsidR="00630D81" w:rsidRPr="00751A21">
        <w:rPr>
          <w:b/>
        </w:rPr>
        <w:t>Drafting</w:t>
      </w:r>
    </w:p>
    <w:p w:rsidR="00630D81" w:rsidRPr="007177BB" w:rsidRDefault="00630D81" w:rsidP="00630D81">
      <w:pPr>
        <w:rPr>
          <w:iCs/>
          <w:noProof/>
        </w:rPr>
      </w:pPr>
      <w:r>
        <w:t>The</w:t>
      </w:r>
      <w:r w:rsidRPr="00E35D4F">
        <w:t xml:space="preserve"> instruments</w:t>
      </w:r>
      <w:r>
        <w:t xml:space="preserve"> identified above were made in reliance on empowering provisions that had not yet commenced. </w:t>
      </w:r>
      <w:r w:rsidRPr="007177BB">
        <w:rPr>
          <w:iCs/>
          <w:noProof/>
        </w:rPr>
        <w:t>While this approach is authorised by subsection</w:t>
      </w:r>
      <w:r>
        <w:rPr>
          <w:iCs/>
          <w:noProof/>
        </w:rPr>
        <w:t> </w:t>
      </w:r>
      <w:r w:rsidRPr="007177BB">
        <w:rPr>
          <w:iCs/>
          <w:noProof/>
        </w:rPr>
        <w:t xml:space="preserve">4(2) of the </w:t>
      </w:r>
      <w:r w:rsidRPr="007177BB">
        <w:rPr>
          <w:i/>
          <w:iCs/>
          <w:noProof/>
        </w:rPr>
        <w:t>Acts Interpretation Act 1901</w:t>
      </w:r>
      <w:r w:rsidRPr="007177BB">
        <w:rPr>
          <w:iCs/>
          <w:noProof/>
        </w:rPr>
        <w:t xml:space="preserve"> (which allows, in certain circumstances, the making of legislative instruments in anticipation of the commencement of relevant empowering provisions),</w:t>
      </w:r>
      <w:r>
        <w:rPr>
          <w:iCs/>
          <w:noProof/>
        </w:rPr>
        <w:t xml:space="preserve"> the ESs </w:t>
      </w:r>
      <w:r w:rsidRPr="007177BB">
        <w:rPr>
          <w:iCs/>
          <w:noProof/>
        </w:rPr>
        <w:t>to the</w:t>
      </w:r>
      <w:r>
        <w:rPr>
          <w:iCs/>
          <w:noProof/>
        </w:rPr>
        <w:t xml:space="preserve"> instruments</w:t>
      </w:r>
      <w:r w:rsidRPr="007177BB">
        <w:rPr>
          <w:iCs/>
          <w:noProof/>
        </w:rPr>
        <w:t xml:space="preserve"> do not identify the relevance of subsection</w:t>
      </w:r>
      <w:r>
        <w:rPr>
          <w:iCs/>
          <w:noProof/>
        </w:rPr>
        <w:t> </w:t>
      </w:r>
      <w:r w:rsidRPr="007177BB">
        <w:rPr>
          <w:iCs/>
          <w:noProof/>
        </w:rPr>
        <w:t>4(2) to the</w:t>
      </w:r>
      <w:r>
        <w:rPr>
          <w:iCs/>
          <w:noProof/>
        </w:rPr>
        <w:t>ir operation.</w:t>
      </w:r>
      <w:r w:rsidRPr="007177BB">
        <w:rPr>
          <w:iCs/>
          <w:noProof/>
        </w:rPr>
        <w:t xml:space="preserve"> </w:t>
      </w:r>
    </w:p>
    <w:p w:rsidR="00630D81" w:rsidRPr="007177BB" w:rsidRDefault="00630D81" w:rsidP="00630D81">
      <w:pPr>
        <w:rPr>
          <w:iCs/>
          <w:noProof/>
        </w:rPr>
      </w:pPr>
      <w:r w:rsidRPr="007177BB">
        <w:rPr>
          <w:iCs/>
          <w:noProof/>
        </w:rPr>
        <w:t>The committee considers that, in the interests of promoting cl</w:t>
      </w:r>
      <w:r>
        <w:rPr>
          <w:iCs/>
          <w:noProof/>
        </w:rPr>
        <w:t xml:space="preserve">arity and intelligibility of </w:t>
      </w:r>
      <w:r w:rsidRPr="007177BB">
        <w:rPr>
          <w:iCs/>
          <w:noProof/>
        </w:rPr>
        <w:t>instrument</w:t>
      </w:r>
      <w:r>
        <w:rPr>
          <w:iCs/>
          <w:noProof/>
        </w:rPr>
        <w:t>s</w:t>
      </w:r>
      <w:r w:rsidRPr="007177BB">
        <w:rPr>
          <w:iCs/>
          <w:noProof/>
        </w:rPr>
        <w:t xml:space="preserve"> to anticipated users, any such reliance on subsection 4(2) of the </w:t>
      </w:r>
      <w:r w:rsidRPr="007177BB">
        <w:rPr>
          <w:i/>
          <w:iCs/>
          <w:noProof/>
        </w:rPr>
        <w:t>Acts</w:t>
      </w:r>
      <w:r>
        <w:rPr>
          <w:i/>
          <w:iCs/>
          <w:noProof/>
        </w:rPr>
        <w:t> </w:t>
      </w:r>
      <w:r w:rsidRPr="007177BB">
        <w:rPr>
          <w:i/>
          <w:iCs/>
          <w:noProof/>
        </w:rPr>
        <w:t>Interpretation Act 1901</w:t>
      </w:r>
      <w:r w:rsidRPr="007177BB">
        <w:rPr>
          <w:iCs/>
          <w:noProof/>
        </w:rPr>
        <w:t xml:space="preserve"> should be clearly identified in the accompanying ES</w:t>
      </w:r>
      <w:r>
        <w:rPr>
          <w:iCs/>
          <w:noProof/>
        </w:rPr>
        <w:t>s</w:t>
      </w:r>
      <w:r w:rsidRPr="007177BB">
        <w:rPr>
          <w:iCs/>
          <w:noProof/>
        </w:rPr>
        <w:t xml:space="preserve">. </w:t>
      </w:r>
    </w:p>
    <w:p w:rsidR="00630D81" w:rsidRPr="00560FA9" w:rsidRDefault="00630D81" w:rsidP="00630D81">
      <w:pPr>
        <w:rPr>
          <w:b/>
        </w:rPr>
      </w:pPr>
      <w:r w:rsidRPr="00560FA9">
        <w:rPr>
          <w:b/>
        </w:rPr>
        <w:t xml:space="preserve">The committee draws this matter to the attention of ministers. </w:t>
      </w:r>
    </w:p>
    <w:p w:rsidR="00630D81" w:rsidRDefault="00630D81" w:rsidP="00630D81"/>
    <w:p w:rsidR="00630D81" w:rsidRDefault="00630D81" w:rsidP="00630D81">
      <w:pPr>
        <w:pStyle w:val="Heading3"/>
        <w:rPr>
          <w:i/>
        </w:rPr>
      </w:pPr>
      <w:r w:rsidRPr="00075F16">
        <w:t xml:space="preserve">Multiple instruments </w:t>
      </w:r>
      <w:r w:rsidRPr="00E35D4F">
        <w:t xml:space="preserve">that appear to rely on subsection 33(3) of the </w:t>
      </w:r>
      <w:r w:rsidRPr="00D66E0A">
        <w:rPr>
          <w:i/>
        </w:rPr>
        <w:t xml:space="preserve">Acts Interpretation </w:t>
      </w:r>
      <w:r>
        <w:rPr>
          <w:i/>
        </w:rPr>
        <w:t>Act 1901</w:t>
      </w:r>
    </w:p>
    <w:tbl>
      <w:tblPr>
        <w:tblStyle w:val="TableGrid"/>
        <w:tblW w:w="0" w:type="auto"/>
        <w:tblInd w:w="108" w:type="dxa"/>
        <w:tblLook w:val="04A0" w:firstRow="1" w:lastRow="0" w:firstColumn="1" w:lastColumn="0" w:noHBand="0" w:noVBand="1"/>
      </w:tblPr>
      <w:tblGrid>
        <w:gridCol w:w="2694"/>
        <w:gridCol w:w="6378"/>
      </w:tblGrid>
      <w:tr w:rsidR="00630D81" w:rsidRPr="002C1F31" w:rsidTr="00630D81">
        <w:tc>
          <w:tcPr>
            <w:tcW w:w="2694" w:type="dxa"/>
            <w:tcBorders>
              <w:top w:val="single" w:sz="12" w:space="0" w:color="auto"/>
              <w:left w:val="nil"/>
              <w:bottom w:val="nil"/>
              <w:right w:val="single" w:sz="12" w:space="0" w:color="auto"/>
            </w:tcBorders>
          </w:tcPr>
          <w:p w:rsidR="00630D81" w:rsidRPr="002C1F31" w:rsidRDefault="00630D81" w:rsidP="00630D81">
            <w:pPr>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630D81" w:rsidRPr="00B80F8D" w:rsidRDefault="00630D81" w:rsidP="00630D81">
            <w:pPr>
              <w:rPr>
                <w:sz w:val="22"/>
              </w:rPr>
            </w:pPr>
            <w:r w:rsidRPr="00B80F8D">
              <w:rPr>
                <w:sz w:val="22"/>
              </w:rPr>
              <w:t>Admiralty Amendment Rules 2016 (No. 1) [F2016L00726]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ASIC Class Rule Waiver [16-0352] [F2016L00594]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ASIC Corporations (Amendment) Instrument 2016/351 [F2016L00575]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F331C1">
              <w:rPr>
                <w:sz w:val="22"/>
              </w:rPr>
              <w:t>ASIC Corporations (Amendment) Instrument 2016/476 [F2016L01170]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4B4838">
              <w:rPr>
                <w:sz w:val="22"/>
              </w:rPr>
              <w:t>ASIC Corporations (Amendment) Instrument 2016/513 [F2016L01084]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F331C1">
              <w:rPr>
                <w:sz w:val="22"/>
              </w:rPr>
              <w:t>ASIC Corporations (Amendment) Instrument 2016/566 [F2016L01178]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ASIC Corporations (Repeal) Instrument 2016/452 [F2016L01005]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F331C1">
              <w:rPr>
                <w:sz w:val="22"/>
              </w:rPr>
              <w:t>ASIC Credit (Amendment) Instrument 2016/632 [F2016L01171]</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4B4838">
              <w:rPr>
                <w:sz w:val="22"/>
              </w:rPr>
              <w:t>Australian Meat and Live-stock Industry (Beef Export to the USA—Quota Years 2016-2022) Repeal Order 2016 [F2016L01089]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Australian Meat and Live-stock Industry (High Quality Beef Export to the European Union) Repeal Order 2016 [F2016L00807]</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Australian Meat and Live-stock Industry (Standards) Amendment Order 2016 [F2016L00839]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Australian Prudential Regulation Authority (Commonwealth Costs) Determination 2016 [F2016L01150]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Authorised Deposit-taking Institutions Supervisory Levy Imposition Determination 2016 [F2016L01159]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Authorised Non-operating Holding Companies Supervisory Levy Imposition Determination 2016 [F2016L01158]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4B4838">
              <w:rPr>
                <w:sz w:val="22"/>
              </w:rPr>
              <w:t>Autonomous Sanctions (Designated Persons and Entities and Declared Persons - Iran) Amendment List 2016 (No. 3) [F2016L01100]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Aviation Transport Security (Prohibited Cargo—Bangladesh) Amendment Instrument 2016 [F2016L00766]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Building Energy Efficiency Disclosure (Disclosure Affected Buildings) Determination 2016 [F2016L01148]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0E369C">
              <w:rPr>
                <w:sz w:val="22"/>
              </w:rPr>
              <w:t>Building Energy Efficiency Disclosure Determination 2016 [F2016L01276]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A1227A">
              <w:rPr>
                <w:sz w:val="22"/>
              </w:rPr>
              <w:t>CASA EX98/16 - Exemption - Cessna Supplemental Inspection Document requirements [F2016L01053]</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0E369C">
              <w:rPr>
                <w:sz w:val="22"/>
              </w:rPr>
              <w:t>CASA EX123/16 - Repeal – exemption – from standard landing minima – Boeing 737 fail passive aircraft – Virgin Australia Airlines Pty Ltd [F2016L01278]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0E369C" w:rsidRDefault="00630D81" w:rsidP="00630D81">
            <w:pPr>
              <w:rPr>
                <w:sz w:val="22"/>
              </w:rPr>
            </w:pPr>
            <w:r w:rsidRPr="000E369C">
              <w:rPr>
                <w:sz w:val="22"/>
              </w:rPr>
              <w:t xml:space="preserve">Charter of the United Nations (UN Sanction Enforcement Law) </w:t>
            </w:r>
            <w:r w:rsidRPr="000E369C">
              <w:rPr>
                <w:sz w:val="22"/>
              </w:rPr>
              <w:lastRenderedPageBreak/>
              <w:t>Amendment Declaration 2016 (No. 1) [F2016L01209]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A1227A">
              <w:rPr>
                <w:sz w:val="22"/>
              </w:rPr>
              <w:t>Commonwealth price (Pharmaceutical benefits supplied by approved pharmacists) Amendment Determination 2016 [F2016L01042]</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Declared Hearing Services Amendment Determination 2016 (No. 1) [F2016L00806]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Defence Home Ownership Assistance Scheme (Average House Price and Median Interest Rate) Amendment Determination 2016 [F2016L00970]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Export Control (Plants and Plant Products) Amendment (Re-export Certificates) Order 2016 [F2016L00640]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4B4838">
              <w:rPr>
                <w:sz w:val="22"/>
              </w:rPr>
              <w:t>Export Market Development Grants (Change in Ownership of Business) Guidelines 2016 [F2016L01090]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4B4838" w:rsidRDefault="00630D81" w:rsidP="00630D81">
            <w:pPr>
              <w:rPr>
                <w:sz w:val="22"/>
              </w:rPr>
            </w:pPr>
            <w:r w:rsidRPr="00746140">
              <w:rPr>
                <w:sz w:val="22"/>
              </w:rPr>
              <w:t>Export Market Development Grants (Close Relationships - Events Promoters) Amendment Instrument 2016 (No. 1) [F2016L01096</w:t>
            </w:r>
            <w:r w:rsidR="001D663A">
              <w:rPr>
                <w:sz w:val="22"/>
              </w:rPr>
              <w:t>]</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4B4838">
              <w:rPr>
                <w:sz w:val="22"/>
              </w:rPr>
              <w:t>Export Market Development Grants (Close Relationships - General) Determination 2016 [F2016L01095]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Export Market Development Grants (Grants Entry Requirements) Determination 2016 [F2016L01108]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4B4838">
              <w:rPr>
                <w:sz w:val="22"/>
              </w:rPr>
              <w:t>Export Market Development Grants (Made in Australia) Guidelines 2016 [F2016L01094]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4B4838">
              <w:rPr>
                <w:sz w:val="22"/>
              </w:rPr>
              <w:t>Export Market Development Grants (Significant Net Benefit) Guidelines 2016 [F2016L01097]</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Family Tax Benefit (Meeting the Health Check Requirement) Amendment Determination 2016 [F2016L00572]</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Federal Circuit Court Amendment (Costs and Other Measures) Rules 2016 [F2016L00818]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General Insurance Supervisory Levy Imposition Determination 2016 [F2016L01155]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GST—free Supply (National Disability Insurance Scheme Supports) Amendment Determination 2016 (No. 1) [F2016L00618]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A1227A">
              <w:rPr>
                <w:sz w:val="22"/>
              </w:rPr>
              <w:t>High Court Amendment (2016 Measures No. 1) Rules 2016 [F2016L01029]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Legal Services Amendment (Solicitor-General Opinions) Direction 2016 [F2016L00645]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Life Insurance Supervisory Levy Imposition Determination 2016 [F2016L01164]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 xml:space="preserve">Marriage (Celebrancy qualifications or skills) Amendment </w:t>
            </w:r>
            <w:r w:rsidRPr="00B80F8D">
              <w:rPr>
                <w:sz w:val="22"/>
              </w:rPr>
              <w:lastRenderedPageBreak/>
              <w:t>Determination 2016 (No. 2) [F2016L00798]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Military Rehabilitation and Compensation (Lump Sum Rate of Interest) Determination 2016 [F2016L01010]</w:t>
            </w:r>
          </w:p>
        </w:tc>
      </w:tr>
      <w:tr w:rsidR="00630D81" w:rsidRPr="002C1F31" w:rsidTr="00630D81">
        <w:tc>
          <w:tcPr>
            <w:tcW w:w="2694" w:type="dxa"/>
            <w:tcBorders>
              <w:top w:val="nil"/>
              <w:left w:val="nil"/>
              <w:bottom w:val="nil"/>
              <w:right w:val="single" w:sz="12" w:space="0" w:color="auto"/>
            </w:tcBorders>
          </w:tcPr>
          <w:p w:rsidR="00630D81" w:rsidRPr="00166892" w:rsidRDefault="00630D81" w:rsidP="00630D81">
            <w:pPr>
              <w:rPr>
                <w:b/>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National Capital Plan – Amendment 86 – Revised National Capital Plan [F2016L00669]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tabs>
                <w:tab w:val="left" w:pos="480"/>
              </w:tabs>
              <w:rPr>
                <w:sz w:val="22"/>
              </w:rPr>
            </w:pPr>
            <w:r w:rsidRPr="00746140">
              <w:rPr>
                <w:sz w:val="22"/>
              </w:rPr>
              <w:t>National Disability Insurance Scheme (Becoming a Participant) Amendment Rules 2016 (No. 2) [F2016L01122]</w:t>
            </w:r>
            <w:r>
              <w:rPr>
                <w:sz w:val="22"/>
              </w:rPr>
              <w:tab/>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National Disability Insurance Scheme (Becoming a Participant) Rules 2016 [F2016L00544]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National Disability Insurance Scheme (Facilitating the Preparation of Participants' Plans—South Australia) Amendment Rules 2016 [F2016L00796]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National Disability Insurance Scheme (Facilitating the Preparation of Participants' Plans—New South Wales) Rules 2016 [F2016L00791]</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National Disability Insurance Scheme (Facilitating the Preparation of Participants' Plans—Victoria) Rules 2016 [F2016L00794]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 xml:space="preserve">National Disability Insurance Scheme (Facilitating the Preparation of Participants' Plans—Tasmania) Rules 2016 [F2016L00795] </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National Disability Insurance Scheme (Facilitating the Preparation of Participants’ Plans—Queensland) Amendment Rules 2016 [F2016L01119]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National Disability Insurance Scheme (Timeframes for Decision Making) Amendment Rules 2016 [F2016L00545]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National Greenhouse and Energy Reporting (Measurement) Amendment Determination 2016 (No. 1) [F2016L00809]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National Health (Claims and under co-payment data) Amendment (Medication Chart Prescriptions) Rule 2016 (PB 60 of 2016) [F2016L01127]</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National Health (Subsection 84C(7)) Amendment Determination 2016 (No.1) (PB 51 of 2016) [F2016L00978]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F331C1" w:rsidRDefault="00630D81" w:rsidP="00630D81">
            <w:pPr>
              <w:rPr>
                <w:sz w:val="22"/>
              </w:rPr>
            </w:pPr>
            <w:r w:rsidRPr="00F331C1">
              <w:rPr>
                <w:sz w:val="22"/>
              </w:rPr>
              <w:t>National Health (Weighted average disclosed price – October 2016 reduction day) Determination 2016 [F2016L01182]</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Private Ancillary Fund and Public Ancillary Fund Amendment Guidelines 2016 [F2016L00651]</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Private Health Insurance (Benefit Requirements) Amendment Rules 2016 (No. 2) [F2016L00589]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Private Health Insurance (Benefit Requirements) Amendment Rules 2016 (No. 3) [F2016L00979]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4B4838">
              <w:rPr>
                <w:sz w:val="22"/>
              </w:rPr>
              <w:t>Private Health Insurance (Benefit Requirements) Amendment Rules 2016 (No. 4) [F2016L01101]</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Private Health Insurance (Complying Product) Amendment Rules 2016 (No. 2) [F2016L00985]</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4B4838">
              <w:rPr>
                <w:sz w:val="22"/>
              </w:rPr>
              <w:t>Private Health Insurance (Complying Product) Amendment Rules 2016 (No. 3) [F2016L01102]</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Private Health Insurance (Prostheses) Amendment Rules 2016 (No. 1) [F2016L00812]</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A1227A">
              <w:rPr>
                <w:sz w:val="22"/>
              </w:rPr>
              <w:t>Private Health Insurance (Prosth</w:t>
            </w:r>
            <w:r>
              <w:rPr>
                <w:sz w:val="22"/>
              </w:rPr>
              <w:t>eses) Amendment Rules 2016 (No. </w:t>
            </w:r>
            <w:r w:rsidRPr="00A1227A">
              <w:rPr>
                <w:sz w:val="22"/>
              </w:rPr>
              <w:t>2) [F2016L01039]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A1227A" w:rsidRDefault="00630D81" w:rsidP="00630D81">
            <w:pPr>
              <w:rPr>
                <w:sz w:val="22"/>
              </w:rPr>
            </w:pPr>
            <w:r w:rsidRPr="004B4838">
              <w:rPr>
                <w:sz w:val="22"/>
              </w:rPr>
              <w:t>Private Health Insurance (Prudential Supervision) Rules 2016 [F2016L01060]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Public Governance, Performance and Accountability Amendment (Commonwealth Company Annual Reporting) Rule 2016 [F2016L00696]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Public Governance, Performance and Accountability Amendment (Corporate Commonwealth Entity Annual Reporting) Rule 2016 [F2016L00693]</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Public Governance, Performance and Accountability Amendment (Non-corporate Commonwealth Entity Annual Reporting) Rule 2016 [F2016L00691]</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Quarantine Service Fees Repeal Determination 2016 [F2016L00637]</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Remuneration Tribunal Determination 2016/03 - Remuneration and Allowances for Holders of Public Office and Judicial and Related Offices [F2016L00840]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A1227A">
              <w:rPr>
                <w:sz w:val="22"/>
              </w:rPr>
              <w:t>Remuneration Tribunal Determination 2016/05 - Remuneration and Allowances for Holders of Public Office and Official Travel by Office Holders [F2016L01041]</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Remuneration Tribunal Determination 2016/06 - Judicial and Related Offices - Remuneration and Allowances [F2016L01160]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0E369C">
              <w:rPr>
                <w:sz w:val="22"/>
              </w:rPr>
              <w:t>Remuneration Tribunal Determination 2016/07 – Official Travel by Office Holders [F2016L01266]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0E369C" w:rsidRDefault="00630D81" w:rsidP="00630D81">
            <w:pPr>
              <w:rPr>
                <w:sz w:val="22"/>
              </w:rPr>
            </w:pPr>
            <w:r w:rsidRPr="000E369C">
              <w:rPr>
                <w:sz w:val="22"/>
              </w:rPr>
              <w:t>Remuneration Tribunal Determination 2016/09 – Remuneration and Allowances for Holders of Public Office and Judicial and Related Offices [F2016L01269]</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Retirement Savings Account Providers Supervisory Levy Imposition Determination 2016 [F2016L01147]</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Safety, Rehabilitation and Compensation (Principal Officer of the ACT) Declaration 2016 [F2016L00573]</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746140" w:rsidRDefault="00630D81" w:rsidP="00630D81">
            <w:pPr>
              <w:rPr>
                <w:sz w:val="22"/>
              </w:rPr>
            </w:pPr>
            <w:r w:rsidRPr="00746140">
              <w:rPr>
                <w:sz w:val="22"/>
              </w:rPr>
              <w:t>Superannuation Supervisory Levy Imposition Determination 2016 [F2016L01156]</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Tertiary Education Quality and Standards Agency (Information) Guidelines 2016 [F2016L00993]</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C62E58">
              <w:rPr>
                <w:sz w:val="22"/>
              </w:rPr>
              <w:t>Therapeutic Goods (Permissible Ingredients) Determination No. 1 of 2016 [F2016L00588]</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C62E58" w:rsidRDefault="00630D81" w:rsidP="00630D81">
            <w:pPr>
              <w:rPr>
                <w:sz w:val="22"/>
              </w:rPr>
            </w:pPr>
            <w:r w:rsidRPr="000E369C">
              <w:rPr>
                <w:sz w:val="22"/>
              </w:rPr>
              <w:t>Therapeutic Goods (Permissible Ingredients) Determination No. 2 of 2016 [F2016L01253]</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Vehicle Standard (Australian Design Rule - 43/04 - Vehicle Configuration and Dimensions) 2006 Amendment 3 [F2016L00574]</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B80F8D">
              <w:rPr>
                <w:sz w:val="22"/>
              </w:rPr>
              <w:t>Vehicle Standard (Australian Design Rule - Definitions and Vehicle Categories) 2005 Amendment 9 [F2016L00790]</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B80F8D" w:rsidRDefault="00630D81" w:rsidP="00630D81">
            <w:pPr>
              <w:rPr>
                <w:sz w:val="22"/>
              </w:rPr>
            </w:pPr>
            <w:r w:rsidRPr="000E369C">
              <w:rPr>
                <w:sz w:val="22"/>
              </w:rPr>
              <w:t>Water Efficiency Labelling and Standards Amendment (WELS Standard) Determination 2016 [F2016L01293]</w:t>
            </w:r>
          </w:p>
        </w:tc>
      </w:tr>
      <w:tr w:rsidR="00630D81" w:rsidRPr="002C1F31" w:rsidTr="00630D81">
        <w:tc>
          <w:tcPr>
            <w:tcW w:w="2694" w:type="dxa"/>
            <w:tcBorders>
              <w:top w:val="nil"/>
              <w:left w:val="nil"/>
              <w:bottom w:val="nil"/>
              <w:right w:val="single" w:sz="12" w:space="0" w:color="auto"/>
            </w:tcBorders>
          </w:tcPr>
          <w:p w:rsidR="00630D81" w:rsidRPr="002C1F31" w:rsidRDefault="00630D81" w:rsidP="00630D81">
            <w:pPr>
              <w:rPr>
                <w:sz w:val="22"/>
                <w:szCs w:val="22"/>
              </w:rPr>
            </w:pPr>
          </w:p>
        </w:tc>
        <w:tc>
          <w:tcPr>
            <w:tcW w:w="6378" w:type="dxa"/>
            <w:tcBorders>
              <w:top w:val="nil"/>
              <w:left w:val="single" w:sz="12" w:space="0" w:color="auto"/>
              <w:bottom w:val="nil"/>
              <w:right w:val="nil"/>
            </w:tcBorders>
          </w:tcPr>
          <w:p w:rsidR="00630D81" w:rsidRPr="000E369C" w:rsidRDefault="00630D81" w:rsidP="00630D81">
            <w:pPr>
              <w:rPr>
                <w:sz w:val="22"/>
              </w:rPr>
            </w:pPr>
            <w:r w:rsidRPr="000E369C">
              <w:rPr>
                <w:sz w:val="22"/>
              </w:rPr>
              <w:t>Woomera Prohibited Area Rule 2014 Determination of Exclusion Periods for Amber Zone 1 and Amber Zone 2 for Financial Year 2016 – 2017 Amendment No.1 [F2016L01261]</w:t>
            </w:r>
          </w:p>
        </w:tc>
      </w:tr>
      <w:tr w:rsidR="00630D81" w:rsidRPr="002C1F31" w:rsidTr="00630D81">
        <w:tc>
          <w:tcPr>
            <w:tcW w:w="2694" w:type="dxa"/>
            <w:tcBorders>
              <w:top w:val="nil"/>
              <w:left w:val="nil"/>
              <w:bottom w:val="single" w:sz="12" w:space="0" w:color="auto"/>
              <w:right w:val="single" w:sz="12" w:space="0" w:color="auto"/>
            </w:tcBorders>
          </w:tcPr>
          <w:p w:rsidR="00630D81" w:rsidRPr="002C1F31" w:rsidRDefault="00630D81" w:rsidP="00630D81">
            <w:pPr>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630D81" w:rsidRPr="002C1F31" w:rsidRDefault="00630D81" w:rsidP="00630D81">
            <w:pPr>
              <w:rPr>
                <w:sz w:val="22"/>
                <w:szCs w:val="22"/>
              </w:rPr>
            </w:pPr>
            <w:r>
              <w:rPr>
                <w:noProof/>
                <w:sz w:val="24"/>
                <w:szCs w:val="24"/>
              </w:rPr>
              <w:t>Standing Order 23(3)(a)</w:t>
            </w:r>
          </w:p>
        </w:tc>
      </w:tr>
    </w:tbl>
    <w:p w:rsidR="00630D81" w:rsidRPr="006F66FE" w:rsidRDefault="001D663A" w:rsidP="00630D81">
      <w:pPr>
        <w:rPr>
          <w:b/>
          <w:i/>
        </w:rPr>
      </w:pPr>
      <w:r>
        <w:rPr>
          <w:b/>
        </w:rPr>
        <w:br/>
      </w:r>
      <w:r w:rsidR="00630D81" w:rsidRPr="00751A21">
        <w:rPr>
          <w:b/>
        </w:rPr>
        <w:t>Drafting</w:t>
      </w:r>
    </w:p>
    <w:p w:rsidR="00630D81" w:rsidRPr="00E35D4F" w:rsidRDefault="00630D81" w:rsidP="00630D81">
      <w:r>
        <w:t>The</w:t>
      </w:r>
      <w:r w:rsidRPr="00E35D4F">
        <w:t xml:space="preserve"> instruments</w:t>
      </w:r>
      <w:r>
        <w:t xml:space="preserve"> identified above </w:t>
      </w:r>
      <w:r w:rsidRPr="00E35D4F">
        <w:t xml:space="preserve">appear to rely on subsection 33(3) of the </w:t>
      </w:r>
      <w:r w:rsidRPr="00D66E0A">
        <w:rPr>
          <w:i/>
        </w:rPr>
        <w:t xml:space="preserve">Acts Interpretation </w:t>
      </w:r>
      <w:r>
        <w:rPr>
          <w:i/>
        </w:rPr>
        <w:t>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 xml:space="preserve">Acts Interpretation </w:t>
      </w:r>
      <w:r>
        <w:rPr>
          <w:b/>
          <w:i/>
        </w:rPr>
        <w:t>Act 1901</w:t>
      </w:r>
      <w:r w:rsidRPr="00E35D4F">
        <w:rPr>
          <w:b/>
        </w:rPr>
        <w:t xml:space="preserve"> is relevant:</w:t>
      </w:r>
    </w:p>
    <w:p w:rsidR="00630D81" w:rsidRDefault="00630D81" w:rsidP="00630D81">
      <w:pPr>
        <w:pStyle w:val="Quote"/>
        <w:spacing w:before="120"/>
      </w:pPr>
      <w:r w:rsidRPr="00E35D4F">
        <w:t xml:space="preserve">Under subsection 33(3) of the </w:t>
      </w:r>
      <w:r w:rsidRPr="00D66E0A">
        <w:rPr>
          <w:i/>
        </w:rPr>
        <w:t xml:space="preserve">Acts Interpretation </w:t>
      </w:r>
      <w:r>
        <w:rPr>
          <w:i/>
        </w:rPr>
        <w:t>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23"/>
      </w:r>
    </w:p>
    <w:p w:rsidR="00630D81" w:rsidRDefault="00630D81" w:rsidP="00630D81">
      <w:pPr>
        <w:pStyle w:val="Quote"/>
        <w:spacing w:before="120"/>
        <w:ind w:left="0"/>
        <w:rPr>
          <w:b/>
        </w:rPr>
      </w:pPr>
      <w:r w:rsidRPr="00560FA9">
        <w:rPr>
          <w:b/>
        </w:rPr>
        <w:t>The committee draws this matter to the attention of ministers</w:t>
      </w:r>
      <w:r>
        <w:rPr>
          <w:b/>
        </w:rPr>
        <w:t>.</w:t>
      </w:r>
    </w:p>
    <w:p w:rsidR="001D663A" w:rsidRDefault="001D663A" w:rsidP="00630D81">
      <w:pPr>
        <w:spacing w:after="0"/>
        <w:jc w:val="left"/>
        <w:rPr>
          <w:b/>
          <w:sz w:val="24"/>
        </w:rPr>
        <w:sectPr w:rsidR="001D663A" w:rsidSect="00630D81">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202" w:left="1440" w:header="1134" w:footer="720" w:gutter="0"/>
          <w:pgNumType w:start="1"/>
          <w:cols w:space="720"/>
          <w:titlePg/>
        </w:sectPr>
      </w:pPr>
    </w:p>
    <w:p w:rsidR="001D663A" w:rsidRPr="0076670E" w:rsidRDefault="001D663A" w:rsidP="001D663A">
      <w:pPr>
        <w:pStyle w:val="Heading1"/>
      </w:pPr>
      <w:r w:rsidRPr="0076670E">
        <w:lastRenderedPageBreak/>
        <w:t>Chapter 2</w:t>
      </w:r>
    </w:p>
    <w:p w:rsidR="001D663A" w:rsidRPr="0076670E" w:rsidRDefault="001D663A" w:rsidP="001D663A">
      <w:pPr>
        <w:pStyle w:val="Heading2"/>
      </w:pPr>
      <w:r w:rsidRPr="0076670E">
        <w:t>Concluded matters</w:t>
      </w:r>
    </w:p>
    <w:p w:rsidR="001D663A" w:rsidRPr="0076670E" w:rsidRDefault="001D663A" w:rsidP="001D663A">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1D663A" w:rsidRDefault="001D663A" w:rsidP="001D663A">
      <w:pPr>
        <w:pStyle w:val="Level1"/>
        <w:numPr>
          <w:ilvl w:val="0"/>
          <w:numId w:val="0"/>
        </w:numPr>
      </w:pPr>
      <w:r>
        <w:t>C</w:t>
      </w:r>
      <w:r w:rsidRPr="0076670E">
        <w:t xml:space="preserve">orrespondence relating to these matters is included at Appendix </w:t>
      </w:r>
      <w:r>
        <w:t>1</w:t>
      </w:r>
      <w:r w:rsidRPr="0076670E">
        <w:t>.</w:t>
      </w:r>
    </w:p>
    <w:p w:rsidR="001D663A" w:rsidRPr="00164622" w:rsidRDefault="001D663A" w:rsidP="001D663A">
      <w:pPr>
        <w:spacing w:after="0"/>
        <w:rPr>
          <w:szCs w:val="26"/>
        </w:rPr>
      </w:pPr>
    </w:p>
    <w:tbl>
      <w:tblPr>
        <w:tblW w:w="0" w:type="auto"/>
        <w:tblInd w:w="108" w:type="dxa"/>
        <w:tblLook w:val="04A0" w:firstRow="1" w:lastRow="0" w:firstColumn="1" w:lastColumn="0" w:noHBand="0" w:noVBand="1"/>
      </w:tblPr>
      <w:tblGrid>
        <w:gridCol w:w="2694"/>
        <w:gridCol w:w="6378"/>
      </w:tblGrid>
      <w:tr w:rsidR="001D663A" w:rsidRPr="00164622" w:rsidTr="00392AAD">
        <w:tc>
          <w:tcPr>
            <w:tcW w:w="2694" w:type="dxa"/>
            <w:tcBorders>
              <w:top w:val="single" w:sz="12" w:space="0" w:color="auto"/>
              <w:right w:val="single" w:sz="12" w:space="0" w:color="auto"/>
            </w:tcBorders>
          </w:tcPr>
          <w:p w:rsidR="001D663A" w:rsidRPr="00A77228" w:rsidRDefault="001D663A" w:rsidP="00392AAD">
            <w:pPr>
              <w:rPr>
                <w:b/>
                <w:sz w:val="24"/>
                <w:szCs w:val="24"/>
              </w:rPr>
            </w:pPr>
            <w:r>
              <w:rPr>
                <w:b/>
                <w:sz w:val="24"/>
                <w:szCs w:val="24"/>
              </w:rPr>
              <w:t>Instrument</w:t>
            </w:r>
          </w:p>
        </w:tc>
        <w:tc>
          <w:tcPr>
            <w:tcW w:w="6378" w:type="dxa"/>
            <w:tcBorders>
              <w:top w:val="single" w:sz="12" w:space="0" w:color="auto"/>
              <w:left w:val="single" w:sz="12" w:space="0" w:color="auto"/>
            </w:tcBorders>
          </w:tcPr>
          <w:p w:rsidR="001D663A" w:rsidRPr="00BA36F8" w:rsidRDefault="001D663A" w:rsidP="00392AAD">
            <w:pPr>
              <w:pStyle w:val="Heading3"/>
              <w:rPr>
                <w:sz w:val="24"/>
                <w:szCs w:val="24"/>
              </w:rPr>
            </w:pPr>
            <w:r w:rsidRPr="00176ADC">
              <w:rPr>
                <w:noProof/>
                <w:sz w:val="24"/>
                <w:szCs w:val="24"/>
              </w:rPr>
              <w:t>Broadcasting Services (International Broadcasting) Guidelines 2016 [F2016L00393]</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Purpose</w:t>
            </w:r>
          </w:p>
        </w:tc>
        <w:tc>
          <w:tcPr>
            <w:tcW w:w="6378" w:type="dxa"/>
            <w:tcBorders>
              <w:left w:val="single" w:sz="12" w:space="0" w:color="auto"/>
            </w:tcBorders>
          </w:tcPr>
          <w:p w:rsidR="001D663A" w:rsidRPr="00A77228" w:rsidRDefault="001D663A" w:rsidP="00392AAD">
            <w:pPr>
              <w:rPr>
                <w:sz w:val="24"/>
                <w:szCs w:val="24"/>
              </w:rPr>
            </w:pPr>
            <w:r w:rsidRPr="00176ADC">
              <w:rPr>
                <w:noProof/>
                <w:sz w:val="24"/>
                <w:szCs w:val="24"/>
              </w:rPr>
              <w:t>Sets arrangements for proposed and operational international broadcasting services, matter in programs, and the conduct of international broadcasting licensees</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Last day to disallow</w:t>
            </w:r>
          </w:p>
        </w:tc>
        <w:tc>
          <w:tcPr>
            <w:tcW w:w="6378" w:type="dxa"/>
            <w:tcBorders>
              <w:left w:val="single" w:sz="12" w:space="0" w:color="auto"/>
            </w:tcBorders>
          </w:tcPr>
          <w:p w:rsidR="001D663A" w:rsidRPr="00A77228" w:rsidRDefault="001D663A" w:rsidP="00392AAD">
            <w:pPr>
              <w:rPr>
                <w:sz w:val="24"/>
                <w:szCs w:val="24"/>
              </w:rPr>
            </w:pPr>
            <w:r>
              <w:rPr>
                <w:sz w:val="24"/>
                <w:szCs w:val="24"/>
              </w:rPr>
              <w:t>13 October 2016</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Authorising legislation</w:t>
            </w:r>
          </w:p>
        </w:tc>
        <w:tc>
          <w:tcPr>
            <w:tcW w:w="6378" w:type="dxa"/>
            <w:tcBorders>
              <w:left w:val="single" w:sz="12" w:space="0" w:color="auto"/>
            </w:tcBorders>
          </w:tcPr>
          <w:p w:rsidR="001D663A" w:rsidRPr="00932D1C" w:rsidRDefault="001D663A" w:rsidP="00392AAD">
            <w:pPr>
              <w:rPr>
                <w:i/>
                <w:sz w:val="24"/>
                <w:szCs w:val="24"/>
              </w:rPr>
            </w:pPr>
            <w:r w:rsidRPr="00176ADC">
              <w:rPr>
                <w:i/>
                <w:noProof/>
                <w:sz w:val="24"/>
                <w:szCs w:val="24"/>
              </w:rPr>
              <w:t>Broadcasting Services Act 1992</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Department</w:t>
            </w:r>
          </w:p>
        </w:tc>
        <w:tc>
          <w:tcPr>
            <w:tcW w:w="6378" w:type="dxa"/>
            <w:tcBorders>
              <w:left w:val="single" w:sz="12" w:space="0" w:color="auto"/>
            </w:tcBorders>
          </w:tcPr>
          <w:p w:rsidR="001D663A" w:rsidRPr="00A77228" w:rsidRDefault="001D663A" w:rsidP="00392AAD">
            <w:pPr>
              <w:rPr>
                <w:sz w:val="24"/>
                <w:szCs w:val="24"/>
              </w:rPr>
            </w:pPr>
            <w:r w:rsidRPr="00176ADC">
              <w:rPr>
                <w:noProof/>
                <w:sz w:val="24"/>
                <w:szCs w:val="24"/>
              </w:rPr>
              <w:t>Communications and the Arts</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Pr>
                <w:b/>
                <w:sz w:val="24"/>
                <w:szCs w:val="24"/>
              </w:rPr>
              <w:t>Scrutiny principle</w:t>
            </w:r>
          </w:p>
        </w:tc>
        <w:tc>
          <w:tcPr>
            <w:tcW w:w="6378" w:type="dxa"/>
            <w:tcBorders>
              <w:left w:val="single" w:sz="12" w:space="0" w:color="auto"/>
            </w:tcBorders>
          </w:tcPr>
          <w:p w:rsidR="001D663A" w:rsidRPr="00A77228" w:rsidRDefault="001D663A" w:rsidP="00392AAD">
            <w:pPr>
              <w:rPr>
                <w:sz w:val="24"/>
                <w:szCs w:val="24"/>
              </w:rPr>
            </w:pPr>
            <w:r w:rsidRPr="00176ADC">
              <w:rPr>
                <w:noProof/>
                <w:sz w:val="24"/>
                <w:szCs w:val="24"/>
              </w:rPr>
              <w:t>Standing Order 23(3)(a)</w:t>
            </w:r>
          </w:p>
        </w:tc>
      </w:tr>
      <w:tr w:rsidR="001D663A" w:rsidRPr="00164622" w:rsidTr="00392AAD">
        <w:tc>
          <w:tcPr>
            <w:tcW w:w="2694" w:type="dxa"/>
            <w:tcBorders>
              <w:bottom w:val="single" w:sz="12" w:space="0" w:color="auto"/>
              <w:right w:val="single" w:sz="12" w:space="0" w:color="auto"/>
            </w:tcBorders>
          </w:tcPr>
          <w:p w:rsidR="001D663A" w:rsidRDefault="001D663A" w:rsidP="00392AAD">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D663A" w:rsidRDefault="001D663A" w:rsidP="00392AAD">
            <w:pPr>
              <w:rPr>
                <w:sz w:val="24"/>
                <w:szCs w:val="24"/>
              </w:rPr>
            </w:pPr>
            <w:r w:rsidRPr="00176ADC">
              <w:rPr>
                <w:i/>
                <w:noProof/>
                <w:sz w:val="24"/>
                <w:szCs w:val="24"/>
              </w:rPr>
              <w:t>Delegated legislation monitor</w:t>
            </w:r>
            <w:r w:rsidRPr="00127C4D">
              <w:rPr>
                <w:noProof/>
                <w:sz w:val="24"/>
                <w:szCs w:val="24"/>
              </w:rPr>
              <w:t xml:space="preserve"> 5 of 2016</w:t>
            </w:r>
          </w:p>
        </w:tc>
      </w:tr>
    </w:tbl>
    <w:p w:rsidR="001D663A" w:rsidRDefault="001D663A" w:rsidP="001D663A"/>
    <w:p w:rsidR="001D663A" w:rsidRDefault="001D663A" w:rsidP="001D663A">
      <w:pPr>
        <w:rPr>
          <w:b/>
          <w:noProof/>
        </w:rPr>
      </w:pPr>
      <w:r w:rsidRPr="00176ADC">
        <w:rPr>
          <w:b/>
          <w:noProof/>
        </w:rPr>
        <w:t>Incorporation of extrinsic material</w:t>
      </w:r>
    </w:p>
    <w:p w:rsidR="001D663A" w:rsidRDefault="001D663A" w:rsidP="001D663A">
      <w:r>
        <w:t>The committee commented as follows:</w:t>
      </w:r>
    </w:p>
    <w:p w:rsidR="001D663A" w:rsidRPr="00C366DD" w:rsidRDefault="001D663A" w:rsidP="001D663A">
      <w:pPr>
        <w:rPr>
          <w:szCs w:val="26"/>
        </w:rPr>
      </w:pPr>
      <w:r w:rsidRPr="00C366DD">
        <w:rPr>
          <w:szCs w:val="26"/>
        </w:rPr>
        <w:t xml:space="preserve">Section 14 of the </w:t>
      </w:r>
      <w:r w:rsidRPr="00C366DD">
        <w:rPr>
          <w:i/>
          <w:szCs w:val="26"/>
        </w:rPr>
        <w:t>Legislation Act 2003</w:t>
      </w:r>
      <w:r w:rsidRPr="00C366DD">
        <w:rPr>
          <w:szCs w:val="26"/>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1D663A" w:rsidRPr="00C366DD" w:rsidRDefault="001D663A" w:rsidP="001D663A">
      <w:pPr>
        <w:pStyle w:val="Level1"/>
        <w:numPr>
          <w:ilvl w:val="0"/>
          <w:numId w:val="0"/>
        </w:numPr>
      </w:pPr>
      <w:r w:rsidRPr="00C366DD">
        <w:rPr>
          <w:szCs w:val="26"/>
        </w:rPr>
        <w:t>With reference to the above, the committee notes that the definition of 'intellectual property rights' in s</w:t>
      </w:r>
      <w:r w:rsidRPr="00C366DD">
        <w:t>ection 1.5 of the instrument relies on 'Article 2 of the Convention Establishing the World Intellectual P</w:t>
      </w:r>
      <w:r>
        <w:t>roperty Organisation of July 19</w:t>
      </w:r>
      <w:r w:rsidRPr="00C366DD">
        <w:t xml:space="preserve">7 concluded at Stockholm, to which Australia is a party.' The committee also notes that the </w:t>
      </w:r>
      <w:r>
        <w:t>explanatory statement (ES)</w:t>
      </w:r>
      <w:r w:rsidRPr="00C366DD">
        <w:t xml:space="preserve"> to the instrument states:</w:t>
      </w:r>
    </w:p>
    <w:p w:rsidR="001D663A" w:rsidRPr="00C366DD" w:rsidRDefault="001D663A" w:rsidP="001D663A">
      <w:pPr>
        <w:pStyle w:val="Quote"/>
      </w:pPr>
      <w:r w:rsidRPr="00C366DD">
        <w:t>Documents incorporated in the Guidelines by referenc</w:t>
      </w:r>
      <w:r>
        <w:t>e</w:t>
      </w:r>
    </w:p>
    <w:p w:rsidR="001D663A" w:rsidRPr="00C366DD" w:rsidRDefault="001D663A" w:rsidP="001D663A">
      <w:pPr>
        <w:pStyle w:val="Quote"/>
      </w:pPr>
      <w:r w:rsidRPr="00C366DD">
        <w:t xml:space="preserve">…The Guidelines also refer to Article 2 of the Convention Establishing the World Intellectual Property Organisation [WIPO] [1972] ATS 15 </w:t>
      </w:r>
      <w:r>
        <w:br/>
      </w:r>
      <w:r w:rsidRPr="00C366DD">
        <w:lastRenderedPageBreak/>
        <w:t>(the Convention). The Convention can be found in the Australian Treaties Library collection at http://www.austlii.edu.au.</w:t>
      </w:r>
    </w:p>
    <w:p w:rsidR="001D663A" w:rsidRPr="00C366DD" w:rsidRDefault="001D663A" w:rsidP="001D663A">
      <w:pPr>
        <w:pStyle w:val="Level1"/>
        <w:numPr>
          <w:ilvl w:val="0"/>
          <w:numId w:val="0"/>
        </w:numPr>
      </w:pPr>
      <w:r w:rsidRPr="00C366DD">
        <w:t>However, notwithstanding the above, as the definition of 'intellectual property rights' could be said to affect the operation of the instrument, the Convention appears to be incorporated and neither the text of the instrument nor the ES expressly state the manner in which it is incorporated.</w:t>
      </w:r>
    </w:p>
    <w:p w:rsidR="001D663A" w:rsidRPr="00C366DD" w:rsidRDefault="001D663A" w:rsidP="001D663A">
      <w:r w:rsidRPr="00C366DD">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1D663A" w:rsidRPr="00C3428F" w:rsidRDefault="001D663A" w:rsidP="001D663A">
      <w:pPr>
        <w:rPr>
          <w:b/>
        </w:rPr>
      </w:pPr>
      <w:r w:rsidRPr="00C366DD">
        <w:rPr>
          <w:b/>
        </w:rPr>
        <w:t>The committee requests the advice of the minister in relation to this matter.</w:t>
      </w:r>
    </w:p>
    <w:p w:rsidR="001D663A" w:rsidRDefault="001D663A" w:rsidP="001D663A">
      <w:pPr>
        <w:rPr>
          <w:b/>
        </w:rPr>
      </w:pPr>
      <w:r>
        <w:rPr>
          <w:b/>
        </w:rPr>
        <w:t>Minister's response</w:t>
      </w:r>
    </w:p>
    <w:p w:rsidR="001D663A" w:rsidRDefault="001D663A" w:rsidP="001D663A">
      <w:r>
        <w:t>The Minister for Communications and the Arts advised:</w:t>
      </w:r>
    </w:p>
    <w:p w:rsidR="001D663A" w:rsidRDefault="001D663A" w:rsidP="001D663A">
      <w:pPr>
        <w:pStyle w:val="Quote"/>
      </w:pPr>
      <w:r>
        <w:t>The ACMA has advised that it agrees with the Committee's view that the timing of the material incorporated by reference in the definition of 'intellectual property rights' in the Guidelines should be made plain on the face of the Guidelines. The ACMA further advises that it adopted the definition of 'intellectual property rights' from WIPO Convention because that definition is very broad and stable (not having been amended since it was first adopted), which should minimise the risk of scope for any confusion by anticipated end users about which version of the definition might apply at a given time.</w:t>
      </w:r>
    </w:p>
    <w:p w:rsidR="001D663A" w:rsidRDefault="001D663A" w:rsidP="001D663A">
      <w:pPr>
        <w:pStyle w:val="Quote"/>
      </w:pPr>
      <w:r>
        <w:t>The ACMA has remedied this oversight by amending the Guidelines to make clear that the incorporated material (namely, the definition from the WIPO Convention) is expressed to be incorporated as in force at the time of the commencement of the Guidelines.</w:t>
      </w:r>
    </w:p>
    <w:p w:rsidR="001D663A" w:rsidRDefault="001D663A" w:rsidP="001D663A">
      <w:pPr>
        <w:rPr>
          <w:b/>
          <w:szCs w:val="26"/>
        </w:rPr>
      </w:pPr>
      <w:r>
        <w:rPr>
          <w:b/>
          <w:szCs w:val="26"/>
        </w:rPr>
        <w:t>Committee's response</w:t>
      </w:r>
    </w:p>
    <w:p w:rsidR="001D663A" w:rsidRDefault="001D663A" w:rsidP="001D663A">
      <w:pPr>
        <w:rPr>
          <w:b/>
          <w:szCs w:val="26"/>
        </w:rPr>
      </w:pPr>
      <w:r w:rsidRPr="00704E00">
        <w:rPr>
          <w:b/>
          <w:szCs w:val="26"/>
        </w:rPr>
        <w:t>The committee tha</w:t>
      </w:r>
      <w:r w:rsidRPr="00856DD0">
        <w:rPr>
          <w:b/>
          <w:szCs w:val="26"/>
        </w:rPr>
        <w:t>nks the</w:t>
      </w:r>
      <w:r>
        <w:rPr>
          <w:b/>
          <w:szCs w:val="26"/>
        </w:rPr>
        <w:t xml:space="preserve"> minister for his</w:t>
      </w:r>
      <w:r w:rsidRPr="00704E00">
        <w:rPr>
          <w:b/>
          <w:szCs w:val="26"/>
        </w:rPr>
        <w:t xml:space="preserve"> response and has concluded its</w:t>
      </w:r>
      <w:r>
        <w:rPr>
          <w:b/>
          <w:szCs w:val="26"/>
        </w:rPr>
        <w:t xml:space="preserve"> examination of the instrument.</w:t>
      </w:r>
    </w:p>
    <w:p w:rsidR="001D663A" w:rsidRPr="008825A4" w:rsidRDefault="001D663A" w:rsidP="001D663A">
      <w:pPr>
        <w:rPr>
          <w:sz w:val="8"/>
          <w:szCs w:val="8"/>
        </w:rPr>
      </w:pPr>
      <w:r>
        <w:br w:type="page"/>
      </w:r>
    </w:p>
    <w:tbl>
      <w:tblPr>
        <w:tblW w:w="0" w:type="auto"/>
        <w:tblInd w:w="108" w:type="dxa"/>
        <w:tblLook w:val="04A0" w:firstRow="1" w:lastRow="0" w:firstColumn="1" w:lastColumn="0" w:noHBand="0" w:noVBand="1"/>
      </w:tblPr>
      <w:tblGrid>
        <w:gridCol w:w="2694"/>
        <w:gridCol w:w="6378"/>
      </w:tblGrid>
      <w:tr w:rsidR="001D663A" w:rsidRPr="00164622" w:rsidTr="00392AAD">
        <w:tc>
          <w:tcPr>
            <w:tcW w:w="2694" w:type="dxa"/>
            <w:tcBorders>
              <w:top w:val="single" w:sz="12" w:space="0" w:color="auto"/>
              <w:right w:val="single" w:sz="12" w:space="0" w:color="auto"/>
            </w:tcBorders>
          </w:tcPr>
          <w:p w:rsidR="001D663A" w:rsidRPr="00A77228" w:rsidRDefault="001D663A" w:rsidP="00392AAD">
            <w:pPr>
              <w:rPr>
                <w:b/>
                <w:sz w:val="24"/>
                <w:szCs w:val="24"/>
              </w:rPr>
            </w:pPr>
            <w:r>
              <w:rPr>
                <w:b/>
                <w:szCs w:val="26"/>
              </w:rPr>
              <w:lastRenderedPageBreak/>
              <w:br w:type="page"/>
            </w:r>
            <w:r>
              <w:rPr>
                <w:b/>
                <w:szCs w:val="26"/>
              </w:rPr>
              <w:br w:type="page"/>
            </w:r>
            <w:r>
              <w:br w:type="page"/>
            </w:r>
            <w:r>
              <w:rPr>
                <w:b/>
                <w:sz w:val="24"/>
                <w:szCs w:val="24"/>
              </w:rPr>
              <w:t>Instrument</w:t>
            </w:r>
          </w:p>
        </w:tc>
        <w:tc>
          <w:tcPr>
            <w:tcW w:w="6378" w:type="dxa"/>
            <w:tcBorders>
              <w:top w:val="single" w:sz="12" w:space="0" w:color="auto"/>
              <w:left w:val="single" w:sz="12" w:space="0" w:color="auto"/>
            </w:tcBorders>
          </w:tcPr>
          <w:p w:rsidR="001D663A" w:rsidRPr="00F765AF" w:rsidRDefault="001D663A" w:rsidP="00392AAD">
            <w:pPr>
              <w:pStyle w:val="Heading3"/>
              <w:rPr>
                <w:noProof/>
                <w:sz w:val="24"/>
                <w:szCs w:val="24"/>
              </w:rPr>
            </w:pPr>
            <w:r w:rsidRPr="00F765AF">
              <w:rPr>
                <w:noProof/>
                <w:sz w:val="24"/>
                <w:szCs w:val="24"/>
              </w:rPr>
              <w:t>Excise (Volume of LPG - Temperature and Pressure Correction) Determination 2016 (No. 1) [F2016L00130]</w:t>
            </w:r>
          </w:p>
          <w:p w:rsidR="001D663A" w:rsidRPr="00F765AF" w:rsidRDefault="001D663A" w:rsidP="00392AAD">
            <w:pPr>
              <w:pStyle w:val="Heading3"/>
              <w:rPr>
                <w:noProof/>
                <w:sz w:val="24"/>
                <w:szCs w:val="24"/>
              </w:rPr>
            </w:pPr>
            <w:r w:rsidRPr="00F765AF">
              <w:rPr>
                <w:noProof/>
                <w:sz w:val="24"/>
                <w:szCs w:val="24"/>
              </w:rPr>
              <w:t>Excise (Mass of CNG) Determination 2016 (No. 1) [F2016L00131]</w:t>
            </w:r>
          </w:p>
          <w:p w:rsidR="001D663A" w:rsidRPr="00BA36F8" w:rsidRDefault="001D663A" w:rsidP="00392AAD">
            <w:pPr>
              <w:pStyle w:val="Heading3"/>
              <w:rPr>
                <w:sz w:val="24"/>
                <w:szCs w:val="24"/>
              </w:rPr>
            </w:pPr>
            <w:r w:rsidRPr="00F765AF">
              <w:rPr>
                <w:noProof/>
                <w:sz w:val="24"/>
                <w:szCs w:val="24"/>
              </w:rPr>
              <w:t>Excise (Volume of Liquid Fuels - Temperature Correction) Determination 2016 (No. 1) [F20I6L00133]</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Purpose</w:t>
            </w:r>
          </w:p>
        </w:tc>
        <w:tc>
          <w:tcPr>
            <w:tcW w:w="6378" w:type="dxa"/>
            <w:tcBorders>
              <w:left w:val="single" w:sz="12" w:space="0" w:color="auto"/>
            </w:tcBorders>
          </w:tcPr>
          <w:p w:rsidR="001D663A" w:rsidRPr="00A77228" w:rsidRDefault="001D663A" w:rsidP="00392AAD">
            <w:pPr>
              <w:rPr>
                <w:sz w:val="24"/>
                <w:szCs w:val="24"/>
              </w:rPr>
            </w:pPr>
            <w:r w:rsidRPr="00F765AF">
              <w:rPr>
                <w:noProof/>
                <w:sz w:val="24"/>
                <w:szCs w:val="24"/>
              </w:rPr>
              <w:t xml:space="preserve">These </w:t>
            </w:r>
            <w:r>
              <w:rPr>
                <w:noProof/>
                <w:sz w:val="24"/>
                <w:szCs w:val="24"/>
              </w:rPr>
              <w:t>instruments</w:t>
            </w:r>
            <w:r w:rsidRPr="00F765AF">
              <w:rPr>
                <w:noProof/>
                <w:sz w:val="24"/>
                <w:szCs w:val="24"/>
              </w:rPr>
              <w:t xml:space="preserve"> specify methods for </w:t>
            </w:r>
            <w:r>
              <w:rPr>
                <w:noProof/>
                <w:sz w:val="24"/>
                <w:szCs w:val="24"/>
              </w:rPr>
              <w:t>determining</w:t>
            </w:r>
            <w:r w:rsidRPr="00F765AF">
              <w:rPr>
                <w:noProof/>
                <w:sz w:val="24"/>
                <w:szCs w:val="24"/>
              </w:rPr>
              <w:t xml:space="preserve"> the volume or mass of particular excisable substances</w:t>
            </w:r>
          </w:p>
        </w:tc>
      </w:tr>
      <w:tr w:rsidR="001D663A" w:rsidRPr="00164622" w:rsidTr="00392AAD">
        <w:tc>
          <w:tcPr>
            <w:tcW w:w="2694" w:type="dxa"/>
            <w:tcBorders>
              <w:right w:val="single" w:sz="12" w:space="0" w:color="auto"/>
            </w:tcBorders>
          </w:tcPr>
          <w:p w:rsidR="001D663A" w:rsidRPr="00FA7D3F" w:rsidRDefault="001D663A" w:rsidP="00392AAD">
            <w:pPr>
              <w:rPr>
                <w:b/>
                <w:sz w:val="24"/>
                <w:szCs w:val="24"/>
              </w:rPr>
            </w:pPr>
            <w:r w:rsidRPr="00FA7D3F">
              <w:rPr>
                <w:b/>
                <w:sz w:val="24"/>
                <w:szCs w:val="24"/>
              </w:rPr>
              <w:t>Last day to disallow</w:t>
            </w:r>
          </w:p>
        </w:tc>
        <w:tc>
          <w:tcPr>
            <w:tcW w:w="6378" w:type="dxa"/>
            <w:tcBorders>
              <w:left w:val="single" w:sz="12" w:space="0" w:color="auto"/>
            </w:tcBorders>
          </w:tcPr>
          <w:p w:rsidR="001D663A" w:rsidRPr="00FA7D3F" w:rsidRDefault="001D663A" w:rsidP="00392AAD">
            <w:pPr>
              <w:rPr>
                <w:sz w:val="24"/>
                <w:szCs w:val="24"/>
              </w:rPr>
            </w:pPr>
            <w:r>
              <w:rPr>
                <w:noProof/>
                <w:sz w:val="24"/>
                <w:szCs w:val="24"/>
              </w:rPr>
              <w:t>30 August 2016; 30 August 2016; 1 September 2016</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Authorising legislation</w:t>
            </w:r>
          </w:p>
        </w:tc>
        <w:tc>
          <w:tcPr>
            <w:tcW w:w="6378" w:type="dxa"/>
            <w:tcBorders>
              <w:left w:val="single" w:sz="12" w:space="0" w:color="auto"/>
            </w:tcBorders>
          </w:tcPr>
          <w:p w:rsidR="001D663A" w:rsidRPr="00932D1C" w:rsidRDefault="001D663A" w:rsidP="00392AAD">
            <w:pPr>
              <w:rPr>
                <w:i/>
                <w:sz w:val="24"/>
                <w:szCs w:val="24"/>
              </w:rPr>
            </w:pPr>
            <w:r w:rsidRPr="00F765AF">
              <w:rPr>
                <w:i/>
                <w:noProof/>
                <w:sz w:val="24"/>
                <w:szCs w:val="24"/>
              </w:rPr>
              <w:t>Excise Act 1901</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Department</w:t>
            </w:r>
          </w:p>
        </w:tc>
        <w:tc>
          <w:tcPr>
            <w:tcW w:w="6378" w:type="dxa"/>
            <w:tcBorders>
              <w:left w:val="single" w:sz="12" w:space="0" w:color="auto"/>
            </w:tcBorders>
          </w:tcPr>
          <w:p w:rsidR="001D663A" w:rsidRPr="00A77228" w:rsidRDefault="001D663A" w:rsidP="00392AAD">
            <w:pPr>
              <w:rPr>
                <w:sz w:val="24"/>
                <w:szCs w:val="24"/>
              </w:rPr>
            </w:pPr>
            <w:r w:rsidRPr="00F765AF">
              <w:rPr>
                <w:noProof/>
                <w:sz w:val="24"/>
                <w:szCs w:val="24"/>
              </w:rPr>
              <w:t>Treasury</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Pr>
                <w:b/>
                <w:sz w:val="24"/>
                <w:szCs w:val="24"/>
              </w:rPr>
              <w:t>Scrutiny principle</w:t>
            </w:r>
          </w:p>
        </w:tc>
        <w:tc>
          <w:tcPr>
            <w:tcW w:w="6378" w:type="dxa"/>
            <w:tcBorders>
              <w:left w:val="single" w:sz="12" w:space="0" w:color="auto"/>
            </w:tcBorders>
          </w:tcPr>
          <w:p w:rsidR="001D663A" w:rsidRPr="00A77228" w:rsidRDefault="001D663A" w:rsidP="00392AAD">
            <w:pPr>
              <w:rPr>
                <w:sz w:val="24"/>
                <w:szCs w:val="24"/>
              </w:rPr>
            </w:pPr>
            <w:r w:rsidRPr="00F765AF">
              <w:rPr>
                <w:noProof/>
                <w:sz w:val="24"/>
                <w:szCs w:val="24"/>
              </w:rPr>
              <w:t>Standing Order 23(3)(a)</w:t>
            </w:r>
          </w:p>
        </w:tc>
      </w:tr>
      <w:tr w:rsidR="001D663A" w:rsidRPr="00164622" w:rsidTr="00392AAD">
        <w:tc>
          <w:tcPr>
            <w:tcW w:w="2694" w:type="dxa"/>
            <w:tcBorders>
              <w:bottom w:val="single" w:sz="12" w:space="0" w:color="auto"/>
              <w:right w:val="single" w:sz="12" w:space="0" w:color="auto"/>
            </w:tcBorders>
          </w:tcPr>
          <w:p w:rsidR="001D663A" w:rsidRDefault="001D663A" w:rsidP="00392AAD">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D663A" w:rsidRDefault="001D663A" w:rsidP="00392AAD">
            <w:pPr>
              <w:rPr>
                <w:sz w:val="24"/>
                <w:szCs w:val="24"/>
              </w:rPr>
            </w:pPr>
            <w:r>
              <w:rPr>
                <w:i/>
                <w:noProof/>
                <w:sz w:val="24"/>
                <w:szCs w:val="24"/>
              </w:rPr>
              <w:t>Delegated legislation monitor</w:t>
            </w:r>
            <w:r w:rsidRPr="008841F4">
              <w:rPr>
                <w:noProof/>
                <w:sz w:val="24"/>
                <w:szCs w:val="24"/>
              </w:rPr>
              <w:t xml:space="preserve"> 3 of 2016</w:t>
            </w:r>
          </w:p>
        </w:tc>
      </w:tr>
    </w:tbl>
    <w:p w:rsidR="001D663A" w:rsidRDefault="001D663A" w:rsidP="001D663A"/>
    <w:p w:rsidR="001D663A" w:rsidRDefault="001D663A" w:rsidP="001D663A">
      <w:pPr>
        <w:rPr>
          <w:b/>
          <w:noProof/>
        </w:rPr>
      </w:pPr>
      <w:r w:rsidRPr="00D308B1">
        <w:rPr>
          <w:b/>
          <w:noProof/>
        </w:rPr>
        <w:t>Incorporation of extrinsic material</w:t>
      </w:r>
    </w:p>
    <w:p w:rsidR="001D663A" w:rsidRDefault="001D663A" w:rsidP="001D663A">
      <w:r>
        <w:t>The committee commented as follows:</w:t>
      </w:r>
    </w:p>
    <w:p w:rsidR="001D663A" w:rsidRDefault="001D663A" w:rsidP="001D663A">
      <w:pPr>
        <w:rPr>
          <w:noProof/>
        </w:rPr>
      </w:pPr>
      <w:r>
        <w:rPr>
          <w:noProof/>
        </w:rPr>
        <w:t>These instruments remake earlier instruments in response to the committee's previous inquiries as to the manner of incoporation of extrinsic material. The committee had sought this information from the Assistant Treasurer in keeping with its expectation that ESs clearly state the manner of incorporation of extrinsic material.</w:t>
      </w:r>
      <w:r>
        <w:rPr>
          <w:rStyle w:val="FootnoteReference"/>
          <w:noProof/>
        </w:rPr>
        <w:footnoteReference w:id="24"/>
      </w:r>
    </w:p>
    <w:p w:rsidR="001D663A" w:rsidRDefault="001D663A" w:rsidP="001D663A">
      <w:pPr>
        <w:pStyle w:val="Bullet1"/>
        <w:numPr>
          <w:ilvl w:val="0"/>
          <w:numId w:val="0"/>
        </w:numPr>
        <w:rPr>
          <w:noProof/>
        </w:rPr>
      </w:pPr>
      <w:r>
        <w:rPr>
          <w:noProof/>
        </w:rPr>
        <w:t xml:space="preserve">The committee's examination of the remade instruments raises the following issue with respect to the incorporation of extrinsic material in the revised instruments. </w:t>
      </w:r>
    </w:p>
    <w:p w:rsidR="001D663A" w:rsidRPr="00CB42AF" w:rsidRDefault="001D663A" w:rsidP="001D663A">
      <w:r w:rsidRPr="00CA4810">
        <w:rPr>
          <w:noProof/>
        </w:rPr>
        <w:t xml:space="preserve">Section 14 of the </w:t>
      </w:r>
      <w:r w:rsidRPr="00CA4810">
        <w:rPr>
          <w:i/>
          <w:noProof/>
        </w:rPr>
        <w:t xml:space="preserve">Legislative Instruments Act 2003 </w:t>
      </w:r>
      <w:r w:rsidRPr="00CA4810">
        <w:t>provides for the incorporation of extrinsic material into instruments. Legislative material may be incorporated as in force from time to time or at a particular date. Non-legislative material may only be incorporated as in force at the commencement of the instrument</w:t>
      </w:r>
      <w:r>
        <w:t>,</w:t>
      </w:r>
      <w:r w:rsidRPr="00CA4810">
        <w:t xml:space="preserve"> unless authorising or other legislation alters the operation of section 14.</w:t>
      </w:r>
    </w:p>
    <w:p w:rsidR="001D663A" w:rsidRDefault="001D663A" w:rsidP="001D663A">
      <w:pPr>
        <w:rPr>
          <w:noProof/>
        </w:rPr>
      </w:pPr>
      <w:r>
        <w:rPr>
          <w:noProof/>
        </w:rPr>
        <w:t>With reference to the above, the committee notes that the first instrument refers to the:</w:t>
      </w:r>
    </w:p>
    <w:p w:rsidR="001D663A" w:rsidRDefault="001D663A" w:rsidP="001D663A">
      <w:pPr>
        <w:pStyle w:val="Bullet1"/>
        <w:spacing w:before="120" w:after="120"/>
      </w:pPr>
      <w:r w:rsidRPr="00E706A1">
        <w:lastRenderedPageBreak/>
        <w:t xml:space="preserve">American Society for Testing and Materials (ASTM) </w:t>
      </w:r>
      <w:r w:rsidRPr="008E4A15">
        <w:rPr>
          <w:i/>
        </w:rPr>
        <w:t>Petroleum Measurement Tables for Light Hydrocarbon Liquids – Density Range 0.500 to 0.653 Kg/L at 15º C</w:t>
      </w:r>
      <w:r>
        <w:t>; and</w:t>
      </w:r>
    </w:p>
    <w:p w:rsidR="001D663A" w:rsidRDefault="001D663A" w:rsidP="001D663A">
      <w:pPr>
        <w:pStyle w:val="Bullet1"/>
        <w:spacing w:before="120" w:after="120"/>
      </w:pPr>
      <w:r w:rsidRPr="00E706A1">
        <w:t xml:space="preserve">American Petroleum Institute (API) </w:t>
      </w:r>
      <w:r w:rsidRPr="008E4A15">
        <w:rPr>
          <w:i/>
        </w:rPr>
        <w:t>Manual of Petroleum Measurement Standards, Chapter 11.2.2M – Compressibility Factors for</w:t>
      </w:r>
      <w:r>
        <w:rPr>
          <w:i/>
        </w:rPr>
        <w:t xml:space="preserve"> Hydrocarbons: </w:t>
      </w:r>
      <w:r w:rsidRPr="008E4A15">
        <w:rPr>
          <w:i/>
        </w:rPr>
        <w:t>350-637 kg/m3 Density (15º C) and -46º C to 60º C</w:t>
      </w:r>
      <w:r>
        <w:rPr>
          <w:i/>
        </w:rPr>
        <w:t xml:space="preserve"> metering temperature</w:t>
      </w:r>
      <w:r w:rsidRPr="00826BAD">
        <w:t>.</w:t>
      </w:r>
      <w:r>
        <w:t xml:space="preserve"> </w:t>
      </w:r>
    </w:p>
    <w:p w:rsidR="001D663A" w:rsidRDefault="001D663A" w:rsidP="001D663A">
      <w:pPr>
        <w:rPr>
          <w:noProof/>
        </w:rPr>
      </w:pPr>
      <w:r>
        <w:rPr>
          <w:noProof/>
        </w:rPr>
        <w:t>The second instrument refers to the:</w:t>
      </w:r>
    </w:p>
    <w:p w:rsidR="001D663A" w:rsidRDefault="001D663A" w:rsidP="001D663A">
      <w:pPr>
        <w:pStyle w:val="Bullet1"/>
        <w:spacing w:before="120" w:after="120"/>
      </w:pPr>
      <w:r w:rsidRPr="00AD319A">
        <w:t xml:space="preserve">Australian Standard/International Organization for Standardization AS ISO 13443-2007, </w:t>
      </w:r>
      <w:r w:rsidRPr="008E4A15">
        <w:rPr>
          <w:i/>
        </w:rPr>
        <w:t>Natural gas – St</w:t>
      </w:r>
      <w:r w:rsidRPr="00AD319A">
        <w:rPr>
          <w:i/>
        </w:rPr>
        <w:t>andard reference conditions</w:t>
      </w:r>
      <w:r>
        <w:t>; and</w:t>
      </w:r>
    </w:p>
    <w:p w:rsidR="001D663A" w:rsidRDefault="001D663A" w:rsidP="001D663A">
      <w:pPr>
        <w:pStyle w:val="Bullet1"/>
        <w:spacing w:before="120" w:after="120"/>
      </w:pPr>
      <w:r>
        <w:t xml:space="preserve">International Organization for Standardization ISO 6976-1995 </w:t>
      </w:r>
      <w:r w:rsidRPr="00AD319A">
        <w:rPr>
          <w:i/>
        </w:rPr>
        <w:t>Natural gas – Calculation of calorific values, density and Wobbe index from composition</w:t>
      </w:r>
      <w:r>
        <w:t xml:space="preserve">. </w:t>
      </w:r>
    </w:p>
    <w:p w:rsidR="001D663A" w:rsidRDefault="001D663A" w:rsidP="001D663A">
      <w:pPr>
        <w:rPr>
          <w:noProof/>
        </w:rPr>
      </w:pPr>
      <w:r>
        <w:rPr>
          <w:noProof/>
        </w:rPr>
        <w:t>The third instrument refers to the:</w:t>
      </w:r>
    </w:p>
    <w:p w:rsidR="001D663A" w:rsidRDefault="001D663A" w:rsidP="001D663A">
      <w:pPr>
        <w:pStyle w:val="Bullet1"/>
        <w:spacing w:after="120"/>
        <w:rPr>
          <w:noProof/>
        </w:rPr>
      </w:pPr>
      <w:r w:rsidRPr="008F11E9">
        <w:rPr>
          <w:noProof/>
        </w:rPr>
        <w:t>American Society for Testing and Materials (ASTM)</w:t>
      </w:r>
      <w:r w:rsidRPr="008F11E9">
        <w:rPr>
          <w:i/>
          <w:noProof/>
        </w:rPr>
        <w:t xml:space="preserve"> Petroleum Measurement Tables Volume Correction Factors, Volume VIII</w:t>
      </w:r>
      <w:r>
        <w:rPr>
          <w:noProof/>
        </w:rPr>
        <w:t>;</w:t>
      </w:r>
      <w:r w:rsidRPr="008F11E9">
        <w:rPr>
          <w:noProof/>
        </w:rPr>
        <w:t xml:space="preserve"> and</w:t>
      </w:r>
    </w:p>
    <w:p w:rsidR="001D663A" w:rsidRDefault="001D663A" w:rsidP="001D663A">
      <w:pPr>
        <w:pStyle w:val="Bullet1"/>
        <w:spacing w:after="120"/>
        <w:rPr>
          <w:noProof/>
        </w:rPr>
      </w:pPr>
      <w:r w:rsidRPr="008F11E9">
        <w:rPr>
          <w:i/>
          <w:noProof/>
        </w:rPr>
        <w:t>Practical Alcohol Tables</w:t>
      </w:r>
      <w:r w:rsidRPr="008F11E9">
        <w:rPr>
          <w:noProof/>
        </w:rPr>
        <w:t>.</w:t>
      </w:r>
    </w:p>
    <w:p w:rsidR="001D663A" w:rsidRPr="000C14AE" w:rsidRDefault="001D663A" w:rsidP="001D663A">
      <w:pPr>
        <w:pStyle w:val="Bullet2"/>
        <w:numPr>
          <w:ilvl w:val="0"/>
          <w:numId w:val="0"/>
        </w:numPr>
        <w:rPr>
          <w:szCs w:val="26"/>
        </w:rPr>
      </w:pPr>
      <w:r w:rsidRPr="00823299">
        <w:rPr>
          <w:szCs w:val="26"/>
        </w:rPr>
        <w:t>The instruments also seek to incorporate the 'current version [of these documents] as they exist at the time of commencement of the determination or any version that comes into existence thereafter.'</w:t>
      </w:r>
      <w:r>
        <w:rPr>
          <w:szCs w:val="26"/>
        </w:rPr>
        <w:t xml:space="preserve"> The committee understands this to mean that the documents are incorporated 'as in force from time to time' (to use the language of section 14 of the </w:t>
      </w:r>
      <w:r>
        <w:rPr>
          <w:i/>
          <w:szCs w:val="26"/>
        </w:rPr>
        <w:t>Legislative Instruments Act 2003</w:t>
      </w:r>
      <w:r w:rsidRPr="00481D32">
        <w:rPr>
          <w:szCs w:val="26"/>
        </w:rPr>
        <w:t>)</w:t>
      </w:r>
      <w:r>
        <w:rPr>
          <w:szCs w:val="26"/>
        </w:rPr>
        <w:t>.</w:t>
      </w:r>
    </w:p>
    <w:p w:rsidR="001D663A" w:rsidRDefault="001D663A" w:rsidP="001D663A">
      <w:pPr>
        <w:rPr>
          <w:szCs w:val="26"/>
        </w:rPr>
      </w:pPr>
      <w:r>
        <w:rPr>
          <w:noProof/>
          <w:szCs w:val="26"/>
        </w:rPr>
        <w:t>However</w:t>
      </w:r>
      <w:r w:rsidRPr="00823299">
        <w:rPr>
          <w:noProof/>
          <w:szCs w:val="26"/>
        </w:rPr>
        <w:t xml:space="preserve">, the committee </w:t>
      </w:r>
      <w:r>
        <w:rPr>
          <w:noProof/>
          <w:szCs w:val="26"/>
        </w:rPr>
        <w:t xml:space="preserve">has not been able to identify any provision in the </w:t>
      </w:r>
      <w:r w:rsidRPr="00823299">
        <w:rPr>
          <w:i/>
          <w:noProof/>
          <w:szCs w:val="26"/>
        </w:rPr>
        <w:t>Excise Act</w:t>
      </w:r>
      <w:r>
        <w:rPr>
          <w:noProof/>
          <w:szCs w:val="26"/>
        </w:rPr>
        <w:t> </w:t>
      </w:r>
      <w:r>
        <w:rPr>
          <w:i/>
          <w:noProof/>
          <w:szCs w:val="26"/>
        </w:rPr>
        <w:t>1901</w:t>
      </w:r>
      <w:r>
        <w:rPr>
          <w:noProof/>
          <w:szCs w:val="26"/>
        </w:rPr>
        <w:t xml:space="preserve"> </w:t>
      </w:r>
      <w:r w:rsidRPr="00823299">
        <w:rPr>
          <w:noProof/>
          <w:szCs w:val="26"/>
        </w:rPr>
        <w:t xml:space="preserve">or any other Act </w:t>
      </w:r>
      <w:r>
        <w:rPr>
          <w:noProof/>
          <w:szCs w:val="26"/>
        </w:rPr>
        <w:t xml:space="preserve">that expressly allows </w:t>
      </w:r>
      <w:r w:rsidRPr="00823299">
        <w:rPr>
          <w:noProof/>
          <w:szCs w:val="26"/>
        </w:rPr>
        <w:t xml:space="preserve">for the incorporation of </w:t>
      </w:r>
      <w:r>
        <w:rPr>
          <w:noProof/>
          <w:szCs w:val="26"/>
        </w:rPr>
        <w:t xml:space="preserve">these </w:t>
      </w:r>
      <w:r w:rsidRPr="00823299">
        <w:rPr>
          <w:noProof/>
          <w:szCs w:val="26"/>
        </w:rPr>
        <w:t>documents</w:t>
      </w:r>
      <w:r>
        <w:rPr>
          <w:noProof/>
          <w:szCs w:val="26"/>
        </w:rPr>
        <w:t xml:space="preserve">, which are non-legislative in character, </w:t>
      </w:r>
      <w:r w:rsidRPr="00823299">
        <w:rPr>
          <w:noProof/>
          <w:szCs w:val="26"/>
        </w:rPr>
        <w:t>as in force from time to time.</w:t>
      </w:r>
    </w:p>
    <w:p w:rsidR="001D663A" w:rsidRDefault="001D663A" w:rsidP="001D663A">
      <w:pPr>
        <w:rPr>
          <w:b/>
        </w:rPr>
      </w:pPr>
      <w:r>
        <w:rPr>
          <w:b/>
          <w:szCs w:val="26"/>
        </w:rPr>
        <w:t>T</w:t>
      </w:r>
      <w:r w:rsidRPr="00823299">
        <w:rPr>
          <w:b/>
          <w:szCs w:val="26"/>
        </w:rPr>
        <w:t>he committee requests the advice of the minister in rela</w:t>
      </w:r>
      <w:r w:rsidRPr="00672C26">
        <w:rPr>
          <w:b/>
        </w:rPr>
        <w:t>tion to this ma</w:t>
      </w:r>
      <w:r w:rsidRPr="00B211CC">
        <w:rPr>
          <w:b/>
        </w:rPr>
        <w:t>tter.</w:t>
      </w:r>
    </w:p>
    <w:p w:rsidR="001D663A" w:rsidRDefault="001D663A" w:rsidP="001D663A">
      <w:pPr>
        <w:rPr>
          <w:b/>
        </w:rPr>
      </w:pPr>
      <w:r>
        <w:rPr>
          <w:b/>
        </w:rPr>
        <w:t>Minister's response</w:t>
      </w:r>
    </w:p>
    <w:p w:rsidR="001D663A" w:rsidRDefault="001D663A" w:rsidP="001D663A">
      <w:r>
        <w:t>The former Assistant Treasurer advised:</w:t>
      </w:r>
    </w:p>
    <w:p w:rsidR="001D663A" w:rsidRDefault="001D663A" w:rsidP="001D663A">
      <w:pPr>
        <w:pStyle w:val="Quote"/>
      </w:pPr>
      <w:r>
        <w:t xml:space="preserve">The Australian Taxation Office has advised me that </w:t>
      </w:r>
      <w:r>
        <w:rPr>
          <w:color w:val="222125"/>
        </w:rPr>
        <w:t>t</w:t>
      </w:r>
      <w:r>
        <w:t>hey will repeal the above mentioned legislative instruments and register new determinations and corresponding explanatory statements in order to address the concerns of the Committee. The new legislative instruments will contain directions on the manner of incorporation of the extrinsic material, namely that the edition of the standard set out in the Legislative Instrument is to be used on the commencement of the respective determinations, at that particular date.</w:t>
      </w:r>
    </w:p>
    <w:p w:rsidR="001D663A" w:rsidRPr="00856DD0" w:rsidRDefault="001D663A" w:rsidP="001D663A">
      <w:pPr>
        <w:pStyle w:val="Quote"/>
        <w:rPr>
          <w:color w:val="0A0A0A"/>
        </w:rPr>
      </w:pPr>
      <w:r>
        <w:rPr>
          <w:color w:val="0A0A0A"/>
        </w:rPr>
        <w:t>The new legislative instruments and explanatory statements will be forwarded to the tabling officers prior to the last day of disallowance as specified in the legislation monitor.</w:t>
      </w:r>
    </w:p>
    <w:p w:rsidR="001D663A" w:rsidRDefault="001D663A" w:rsidP="001D663A">
      <w:pPr>
        <w:rPr>
          <w:b/>
          <w:szCs w:val="26"/>
        </w:rPr>
      </w:pPr>
    </w:p>
    <w:p w:rsidR="001D663A" w:rsidRDefault="001D663A" w:rsidP="001D663A">
      <w:pPr>
        <w:rPr>
          <w:b/>
          <w:szCs w:val="26"/>
        </w:rPr>
      </w:pPr>
      <w:r>
        <w:rPr>
          <w:b/>
          <w:szCs w:val="26"/>
        </w:rPr>
        <w:lastRenderedPageBreak/>
        <w:t>Committee's response</w:t>
      </w:r>
    </w:p>
    <w:p w:rsidR="001D663A" w:rsidRDefault="001D663A" w:rsidP="001D663A">
      <w:pPr>
        <w:rPr>
          <w:b/>
          <w:szCs w:val="26"/>
        </w:rPr>
      </w:pPr>
      <w:r w:rsidRPr="00704E00">
        <w:rPr>
          <w:b/>
          <w:szCs w:val="26"/>
        </w:rPr>
        <w:t>The committee tha</w:t>
      </w:r>
      <w:r w:rsidRPr="00856DD0">
        <w:rPr>
          <w:b/>
          <w:szCs w:val="26"/>
        </w:rPr>
        <w:t>nks the</w:t>
      </w:r>
      <w:r>
        <w:rPr>
          <w:b/>
          <w:szCs w:val="26"/>
        </w:rPr>
        <w:t xml:space="preserve"> former Assistant Treasurer for her</w:t>
      </w:r>
      <w:r w:rsidRPr="00704E00">
        <w:rPr>
          <w:b/>
          <w:szCs w:val="26"/>
        </w:rPr>
        <w:t xml:space="preserve"> response and has concluded its examination of the instrument</w:t>
      </w:r>
      <w:r>
        <w:rPr>
          <w:b/>
          <w:szCs w:val="26"/>
        </w:rPr>
        <w:t>s</w:t>
      </w:r>
      <w:r w:rsidRPr="00704E00">
        <w:rPr>
          <w:b/>
          <w:szCs w:val="26"/>
        </w:rPr>
        <w:t xml:space="preserve">. </w:t>
      </w:r>
    </w:p>
    <w:p w:rsidR="001D663A" w:rsidRDefault="001D663A" w:rsidP="001D663A">
      <w:pPr>
        <w:spacing w:after="0"/>
        <w:rPr>
          <w:szCs w:val="26"/>
        </w:rPr>
      </w:pPr>
      <w:r w:rsidRPr="009B2B88">
        <w:rPr>
          <w:szCs w:val="26"/>
        </w:rPr>
        <w:t>The committee notes the</w:t>
      </w:r>
      <w:r>
        <w:rPr>
          <w:szCs w:val="26"/>
        </w:rPr>
        <w:t xml:space="preserve"> former</w:t>
      </w:r>
      <w:r w:rsidRPr="009B2B88">
        <w:rPr>
          <w:szCs w:val="26"/>
        </w:rPr>
        <w:t xml:space="preserve"> Assistant Treasurer's undertaking that the Australian Taxation Office will repeal and remake the</w:t>
      </w:r>
      <w:r>
        <w:rPr>
          <w:szCs w:val="26"/>
        </w:rPr>
        <w:t xml:space="preserve"> instruments </w:t>
      </w:r>
      <w:r w:rsidRPr="009B2B88">
        <w:rPr>
          <w:szCs w:val="26"/>
        </w:rPr>
        <w:t xml:space="preserve">to address the committee's concerns by </w:t>
      </w:r>
      <w:r>
        <w:rPr>
          <w:szCs w:val="26"/>
        </w:rPr>
        <w:t>incorporating the extrinsic material as at their commencement.</w:t>
      </w:r>
    </w:p>
    <w:p w:rsidR="001D663A" w:rsidRPr="00164622" w:rsidRDefault="001D663A" w:rsidP="001D663A">
      <w:pPr>
        <w:spacing w:after="0"/>
        <w:rPr>
          <w:szCs w:val="26"/>
        </w:rPr>
      </w:pPr>
    </w:p>
    <w:tbl>
      <w:tblPr>
        <w:tblW w:w="0" w:type="auto"/>
        <w:tblInd w:w="108" w:type="dxa"/>
        <w:tblLook w:val="04A0" w:firstRow="1" w:lastRow="0" w:firstColumn="1" w:lastColumn="0" w:noHBand="0" w:noVBand="1"/>
      </w:tblPr>
      <w:tblGrid>
        <w:gridCol w:w="2694"/>
        <w:gridCol w:w="6378"/>
      </w:tblGrid>
      <w:tr w:rsidR="001D663A" w:rsidRPr="00164622" w:rsidTr="00392AAD">
        <w:tc>
          <w:tcPr>
            <w:tcW w:w="2694" w:type="dxa"/>
            <w:tcBorders>
              <w:top w:val="single" w:sz="12" w:space="0" w:color="auto"/>
              <w:right w:val="single" w:sz="12" w:space="0" w:color="auto"/>
            </w:tcBorders>
          </w:tcPr>
          <w:p w:rsidR="001D663A" w:rsidRPr="00A77228" w:rsidRDefault="001D663A" w:rsidP="00392AAD">
            <w:pPr>
              <w:rPr>
                <w:b/>
                <w:sz w:val="24"/>
                <w:szCs w:val="24"/>
              </w:rPr>
            </w:pPr>
            <w:r>
              <w:rPr>
                <w:b/>
                <w:sz w:val="24"/>
                <w:szCs w:val="24"/>
              </w:rPr>
              <w:t>Instrument</w:t>
            </w:r>
          </w:p>
        </w:tc>
        <w:tc>
          <w:tcPr>
            <w:tcW w:w="6378" w:type="dxa"/>
            <w:tcBorders>
              <w:top w:val="single" w:sz="12" w:space="0" w:color="auto"/>
              <w:left w:val="single" w:sz="12" w:space="0" w:color="auto"/>
            </w:tcBorders>
          </w:tcPr>
          <w:p w:rsidR="001D663A" w:rsidRPr="00BA36F8" w:rsidRDefault="001D663A" w:rsidP="00392AAD">
            <w:pPr>
              <w:pStyle w:val="Heading3"/>
              <w:rPr>
                <w:sz w:val="24"/>
                <w:szCs w:val="24"/>
              </w:rPr>
            </w:pPr>
            <w:r w:rsidRPr="00F765AF">
              <w:rPr>
                <w:noProof/>
                <w:sz w:val="24"/>
                <w:szCs w:val="24"/>
              </w:rPr>
              <w:t>Export Control (Prescribed Goods—General) Amendment (Official Marks) Order 2016 [F2016L00432]</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Purpose</w:t>
            </w:r>
          </w:p>
        </w:tc>
        <w:tc>
          <w:tcPr>
            <w:tcW w:w="6378" w:type="dxa"/>
            <w:tcBorders>
              <w:left w:val="single" w:sz="12" w:space="0" w:color="auto"/>
            </w:tcBorders>
          </w:tcPr>
          <w:p w:rsidR="001D663A" w:rsidRPr="00A77228" w:rsidRDefault="001D663A" w:rsidP="00392AAD">
            <w:pPr>
              <w:rPr>
                <w:sz w:val="24"/>
                <w:szCs w:val="24"/>
              </w:rPr>
            </w:pPr>
            <w:r w:rsidRPr="00F765AF">
              <w:rPr>
                <w:noProof/>
                <w:sz w:val="24"/>
                <w:szCs w:val="24"/>
              </w:rPr>
              <w:t>This order updates provisions relating to official marks and seals and removes marks and seals that are no longer required</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Last day to disallow</w:t>
            </w:r>
          </w:p>
        </w:tc>
        <w:tc>
          <w:tcPr>
            <w:tcW w:w="6378" w:type="dxa"/>
            <w:tcBorders>
              <w:left w:val="single" w:sz="12" w:space="0" w:color="auto"/>
            </w:tcBorders>
          </w:tcPr>
          <w:p w:rsidR="001D663A" w:rsidRPr="00A77228" w:rsidRDefault="001D663A" w:rsidP="00392AAD">
            <w:pPr>
              <w:rPr>
                <w:sz w:val="24"/>
                <w:szCs w:val="24"/>
              </w:rPr>
            </w:pPr>
            <w:r>
              <w:rPr>
                <w:noProof/>
                <w:sz w:val="24"/>
                <w:szCs w:val="24"/>
              </w:rPr>
              <w:t>13 October 2016</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Authorising legislation</w:t>
            </w:r>
          </w:p>
        </w:tc>
        <w:tc>
          <w:tcPr>
            <w:tcW w:w="6378" w:type="dxa"/>
            <w:tcBorders>
              <w:left w:val="single" w:sz="12" w:space="0" w:color="auto"/>
            </w:tcBorders>
          </w:tcPr>
          <w:p w:rsidR="001D663A" w:rsidRPr="006D2D09" w:rsidRDefault="001D663A" w:rsidP="00392AAD">
            <w:pPr>
              <w:rPr>
                <w:sz w:val="24"/>
                <w:szCs w:val="24"/>
              </w:rPr>
            </w:pPr>
            <w:r w:rsidRPr="006D2D09">
              <w:rPr>
                <w:noProof/>
                <w:sz w:val="24"/>
                <w:szCs w:val="24"/>
              </w:rPr>
              <w:t>Export Control (Orders) Regulations 1982</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Department</w:t>
            </w:r>
          </w:p>
        </w:tc>
        <w:tc>
          <w:tcPr>
            <w:tcW w:w="6378" w:type="dxa"/>
            <w:tcBorders>
              <w:left w:val="single" w:sz="12" w:space="0" w:color="auto"/>
            </w:tcBorders>
          </w:tcPr>
          <w:p w:rsidR="001D663A" w:rsidRPr="00A77228" w:rsidRDefault="001D663A" w:rsidP="00392AAD">
            <w:pPr>
              <w:rPr>
                <w:sz w:val="24"/>
                <w:szCs w:val="24"/>
              </w:rPr>
            </w:pPr>
            <w:r w:rsidRPr="00F765AF">
              <w:rPr>
                <w:noProof/>
                <w:sz w:val="24"/>
                <w:szCs w:val="24"/>
              </w:rPr>
              <w:t>Agriculture and Water Resources</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Pr>
                <w:b/>
                <w:sz w:val="24"/>
                <w:szCs w:val="24"/>
              </w:rPr>
              <w:t>Scrutiny principle</w:t>
            </w:r>
          </w:p>
        </w:tc>
        <w:tc>
          <w:tcPr>
            <w:tcW w:w="6378" w:type="dxa"/>
            <w:tcBorders>
              <w:left w:val="single" w:sz="12" w:space="0" w:color="auto"/>
            </w:tcBorders>
          </w:tcPr>
          <w:p w:rsidR="001D663A" w:rsidRPr="00A77228" w:rsidRDefault="001D663A" w:rsidP="00392AAD">
            <w:pPr>
              <w:rPr>
                <w:sz w:val="24"/>
                <w:szCs w:val="24"/>
              </w:rPr>
            </w:pPr>
            <w:r w:rsidRPr="00F765AF">
              <w:rPr>
                <w:noProof/>
                <w:sz w:val="24"/>
                <w:szCs w:val="24"/>
              </w:rPr>
              <w:t>Standing Order 23(3)(a)</w:t>
            </w:r>
          </w:p>
        </w:tc>
      </w:tr>
      <w:tr w:rsidR="001D663A" w:rsidRPr="00164622" w:rsidTr="00392AAD">
        <w:tc>
          <w:tcPr>
            <w:tcW w:w="2694" w:type="dxa"/>
            <w:tcBorders>
              <w:bottom w:val="single" w:sz="12" w:space="0" w:color="auto"/>
              <w:right w:val="single" w:sz="12" w:space="0" w:color="auto"/>
            </w:tcBorders>
          </w:tcPr>
          <w:p w:rsidR="001D663A" w:rsidRDefault="001D663A" w:rsidP="00392AAD">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D663A" w:rsidRDefault="001D663A" w:rsidP="00392AAD">
            <w:pPr>
              <w:rPr>
                <w:sz w:val="24"/>
                <w:szCs w:val="24"/>
              </w:rPr>
            </w:pPr>
            <w:r>
              <w:rPr>
                <w:i/>
                <w:noProof/>
                <w:sz w:val="24"/>
                <w:szCs w:val="24"/>
              </w:rPr>
              <w:t>Delegated legislation monitor</w:t>
            </w:r>
            <w:r w:rsidRPr="008841F4">
              <w:rPr>
                <w:noProof/>
                <w:sz w:val="24"/>
                <w:szCs w:val="24"/>
              </w:rPr>
              <w:t xml:space="preserve"> 5 of 2016</w:t>
            </w:r>
          </w:p>
        </w:tc>
      </w:tr>
    </w:tbl>
    <w:p w:rsidR="001D663A" w:rsidRDefault="001D663A" w:rsidP="001D663A"/>
    <w:p w:rsidR="001D663A" w:rsidRDefault="001D663A" w:rsidP="001D663A">
      <w:pPr>
        <w:rPr>
          <w:b/>
          <w:noProof/>
        </w:rPr>
      </w:pPr>
      <w:r w:rsidRPr="00C366DD">
        <w:rPr>
          <w:b/>
          <w:noProof/>
        </w:rPr>
        <w:t>Incorporation of extrinsic material</w:t>
      </w:r>
    </w:p>
    <w:p w:rsidR="001D663A" w:rsidRPr="00DF1E0E" w:rsidRDefault="001D663A" w:rsidP="001D663A">
      <w:r>
        <w:t>The committee commented as follows:</w:t>
      </w:r>
    </w:p>
    <w:p w:rsidR="001D663A" w:rsidRPr="00C366DD" w:rsidRDefault="001D663A" w:rsidP="001D663A">
      <w:pPr>
        <w:rPr>
          <w:szCs w:val="26"/>
        </w:rPr>
      </w:pPr>
      <w:r w:rsidRPr="00C366DD">
        <w:rPr>
          <w:szCs w:val="26"/>
        </w:rPr>
        <w:t xml:space="preserve">Section 14 of the </w:t>
      </w:r>
      <w:r w:rsidRPr="00C366DD">
        <w:rPr>
          <w:i/>
          <w:szCs w:val="26"/>
        </w:rPr>
        <w:t>Legislation Act 2003</w:t>
      </w:r>
      <w:r w:rsidRPr="00C366DD">
        <w:rPr>
          <w:szCs w:val="26"/>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 </w:t>
      </w:r>
    </w:p>
    <w:p w:rsidR="001D663A" w:rsidRPr="00C366DD" w:rsidRDefault="001D663A" w:rsidP="001D663A">
      <w:pPr>
        <w:rPr>
          <w:szCs w:val="26"/>
        </w:rPr>
      </w:pPr>
      <w:r w:rsidRPr="00C366DD">
        <w:rPr>
          <w:szCs w:val="26"/>
        </w:rPr>
        <w:t xml:space="preserve">The committee notes that </w:t>
      </w:r>
      <w:r>
        <w:rPr>
          <w:szCs w:val="26"/>
        </w:rPr>
        <w:t>sub</w:t>
      </w:r>
      <w:r w:rsidRPr="00C366DD">
        <w:rPr>
          <w:szCs w:val="26"/>
        </w:rPr>
        <w:t xml:space="preserve">section 25(5) of the </w:t>
      </w:r>
      <w:r w:rsidRPr="00C366DD">
        <w:rPr>
          <w:i/>
          <w:szCs w:val="26"/>
        </w:rPr>
        <w:t>Export Control Act 1982</w:t>
      </w:r>
      <w:r w:rsidRPr="00C366DD">
        <w:rPr>
          <w:szCs w:val="26"/>
        </w:rPr>
        <w:t xml:space="preserve"> may operate to allow the Order to incorporate non-legislative material as in force at a particular date or as in force from time to time.</w:t>
      </w:r>
    </w:p>
    <w:p w:rsidR="001D663A" w:rsidRPr="00C366DD" w:rsidRDefault="001D663A" w:rsidP="001D663A">
      <w:pPr>
        <w:rPr>
          <w:szCs w:val="26"/>
        </w:rPr>
      </w:pPr>
      <w:r w:rsidRPr="00C366DD">
        <w:rPr>
          <w:szCs w:val="26"/>
        </w:rPr>
        <w:t>With reference to the above, the committee notes that</w:t>
      </w:r>
      <w:r w:rsidRPr="00C366DD">
        <w:t xml:space="preserve"> </w:t>
      </w:r>
      <w:r w:rsidRPr="00C366DD">
        <w:rPr>
          <w:szCs w:val="26"/>
        </w:rPr>
        <w:t xml:space="preserve">the instrument requires that official marks comply with certain requirements, including at sections 13.10A and 13.11A of the instrument, those set out in ISO 17712:2013 </w:t>
      </w:r>
      <w:r w:rsidRPr="00C366DD">
        <w:rPr>
          <w:i/>
          <w:szCs w:val="26"/>
        </w:rPr>
        <w:t xml:space="preserve">Freight containers – Mechanical seals </w:t>
      </w:r>
      <w:r w:rsidRPr="00C366DD">
        <w:rPr>
          <w:szCs w:val="26"/>
        </w:rPr>
        <w:t>published by the International Organisation for Standardization. However, neither the text of the instrument nor the ES expressly states the manner in which ISO 17712:2013 is incorporated.</w:t>
      </w:r>
    </w:p>
    <w:p w:rsidR="001D663A" w:rsidRPr="00C366DD" w:rsidRDefault="001D663A" w:rsidP="001D663A">
      <w:pPr>
        <w:rPr>
          <w:szCs w:val="26"/>
        </w:rPr>
      </w:pPr>
      <w:r w:rsidRPr="00C366DD">
        <w:rPr>
          <w:szCs w:val="26"/>
        </w:rPr>
        <w:t xml:space="preserve">The committee's usual expectation where instruments incorporate extrinsic material by reference is that the manner of incorporation is clearly specified in the instruments </w:t>
      </w:r>
      <w:r w:rsidRPr="00C366DD">
        <w:rPr>
          <w:szCs w:val="26"/>
        </w:rPr>
        <w:lastRenderedPageBreak/>
        <w:t>and, ideally, in the ESs. The committee regards this as a best-practice approach that enables anticipated users or persons affected by any such instrument to understand its operation without the need to rely on specialist legal knowledge or advice, or consult extrinsic material.</w:t>
      </w:r>
    </w:p>
    <w:p w:rsidR="001D663A" w:rsidRDefault="001D663A" w:rsidP="001D663A">
      <w:pPr>
        <w:rPr>
          <w:b/>
          <w:szCs w:val="26"/>
        </w:rPr>
      </w:pPr>
      <w:r w:rsidRPr="00C366DD">
        <w:rPr>
          <w:b/>
          <w:szCs w:val="26"/>
        </w:rPr>
        <w:t>The committee requests the advice of the minister in relation to this matter.</w:t>
      </w:r>
    </w:p>
    <w:p w:rsidR="001D663A" w:rsidRDefault="001D663A" w:rsidP="001D663A">
      <w:pPr>
        <w:rPr>
          <w:b/>
        </w:rPr>
      </w:pPr>
      <w:r>
        <w:rPr>
          <w:b/>
        </w:rPr>
        <w:t>Department's response</w:t>
      </w:r>
    </w:p>
    <w:p w:rsidR="001D663A" w:rsidRDefault="001D663A" w:rsidP="001D663A">
      <w:r>
        <w:t>The Secretary of the Department of Agriculture and Water Resources advised:</w:t>
      </w:r>
    </w:p>
    <w:p w:rsidR="001D663A" w:rsidRPr="00856DD0" w:rsidRDefault="001D663A" w:rsidP="001D663A">
      <w:pPr>
        <w:pStyle w:val="Quote"/>
      </w:pPr>
      <w:r>
        <w:rPr>
          <w:color w:val="101010"/>
        </w:rPr>
        <w:t xml:space="preserve">As </w:t>
      </w:r>
      <w:r>
        <w:t xml:space="preserve">the </w:t>
      </w:r>
      <w:r>
        <w:rPr>
          <w:color w:val="101010"/>
        </w:rPr>
        <w:t>i</w:t>
      </w:r>
      <w:r>
        <w:rPr>
          <w:color w:val="353535"/>
        </w:rPr>
        <w:t xml:space="preserve">ssue </w:t>
      </w:r>
      <w:r>
        <w:t xml:space="preserve">raised </w:t>
      </w:r>
      <w:r>
        <w:rPr>
          <w:color w:val="101010"/>
        </w:rPr>
        <w:t xml:space="preserve">by </w:t>
      </w:r>
      <w:r>
        <w:t xml:space="preserve">the Committee </w:t>
      </w:r>
      <w:r>
        <w:rPr>
          <w:color w:val="101010"/>
        </w:rPr>
        <w:t>i</w:t>
      </w:r>
      <w:r>
        <w:rPr>
          <w:color w:val="353535"/>
        </w:rPr>
        <w:t xml:space="preserve">s </w:t>
      </w:r>
      <w:r>
        <w:t xml:space="preserve">of a technical nature </w:t>
      </w:r>
      <w:r>
        <w:rPr>
          <w:color w:val="353535"/>
        </w:rPr>
        <w:t xml:space="preserve">and </w:t>
      </w:r>
      <w:r>
        <w:t xml:space="preserve">does not </w:t>
      </w:r>
      <w:r>
        <w:rPr>
          <w:color w:val="101010"/>
        </w:rPr>
        <w:t>rel</w:t>
      </w:r>
      <w:r>
        <w:rPr>
          <w:color w:val="353535"/>
        </w:rPr>
        <w:t xml:space="preserve">ate </w:t>
      </w:r>
      <w:r>
        <w:t xml:space="preserve">to matters of policy, </w:t>
      </w:r>
      <w:r>
        <w:rPr>
          <w:color w:val="101010"/>
        </w:rPr>
        <w:t xml:space="preserve">it is </w:t>
      </w:r>
      <w:r>
        <w:t xml:space="preserve">appropriate </w:t>
      </w:r>
      <w:r>
        <w:rPr>
          <w:color w:val="101010"/>
        </w:rPr>
        <w:t>th</w:t>
      </w:r>
      <w:r>
        <w:rPr>
          <w:color w:val="353535"/>
        </w:rPr>
        <w:t xml:space="preserve">at </w:t>
      </w:r>
      <w:r>
        <w:rPr>
          <w:color w:val="101010"/>
        </w:rPr>
        <w:t xml:space="preserve">I </w:t>
      </w:r>
      <w:r>
        <w:t xml:space="preserve">respond on behalf of </w:t>
      </w:r>
      <w:r>
        <w:rPr>
          <w:color w:val="101010"/>
        </w:rPr>
        <w:t xml:space="preserve">the Deputy </w:t>
      </w:r>
      <w:r>
        <w:t xml:space="preserve">Prime Minister during the caretaker </w:t>
      </w:r>
      <w:r>
        <w:rPr>
          <w:color w:val="101010"/>
        </w:rPr>
        <w:t>period.</w:t>
      </w:r>
    </w:p>
    <w:p w:rsidR="001D663A" w:rsidRPr="00856DD0" w:rsidRDefault="001D663A" w:rsidP="001D663A">
      <w:pPr>
        <w:pStyle w:val="Quote"/>
        <w:rPr>
          <w:i/>
          <w:iCs/>
        </w:rPr>
      </w:pPr>
      <w:r>
        <w:rPr>
          <w:color w:val="101010"/>
        </w:rPr>
        <w:t>Th</w:t>
      </w:r>
      <w:r>
        <w:rPr>
          <w:color w:val="353535"/>
        </w:rPr>
        <w:t xml:space="preserve">e </w:t>
      </w:r>
      <w:r>
        <w:t xml:space="preserve">department </w:t>
      </w:r>
      <w:r>
        <w:rPr>
          <w:color w:val="353535"/>
        </w:rPr>
        <w:t xml:space="preserve">advises </w:t>
      </w:r>
      <w:r>
        <w:t xml:space="preserve">that references </w:t>
      </w:r>
      <w:r>
        <w:rPr>
          <w:color w:val="101010"/>
        </w:rPr>
        <w:t xml:space="preserve">in </w:t>
      </w:r>
      <w:r>
        <w:t xml:space="preserve">the Order </w:t>
      </w:r>
      <w:r>
        <w:rPr>
          <w:color w:val="101010"/>
        </w:rPr>
        <w:t>to ISO 17712:201</w:t>
      </w:r>
      <w:r>
        <w:rPr>
          <w:color w:val="353535"/>
        </w:rPr>
        <w:t xml:space="preserve">3 </w:t>
      </w:r>
      <w:r>
        <w:rPr>
          <w:i/>
          <w:iCs/>
        </w:rPr>
        <w:t xml:space="preserve">Freight containers </w:t>
      </w:r>
      <w:r>
        <w:rPr>
          <w:color w:val="101010"/>
        </w:rPr>
        <w:t xml:space="preserve">- </w:t>
      </w:r>
      <w:r>
        <w:rPr>
          <w:i/>
          <w:iCs/>
        </w:rPr>
        <w:t xml:space="preserve">Mechanical seals </w:t>
      </w:r>
      <w:r>
        <w:t xml:space="preserve">be </w:t>
      </w:r>
      <w:r>
        <w:rPr>
          <w:color w:val="101010"/>
        </w:rPr>
        <w:t>re</w:t>
      </w:r>
      <w:r>
        <w:rPr>
          <w:color w:val="353535"/>
        </w:rPr>
        <w:t xml:space="preserve">ad as </w:t>
      </w:r>
      <w:r>
        <w:t>'International Standards ISO 17712:2013</w:t>
      </w:r>
      <w:r>
        <w:rPr>
          <w:i/>
          <w:iCs/>
        </w:rPr>
        <w:t xml:space="preserve"> Freight containers </w:t>
      </w:r>
      <w:r>
        <w:t xml:space="preserve">- </w:t>
      </w:r>
      <w:r>
        <w:rPr>
          <w:i/>
          <w:iCs/>
        </w:rPr>
        <w:t xml:space="preserve">Mechanical </w:t>
      </w:r>
      <w:r>
        <w:rPr>
          <w:i/>
          <w:iCs/>
          <w:color w:val="353535"/>
        </w:rPr>
        <w:t>sea</w:t>
      </w:r>
      <w:r>
        <w:rPr>
          <w:i/>
          <w:iCs/>
          <w:color w:val="101010"/>
        </w:rPr>
        <w:t xml:space="preserve">ls </w:t>
      </w:r>
      <w:r w:rsidRPr="00331D0B">
        <w:rPr>
          <w:u w:val="single"/>
        </w:rPr>
        <w:t xml:space="preserve">as in force </w:t>
      </w:r>
      <w:r w:rsidRPr="00331D0B">
        <w:rPr>
          <w:color w:val="353535"/>
          <w:u w:val="single"/>
        </w:rPr>
        <w:t xml:space="preserve">at </w:t>
      </w:r>
      <w:r w:rsidRPr="00331D0B">
        <w:rPr>
          <w:u w:val="single"/>
        </w:rPr>
        <w:t xml:space="preserve">the commencement of </w:t>
      </w:r>
      <w:r w:rsidRPr="00331D0B">
        <w:rPr>
          <w:color w:val="353535"/>
          <w:u w:val="single"/>
        </w:rPr>
        <w:t>t</w:t>
      </w:r>
      <w:r w:rsidRPr="00331D0B">
        <w:rPr>
          <w:color w:val="101010"/>
          <w:u w:val="single"/>
        </w:rPr>
        <w:t>h</w:t>
      </w:r>
      <w:r w:rsidRPr="00331D0B">
        <w:rPr>
          <w:color w:val="353535"/>
          <w:u w:val="single"/>
        </w:rPr>
        <w:t xml:space="preserve">e </w:t>
      </w:r>
      <w:r w:rsidRPr="00331D0B">
        <w:rPr>
          <w:u w:val="single"/>
        </w:rPr>
        <w:t>Order</w:t>
      </w:r>
      <w:r>
        <w:t>'.</w:t>
      </w:r>
    </w:p>
    <w:p w:rsidR="001D663A" w:rsidRPr="00856DD0" w:rsidRDefault="001D663A" w:rsidP="001D663A">
      <w:pPr>
        <w:pStyle w:val="Quote"/>
        <w:rPr>
          <w:color w:val="151515"/>
        </w:rPr>
      </w:pPr>
      <w:r>
        <w:rPr>
          <w:color w:val="151515"/>
        </w:rPr>
        <w:t xml:space="preserve">I note that the </w:t>
      </w:r>
      <w:r>
        <w:rPr>
          <w:color w:val="252525"/>
        </w:rPr>
        <w:t xml:space="preserve">Committee </w:t>
      </w:r>
      <w:r>
        <w:rPr>
          <w:color w:val="151515"/>
        </w:rPr>
        <w:t xml:space="preserve">places </w:t>
      </w:r>
      <w:r>
        <w:rPr>
          <w:color w:val="252525"/>
        </w:rPr>
        <w:t xml:space="preserve">considerable </w:t>
      </w:r>
      <w:r>
        <w:rPr>
          <w:color w:val="151515"/>
        </w:rPr>
        <w:t xml:space="preserve">reliance on explanatory </w:t>
      </w:r>
      <w:r>
        <w:rPr>
          <w:color w:val="252525"/>
        </w:rPr>
        <w:t xml:space="preserve">statements </w:t>
      </w:r>
      <w:r>
        <w:rPr>
          <w:color w:val="151515"/>
        </w:rPr>
        <w:t xml:space="preserve">to explain legislative instruments </w:t>
      </w:r>
      <w:r>
        <w:rPr>
          <w:color w:val="252525"/>
        </w:rPr>
        <w:t xml:space="preserve">and </w:t>
      </w:r>
      <w:r>
        <w:rPr>
          <w:color w:val="151515"/>
        </w:rPr>
        <w:t xml:space="preserve">the incorporation of </w:t>
      </w:r>
      <w:r>
        <w:rPr>
          <w:color w:val="252525"/>
        </w:rPr>
        <w:t xml:space="preserve">extrinsic </w:t>
      </w:r>
      <w:r>
        <w:rPr>
          <w:color w:val="151515"/>
        </w:rPr>
        <w:t xml:space="preserve">material. </w:t>
      </w:r>
      <w:r>
        <w:rPr>
          <w:color w:val="252525"/>
        </w:rPr>
        <w:t xml:space="preserve">My </w:t>
      </w:r>
      <w:r>
        <w:rPr>
          <w:color w:val="151515"/>
        </w:rPr>
        <w:t xml:space="preserve">department will, where possible, </w:t>
      </w:r>
      <w:r>
        <w:rPr>
          <w:color w:val="252525"/>
        </w:rPr>
        <w:t xml:space="preserve">seek </w:t>
      </w:r>
      <w:r>
        <w:rPr>
          <w:color w:val="151515"/>
        </w:rPr>
        <w:t xml:space="preserve">to include </w:t>
      </w:r>
      <w:r>
        <w:rPr>
          <w:color w:val="252525"/>
        </w:rPr>
        <w:t xml:space="preserve">all </w:t>
      </w:r>
      <w:r>
        <w:rPr>
          <w:color w:val="151515"/>
        </w:rPr>
        <w:t xml:space="preserve">necessary </w:t>
      </w:r>
      <w:r>
        <w:rPr>
          <w:color w:val="252525"/>
        </w:rPr>
        <w:t xml:space="preserve">information </w:t>
      </w:r>
      <w:r>
        <w:rPr>
          <w:color w:val="151515"/>
        </w:rPr>
        <w:t xml:space="preserve">in </w:t>
      </w:r>
      <w:r>
        <w:rPr>
          <w:color w:val="252525"/>
        </w:rPr>
        <w:t xml:space="preserve">explanatory statements </w:t>
      </w:r>
      <w:r>
        <w:rPr>
          <w:color w:val="151515"/>
        </w:rPr>
        <w:t xml:space="preserve">to address the incorporation of any </w:t>
      </w:r>
      <w:r>
        <w:rPr>
          <w:color w:val="252525"/>
        </w:rPr>
        <w:t xml:space="preserve">extrinsic </w:t>
      </w:r>
      <w:r>
        <w:rPr>
          <w:color w:val="151515"/>
        </w:rPr>
        <w:t>material.</w:t>
      </w:r>
    </w:p>
    <w:p w:rsidR="001D663A" w:rsidRDefault="001D663A" w:rsidP="001D663A">
      <w:pPr>
        <w:rPr>
          <w:b/>
          <w:szCs w:val="26"/>
        </w:rPr>
      </w:pPr>
      <w:r>
        <w:rPr>
          <w:b/>
          <w:szCs w:val="26"/>
        </w:rPr>
        <w:t>Committee's response</w:t>
      </w:r>
    </w:p>
    <w:p w:rsidR="001D663A" w:rsidRDefault="001D663A" w:rsidP="001D663A">
      <w:pPr>
        <w:rPr>
          <w:b/>
          <w:szCs w:val="26"/>
        </w:rPr>
      </w:pPr>
      <w:r w:rsidRPr="00704E00">
        <w:rPr>
          <w:b/>
          <w:szCs w:val="26"/>
        </w:rPr>
        <w:t>The committee tha</w:t>
      </w:r>
      <w:r w:rsidRPr="00856DD0">
        <w:rPr>
          <w:b/>
          <w:szCs w:val="26"/>
        </w:rPr>
        <w:t xml:space="preserve">nks the </w:t>
      </w:r>
      <w:r>
        <w:rPr>
          <w:b/>
          <w:szCs w:val="26"/>
        </w:rPr>
        <w:t>secretary for his</w:t>
      </w:r>
      <w:r w:rsidRPr="00704E00">
        <w:rPr>
          <w:b/>
          <w:szCs w:val="26"/>
        </w:rPr>
        <w:t xml:space="preserve"> response and has concluded its examination of the instrument. </w:t>
      </w:r>
    </w:p>
    <w:p w:rsidR="001D663A" w:rsidRPr="0099744D" w:rsidRDefault="001D663A" w:rsidP="001D663A">
      <w:pPr>
        <w:rPr>
          <w:sz w:val="2"/>
          <w:szCs w:val="2"/>
        </w:rPr>
      </w:pPr>
      <w:r w:rsidRPr="009B2B88">
        <w:rPr>
          <w:szCs w:val="26"/>
        </w:rPr>
        <w:t xml:space="preserve">The committee also thanks the </w:t>
      </w:r>
      <w:r>
        <w:rPr>
          <w:szCs w:val="26"/>
        </w:rPr>
        <w:t>s</w:t>
      </w:r>
      <w:r w:rsidRPr="009B2B88">
        <w:rPr>
          <w:szCs w:val="26"/>
        </w:rPr>
        <w:t>ecretary for his advice that future</w:t>
      </w:r>
      <w:r>
        <w:rPr>
          <w:szCs w:val="26"/>
        </w:rPr>
        <w:t xml:space="preserve"> ESs </w:t>
      </w:r>
      <w:r w:rsidRPr="009B2B88">
        <w:rPr>
          <w:szCs w:val="26"/>
        </w:rPr>
        <w:t>to instruments will state how documents are incorporated.</w:t>
      </w:r>
      <w:r>
        <w:br w:type="page"/>
      </w:r>
    </w:p>
    <w:tbl>
      <w:tblPr>
        <w:tblW w:w="0" w:type="auto"/>
        <w:tblInd w:w="108" w:type="dxa"/>
        <w:tblLook w:val="04A0" w:firstRow="1" w:lastRow="0" w:firstColumn="1" w:lastColumn="0" w:noHBand="0" w:noVBand="1"/>
      </w:tblPr>
      <w:tblGrid>
        <w:gridCol w:w="2694"/>
        <w:gridCol w:w="6378"/>
      </w:tblGrid>
      <w:tr w:rsidR="001D663A" w:rsidRPr="00164622" w:rsidTr="00392AAD">
        <w:tc>
          <w:tcPr>
            <w:tcW w:w="2694" w:type="dxa"/>
            <w:tcBorders>
              <w:top w:val="single" w:sz="12" w:space="0" w:color="auto"/>
              <w:right w:val="single" w:sz="12" w:space="0" w:color="auto"/>
            </w:tcBorders>
          </w:tcPr>
          <w:p w:rsidR="001D663A" w:rsidRPr="00A77228" w:rsidRDefault="001D663A" w:rsidP="00392AAD">
            <w:pPr>
              <w:rPr>
                <w:b/>
                <w:sz w:val="24"/>
                <w:szCs w:val="24"/>
              </w:rPr>
            </w:pPr>
            <w:r>
              <w:rPr>
                <w:szCs w:val="26"/>
              </w:rPr>
              <w:lastRenderedPageBreak/>
              <w:br w:type="page"/>
            </w:r>
            <w:r>
              <w:rPr>
                <w:b/>
                <w:sz w:val="24"/>
                <w:szCs w:val="24"/>
              </w:rPr>
              <w:t>Instrument</w:t>
            </w:r>
          </w:p>
        </w:tc>
        <w:tc>
          <w:tcPr>
            <w:tcW w:w="6378" w:type="dxa"/>
            <w:tcBorders>
              <w:top w:val="single" w:sz="12" w:space="0" w:color="auto"/>
              <w:left w:val="single" w:sz="12" w:space="0" w:color="auto"/>
            </w:tcBorders>
          </w:tcPr>
          <w:p w:rsidR="001D663A" w:rsidRPr="00BA36F8" w:rsidRDefault="001D663A" w:rsidP="00392AAD">
            <w:pPr>
              <w:pStyle w:val="Heading3"/>
              <w:rPr>
                <w:sz w:val="24"/>
                <w:szCs w:val="24"/>
              </w:rPr>
            </w:pPr>
            <w:r w:rsidRPr="006266B3">
              <w:rPr>
                <w:noProof/>
                <w:sz w:val="24"/>
                <w:szCs w:val="24"/>
              </w:rPr>
              <w:t>Marriage Amendment Regulation 2016 (No. 1) [F2016L00303]</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Purpose</w:t>
            </w:r>
          </w:p>
        </w:tc>
        <w:tc>
          <w:tcPr>
            <w:tcW w:w="6378" w:type="dxa"/>
            <w:tcBorders>
              <w:left w:val="single" w:sz="12" w:space="0" w:color="auto"/>
            </w:tcBorders>
          </w:tcPr>
          <w:p w:rsidR="001D663A" w:rsidRPr="00A77228" w:rsidRDefault="001D663A" w:rsidP="00392AAD">
            <w:pPr>
              <w:rPr>
                <w:sz w:val="24"/>
                <w:szCs w:val="24"/>
              </w:rPr>
            </w:pPr>
            <w:r w:rsidRPr="00C366DD">
              <w:rPr>
                <w:noProof/>
                <w:sz w:val="24"/>
                <w:szCs w:val="24"/>
              </w:rPr>
              <w:t>Amends the Marriage Regulations 1963 to update the definition of the Certificate IV in Celebrancy qualification</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Last day to disallow</w:t>
            </w:r>
          </w:p>
        </w:tc>
        <w:tc>
          <w:tcPr>
            <w:tcW w:w="6378" w:type="dxa"/>
            <w:tcBorders>
              <w:left w:val="single" w:sz="12" w:space="0" w:color="auto"/>
            </w:tcBorders>
          </w:tcPr>
          <w:p w:rsidR="001D663A" w:rsidRPr="00A77228" w:rsidRDefault="001D663A" w:rsidP="00392AAD">
            <w:pPr>
              <w:rPr>
                <w:sz w:val="24"/>
                <w:szCs w:val="24"/>
              </w:rPr>
            </w:pPr>
            <w:r>
              <w:rPr>
                <w:sz w:val="24"/>
                <w:szCs w:val="24"/>
              </w:rPr>
              <w:t>11 October 2016</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Authorising legislation</w:t>
            </w:r>
          </w:p>
        </w:tc>
        <w:tc>
          <w:tcPr>
            <w:tcW w:w="6378" w:type="dxa"/>
            <w:tcBorders>
              <w:left w:val="single" w:sz="12" w:space="0" w:color="auto"/>
            </w:tcBorders>
          </w:tcPr>
          <w:p w:rsidR="001D663A" w:rsidRPr="00932D1C" w:rsidRDefault="001D663A" w:rsidP="00392AAD">
            <w:pPr>
              <w:rPr>
                <w:i/>
                <w:sz w:val="24"/>
                <w:szCs w:val="24"/>
              </w:rPr>
            </w:pPr>
            <w:r w:rsidRPr="00C366DD">
              <w:rPr>
                <w:i/>
                <w:noProof/>
                <w:sz w:val="24"/>
                <w:szCs w:val="24"/>
              </w:rPr>
              <w:t>Marriage Act 1961</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sidRPr="00A77228">
              <w:rPr>
                <w:b/>
                <w:sz w:val="24"/>
                <w:szCs w:val="24"/>
              </w:rPr>
              <w:t>Department</w:t>
            </w:r>
          </w:p>
        </w:tc>
        <w:tc>
          <w:tcPr>
            <w:tcW w:w="6378" w:type="dxa"/>
            <w:tcBorders>
              <w:left w:val="single" w:sz="12" w:space="0" w:color="auto"/>
            </w:tcBorders>
          </w:tcPr>
          <w:p w:rsidR="001D663A" w:rsidRPr="00A77228" w:rsidRDefault="001D663A" w:rsidP="00392AAD">
            <w:pPr>
              <w:rPr>
                <w:sz w:val="24"/>
                <w:szCs w:val="24"/>
              </w:rPr>
            </w:pPr>
            <w:r w:rsidRPr="00C366DD">
              <w:rPr>
                <w:noProof/>
                <w:sz w:val="24"/>
                <w:szCs w:val="24"/>
              </w:rPr>
              <w:t>Attorney-General's</w:t>
            </w:r>
            <w:r w:rsidRPr="00176ADC">
              <w:rPr>
                <w:noProof/>
                <w:sz w:val="24"/>
                <w:szCs w:val="24"/>
              </w:rPr>
              <w:t xml:space="preserve"> s</w:t>
            </w:r>
          </w:p>
        </w:tc>
      </w:tr>
      <w:tr w:rsidR="001D663A" w:rsidRPr="00164622" w:rsidTr="00392AAD">
        <w:tc>
          <w:tcPr>
            <w:tcW w:w="2694" w:type="dxa"/>
            <w:tcBorders>
              <w:right w:val="single" w:sz="12" w:space="0" w:color="auto"/>
            </w:tcBorders>
          </w:tcPr>
          <w:p w:rsidR="001D663A" w:rsidRPr="00A77228" w:rsidRDefault="001D663A" w:rsidP="00392AAD">
            <w:pPr>
              <w:rPr>
                <w:b/>
                <w:sz w:val="24"/>
                <w:szCs w:val="24"/>
              </w:rPr>
            </w:pPr>
            <w:r>
              <w:rPr>
                <w:b/>
                <w:sz w:val="24"/>
                <w:szCs w:val="24"/>
              </w:rPr>
              <w:t>Scrutiny principle</w:t>
            </w:r>
          </w:p>
        </w:tc>
        <w:tc>
          <w:tcPr>
            <w:tcW w:w="6378" w:type="dxa"/>
            <w:tcBorders>
              <w:left w:val="single" w:sz="12" w:space="0" w:color="auto"/>
            </w:tcBorders>
          </w:tcPr>
          <w:p w:rsidR="001D663A" w:rsidRPr="00A77228" w:rsidRDefault="001D663A" w:rsidP="00392AAD">
            <w:pPr>
              <w:rPr>
                <w:sz w:val="24"/>
                <w:szCs w:val="24"/>
              </w:rPr>
            </w:pPr>
            <w:r w:rsidRPr="00176ADC">
              <w:rPr>
                <w:noProof/>
                <w:sz w:val="24"/>
                <w:szCs w:val="24"/>
              </w:rPr>
              <w:t>Standing Order 23(3)(a)</w:t>
            </w:r>
          </w:p>
        </w:tc>
      </w:tr>
      <w:tr w:rsidR="001D663A" w:rsidRPr="00164622" w:rsidTr="00392AAD">
        <w:tc>
          <w:tcPr>
            <w:tcW w:w="2694" w:type="dxa"/>
            <w:tcBorders>
              <w:bottom w:val="single" w:sz="12" w:space="0" w:color="auto"/>
              <w:right w:val="single" w:sz="12" w:space="0" w:color="auto"/>
            </w:tcBorders>
          </w:tcPr>
          <w:p w:rsidR="001D663A" w:rsidRDefault="001D663A" w:rsidP="00392AAD">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D663A" w:rsidRDefault="001D663A" w:rsidP="00392AAD">
            <w:pPr>
              <w:rPr>
                <w:sz w:val="24"/>
                <w:szCs w:val="24"/>
              </w:rPr>
            </w:pPr>
            <w:r w:rsidRPr="00176ADC">
              <w:rPr>
                <w:i/>
                <w:noProof/>
                <w:sz w:val="24"/>
                <w:szCs w:val="24"/>
              </w:rPr>
              <w:t>Delegated legislation monitor</w:t>
            </w:r>
            <w:r w:rsidRPr="00127C4D">
              <w:rPr>
                <w:noProof/>
                <w:sz w:val="24"/>
                <w:szCs w:val="24"/>
              </w:rPr>
              <w:t xml:space="preserve"> 5 of 2016</w:t>
            </w:r>
          </w:p>
        </w:tc>
      </w:tr>
    </w:tbl>
    <w:p w:rsidR="001D663A" w:rsidRDefault="001D663A" w:rsidP="001D663A"/>
    <w:p w:rsidR="001D663A" w:rsidRPr="00C366DD" w:rsidRDefault="001D663A" w:rsidP="001D663A">
      <w:r w:rsidRPr="00C366DD">
        <w:rPr>
          <w:b/>
          <w:noProof/>
        </w:rPr>
        <w:t>No description of consultation</w:t>
      </w:r>
    </w:p>
    <w:p w:rsidR="001D663A" w:rsidRDefault="001D663A" w:rsidP="001D663A">
      <w:pPr>
        <w:autoSpaceDE w:val="0"/>
        <w:autoSpaceDN w:val="0"/>
        <w:adjustRightInd w:val="0"/>
        <w:rPr>
          <w:szCs w:val="26"/>
        </w:rPr>
      </w:pPr>
      <w:r>
        <w:rPr>
          <w:szCs w:val="26"/>
        </w:rPr>
        <w:t>The committee commented as follows:</w:t>
      </w:r>
    </w:p>
    <w:p w:rsidR="001D663A" w:rsidRPr="00C366DD" w:rsidRDefault="001D663A" w:rsidP="001D663A">
      <w:pPr>
        <w:autoSpaceDE w:val="0"/>
        <w:autoSpaceDN w:val="0"/>
        <w:adjustRightInd w:val="0"/>
      </w:pPr>
      <w:r w:rsidRPr="00C366DD">
        <w:rPr>
          <w:szCs w:val="26"/>
        </w:rPr>
        <w:t xml:space="preserve">Section 17 of the </w:t>
      </w:r>
      <w:r w:rsidRPr="00C366DD">
        <w:rPr>
          <w:i/>
          <w:iCs/>
          <w:szCs w:val="26"/>
        </w:rPr>
        <w:t xml:space="preserve">Legislation Act 2003 </w:t>
      </w:r>
      <w:r w:rsidRPr="00C366DD">
        <w:rPr>
          <w:szCs w:val="26"/>
        </w:rPr>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1D663A" w:rsidRPr="00C366DD" w:rsidRDefault="001D663A" w:rsidP="001D663A">
      <w:r w:rsidRPr="00C366DD">
        <w:t>With reference to these requirements, the committee notes that the ES for the instrument states:</w:t>
      </w:r>
    </w:p>
    <w:p w:rsidR="001D663A" w:rsidRPr="00C366DD" w:rsidRDefault="001D663A" w:rsidP="001D663A">
      <w:pPr>
        <w:pStyle w:val="Quote"/>
        <w:spacing w:before="120"/>
      </w:pPr>
      <w:r w:rsidRPr="00C366DD">
        <w:t>The Office of Best Practice Regulation was consulted about the Regulation and advised that a Regulatory Impact Statement is not necessary, as the amendments are minor and machinery in nature.</w:t>
      </w:r>
    </w:p>
    <w:p w:rsidR="001D663A" w:rsidRPr="00C366DD" w:rsidRDefault="001D663A" w:rsidP="001D663A">
      <w:r w:rsidRPr="00C366DD">
        <w:t xml:space="preserve">The committee's guideline on addressing the consultation requirements under the </w:t>
      </w:r>
      <w:r w:rsidRPr="00C366DD">
        <w:rPr>
          <w:i/>
        </w:rPr>
        <w:t xml:space="preserve">Legislation Act 2003 </w:t>
      </w:r>
      <w:r w:rsidRPr="00C366DD">
        <w:t>relevantly states:</w:t>
      </w:r>
    </w:p>
    <w:p w:rsidR="001D663A" w:rsidRPr="00C366DD" w:rsidRDefault="001D663A" w:rsidP="001D663A">
      <w:pPr>
        <w:pStyle w:val="Quote"/>
        <w:spacing w:before="120"/>
      </w:pPr>
      <w:r w:rsidRPr="00C366DD">
        <w:rPr>
          <w:lang w:val="en"/>
        </w:rPr>
        <w:t>It is…important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1D663A" w:rsidRPr="00C366DD" w:rsidRDefault="001D663A" w:rsidP="001D663A">
      <w:r w:rsidRPr="00C366DD">
        <w:t>Noting that the ES for the instrument appears to address only the consultation requirements in relation to the RIS process, the committee considers that it does not provide adequate information regarding consultation for the purposes of the</w:t>
      </w:r>
      <w:r w:rsidRPr="00C366DD">
        <w:rPr>
          <w:i/>
          <w:iCs/>
        </w:rPr>
        <w:t xml:space="preserve"> Legislation Act 2003</w:t>
      </w:r>
      <w:r w:rsidRPr="00C366DD">
        <w:rPr>
          <w:i/>
        </w:rPr>
        <w:t>.</w:t>
      </w:r>
    </w:p>
    <w:p w:rsidR="001D663A" w:rsidRPr="00C366DD" w:rsidRDefault="001D663A" w:rsidP="001D663A">
      <w:pPr>
        <w:pStyle w:val="Level1"/>
        <w:numPr>
          <w:ilvl w:val="0"/>
          <w:numId w:val="0"/>
        </w:numPr>
      </w:pPr>
      <w:r w:rsidRPr="00C366DD">
        <w:rPr>
          <w:b/>
          <w:bCs/>
          <w:szCs w:val="26"/>
        </w:rPr>
        <w:lastRenderedPageBreak/>
        <w:t xml:space="preserve">The committee requests the advice of the minister in relation to this matter; and requests that the ES be updated in accordance with the requirements of the </w:t>
      </w:r>
      <w:r w:rsidRPr="00C366DD">
        <w:rPr>
          <w:b/>
          <w:bCs/>
          <w:i/>
          <w:iCs/>
          <w:szCs w:val="26"/>
        </w:rPr>
        <w:t>Legislation Act 2003</w:t>
      </w:r>
      <w:r w:rsidRPr="00C366DD">
        <w:rPr>
          <w:b/>
          <w:bCs/>
          <w:szCs w:val="26"/>
        </w:rPr>
        <w:t>.</w:t>
      </w:r>
    </w:p>
    <w:p w:rsidR="001D663A" w:rsidRDefault="001D663A" w:rsidP="001D663A">
      <w:pPr>
        <w:rPr>
          <w:b/>
        </w:rPr>
      </w:pPr>
      <w:r>
        <w:rPr>
          <w:b/>
        </w:rPr>
        <w:t>Minister's response</w:t>
      </w:r>
    </w:p>
    <w:p w:rsidR="001D663A" w:rsidRDefault="001D663A" w:rsidP="001D663A">
      <w:r>
        <w:t>The Attorney-General advised:</w:t>
      </w:r>
    </w:p>
    <w:p w:rsidR="001D663A" w:rsidRDefault="001D663A" w:rsidP="001D663A">
      <w:pPr>
        <w:pStyle w:val="Quote"/>
      </w:pPr>
      <w:r>
        <w:t xml:space="preserve">The former Community Services and Health Industry Skills Council undertook significant consultation in the development of a revised qualification, including with subject matter experts such as celebrant organisations, registered training organisations and the department. The department regularly discussed the progress of the qualification review and the need for consequential amendments with marriage celebrant associations, registrars of births, deaths and marriages and registered training organisations. The amendment to the Regulations reflects the revised qualification. </w:t>
      </w:r>
    </w:p>
    <w:p w:rsidR="001D663A" w:rsidRDefault="001D663A" w:rsidP="001D663A">
      <w:pPr>
        <w:pStyle w:val="Quote"/>
      </w:pPr>
      <w:r>
        <w:t>The Explanatory Statement has been amended to include this information.</w:t>
      </w:r>
    </w:p>
    <w:p w:rsidR="001D663A" w:rsidRDefault="001D663A" w:rsidP="001D663A">
      <w:pPr>
        <w:rPr>
          <w:b/>
          <w:szCs w:val="26"/>
        </w:rPr>
      </w:pPr>
      <w:r>
        <w:rPr>
          <w:b/>
          <w:szCs w:val="26"/>
        </w:rPr>
        <w:t>Committee's response</w:t>
      </w:r>
    </w:p>
    <w:p w:rsidR="001D663A" w:rsidRDefault="001D663A" w:rsidP="001D663A">
      <w:pPr>
        <w:rPr>
          <w:b/>
          <w:szCs w:val="26"/>
        </w:rPr>
      </w:pPr>
      <w:r w:rsidRPr="00704E00">
        <w:rPr>
          <w:b/>
          <w:szCs w:val="26"/>
        </w:rPr>
        <w:t>The committee tha</w:t>
      </w:r>
      <w:r w:rsidRPr="00856DD0">
        <w:rPr>
          <w:b/>
          <w:szCs w:val="26"/>
        </w:rPr>
        <w:t>nks the</w:t>
      </w:r>
      <w:r>
        <w:rPr>
          <w:b/>
          <w:szCs w:val="26"/>
        </w:rPr>
        <w:t xml:space="preserve"> Attorney-General for his</w:t>
      </w:r>
      <w:r w:rsidRPr="00704E00">
        <w:rPr>
          <w:b/>
          <w:szCs w:val="26"/>
        </w:rPr>
        <w:t xml:space="preserve"> response and has concluded its</w:t>
      </w:r>
      <w:r>
        <w:rPr>
          <w:b/>
          <w:szCs w:val="26"/>
        </w:rPr>
        <w:t xml:space="preserve"> examination of the instrument.</w:t>
      </w:r>
    </w:p>
    <w:p w:rsidR="001D663A" w:rsidRPr="008825A4" w:rsidRDefault="001D663A" w:rsidP="001D663A">
      <w:pPr>
        <w:rPr>
          <w:b/>
          <w:sz w:val="8"/>
          <w:szCs w:val="8"/>
        </w:rPr>
      </w:pPr>
    </w:p>
    <w:tbl>
      <w:tblPr>
        <w:tblW w:w="0" w:type="auto"/>
        <w:tblInd w:w="108" w:type="dxa"/>
        <w:tblLook w:val="04A0" w:firstRow="1" w:lastRow="0" w:firstColumn="1" w:lastColumn="0" w:noHBand="0" w:noVBand="1"/>
      </w:tblPr>
      <w:tblGrid>
        <w:gridCol w:w="2694"/>
        <w:gridCol w:w="6378"/>
      </w:tblGrid>
      <w:tr w:rsidR="001D663A" w:rsidRPr="00B458E6" w:rsidTr="00392AAD">
        <w:tc>
          <w:tcPr>
            <w:tcW w:w="2694" w:type="dxa"/>
            <w:tcBorders>
              <w:top w:val="single" w:sz="12" w:space="0" w:color="auto"/>
              <w:right w:val="single" w:sz="12" w:space="0" w:color="auto"/>
            </w:tcBorders>
          </w:tcPr>
          <w:p w:rsidR="001D663A" w:rsidRPr="00FD2789" w:rsidRDefault="001D663A" w:rsidP="00392AAD">
            <w:pPr>
              <w:rPr>
                <w:b/>
                <w:sz w:val="24"/>
                <w:szCs w:val="24"/>
              </w:rPr>
            </w:pPr>
            <w:r w:rsidRPr="00FD2789">
              <w:rPr>
                <w:b/>
                <w:sz w:val="24"/>
                <w:szCs w:val="24"/>
              </w:rPr>
              <w:t>Instrument</w:t>
            </w:r>
          </w:p>
        </w:tc>
        <w:tc>
          <w:tcPr>
            <w:tcW w:w="6378" w:type="dxa"/>
            <w:tcBorders>
              <w:top w:val="single" w:sz="12" w:space="0" w:color="auto"/>
              <w:left w:val="single" w:sz="12" w:space="0" w:color="auto"/>
            </w:tcBorders>
          </w:tcPr>
          <w:p w:rsidR="001D663A" w:rsidRPr="00FD2789" w:rsidRDefault="001D663A" w:rsidP="00392AAD">
            <w:pPr>
              <w:pStyle w:val="Heading3"/>
              <w:rPr>
                <w:sz w:val="24"/>
                <w:szCs w:val="24"/>
              </w:rPr>
            </w:pPr>
            <w:r w:rsidRPr="00FD2789">
              <w:rPr>
                <w:noProof/>
                <w:sz w:val="24"/>
                <w:szCs w:val="24"/>
              </w:rPr>
              <w:t>Remuneration Tribunal (Members' Fees and Allowances) Regulation 2016 [</w:t>
            </w:r>
            <w:bookmarkStart w:id="32" w:name="OLE_LINK12"/>
            <w:r w:rsidRPr="00FD2789">
              <w:rPr>
                <w:noProof/>
                <w:sz w:val="24"/>
                <w:szCs w:val="24"/>
              </w:rPr>
              <w:t>F2016L00396</w:t>
            </w:r>
            <w:bookmarkEnd w:id="32"/>
            <w:r w:rsidRPr="00FD2789">
              <w:rPr>
                <w:noProof/>
                <w:sz w:val="24"/>
                <w:szCs w:val="24"/>
              </w:rPr>
              <w:t>]</w:t>
            </w:r>
          </w:p>
        </w:tc>
      </w:tr>
      <w:tr w:rsidR="001D663A" w:rsidRPr="00B458E6" w:rsidTr="00392AAD">
        <w:tc>
          <w:tcPr>
            <w:tcW w:w="2694" w:type="dxa"/>
            <w:tcBorders>
              <w:right w:val="single" w:sz="12" w:space="0" w:color="auto"/>
            </w:tcBorders>
          </w:tcPr>
          <w:p w:rsidR="001D663A" w:rsidRPr="00FD2789" w:rsidRDefault="001D663A" w:rsidP="00392AAD">
            <w:pPr>
              <w:rPr>
                <w:b/>
                <w:sz w:val="24"/>
                <w:szCs w:val="24"/>
              </w:rPr>
            </w:pPr>
            <w:r w:rsidRPr="00FD2789">
              <w:rPr>
                <w:b/>
                <w:sz w:val="24"/>
                <w:szCs w:val="24"/>
              </w:rPr>
              <w:t>Purpose</w:t>
            </w:r>
          </w:p>
        </w:tc>
        <w:tc>
          <w:tcPr>
            <w:tcW w:w="6378" w:type="dxa"/>
            <w:tcBorders>
              <w:left w:val="single" w:sz="12" w:space="0" w:color="auto"/>
            </w:tcBorders>
          </w:tcPr>
          <w:p w:rsidR="001D663A" w:rsidRPr="00FD2789" w:rsidRDefault="001D663A" w:rsidP="00392AAD">
            <w:pPr>
              <w:rPr>
                <w:sz w:val="24"/>
                <w:szCs w:val="24"/>
              </w:rPr>
            </w:pPr>
            <w:r w:rsidRPr="00FD2789">
              <w:rPr>
                <w:noProof/>
                <w:sz w:val="24"/>
                <w:szCs w:val="24"/>
              </w:rPr>
              <w:t>This regulation is made under section 12 of the</w:t>
            </w:r>
            <w:r w:rsidRPr="007230BA">
              <w:rPr>
                <w:i/>
                <w:noProof/>
                <w:sz w:val="24"/>
                <w:szCs w:val="24"/>
              </w:rPr>
              <w:t xml:space="preserve"> Remuneration Tribunal Act 1973</w:t>
            </w:r>
            <w:r w:rsidRPr="00FD2789">
              <w:rPr>
                <w:noProof/>
                <w:sz w:val="24"/>
                <w:szCs w:val="24"/>
              </w:rPr>
              <w:t>, relating to members fees and allowances and replaces the 2005 Regulation</w:t>
            </w:r>
          </w:p>
        </w:tc>
      </w:tr>
      <w:tr w:rsidR="001D663A" w:rsidRPr="00B458E6" w:rsidTr="00392AAD">
        <w:tc>
          <w:tcPr>
            <w:tcW w:w="2694" w:type="dxa"/>
            <w:tcBorders>
              <w:right w:val="single" w:sz="12" w:space="0" w:color="auto"/>
            </w:tcBorders>
          </w:tcPr>
          <w:p w:rsidR="001D663A" w:rsidRPr="00FD2789" w:rsidRDefault="001D663A" w:rsidP="00392AAD">
            <w:pPr>
              <w:rPr>
                <w:b/>
                <w:sz w:val="24"/>
                <w:szCs w:val="24"/>
              </w:rPr>
            </w:pPr>
            <w:r w:rsidRPr="00FD2789">
              <w:rPr>
                <w:b/>
                <w:sz w:val="24"/>
                <w:szCs w:val="24"/>
              </w:rPr>
              <w:t>Last day to disallow</w:t>
            </w:r>
          </w:p>
        </w:tc>
        <w:tc>
          <w:tcPr>
            <w:tcW w:w="6378" w:type="dxa"/>
            <w:tcBorders>
              <w:left w:val="single" w:sz="12" w:space="0" w:color="auto"/>
            </w:tcBorders>
          </w:tcPr>
          <w:p w:rsidR="001D663A" w:rsidRPr="00FD2789" w:rsidRDefault="001D663A" w:rsidP="00392AAD">
            <w:pPr>
              <w:rPr>
                <w:sz w:val="24"/>
                <w:szCs w:val="24"/>
              </w:rPr>
            </w:pPr>
            <w:r>
              <w:rPr>
                <w:noProof/>
                <w:sz w:val="24"/>
                <w:szCs w:val="24"/>
              </w:rPr>
              <w:t>13 October 2016</w:t>
            </w:r>
          </w:p>
        </w:tc>
      </w:tr>
      <w:tr w:rsidR="001D663A" w:rsidRPr="00B458E6" w:rsidTr="00392AAD">
        <w:tc>
          <w:tcPr>
            <w:tcW w:w="2694" w:type="dxa"/>
            <w:tcBorders>
              <w:right w:val="single" w:sz="12" w:space="0" w:color="auto"/>
            </w:tcBorders>
          </w:tcPr>
          <w:p w:rsidR="001D663A" w:rsidRPr="00FD2789" w:rsidRDefault="001D663A" w:rsidP="00392AAD">
            <w:pPr>
              <w:rPr>
                <w:b/>
                <w:sz w:val="24"/>
                <w:szCs w:val="24"/>
              </w:rPr>
            </w:pPr>
            <w:r w:rsidRPr="00FD2789">
              <w:rPr>
                <w:b/>
                <w:sz w:val="24"/>
                <w:szCs w:val="24"/>
              </w:rPr>
              <w:t>Authorising legislation</w:t>
            </w:r>
          </w:p>
        </w:tc>
        <w:tc>
          <w:tcPr>
            <w:tcW w:w="6378" w:type="dxa"/>
            <w:tcBorders>
              <w:left w:val="single" w:sz="12" w:space="0" w:color="auto"/>
            </w:tcBorders>
          </w:tcPr>
          <w:p w:rsidR="001D663A" w:rsidRPr="00FD2789" w:rsidRDefault="001D663A" w:rsidP="00392AAD">
            <w:pPr>
              <w:rPr>
                <w:i/>
                <w:sz w:val="24"/>
                <w:szCs w:val="24"/>
              </w:rPr>
            </w:pPr>
            <w:r w:rsidRPr="00FD2789">
              <w:rPr>
                <w:i/>
                <w:noProof/>
                <w:sz w:val="24"/>
                <w:szCs w:val="24"/>
              </w:rPr>
              <w:t>Remuneration Tribunal Act 1973</w:t>
            </w:r>
          </w:p>
        </w:tc>
      </w:tr>
      <w:tr w:rsidR="001D663A" w:rsidRPr="00B458E6" w:rsidTr="00392AAD">
        <w:tc>
          <w:tcPr>
            <w:tcW w:w="2694" w:type="dxa"/>
            <w:tcBorders>
              <w:right w:val="single" w:sz="12" w:space="0" w:color="auto"/>
            </w:tcBorders>
          </w:tcPr>
          <w:p w:rsidR="001D663A" w:rsidRPr="00FD2789" w:rsidRDefault="001D663A" w:rsidP="00392AAD">
            <w:pPr>
              <w:rPr>
                <w:b/>
                <w:sz w:val="24"/>
                <w:szCs w:val="24"/>
              </w:rPr>
            </w:pPr>
            <w:r w:rsidRPr="00FD2789">
              <w:rPr>
                <w:b/>
                <w:sz w:val="24"/>
                <w:szCs w:val="24"/>
              </w:rPr>
              <w:t>Department</w:t>
            </w:r>
          </w:p>
        </w:tc>
        <w:tc>
          <w:tcPr>
            <w:tcW w:w="6378" w:type="dxa"/>
            <w:tcBorders>
              <w:left w:val="single" w:sz="12" w:space="0" w:color="auto"/>
            </w:tcBorders>
          </w:tcPr>
          <w:p w:rsidR="001D663A" w:rsidRPr="00FD2789" w:rsidRDefault="001D663A" w:rsidP="00392AAD">
            <w:pPr>
              <w:rPr>
                <w:sz w:val="24"/>
                <w:szCs w:val="24"/>
              </w:rPr>
            </w:pPr>
            <w:r w:rsidRPr="00FD2789">
              <w:rPr>
                <w:noProof/>
                <w:sz w:val="24"/>
                <w:szCs w:val="24"/>
              </w:rPr>
              <w:t>Prime Minister and Cabinet</w:t>
            </w:r>
          </w:p>
        </w:tc>
      </w:tr>
      <w:tr w:rsidR="001D663A" w:rsidRPr="00B458E6" w:rsidTr="00392AAD">
        <w:tc>
          <w:tcPr>
            <w:tcW w:w="2694" w:type="dxa"/>
            <w:tcBorders>
              <w:right w:val="single" w:sz="12" w:space="0" w:color="auto"/>
            </w:tcBorders>
          </w:tcPr>
          <w:p w:rsidR="001D663A" w:rsidRPr="00FD2789" w:rsidRDefault="001D663A" w:rsidP="00392AAD">
            <w:pPr>
              <w:rPr>
                <w:b/>
                <w:sz w:val="24"/>
                <w:szCs w:val="24"/>
              </w:rPr>
            </w:pPr>
            <w:r w:rsidRPr="00FD2789">
              <w:rPr>
                <w:b/>
                <w:sz w:val="24"/>
                <w:szCs w:val="24"/>
              </w:rPr>
              <w:t>Scrutiny principle</w:t>
            </w:r>
          </w:p>
        </w:tc>
        <w:tc>
          <w:tcPr>
            <w:tcW w:w="6378" w:type="dxa"/>
            <w:tcBorders>
              <w:left w:val="single" w:sz="12" w:space="0" w:color="auto"/>
            </w:tcBorders>
          </w:tcPr>
          <w:p w:rsidR="001D663A" w:rsidRPr="00FD2789" w:rsidRDefault="001D663A" w:rsidP="00392AAD">
            <w:pPr>
              <w:rPr>
                <w:sz w:val="24"/>
                <w:szCs w:val="24"/>
              </w:rPr>
            </w:pPr>
            <w:r w:rsidRPr="00FD2789">
              <w:rPr>
                <w:sz w:val="24"/>
                <w:szCs w:val="24"/>
              </w:rPr>
              <w:t>Standing Order 23(3)</w:t>
            </w:r>
            <w:r w:rsidRPr="00FD2789">
              <w:rPr>
                <w:noProof/>
                <w:sz w:val="24"/>
                <w:szCs w:val="24"/>
              </w:rPr>
              <w:t>(a)</w:t>
            </w:r>
          </w:p>
        </w:tc>
      </w:tr>
      <w:tr w:rsidR="001D663A" w:rsidRPr="00B458E6" w:rsidTr="00392AAD">
        <w:tc>
          <w:tcPr>
            <w:tcW w:w="2694" w:type="dxa"/>
            <w:tcBorders>
              <w:bottom w:val="single" w:sz="12" w:space="0" w:color="auto"/>
              <w:right w:val="single" w:sz="12" w:space="0" w:color="auto"/>
            </w:tcBorders>
          </w:tcPr>
          <w:p w:rsidR="001D663A" w:rsidRPr="00FD2789" w:rsidRDefault="001D663A" w:rsidP="00392AAD">
            <w:pPr>
              <w:rPr>
                <w:b/>
                <w:sz w:val="24"/>
                <w:szCs w:val="24"/>
              </w:rPr>
            </w:pPr>
            <w:r w:rsidRPr="00FD2789">
              <w:rPr>
                <w:b/>
                <w:sz w:val="24"/>
                <w:szCs w:val="24"/>
              </w:rPr>
              <w:t>Previously reported in</w:t>
            </w:r>
          </w:p>
        </w:tc>
        <w:tc>
          <w:tcPr>
            <w:tcW w:w="6378" w:type="dxa"/>
            <w:tcBorders>
              <w:left w:val="single" w:sz="12" w:space="0" w:color="auto"/>
              <w:bottom w:val="single" w:sz="12" w:space="0" w:color="auto"/>
            </w:tcBorders>
          </w:tcPr>
          <w:p w:rsidR="001D663A" w:rsidRPr="00FD2789" w:rsidRDefault="001D663A" w:rsidP="00392AAD">
            <w:pPr>
              <w:rPr>
                <w:sz w:val="24"/>
                <w:szCs w:val="24"/>
              </w:rPr>
            </w:pPr>
            <w:r w:rsidRPr="00FD2789">
              <w:rPr>
                <w:i/>
                <w:noProof/>
                <w:sz w:val="24"/>
                <w:szCs w:val="24"/>
              </w:rPr>
              <w:t xml:space="preserve">Delegated legislation monitor </w:t>
            </w:r>
            <w:r w:rsidRPr="00FD2789">
              <w:rPr>
                <w:noProof/>
                <w:sz w:val="24"/>
                <w:szCs w:val="24"/>
              </w:rPr>
              <w:t>5 of 2016</w:t>
            </w:r>
          </w:p>
        </w:tc>
      </w:tr>
    </w:tbl>
    <w:p w:rsidR="001D663A" w:rsidRPr="00B458E6" w:rsidRDefault="001D663A" w:rsidP="001D663A">
      <w:pPr>
        <w:rPr>
          <w:highlight w:val="green"/>
        </w:rPr>
      </w:pPr>
    </w:p>
    <w:p w:rsidR="001D663A" w:rsidRDefault="001D663A" w:rsidP="001D663A">
      <w:pPr>
        <w:rPr>
          <w:b/>
          <w:noProof/>
        </w:rPr>
      </w:pPr>
      <w:r>
        <w:rPr>
          <w:b/>
          <w:noProof/>
        </w:rPr>
        <w:t>No description of consultation</w:t>
      </w:r>
    </w:p>
    <w:p w:rsidR="001D663A" w:rsidRDefault="001D663A" w:rsidP="001D663A">
      <w:r>
        <w:t>The committee commented as follows:</w:t>
      </w:r>
    </w:p>
    <w:p w:rsidR="001D663A" w:rsidRDefault="001D663A" w:rsidP="001D663A">
      <w:pPr>
        <w:autoSpaceDE w:val="0"/>
        <w:autoSpaceDN w:val="0"/>
        <w:adjustRightInd w:val="0"/>
      </w:pPr>
      <w:r>
        <w:rPr>
          <w:szCs w:val="26"/>
        </w:rPr>
        <w:t xml:space="preserve">Section 17 of the </w:t>
      </w:r>
      <w:r>
        <w:rPr>
          <w:i/>
          <w:iCs/>
          <w:szCs w:val="26"/>
        </w:rPr>
        <w:t xml:space="preserve">Legislation Act 2003 </w:t>
      </w:r>
      <w:r>
        <w:rPr>
          <w:szCs w:val="26"/>
        </w:rPr>
        <w:t xml:space="preserve">directs a rule-maker to be satisfied that appropriate consultation, as is reasonably practicable, has been undertaken in relation </w:t>
      </w:r>
      <w:r>
        <w:rPr>
          <w:szCs w:val="26"/>
        </w:rPr>
        <w:lastRenderedPageBreak/>
        <w:t xml:space="preserve">to a proposed instrument. The ES which must accompany an instrument is required to describe the nature of any consultation that has been carried out or, if there has been no consultation, to explain why none was undertaken (paragraphs 15J(2)(d) and (e)). </w:t>
      </w:r>
    </w:p>
    <w:p w:rsidR="001D663A" w:rsidRDefault="001D663A" w:rsidP="001D663A">
      <w:r>
        <w:t>With reference to these requirements, the committee notes that the ES for the instrument provides no information regarding consultation.</w:t>
      </w:r>
    </w:p>
    <w:p w:rsidR="001D663A" w:rsidRDefault="001D663A" w:rsidP="001D663A">
      <w:pPr>
        <w:rPr>
          <w:b/>
          <w:bCs/>
          <w:szCs w:val="26"/>
        </w:rPr>
      </w:pPr>
      <w:r>
        <w:rPr>
          <w:b/>
          <w:bCs/>
          <w:szCs w:val="26"/>
        </w:rPr>
        <w:t xml:space="preserve">The committee requests the advice of the minister in relation to this matter; and requests that the ES be updated in accordance with the requirements of the </w:t>
      </w:r>
      <w:r>
        <w:rPr>
          <w:b/>
          <w:bCs/>
          <w:i/>
          <w:iCs/>
          <w:szCs w:val="26"/>
        </w:rPr>
        <w:t>Legislation Act 2003</w:t>
      </w:r>
      <w:r>
        <w:rPr>
          <w:b/>
          <w:bCs/>
          <w:szCs w:val="26"/>
        </w:rPr>
        <w:t>.</w:t>
      </w:r>
    </w:p>
    <w:p w:rsidR="001D663A" w:rsidRDefault="001D663A" w:rsidP="001D663A">
      <w:pPr>
        <w:rPr>
          <w:b/>
          <w:noProof/>
        </w:rPr>
      </w:pPr>
      <w:r>
        <w:rPr>
          <w:b/>
          <w:noProof/>
        </w:rPr>
        <w:t>No statement of compatibility</w:t>
      </w:r>
    </w:p>
    <w:p w:rsidR="001D663A" w:rsidRDefault="001D663A" w:rsidP="001D663A">
      <w:r>
        <w:t>The committee commented as follows:</w:t>
      </w:r>
    </w:p>
    <w:p w:rsidR="001D663A" w:rsidRDefault="001D663A" w:rsidP="001D663A">
      <w:r>
        <w:t xml:space="preserve">Section 9 of the </w:t>
      </w:r>
      <w:r>
        <w:rPr>
          <w:i/>
          <w:iCs/>
        </w:rPr>
        <w:t xml:space="preserve">Human Rights (Parliamentary Scrutiny) Act 2011 </w:t>
      </w:r>
      <w:r>
        <w:t xml:space="preserve">requires a rule-maker to prepare a statement of compatibility in relation to an instrument to which section 42 (disallowance) of the </w:t>
      </w:r>
      <w:r>
        <w:rPr>
          <w:i/>
          <w:iCs/>
        </w:rPr>
        <w:t xml:space="preserve">Legislation Act 2003 </w:t>
      </w:r>
      <w:r>
        <w:t>applies. The statement of compatibility must include an assessment of whether the legislative instrument is compatible with human rights, and must be included in the ES for the legislative instrument.</w:t>
      </w:r>
    </w:p>
    <w:p w:rsidR="001D663A" w:rsidRDefault="001D663A" w:rsidP="001D663A">
      <w:r>
        <w:t>With reference to these requirements, the committee notes that the ES for this instrument does not include a statement of compatibility.</w:t>
      </w:r>
    </w:p>
    <w:p w:rsidR="001D663A" w:rsidRDefault="001D663A" w:rsidP="001D663A">
      <w:pPr>
        <w:jc w:val="left"/>
        <w:rPr>
          <w:b/>
          <w:bCs/>
        </w:rPr>
      </w:pPr>
      <w:r>
        <w:rPr>
          <w:b/>
          <w:bCs/>
        </w:rPr>
        <w:t xml:space="preserve">The committee requests the advice of the Minister in relation to this matter; and requests that the ES be updated in accordance with the requirements of the </w:t>
      </w:r>
      <w:r>
        <w:rPr>
          <w:b/>
          <w:bCs/>
          <w:i/>
          <w:iCs/>
        </w:rPr>
        <w:t>Human Rights (Parliamentary Scrutiny) Act 2011</w:t>
      </w:r>
      <w:r>
        <w:rPr>
          <w:b/>
          <w:bCs/>
        </w:rPr>
        <w:t>.</w:t>
      </w:r>
    </w:p>
    <w:p w:rsidR="001D663A" w:rsidRDefault="001D663A" w:rsidP="001D663A">
      <w:pPr>
        <w:rPr>
          <w:b/>
        </w:rPr>
      </w:pPr>
      <w:r>
        <w:rPr>
          <w:b/>
        </w:rPr>
        <w:t>Departmental response</w:t>
      </w:r>
    </w:p>
    <w:p w:rsidR="001D663A" w:rsidRDefault="001D663A" w:rsidP="001D663A">
      <w:r>
        <w:t>The Assistant Secretary of the Department of the Prime Minister and Cabinet advised:</w:t>
      </w:r>
    </w:p>
    <w:p w:rsidR="001D663A" w:rsidRDefault="001D663A" w:rsidP="001D663A">
      <w:pPr>
        <w:pStyle w:val="Quote"/>
        <w:spacing w:before="120"/>
      </w:pPr>
      <w:r>
        <w:t>I am</w:t>
      </w:r>
      <w:r>
        <w:rPr>
          <w:color w:val="2D2D2D"/>
        </w:rPr>
        <w:t xml:space="preserve"> </w:t>
      </w:r>
      <w:r>
        <w:t xml:space="preserve">replying to </w:t>
      </w:r>
      <w:r>
        <w:rPr>
          <w:color w:val="2D2D2D"/>
        </w:rPr>
        <w:t xml:space="preserve">your </w:t>
      </w:r>
      <w:r>
        <w:t xml:space="preserve">letter </w:t>
      </w:r>
      <w:r>
        <w:rPr>
          <w:color w:val="2D2D2D"/>
        </w:rPr>
        <w:t xml:space="preserve">as </w:t>
      </w:r>
      <w:r>
        <w:t xml:space="preserve">the Government is now in caretaker mode pending the outcome of </w:t>
      </w:r>
      <w:r>
        <w:rPr>
          <w:color w:val="2D2D2D"/>
        </w:rPr>
        <w:t xml:space="preserve">the </w:t>
      </w:r>
      <w:r>
        <w:t>election on 2 July 2016.</w:t>
      </w:r>
    </w:p>
    <w:p w:rsidR="001D663A" w:rsidRDefault="001D663A" w:rsidP="001D663A">
      <w:pPr>
        <w:pStyle w:val="Quote"/>
        <w:spacing w:before="120"/>
      </w:pPr>
      <w:r>
        <w:t xml:space="preserve">The attached draft revised </w:t>
      </w:r>
      <w:r>
        <w:rPr>
          <w:color w:val="2D2D2D"/>
        </w:rPr>
        <w:t xml:space="preserve">Explanatory </w:t>
      </w:r>
      <w:r>
        <w:t xml:space="preserve">Statement has been </w:t>
      </w:r>
      <w:r>
        <w:rPr>
          <w:color w:val="2D2D2D"/>
        </w:rPr>
        <w:t xml:space="preserve">amended so </w:t>
      </w:r>
      <w:r>
        <w:t xml:space="preserve">it now includes a note on </w:t>
      </w:r>
      <w:r>
        <w:rPr>
          <w:color w:val="2D2D2D"/>
        </w:rPr>
        <w:t xml:space="preserve">consultation </w:t>
      </w:r>
      <w:r>
        <w:t xml:space="preserve">and a Statement of Compatibility with Human Rights. While not requested, explanatory notes </w:t>
      </w:r>
      <w:r>
        <w:rPr>
          <w:color w:val="2D2D2D"/>
        </w:rPr>
        <w:t xml:space="preserve">on </w:t>
      </w:r>
      <w:r>
        <w:t xml:space="preserve">each of the individual regulations has been added to </w:t>
      </w:r>
      <w:r>
        <w:rPr>
          <w:color w:val="2D2D2D"/>
        </w:rPr>
        <w:t xml:space="preserve">assist </w:t>
      </w:r>
      <w:r>
        <w:t xml:space="preserve">readers of the Explanatory </w:t>
      </w:r>
      <w:r>
        <w:rPr>
          <w:color w:val="2D2D2D"/>
        </w:rPr>
        <w:t>Statement.</w:t>
      </w:r>
    </w:p>
    <w:p w:rsidR="001D663A" w:rsidRDefault="001D663A" w:rsidP="001D663A">
      <w:pPr>
        <w:pStyle w:val="Quote"/>
        <w:spacing w:before="120"/>
        <w:rPr>
          <w:sz w:val="22"/>
          <w:szCs w:val="22"/>
        </w:rPr>
      </w:pPr>
      <w:r>
        <w:t xml:space="preserve">The draft revised </w:t>
      </w:r>
      <w:r>
        <w:rPr>
          <w:color w:val="2D2D2D"/>
        </w:rPr>
        <w:t xml:space="preserve">Explanatory </w:t>
      </w:r>
      <w:r>
        <w:t xml:space="preserve">Statement will be provided to the responsible Minister for approval as </w:t>
      </w:r>
      <w:r>
        <w:rPr>
          <w:color w:val="2D2D2D"/>
        </w:rPr>
        <w:t xml:space="preserve">soon as </w:t>
      </w:r>
      <w:r>
        <w:t xml:space="preserve">possible </w:t>
      </w:r>
      <w:r>
        <w:rPr>
          <w:color w:val="2D2D2D"/>
        </w:rPr>
        <w:t xml:space="preserve">after </w:t>
      </w:r>
      <w:r>
        <w:t xml:space="preserve">the </w:t>
      </w:r>
      <w:r>
        <w:rPr>
          <w:color w:val="2D2D2D"/>
        </w:rPr>
        <w:t xml:space="preserve">election. </w:t>
      </w:r>
      <w:r>
        <w:t xml:space="preserve">Once the </w:t>
      </w:r>
      <w:r>
        <w:rPr>
          <w:color w:val="2D2D2D"/>
        </w:rPr>
        <w:t xml:space="preserve">Explanatory </w:t>
      </w:r>
      <w:r>
        <w:t xml:space="preserve">Statement is considered </w:t>
      </w:r>
      <w:r>
        <w:rPr>
          <w:color w:val="2D2D2D"/>
        </w:rPr>
        <w:t xml:space="preserve">and approved </w:t>
      </w:r>
      <w:r>
        <w:rPr>
          <w:sz w:val="23"/>
          <w:szCs w:val="23"/>
        </w:rPr>
        <w:t xml:space="preserve">by </w:t>
      </w:r>
      <w:r>
        <w:rPr>
          <w:color w:val="2D2D2D"/>
        </w:rPr>
        <w:t xml:space="preserve">the </w:t>
      </w:r>
      <w:r>
        <w:t>responsible Mini</w:t>
      </w:r>
      <w:r>
        <w:rPr>
          <w:color w:val="444444"/>
        </w:rPr>
        <w:t>ste</w:t>
      </w:r>
      <w:r>
        <w:t xml:space="preserve">r, the Department </w:t>
      </w:r>
      <w:r>
        <w:rPr>
          <w:color w:val="2D2D2D"/>
        </w:rPr>
        <w:t xml:space="preserve">will arrange </w:t>
      </w:r>
      <w:r>
        <w:t xml:space="preserve">for its immediate registration </w:t>
      </w:r>
      <w:r>
        <w:rPr>
          <w:color w:val="2D2D2D"/>
        </w:rPr>
        <w:t xml:space="preserve">on </w:t>
      </w:r>
      <w:r>
        <w:t xml:space="preserve">the </w:t>
      </w:r>
      <w:r>
        <w:rPr>
          <w:color w:val="2D2D2D"/>
        </w:rPr>
        <w:t xml:space="preserve">Federal </w:t>
      </w:r>
      <w:r>
        <w:t xml:space="preserve">Register of </w:t>
      </w:r>
      <w:r>
        <w:rPr>
          <w:color w:val="2D2D2D"/>
        </w:rPr>
        <w:t>Legislation.</w:t>
      </w:r>
    </w:p>
    <w:p w:rsidR="001D663A" w:rsidRDefault="001D663A" w:rsidP="001D663A">
      <w:pPr>
        <w:rPr>
          <w:b/>
          <w:szCs w:val="26"/>
        </w:rPr>
      </w:pPr>
    </w:p>
    <w:p w:rsidR="001D663A" w:rsidRDefault="001D663A" w:rsidP="001D663A">
      <w:pPr>
        <w:rPr>
          <w:b/>
          <w:szCs w:val="26"/>
        </w:rPr>
      </w:pPr>
      <w:r>
        <w:rPr>
          <w:b/>
          <w:szCs w:val="26"/>
        </w:rPr>
        <w:lastRenderedPageBreak/>
        <w:t>Committee's response</w:t>
      </w:r>
    </w:p>
    <w:p w:rsidR="001D663A" w:rsidRDefault="001D663A" w:rsidP="001D663A">
      <w:pPr>
        <w:rPr>
          <w:b/>
          <w:szCs w:val="26"/>
        </w:rPr>
      </w:pPr>
      <w:r>
        <w:rPr>
          <w:b/>
          <w:szCs w:val="26"/>
        </w:rPr>
        <w:t>The committee thanks the Assistant Secretary for his response and has concluded its examination of the instrument.</w:t>
      </w:r>
    </w:p>
    <w:p w:rsidR="001D663A" w:rsidRDefault="001D663A" w:rsidP="001D663A">
      <w:pPr>
        <w:rPr>
          <w:szCs w:val="26"/>
        </w:rPr>
      </w:pPr>
      <w:r>
        <w:rPr>
          <w:szCs w:val="26"/>
        </w:rPr>
        <w:t xml:space="preserve">The committee also notes that a replacement ES has been registered and received, and as amended it includes a statement of compatibility with human rights in accordance with </w:t>
      </w:r>
      <w:r>
        <w:t xml:space="preserve">Section 9 of the </w:t>
      </w:r>
      <w:r>
        <w:rPr>
          <w:i/>
          <w:iCs/>
        </w:rPr>
        <w:t xml:space="preserve">Human Rights (Parliamentary Scrutiny) Act 2011 </w:t>
      </w:r>
      <w:r>
        <w:rPr>
          <w:iCs/>
        </w:rPr>
        <w:t>and</w:t>
      </w:r>
      <w:r>
        <w:rPr>
          <w:szCs w:val="26"/>
        </w:rPr>
        <w:t xml:space="preserve"> the following description of consultation:</w:t>
      </w:r>
    </w:p>
    <w:p w:rsidR="001D663A" w:rsidRDefault="001D663A" w:rsidP="001D663A">
      <w:pPr>
        <w:pStyle w:val="Quote"/>
      </w:pPr>
      <w:r w:rsidRPr="007230BA">
        <w:t>The Remuneration Tribunal Secretariat was consulted in the making of the 2016 Regulation.</w:t>
      </w:r>
    </w:p>
    <w:p w:rsidR="001D663A" w:rsidRDefault="001D663A" w:rsidP="001D663A">
      <w:r>
        <w:t xml:space="preserve">While the committee does not usually interpret </w:t>
      </w:r>
      <w:r w:rsidRPr="000E7A4D">
        <w:t>paragraphs 15J(2)(d) and (e)</w:t>
      </w:r>
      <w:r>
        <w:t xml:space="preserve"> of the </w:t>
      </w:r>
      <w:r>
        <w:rPr>
          <w:i/>
        </w:rPr>
        <w:t xml:space="preserve">Legislation Act 2003 </w:t>
      </w:r>
      <w:r>
        <w:t xml:space="preserve">as requiring a highly detailed description of consultation undertaken, it considers that an overly bare or general description is insufficient to satisfy the requirements of the Act. In this case, the committee considers that the replacement ES for the regulation, while stating that consultation occurred in relation to the making of the regulation, does not describe the </w:t>
      </w:r>
      <w:r w:rsidRPr="00590825">
        <w:rPr>
          <w:i/>
        </w:rPr>
        <w:t>nature</w:t>
      </w:r>
      <w:r>
        <w:t xml:space="preserve"> of the consultation undertaken. </w:t>
      </w:r>
    </w:p>
    <w:p w:rsidR="001D663A" w:rsidRPr="00681B17" w:rsidRDefault="001D663A" w:rsidP="001D663A">
      <w:r>
        <w:t>W</w:t>
      </w:r>
      <w:r w:rsidRPr="00681B17">
        <w:t xml:space="preserve">here consultation has taken place, </w:t>
      </w:r>
      <w:r>
        <w:t xml:space="preserve">the committee considers that a best-practice approach is for the </w:t>
      </w:r>
      <w:r w:rsidRPr="00681B17">
        <w:t xml:space="preserve">ES to an instrument </w:t>
      </w:r>
      <w:r>
        <w:t xml:space="preserve">to </w:t>
      </w:r>
      <w:r w:rsidRPr="00681B17">
        <w:t>set out the method and purpose of consultation, the bodies, groups a</w:t>
      </w:r>
      <w:r>
        <w:t xml:space="preserve">nd/or individuals consulted and </w:t>
      </w:r>
      <w:r w:rsidRPr="00681B17">
        <w:t>the issues raised in consultations and the outcomes of the consultation process.</w:t>
      </w:r>
      <w:r>
        <w:rPr>
          <w:rStyle w:val="FootnoteReference"/>
          <w:noProof/>
        </w:rPr>
        <w:footnoteReference w:id="25"/>
      </w:r>
    </w:p>
    <w:p w:rsidR="001D663A" w:rsidRDefault="001D663A" w:rsidP="001D663A">
      <w:r>
        <w:t>The committee's expectations in this regard are set out in the guideline on consultation contained in Appendix 2.</w:t>
      </w:r>
    </w:p>
    <w:p w:rsidR="002D0A73" w:rsidRDefault="002D0A73" w:rsidP="00630D81">
      <w:pPr>
        <w:spacing w:before="120" w:after="120"/>
        <w:jc w:val="left"/>
        <w:sectPr w:rsidR="002D0A73" w:rsidSect="008825A4">
          <w:headerReference w:type="even" r:id="rId38"/>
          <w:headerReference w:type="default" r:id="rId39"/>
          <w:footerReference w:type="even" r:id="rId40"/>
          <w:footerReference w:type="default" r:id="rId41"/>
          <w:headerReference w:type="first" r:id="rId42"/>
          <w:footerReference w:type="first" r:id="rId43"/>
          <w:pgSz w:w="11906" w:h="16838" w:code="9"/>
          <w:pgMar w:top="1440" w:right="1440" w:bottom="1202" w:left="1440" w:header="1134" w:footer="720" w:gutter="0"/>
          <w:pgNumType w:start="63"/>
          <w:cols w:space="720"/>
          <w:titlePg/>
        </w:sectPr>
      </w:pPr>
    </w:p>
    <w:p w:rsidR="002D0A73" w:rsidRDefault="002D0A73" w:rsidP="002D0A73">
      <w:pPr>
        <w:pStyle w:val="Heading1"/>
      </w:pPr>
      <w:r>
        <w:lastRenderedPageBreak/>
        <w:t>Appendix 1</w:t>
      </w:r>
    </w:p>
    <w:p w:rsidR="002D0A73" w:rsidRPr="00520991" w:rsidRDefault="002D0A73" w:rsidP="002D0A73">
      <w:pPr>
        <w:pStyle w:val="Heading2"/>
      </w:pPr>
      <w:r>
        <w:t>Correspondence</w:t>
      </w:r>
    </w:p>
    <w:p w:rsidR="002D0A73" w:rsidRDefault="002D0A73" w:rsidP="00630D81">
      <w:pPr>
        <w:spacing w:before="120" w:after="120"/>
        <w:jc w:val="left"/>
      </w:pPr>
    </w:p>
    <w:p w:rsidR="002D0A73" w:rsidRDefault="002D0A73" w:rsidP="00630D81">
      <w:pPr>
        <w:spacing w:before="120" w:after="120"/>
        <w:jc w:val="left"/>
        <w:sectPr w:rsidR="002D0A73" w:rsidSect="00B607E6">
          <w:headerReference w:type="even" r:id="rId44"/>
          <w:headerReference w:type="default" r:id="rId45"/>
          <w:footerReference w:type="even" r:id="rId46"/>
          <w:footerReference w:type="default" r:id="rId47"/>
          <w:headerReference w:type="first" r:id="rId48"/>
          <w:footerReference w:type="first" r:id="rId49"/>
          <w:pgSz w:w="11906" w:h="16838" w:code="9"/>
          <w:pgMar w:top="1440" w:right="1440" w:bottom="1202" w:left="1440" w:header="1134" w:footer="720" w:gutter="0"/>
          <w:pgNumType w:start="73"/>
          <w:cols w:space="720"/>
          <w:titlePg/>
        </w:sectPr>
      </w:pPr>
    </w:p>
    <w:p w:rsidR="002D0A73" w:rsidRDefault="002D0A73" w:rsidP="002D0A73">
      <w:pPr>
        <w:pStyle w:val="Heading1"/>
      </w:pPr>
      <w:r>
        <w:lastRenderedPageBreak/>
        <w:t>Appendix 2</w:t>
      </w:r>
    </w:p>
    <w:p w:rsidR="002D0A73" w:rsidRDefault="002D0A73" w:rsidP="002D0A73">
      <w:pPr>
        <w:pStyle w:val="Heading2"/>
      </w:pPr>
      <w:r>
        <w:t>Guideline on consultation</w:t>
      </w:r>
    </w:p>
    <w:p w:rsidR="002D0A73" w:rsidRPr="00C22E53" w:rsidRDefault="002D0A73" w:rsidP="002D0A73">
      <w:pPr>
        <w:pStyle w:val="Heading3"/>
      </w:pPr>
      <w:r>
        <w:t>Purpose</w:t>
      </w:r>
    </w:p>
    <w:p w:rsidR="002D0A73" w:rsidRPr="00C22E53" w:rsidRDefault="002D0A73" w:rsidP="002D0A73">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2D0A73" w:rsidRPr="00C22E53" w:rsidRDefault="002D0A73" w:rsidP="002D0A73">
      <w:pPr>
        <w:rPr>
          <w:szCs w:val="24"/>
        </w:rPr>
      </w:pPr>
      <w:r w:rsidRPr="00C22E53">
        <w:rPr>
          <w:szCs w:val="24"/>
        </w:rPr>
        <w:t xml:space="preserve">The committee scrutinises instruments to ensure, inter alia, that they meet the technical requirements of the </w:t>
      </w:r>
      <w:hyperlink r:id="rId50" w:history="1">
        <w:r w:rsidRPr="00241303">
          <w:rPr>
            <w:rStyle w:val="Hyperlink"/>
            <w:i/>
            <w:color w:val="auto"/>
            <w:szCs w:val="24"/>
            <w:u w:val="none"/>
          </w:rPr>
          <w:t>Legislati</w:t>
        </w:r>
        <w:r>
          <w:rPr>
            <w:rStyle w:val="Hyperlink"/>
            <w:i/>
            <w:color w:val="auto"/>
            <w:szCs w:val="24"/>
            <w:u w:val="none"/>
          </w:rPr>
          <w:t>on</w:t>
        </w:r>
        <w:r w:rsidRPr="00241303">
          <w:rPr>
            <w:rStyle w:val="Hyperlink"/>
            <w:i/>
            <w:color w:val="auto"/>
            <w:szCs w:val="24"/>
            <w:u w:val="none"/>
          </w:rPr>
          <w:t xml:space="preserve"> Act 2003</w:t>
        </w:r>
      </w:hyperlink>
      <w:r w:rsidRPr="00241303">
        <w:rPr>
          <w:szCs w:val="24"/>
        </w:rPr>
        <w:t xml:space="preserve"> </w:t>
      </w:r>
      <w:r w:rsidRPr="00C22E53">
        <w:rPr>
          <w:szCs w:val="24"/>
        </w:rPr>
        <w:t>(the Act)</w:t>
      </w:r>
      <w:r>
        <w:rPr>
          <w:rStyle w:val="FootnoteReference"/>
          <w:szCs w:val="24"/>
        </w:rPr>
        <w:footnoteReference w:id="26"/>
      </w:r>
      <w:r w:rsidRPr="00C22E53">
        <w:rPr>
          <w:szCs w:val="24"/>
        </w:rPr>
        <w:t xml:space="preserve">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2D0A73" w:rsidRPr="00241303" w:rsidRDefault="002D0A73" w:rsidP="002D0A73">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51" w:history="1">
        <w:r w:rsidRPr="00241303">
          <w:rPr>
            <w:rStyle w:val="Hyperlink"/>
            <w:color w:val="auto"/>
            <w:szCs w:val="24"/>
            <w:u w:val="none"/>
          </w:rPr>
          <w:t>disallowance</w:t>
        </w:r>
      </w:hyperlink>
      <w:r w:rsidRPr="00241303">
        <w:rPr>
          <w:szCs w:val="24"/>
        </w:rPr>
        <w:t>.</w:t>
      </w:r>
    </w:p>
    <w:p w:rsidR="002D0A73" w:rsidRPr="00C22E53" w:rsidRDefault="002D0A73" w:rsidP="002D0A73">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2D0A73" w:rsidRDefault="002D0A73" w:rsidP="002D0A73">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2D0A73" w:rsidRPr="00C22E53" w:rsidRDefault="002D0A73" w:rsidP="002D0A73">
      <w:pPr>
        <w:pStyle w:val="Heading3"/>
      </w:pPr>
      <w:r w:rsidRPr="00241303">
        <w:t xml:space="preserve">Requirements of the </w:t>
      </w:r>
      <w:r w:rsidRPr="00241303">
        <w:rPr>
          <w:i/>
        </w:rPr>
        <w:t>Legislati</w:t>
      </w:r>
      <w:r>
        <w:rPr>
          <w:i/>
        </w:rPr>
        <w:t>on</w:t>
      </w:r>
      <w:r w:rsidRPr="00241303">
        <w:rPr>
          <w:i/>
        </w:rPr>
        <w:t xml:space="preserve"> Act 2003</w:t>
      </w:r>
    </w:p>
    <w:p w:rsidR="002D0A73" w:rsidRPr="00C22E53" w:rsidRDefault="002D0A73" w:rsidP="002D0A73">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w:t>
      </w:r>
    </w:p>
    <w:p w:rsidR="002D0A73" w:rsidRPr="00241303" w:rsidRDefault="002D0A73" w:rsidP="002D0A73">
      <w:pPr>
        <w:rPr>
          <w:szCs w:val="24"/>
        </w:rPr>
      </w:pPr>
      <w:r w:rsidRPr="00241303">
        <w:rPr>
          <w:szCs w:val="24"/>
        </w:rPr>
        <w:t xml:space="preserve">It is important to note that section </w:t>
      </w:r>
      <w:r>
        <w:rPr>
          <w:szCs w:val="24"/>
        </w:rPr>
        <w:t>15J</w:t>
      </w:r>
      <w:r w:rsidRPr="00241303">
        <w:rPr>
          <w:szCs w:val="24"/>
        </w:rPr>
        <w:t xml:space="preserve">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2D0A73" w:rsidRDefault="002D0A73" w:rsidP="002D0A73">
      <w:pPr>
        <w:rPr>
          <w:szCs w:val="24"/>
        </w:rPr>
      </w:pPr>
    </w:p>
    <w:p w:rsidR="002D0A73" w:rsidRPr="00241303" w:rsidRDefault="002D0A73" w:rsidP="002D0A73">
      <w:pPr>
        <w:rPr>
          <w:szCs w:val="24"/>
        </w:rPr>
      </w:pPr>
      <w:r w:rsidRPr="00241303">
        <w:rPr>
          <w:szCs w:val="24"/>
        </w:rPr>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2D0A73" w:rsidRPr="00C22E53" w:rsidRDefault="002D0A73" w:rsidP="002D0A73">
      <w:pPr>
        <w:rPr>
          <w:szCs w:val="24"/>
        </w:rPr>
      </w:pPr>
      <w:r w:rsidRPr="00C22E53">
        <w:rPr>
          <w:szCs w:val="24"/>
        </w:rPr>
        <w:t>If a RIS or similar assessment has been prepared, it should be provided to the committee along with the ES.</w:t>
      </w:r>
    </w:p>
    <w:p w:rsidR="002D0A73" w:rsidRPr="00C22E53" w:rsidRDefault="002D0A73" w:rsidP="002D0A73">
      <w:pPr>
        <w:pStyle w:val="Heading3"/>
      </w:pPr>
      <w:r w:rsidRPr="00C22E53">
        <w:t>Describing the nature of consultation</w:t>
      </w:r>
    </w:p>
    <w:p w:rsidR="002D0A73" w:rsidRPr="00C22E53" w:rsidRDefault="002D0A73" w:rsidP="002D0A73">
      <w:pPr>
        <w:rPr>
          <w:szCs w:val="24"/>
        </w:rPr>
      </w:pPr>
      <w:r w:rsidRPr="00C22E53">
        <w:rPr>
          <w:szCs w:val="24"/>
        </w:rPr>
        <w:t xml:space="preserve">To meet the requirements of section </w:t>
      </w:r>
      <w:r>
        <w:rPr>
          <w:szCs w:val="24"/>
        </w:rPr>
        <w:t>15J</w:t>
      </w:r>
      <w:r w:rsidRPr="00C22E53">
        <w:rPr>
          <w:szCs w:val="24"/>
        </w:rPr>
        <w:t xml:space="preserve">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2D0A73" w:rsidRDefault="002D0A73" w:rsidP="002D0A73">
      <w:pPr>
        <w:rPr>
          <w:szCs w:val="24"/>
        </w:rPr>
      </w:pPr>
      <w:r w:rsidRPr="00C22E53">
        <w:rPr>
          <w:szCs w:val="24"/>
        </w:rPr>
        <w:t>Where consultation has taken place, the ES to an instrument should set out the following information:</w:t>
      </w:r>
    </w:p>
    <w:p w:rsidR="002D0A73" w:rsidRDefault="002D0A73" w:rsidP="002D0A73">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2D0A73" w:rsidRDefault="002D0A73" w:rsidP="002D0A73">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2D0A73" w:rsidRPr="00241303" w:rsidRDefault="002D0A73" w:rsidP="002D0A73">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2D0A73" w:rsidRPr="00C22E53" w:rsidRDefault="002D0A73" w:rsidP="002D0A73">
      <w:pPr>
        <w:pStyle w:val="Heading3"/>
      </w:pPr>
      <w:r w:rsidRPr="00C22E53">
        <w:t>Explaining why consultation has not been undertaken</w:t>
      </w:r>
    </w:p>
    <w:p w:rsidR="002D0A73" w:rsidRDefault="002D0A73" w:rsidP="002D0A73">
      <w:pPr>
        <w:rPr>
          <w:szCs w:val="24"/>
        </w:rPr>
      </w:pPr>
      <w:r w:rsidRPr="00C22E53">
        <w:rPr>
          <w:szCs w:val="24"/>
        </w:rPr>
        <w:t xml:space="preserve">To meet the requirements of section </w:t>
      </w:r>
      <w:r>
        <w:rPr>
          <w:szCs w:val="24"/>
        </w:rPr>
        <w:t>15J</w:t>
      </w:r>
      <w:r w:rsidRPr="00C22E53">
        <w:rPr>
          <w:szCs w:val="24"/>
        </w:rPr>
        <w:t xml:space="preserve">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2D0A73" w:rsidRPr="00C22E53" w:rsidRDefault="002D0A73" w:rsidP="002D0A73">
      <w:pPr>
        <w:rPr>
          <w:szCs w:val="24"/>
        </w:rPr>
      </w:pPr>
      <w:r w:rsidRPr="00C22E53">
        <w:rPr>
          <w:szCs w:val="24"/>
        </w:rPr>
        <w:lastRenderedPageBreak/>
        <w:t>In explaining why no consultation has taken place, it is important to note the following considerations:</w:t>
      </w:r>
    </w:p>
    <w:p w:rsidR="002D0A73" w:rsidRPr="00241303" w:rsidRDefault="002D0A73" w:rsidP="002D0A73">
      <w:pPr>
        <w:pStyle w:val="Bullet1"/>
        <w:spacing w:after="120"/>
        <w:rPr>
          <w:b/>
        </w:rPr>
      </w:pPr>
      <w:r>
        <w:rPr>
          <w:b/>
        </w:rPr>
        <w:t>Absence of consultation</w:t>
      </w:r>
      <w:r>
        <w:t>: Where no consultation was undertaken t</w:t>
      </w:r>
      <w:r w:rsidRPr="00241303">
        <w:t>he</w:t>
      </w:r>
      <w:r>
        <w:t xml:space="preserve"> Act requires an explanation for its absence. The</w:t>
      </w:r>
      <w:r w:rsidRPr="00241303">
        <w:t xml:space="preserve"> ES should state why consultation was unnecessary or inappropriate, and explain the reasoning in support of this conclusion. An ES should avoid bare assertions such as 'Consultation was not undertaken because the instrument is beneficial in nature'.</w:t>
      </w:r>
    </w:p>
    <w:p w:rsidR="002D0A73" w:rsidRPr="00C22E53" w:rsidRDefault="002D0A73" w:rsidP="002D0A73">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w:t>
      </w:r>
      <w:r>
        <w:t>15J</w:t>
      </w:r>
      <w:r w:rsidRPr="00C22E53">
        <w:t xml:space="preserve"> of the Act.</w:t>
      </w:r>
    </w:p>
    <w:p w:rsidR="002D0A73" w:rsidRDefault="002D0A73" w:rsidP="002D0A73">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2D0A73" w:rsidRPr="00C22E53" w:rsidRDefault="002D0A73" w:rsidP="002D0A73">
      <w:pPr>
        <w:pStyle w:val="Heading3"/>
      </w:pPr>
      <w:r w:rsidRPr="00C22E53">
        <w:t>Seeking further advice or information</w:t>
      </w:r>
    </w:p>
    <w:p w:rsidR="002D0A73" w:rsidRDefault="002D0A73" w:rsidP="002D0A73">
      <w:pPr>
        <w:rPr>
          <w:szCs w:val="24"/>
        </w:rPr>
      </w:pPr>
      <w:r w:rsidRPr="00C22E53">
        <w:rPr>
          <w:szCs w:val="24"/>
        </w:rPr>
        <w:t xml:space="preserve">Further information is available through the committee's website at </w:t>
      </w:r>
      <w:hyperlink r:id="rId52"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2D0A73" w:rsidRDefault="002D0A73" w:rsidP="002D0A73">
      <w:pPr>
        <w:spacing w:after="0"/>
        <w:ind w:left="720"/>
        <w:rPr>
          <w:szCs w:val="24"/>
        </w:rPr>
      </w:pPr>
      <w:r w:rsidRPr="00C22E53">
        <w:rPr>
          <w:szCs w:val="24"/>
        </w:rPr>
        <w:t>Committee Secretary</w:t>
      </w:r>
    </w:p>
    <w:p w:rsidR="002D0A73" w:rsidRPr="00C22E53" w:rsidRDefault="002D0A73" w:rsidP="002D0A73">
      <w:pPr>
        <w:spacing w:after="0"/>
        <w:ind w:left="720"/>
        <w:rPr>
          <w:szCs w:val="24"/>
        </w:rPr>
      </w:pPr>
      <w:r w:rsidRPr="00C22E53">
        <w:rPr>
          <w:szCs w:val="24"/>
        </w:rPr>
        <w:t>Senate Regulations and Ordinances Committee</w:t>
      </w:r>
    </w:p>
    <w:p w:rsidR="002D0A73" w:rsidRPr="00C22E53" w:rsidRDefault="002D0A73" w:rsidP="002D0A73">
      <w:pPr>
        <w:spacing w:after="0"/>
        <w:ind w:left="720"/>
        <w:rPr>
          <w:szCs w:val="24"/>
        </w:rPr>
      </w:pPr>
      <w:r w:rsidRPr="00C22E53">
        <w:rPr>
          <w:szCs w:val="24"/>
        </w:rPr>
        <w:t>PO Box 6100</w:t>
      </w:r>
    </w:p>
    <w:p w:rsidR="002D0A73" w:rsidRPr="00C22E53" w:rsidRDefault="002D0A73" w:rsidP="002D0A73">
      <w:pPr>
        <w:spacing w:after="0"/>
        <w:ind w:left="720"/>
        <w:rPr>
          <w:szCs w:val="24"/>
        </w:rPr>
      </w:pPr>
      <w:r w:rsidRPr="00C22E53">
        <w:rPr>
          <w:szCs w:val="24"/>
        </w:rPr>
        <w:t>Parliament House</w:t>
      </w:r>
    </w:p>
    <w:p w:rsidR="002D0A73" w:rsidRDefault="002D0A73" w:rsidP="002D0A73">
      <w:pPr>
        <w:spacing w:after="0"/>
        <w:ind w:left="720"/>
        <w:rPr>
          <w:szCs w:val="24"/>
        </w:rPr>
      </w:pPr>
      <w:r w:rsidRPr="00C22E53">
        <w:rPr>
          <w:szCs w:val="24"/>
        </w:rPr>
        <w:t>Canberra ACT 2600</w:t>
      </w:r>
    </w:p>
    <w:p w:rsidR="002D0A73" w:rsidRDefault="002D0A73" w:rsidP="002D0A73">
      <w:pPr>
        <w:spacing w:after="0"/>
        <w:ind w:left="720"/>
        <w:rPr>
          <w:szCs w:val="24"/>
        </w:rPr>
      </w:pPr>
      <w:r w:rsidRPr="00C22E53">
        <w:rPr>
          <w:szCs w:val="24"/>
        </w:rPr>
        <w:t>Australia</w:t>
      </w:r>
    </w:p>
    <w:p w:rsidR="002D0A73" w:rsidRPr="00C22E53" w:rsidRDefault="002D0A73" w:rsidP="002D0A73">
      <w:pPr>
        <w:spacing w:after="60"/>
        <w:ind w:left="720"/>
        <w:rPr>
          <w:szCs w:val="24"/>
        </w:rPr>
      </w:pPr>
    </w:p>
    <w:p w:rsidR="002D0A73" w:rsidRPr="00C22E53" w:rsidRDefault="002D0A73" w:rsidP="002D0A73">
      <w:pPr>
        <w:spacing w:after="0"/>
        <w:ind w:left="720"/>
        <w:rPr>
          <w:szCs w:val="24"/>
        </w:rPr>
      </w:pPr>
      <w:r w:rsidRPr="00C22E53">
        <w:rPr>
          <w:szCs w:val="24"/>
        </w:rPr>
        <w:t xml:space="preserve">Phone: +61 2 6277 3066 </w:t>
      </w:r>
    </w:p>
    <w:p w:rsidR="002D0A73" w:rsidRPr="00C22E53" w:rsidRDefault="002D0A73" w:rsidP="002D0A73">
      <w:pPr>
        <w:spacing w:after="0"/>
        <w:ind w:left="720"/>
        <w:rPr>
          <w:szCs w:val="24"/>
        </w:rPr>
      </w:pPr>
      <w:r w:rsidRPr="00C22E53">
        <w:rPr>
          <w:szCs w:val="24"/>
        </w:rPr>
        <w:t xml:space="preserve">Fax: +61 2 6277 5881 </w:t>
      </w:r>
    </w:p>
    <w:p w:rsidR="002D0A73" w:rsidRPr="00C22E53" w:rsidRDefault="002D0A73" w:rsidP="002D0A73">
      <w:pPr>
        <w:spacing w:after="0"/>
        <w:ind w:left="720"/>
        <w:rPr>
          <w:szCs w:val="24"/>
        </w:rPr>
      </w:pPr>
      <w:r w:rsidRPr="00C22E53">
        <w:rPr>
          <w:szCs w:val="24"/>
        </w:rPr>
        <w:t xml:space="preserve">Email: </w:t>
      </w:r>
      <w:hyperlink r:id="rId53" w:history="1">
        <w:r w:rsidRPr="00C22E53">
          <w:rPr>
            <w:rStyle w:val="Hyperlink"/>
            <w:szCs w:val="24"/>
          </w:rPr>
          <w:t>RegOrds.Sen@aph.gov.au</w:t>
        </w:r>
      </w:hyperlink>
    </w:p>
    <w:p w:rsidR="00630D81" w:rsidRPr="00520991" w:rsidRDefault="00630D81" w:rsidP="00630D81">
      <w:pPr>
        <w:spacing w:before="120" w:after="120"/>
        <w:jc w:val="left"/>
      </w:pPr>
      <w:bookmarkStart w:id="33" w:name="_GoBack"/>
      <w:bookmarkEnd w:id="33"/>
    </w:p>
    <w:sectPr w:rsidR="00630D81" w:rsidRPr="00520991" w:rsidSect="00BC3916">
      <w:headerReference w:type="even" r:id="rId54"/>
      <w:headerReference w:type="default" r:id="rId55"/>
      <w:footerReference w:type="even" r:id="rId56"/>
      <w:footerReference w:type="default" r:id="rId57"/>
      <w:headerReference w:type="first" r:id="rId58"/>
      <w:footerReference w:type="first" r:id="rId59"/>
      <w:pgSz w:w="11906" w:h="16838" w:code="9"/>
      <w:pgMar w:top="1440" w:right="1440" w:bottom="1202" w:left="1440" w:header="1134" w:footer="720" w:gutter="0"/>
      <w:pgNumType w:start="9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65D" w:rsidRDefault="008E565D">
      <w:r>
        <w:separator/>
      </w:r>
    </w:p>
  </w:endnote>
  <w:endnote w:type="continuationSeparator" w:id="0">
    <w:p w:rsidR="008E565D" w:rsidRDefault="008E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8E565D" w:rsidRDefault="008E565D">
        <w:pPr>
          <w:pStyle w:val="Footer"/>
          <w:jc w:val="center"/>
        </w:pPr>
        <w:r>
          <w:fldChar w:fldCharType="begin"/>
        </w:r>
        <w:r>
          <w:instrText xml:space="preserve"> PAGE   \* MERGEFORMAT </w:instrText>
        </w:r>
        <w:r>
          <w:fldChar w:fldCharType="separate"/>
        </w:r>
        <w:r w:rsidR="00300C04">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796015"/>
      <w:docPartObj>
        <w:docPartGallery w:val="Page Numbers (Bottom of Page)"/>
        <w:docPartUnique/>
      </w:docPartObj>
    </w:sdtPr>
    <w:sdtEndPr>
      <w:rPr>
        <w:noProof/>
      </w:rPr>
    </w:sdtEndPr>
    <w:sdtContent>
      <w:p w:rsidR="008E565D" w:rsidRDefault="008E565D">
        <w:pPr>
          <w:pStyle w:val="Footer"/>
          <w:jc w:val="center"/>
        </w:pPr>
        <w:r>
          <w:fldChar w:fldCharType="begin"/>
        </w:r>
        <w:r>
          <w:instrText xml:space="preserve"> PAGE   \* MERGEFORMAT </w:instrText>
        </w:r>
        <w:r>
          <w:fldChar w:fldCharType="separate"/>
        </w:r>
        <w:r w:rsidR="002D0A73">
          <w:rPr>
            <w:noProof/>
          </w:rPr>
          <w:t>x</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68597"/>
      <w:docPartObj>
        <w:docPartGallery w:val="Page Numbers (Bottom of Page)"/>
        <w:docPartUnique/>
      </w:docPartObj>
    </w:sdtPr>
    <w:sdtEndPr>
      <w:rPr>
        <w:noProof/>
      </w:rPr>
    </w:sdtEndPr>
    <w:sdtContent>
      <w:p w:rsidR="008E565D" w:rsidRDefault="008E565D">
        <w:pPr>
          <w:pStyle w:val="Footer"/>
          <w:jc w:val="center"/>
        </w:pPr>
        <w:r>
          <w:fldChar w:fldCharType="begin"/>
        </w:r>
        <w:r>
          <w:instrText xml:space="preserve"> PAGE   \* MERGEFORMAT </w:instrText>
        </w:r>
        <w:r>
          <w:fldChar w:fldCharType="separate"/>
        </w:r>
        <w:r w:rsidR="002D0A73">
          <w:rPr>
            <w:noProof/>
          </w:rPr>
          <w:t>ix</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E565D" w:rsidRDefault="008E565D">
        <w:pPr>
          <w:pStyle w:val="Footer"/>
          <w:jc w:val="center"/>
        </w:pPr>
        <w:r>
          <w:fldChar w:fldCharType="begin"/>
        </w:r>
        <w:r>
          <w:instrText xml:space="preserve"> PAGE   \* MERGEFORMAT </w:instrText>
        </w:r>
        <w:r>
          <w:fldChar w:fldCharType="separate"/>
        </w:r>
        <w:r w:rsidR="00300C04">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E565D" w:rsidRDefault="008E565D">
        <w:pPr>
          <w:pStyle w:val="Footer"/>
          <w:jc w:val="center"/>
        </w:pPr>
        <w:r>
          <w:fldChar w:fldCharType="begin"/>
        </w:r>
        <w:r>
          <w:instrText xml:space="preserve"> PAGE   \* MERGEFORMAT </w:instrText>
        </w:r>
        <w:r>
          <w:fldChar w:fldCharType="separate"/>
        </w:r>
        <w:r w:rsidR="00300C04">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582180"/>
      <w:docPartObj>
        <w:docPartGallery w:val="Page Numbers (Bottom of Page)"/>
        <w:docPartUnique/>
      </w:docPartObj>
    </w:sdtPr>
    <w:sdtEndPr>
      <w:rPr>
        <w:noProof/>
      </w:rPr>
    </w:sdtEndPr>
    <w:sdtContent>
      <w:p w:rsidR="008E565D" w:rsidRDefault="008E565D" w:rsidP="008E565D">
        <w:pPr>
          <w:pStyle w:val="Footer"/>
          <w:jc w:val="center"/>
        </w:pPr>
        <w:r>
          <w:fldChar w:fldCharType="begin"/>
        </w:r>
        <w:r>
          <w:instrText xml:space="preserve"> PAGE   \* MERGEFORMAT </w:instrText>
        </w:r>
        <w:r>
          <w:fldChar w:fldCharType="separate"/>
        </w:r>
        <w:r w:rsidR="002D0A73">
          <w:rPr>
            <w:noProof/>
          </w:rPr>
          <w:t>viii</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686174"/>
      <w:docPartObj>
        <w:docPartGallery w:val="Page Numbers (Bottom of Page)"/>
        <w:docPartUnique/>
      </w:docPartObj>
    </w:sdtPr>
    <w:sdtEndPr>
      <w:rPr>
        <w:noProof/>
      </w:rPr>
    </w:sdtEndPr>
    <w:sdtContent>
      <w:p w:rsidR="008E565D" w:rsidRDefault="008E565D" w:rsidP="00630D81">
        <w:pPr>
          <w:pStyle w:val="Footer"/>
          <w:jc w:val="center"/>
        </w:pPr>
        <w:r>
          <w:fldChar w:fldCharType="begin"/>
        </w:r>
        <w:r>
          <w:instrText xml:space="preserve"> PAGE   \* MERGEFORMAT </w:instrText>
        </w:r>
        <w:r>
          <w:fldChar w:fldCharType="separate"/>
        </w:r>
        <w:r w:rsidR="002D0A73">
          <w:rPr>
            <w:noProof/>
          </w:rPr>
          <w:t>vii</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65D" w:rsidRDefault="008E565D">
      <w:r>
        <w:separator/>
      </w:r>
    </w:p>
  </w:footnote>
  <w:footnote w:type="continuationSeparator" w:id="0">
    <w:p w:rsidR="008E565D" w:rsidRDefault="008E565D">
      <w:r>
        <w:continuationSeparator/>
      </w:r>
    </w:p>
  </w:footnote>
  <w:footnote w:id="1">
    <w:p w:rsidR="008E565D" w:rsidRPr="00ED4CC3" w:rsidRDefault="008E565D" w:rsidP="00630D81">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8E565D" w:rsidRPr="00DB17B5" w:rsidRDefault="008E565D" w:rsidP="00630D81">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8E565D" w:rsidRPr="007C7835" w:rsidRDefault="008E565D" w:rsidP="00630D81">
      <w:pPr>
        <w:pStyle w:val="FootnoteText"/>
        <w:spacing w:after="120"/>
        <w:rPr>
          <w:i/>
        </w:rPr>
      </w:pPr>
      <w:r w:rsidRPr="007C7835">
        <w:rPr>
          <w:rStyle w:val="FootnoteReference"/>
          <w:vertAlign w:val="baseline"/>
        </w:rPr>
        <w:footnoteRef/>
      </w:r>
      <w:r w:rsidRPr="007C7835">
        <w:t xml:space="preserve"> </w:t>
      </w:r>
      <w:r>
        <w:tab/>
        <w:t xml:space="preserve">On 5 March 2016 the </w:t>
      </w:r>
      <w:r>
        <w:rPr>
          <w:i/>
        </w:rPr>
        <w:t>Legislative Instruments Act 2003</w:t>
      </w:r>
      <w:r>
        <w:t xml:space="preserve"> became the </w:t>
      </w:r>
      <w:r>
        <w:rPr>
          <w:i/>
        </w:rPr>
        <w:t xml:space="preserve">Legislation Act 2003 </w:t>
      </w:r>
      <w:r>
        <w:t xml:space="preserve">due to amendments made by the </w:t>
      </w:r>
      <w:r w:rsidRPr="007C7835">
        <w:rPr>
          <w:i/>
        </w:rPr>
        <w:t>Acts and Instruments (Framework Reform) Act 2015</w:t>
      </w:r>
      <w:r>
        <w:rPr>
          <w:i/>
        </w:rPr>
        <w:t xml:space="preserve">. </w:t>
      </w:r>
    </w:p>
  </w:footnote>
  <w:footnote w:id="4">
    <w:p w:rsidR="008E565D" w:rsidRPr="000E553A" w:rsidRDefault="008E565D" w:rsidP="00630D81">
      <w:pPr>
        <w:pStyle w:val="FootnoteText"/>
        <w:spacing w:after="80"/>
      </w:pPr>
      <w:r w:rsidRPr="000E553A">
        <w:rPr>
          <w:rStyle w:val="FootnoteReference"/>
          <w:vertAlign w:val="baseline"/>
        </w:rPr>
        <w:footnoteRef/>
      </w:r>
      <w:r w:rsidRPr="000E553A">
        <w:t xml:space="preserve"> </w:t>
      </w:r>
      <w:r>
        <w:tab/>
        <w:t xml:space="preserve">See Australian Government, Federal Register of Legislation, </w:t>
      </w:r>
      <w:r w:rsidRPr="00FF2073">
        <w:t>www.legislation.gov.au</w:t>
      </w:r>
      <w:r>
        <w:t xml:space="preserve">. </w:t>
      </w:r>
    </w:p>
  </w:footnote>
  <w:footnote w:id="5">
    <w:p w:rsidR="008E565D" w:rsidRPr="00194B2F" w:rsidRDefault="008E565D" w:rsidP="00630D81">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2"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6">
    <w:p w:rsidR="008E565D" w:rsidRPr="000274A0" w:rsidRDefault="008E565D" w:rsidP="00630D81">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2016</w:t>
      </w:r>
      <w:r>
        <w:t xml:space="preserve">, </w:t>
      </w:r>
      <w:hyperlink r:id="rId3" w:history="1">
        <w:r w:rsidRPr="000274A0">
          <w:rPr>
            <w:rStyle w:val="Hyperlink"/>
          </w:rPr>
          <w:t>http://www.aph.gov.au/Parliamentary_Business/Committees/Senate</w:t>
        </w:r>
        <w:r w:rsidRPr="000274A0">
          <w:rPr>
            <w:rStyle w:val="Hyperlink"/>
          </w:rPr>
          <w:br/>
          <w:t>/Regulations_and_Ordinances/Alerts</w:t>
        </w:r>
      </w:hyperlink>
      <w:r>
        <w:t>.</w:t>
      </w:r>
    </w:p>
  </w:footnote>
  <w:footnote w:id="7">
    <w:p w:rsidR="008E565D" w:rsidRPr="001F5D7F" w:rsidRDefault="008E565D" w:rsidP="00630D81">
      <w:pPr>
        <w:pStyle w:val="FootnoteText"/>
        <w:spacing w:after="120"/>
        <w:jc w:val="both"/>
      </w:pPr>
      <w:r w:rsidRPr="001F5D7F">
        <w:rPr>
          <w:rStyle w:val="FootnoteReference"/>
          <w:vertAlign w:val="baseline"/>
        </w:rPr>
        <w:footnoteRef/>
      </w:r>
      <w:r w:rsidRPr="001F5D7F">
        <w:t xml:space="preserve"> </w:t>
      </w:r>
      <w:r>
        <w:tab/>
        <w:t xml:space="preserve">The committee has deferred its consideration of </w:t>
      </w:r>
      <w:r w:rsidRPr="001F5D7F">
        <w:t>Financial Framework (Supplementary Powers) Amendment (Industry, Innovation and Science Measures No. 2) Regulation 2016 [F2016L00672]</w:t>
      </w:r>
      <w:r>
        <w:t>.</w:t>
      </w:r>
    </w:p>
  </w:footnote>
  <w:footnote w:id="8">
    <w:p w:rsidR="008E565D" w:rsidRPr="007433E9" w:rsidRDefault="008E565D" w:rsidP="00630D81">
      <w:pPr>
        <w:pStyle w:val="FootnoteText"/>
        <w:spacing w:after="120"/>
      </w:pPr>
      <w:r w:rsidRPr="007433E9">
        <w:rPr>
          <w:rStyle w:val="FootnoteReference"/>
          <w:vertAlign w:val="baseline"/>
        </w:rPr>
        <w:footnoteRef/>
      </w:r>
      <w:r w:rsidRPr="007433E9">
        <w:t xml:space="preserve"> </w:t>
      </w:r>
      <w:r>
        <w:tab/>
      </w:r>
      <w:r w:rsidRPr="005F0EE7">
        <w:t xml:space="preserve">The committee notes that </w:t>
      </w:r>
      <w:r w:rsidRPr="000E72DE">
        <w:t>this comment raises an identical issue to that raised in relation to Biosecurity Charges Imposition (Customs) Regulation 2016 [F2016L00723]; and Biosecurity Charges Imposition (General) Regulation 2016 [F2016L00727]. See p. 5 of this monitor</w:t>
      </w:r>
      <w:r w:rsidRPr="005F0EE7">
        <w:t>.</w:t>
      </w:r>
      <w:r>
        <w:t xml:space="preserve"> </w:t>
      </w:r>
    </w:p>
  </w:footnote>
  <w:footnote w:id="9">
    <w:p w:rsidR="008E565D" w:rsidRPr="00F67B0E" w:rsidRDefault="008E565D" w:rsidP="00630D81">
      <w:pPr>
        <w:pStyle w:val="FootnoteText"/>
        <w:spacing w:after="120"/>
        <w:jc w:val="both"/>
      </w:pPr>
      <w:r w:rsidRPr="00F67B0E">
        <w:rPr>
          <w:rStyle w:val="FootnoteReference"/>
          <w:vertAlign w:val="baseline"/>
        </w:rPr>
        <w:footnoteRef/>
      </w:r>
      <w:r w:rsidRPr="00F67B0E">
        <w:t xml:space="preserve"> </w:t>
      </w:r>
      <w:r>
        <w:tab/>
        <w:t xml:space="preserve">See Australian Government, Department of Immigration and Border Protection, </w:t>
      </w:r>
      <w:hyperlink r:id="rId4" w:history="1">
        <w:r w:rsidRPr="00346667">
          <w:rPr>
            <w:rStyle w:val="Hyperlink"/>
          </w:rPr>
          <w:t>http://www.border.gov.au/about/access-accountability/plans-policies-charters/policies/practice-statements/border</w:t>
        </w:r>
      </w:hyperlink>
      <w:r>
        <w:t xml:space="preserve"> (accessed 9 September 2016).</w:t>
      </w:r>
    </w:p>
  </w:footnote>
  <w:footnote w:id="10">
    <w:p w:rsidR="008E565D" w:rsidRPr="00280828" w:rsidRDefault="008E565D" w:rsidP="00630D81">
      <w:pPr>
        <w:pStyle w:val="FootnoteText"/>
        <w:spacing w:after="120"/>
      </w:pPr>
      <w:r w:rsidRPr="00280828">
        <w:rPr>
          <w:rStyle w:val="FootnoteReference"/>
          <w:vertAlign w:val="baseline"/>
        </w:rPr>
        <w:footnoteRef/>
      </w:r>
      <w:r w:rsidRPr="00280828">
        <w:t xml:space="preserve"> </w:t>
      </w:r>
      <w:r>
        <w:tab/>
      </w:r>
      <w:r w:rsidRPr="000519E9">
        <w:rPr>
          <w:i/>
        </w:rPr>
        <w:t>Williams v Commonwealth</w:t>
      </w:r>
      <w:r w:rsidRPr="00A94B74">
        <w:t xml:space="preserve"> (No. 2) (2014) 252 CLR 416</w:t>
      </w:r>
    </w:p>
  </w:footnote>
  <w:footnote w:id="11">
    <w:p w:rsidR="008E565D" w:rsidRPr="00280828" w:rsidRDefault="008E565D" w:rsidP="00630D81">
      <w:pPr>
        <w:pStyle w:val="FootnoteText"/>
        <w:spacing w:after="120"/>
      </w:pPr>
      <w:r w:rsidRPr="00280828">
        <w:rPr>
          <w:rStyle w:val="FootnoteReference"/>
          <w:vertAlign w:val="baseline"/>
        </w:rPr>
        <w:footnoteRef/>
      </w:r>
      <w:r w:rsidRPr="00280828">
        <w:t xml:space="preserve"> </w:t>
      </w:r>
      <w:r>
        <w:tab/>
      </w:r>
      <w:r w:rsidRPr="00635049">
        <w:rPr>
          <w:i/>
        </w:rPr>
        <w:t>Victoria v Commonwealth</w:t>
      </w:r>
      <w:r w:rsidRPr="00690005">
        <w:t xml:space="preserve"> (1996) 187 CLR 416</w:t>
      </w:r>
      <w:r>
        <w:t>.</w:t>
      </w:r>
    </w:p>
  </w:footnote>
  <w:footnote w:id="12">
    <w:p w:rsidR="008E565D" w:rsidRPr="00280828" w:rsidRDefault="008E565D" w:rsidP="00630D81">
      <w:pPr>
        <w:pStyle w:val="FootnoteText"/>
        <w:spacing w:after="120"/>
      </w:pPr>
      <w:r w:rsidRPr="00280828">
        <w:rPr>
          <w:rStyle w:val="FootnoteReference"/>
          <w:vertAlign w:val="baseline"/>
        </w:rPr>
        <w:footnoteRef/>
      </w:r>
      <w:r w:rsidRPr="00280828">
        <w:t xml:space="preserve"> </w:t>
      </w:r>
      <w:r>
        <w:tab/>
      </w:r>
      <w:r w:rsidRPr="00635049">
        <w:rPr>
          <w:i/>
        </w:rPr>
        <w:t>Victoria v Commonwealth</w:t>
      </w:r>
      <w:r w:rsidRPr="00690005">
        <w:t xml:space="preserve"> (1975) 134 CLR 338, 397</w:t>
      </w:r>
      <w:r>
        <w:t>.</w:t>
      </w:r>
    </w:p>
  </w:footnote>
  <w:footnote w:id="13">
    <w:p w:rsidR="008E565D" w:rsidRPr="009F2B0C" w:rsidRDefault="008E565D" w:rsidP="00630D81">
      <w:pPr>
        <w:pStyle w:val="FootnoteText"/>
        <w:spacing w:after="120"/>
      </w:pPr>
      <w:r w:rsidRPr="00861ECD">
        <w:rPr>
          <w:rStyle w:val="FootnoteReference"/>
          <w:vertAlign w:val="baseline"/>
        </w:rPr>
        <w:footnoteRef/>
      </w:r>
      <w:r w:rsidRPr="009F2B0C">
        <w:t xml:space="preserve"> </w:t>
      </w:r>
      <w:r>
        <w:tab/>
      </w:r>
      <w:r w:rsidRPr="00E37279">
        <w:t>The committee notes that the issue raised here also applies to Financial Sector (Collection of Data) (reporting standard) determination Nos 2 to 15 of 2016: [F2016L01226]; [F2016L01227]; [F2016L01228]; [F2016L01229]; [F2016L01230]; [F2016L01231]; [F2016L01222]; [F2016L01223]; [F2016L01216]; [F2016L01217]; [F2016L01218]; [F2016L01219]; [F2016L01220]; and [F2016L01221]</w:t>
      </w:r>
      <w:r>
        <w:t>.</w:t>
      </w:r>
    </w:p>
  </w:footnote>
  <w:footnote w:id="14">
    <w:p w:rsidR="008E565D" w:rsidRPr="00A64D4B" w:rsidRDefault="008E565D" w:rsidP="00630D81">
      <w:pPr>
        <w:pStyle w:val="FootnoteText"/>
        <w:spacing w:after="120"/>
      </w:pPr>
      <w:r w:rsidRPr="00A64D4B">
        <w:rPr>
          <w:rStyle w:val="FootnoteReference"/>
          <w:vertAlign w:val="baseline"/>
        </w:rPr>
        <w:footnoteRef/>
      </w:r>
      <w:r w:rsidRPr="00A64D4B">
        <w:t xml:space="preserve"> </w:t>
      </w:r>
      <w:r>
        <w:tab/>
        <w:t xml:space="preserve">See </w:t>
      </w:r>
      <w:r>
        <w:rPr>
          <w:i/>
        </w:rPr>
        <w:t>Delegated legislation monitor</w:t>
      </w:r>
      <w:r>
        <w:t xml:space="preserve"> 14 of 2015 (11 November 2015), pp 8 –9.</w:t>
      </w:r>
    </w:p>
  </w:footnote>
  <w:footnote w:id="15">
    <w:p w:rsidR="008E565D" w:rsidRPr="00D50D77" w:rsidRDefault="008E565D" w:rsidP="00630D81">
      <w:pPr>
        <w:pStyle w:val="FootnoteText"/>
        <w:spacing w:after="120"/>
      </w:pPr>
      <w:r w:rsidRPr="00D50D77">
        <w:rPr>
          <w:rStyle w:val="FootnoteReference"/>
          <w:vertAlign w:val="baseline"/>
        </w:rPr>
        <w:footnoteRef/>
      </w:r>
      <w:r w:rsidRPr="00D50D77">
        <w:t xml:space="preserve"> </w:t>
      </w:r>
      <w:r>
        <w:tab/>
      </w:r>
      <w:bookmarkStart w:id="28" w:name="OLE_LINK3"/>
      <w:r w:rsidRPr="000D5F72">
        <w:rPr>
          <w:i/>
        </w:rPr>
        <w:t>Delegated legislation monitor</w:t>
      </w:r>
      <w:r w:rsidRPr="00D50D77">
        <w:t xml:space="preserve"> 16 of 2015 (2 December 2015), pp 30–33</w:t>
      </w:r>
      <w:r>
        <w:t xml:space="preserve"> and Appendix 1.</w:t>
      </w:r>
      <w:bookmarkEnd w:id="28"/>
    </w:p>
  </w:footnote>
  <w:footnote w:id="16">
    <w:p w:rsidR="008E565D" w:rsidRPr="003710F3" w:rsidRDefault="008E565D" w:rsidP="00630D81">
      <w:pPr>
        <w:pStyle w:val="FootnoteText"/>
        <w:spacing w:after="120"/>
      </w:pPr>
      <w:r w:rsidRPr="003710F3">
        <w:rPr>
          <w:rStyle w:val="FootnoteReference"/>
          <w:vertAlign w:val="baseline"/>
        </w:rPr>
        <w:footnoteRef/>
      </w:r>
      <w:r w:rsidRPr="003710F3">
        <w:t xml:space="preserve"> </w:t>
      </w:r>
      <w:r>
        <w:tab/>
        <w:t xml:space="preserve">The committee notes that the issue raised here also applies to three recent exempt instruments that were reported on in </w:t>
      </w:r>
      <w:r>
        <w:rPr>
          <w:i/>
        </w:rPr>
        <w:t xml:space="preserve">Delegated legislation monitor </w:t>
      </w:r>
      <w:r>
        <w:t xml:space="preserve">5 of 2016 (3 May 2016): </w:t>
      </w:r>
      <w:r w:rsidRPr="003710F3">
        <w:t>Migration Act 1958 - Specification of Class of Persons Defined as Fast Track Applicants 2016/010 [F2016L00377]</w:t>
      </w:r>
      <w:r>
        <w:t xml:space="preserve">; </w:t>
      </w:r>
      <w:r w:rsidRPr="003710F3">
        <w:t>Migration Act 1958 - Specification of Class of Persons Defined as Fast Track Applicants 2016/007 [F2016L00455]; and Migration Act 1958 - Specification of Class of Persons Defined as Fast Track Applicants 2016/008 [F2016L00456].</w:t>
      </w:r>
    </w:p>
  </w:footnote>
  <w:footnote w:id="17">
    <w:p w:rsidR="008E565D" w:rsidRPr="00C74061" w:rsidRDefault="008E565D" w:rsidP="00630D81">
      <w:pPr>
        <w:pStyle w:val="FootnoteText"/>
        <w:spacing w:after="120"/>
      </w:pPr>
      <w:r w:rsidRPr="006806C0">
        <w:rPr>
          <w:rStyle w:val="FootnoteReference"/>
          <w:vertAlign w:val="baseline"/>
        </w:rPr>
        <w:footnoteRef/>
      </w:r>
      <w:r w:rsidRPr="00C74061">
        <w:t xml:space="preserve"> </w:t>
      </w:r>
      <w:r>
        <w:tab/>
      </w:r>
      <w:r w:rsidRPr="00C74061">
        <w:t xml:space="preserve">The committee notes that the issue raised here also applies to National Disability Insurance Scheme (Timeframes for Decision Making) Amendment Rules 2016 [F2016L00545] </w:t>
      </w:r>
      <w:r>
        <w:t xml:space="preserve">which incorporates </w:t>
      </w:r>
      <w:r w:rsidRPr="00C74061">
        <w:t>Schedules 1 and 2 of the Local Government Regulation 2012 (Qld)</w:t>
      </w:r>
      <w:r>
        <w:t xml:space="preserve"> at item 2.</w:t>
      </w:r>
    </w:p>
  </w:footnote>
  <w:footnote w:id="18">
    <w:p w:rsidR="008E565D" w:rsidRPr="00DF6829" w:rsidRDefault="008E565D" w:rsidP="00630D81">
      <w:pPr>
        <w:pStyle w:val="FootnoteText"/>
        <w:spacing w:after="120"/>
      </w:pPr>
      <w:r w:rsidRPr="00471814">
        <w:rPr>
          <w:rStyle w:val="FootnoteReference"/>
          <w:vertAlign w:val="baseline"/>
        </w:rPr>
        <w:footnoteRef/>
      </w:r>
      <w:r w:rsidRPr="00DF6829">
        <w:t xml:space="preserve"> </w:t>
      </w:r>
      <w:r>
        <w:tab/>
        <w:t xml:space="preserve">See </w:t>
      </w:r>
      <w:r>
        <w:rPr>
          <w:i/>
        </w:rPr>
        <w:t>Customs Act 1901</w:t>
      </w:r>
      <w:r>
        <w:t xml:space="preserve">, s 4. </w:t>
      </w:r>
    </w:p>
  </w:footnote>
  <w:footnote w:id="19">
    <w:p w:rsidR="008E565D" w:rsidRPr="00D32343" w:rsidRDefault="008E565D" w:rsidP="00630D81">
      <w:pPr>
        <w:pStyle w:val="FootnoteText"/>
        <w:spacing w:after="120"/>
      </w:pPr>
      <w:r w:rsidRPr="00D32343">
        <w:rPr>
          <w:rStyle w:val="FootnoteReference"/>
          <w:vertAlign w:val="baseline"/>
        </w:rPr>
        <w:footnoteRef/>
      </w:r>
      <w:r w:rsidRPr="00D32343">
        <w:t xml:space="preserve"> </w:t>
      </w:r>
      <w:r>
        <w:tab/>
        <w:t xml:space="preserve">The committee previously raised the same issues in relation to Public Lending Right Scheme 1997 (Modification No. 1 of 2015) [F2015L00694] (see </w:t>
      </w:r>
      <w:r>
        <w:rPr>
          <w:i/>
        </w:rPr>
        <w:t xml:space="preserve">Delegated legislation monitor </w:t>
      </w:r>
      <w:r>
        <w:t xml:space="preserve">7 and 9 of 2015). </w:t>
      </w:r>
    </w:p>
  </w:footnote>
  <w:footnote w:id="20">
    <w:p w:rsidR="008E565D" w:rsidRPr="00D43761" w:rsidRDefault="008E565D" w:rsidP="00630D81">
      <w:pPr>
        <w:pStyle w:val="FootnoteText"/>
        <w:spacing w:after="120"/>
      </w:pPr>
      <w:r w:rsidRPr="00D43761">
        <w:rPr>
          <w:rStyle w:val="FootnoteReference"/>
          <w:vertAlign w:val="baseline"/>
        </w:rPr>
        <w:footnoteRef/>
      </w:r>
      <w:r w:rsidRPr="00D43761">
        <w:t xml:space="preserve"> </w:t>
      </w:r>
      <w:r>
        <w:tab/>
        <w:t xml:space="preserve">Senate Standing Committee for the Scrutiny of Bills, </w:t>
      </w:r>
      <w:r w:rsidRPr="00613304">
        <w:rPr>
          <w:i/>
        </w:rPr>
        <w:t>Sixth Report of 2013</w:t>
      </w:r>
      <w:r>
        <w:t xml:space="preserve"> (19 June 2013), </w:t>
      </w:r>
      <w:r w:rsidRPr="00D43761">
        <w:t>Australian Ag</w:t>
      </w:r>
      <w:r>
        <w:t>ed Care Quality Agency Bill 2013 (see p. 4 of the correspondence from the minister, The Hon Mark Butler, MP, attached to the report).</w:t>
      </w:r>
    </w:p>
  </w:footnote>
  <w:footnote w:id="21">
    <w:p w:rsidR="008E565D" w:rsidRPr="00301BD9" w:rsidRDefault="008E565D" w:rsidP="00630D81">
      <w:pPr>
        <w:pStyle w:val="FootnoteText"/>
        <w:spacing w:after="120"/>
      </w:pPr>
      <w:r w:rsidRPr="007E0CC1">
        <w:rPr>
          <w:rStyle w:val="FootnoteReference"/>
          <w:vertAlign w:val="baseline"/>
        </w:rPr>
        <w:footnoteRef/>
      </w:r>
      <w:r w:rsidRPr="00301BD9">
        <w:t xml:space="preserve"> </w:t>
      </w:r>
      <w:r>
        <w:tab/>
        <w:t xml:space="preserve">See </w:t>
      </w:r>
      <w:r w:rsidRPr="005D3011">
        <w:rPr>
          <w:i/>
        </w:rPr>
        <w:t xml:space="preserve">Delegated legislation monitor </w:t>
      </w:r>
      <w:r w:rsidRPr="00A33527">
        <w:t>8 and 11 of 2015.</w:t>
      </w:r>
    </w:p>
  </w:footnote>
  <w:footnote w:id="22">
    <w:p w:rsidR="008E565D" w:rsidRDefault="008E565D" w:rsidP="00630D81">
      <w:pPr>
        <w:pStyle w:val="FootnoteText"/>
      </w:pPr>
      <w:r>
        <w:rPr>
          <w:rStyle w:val="FootnoteReference"/>
        </w:rPr>
        <w:footnoteRef/>
      </w:r>
      <w:r>
        <w:t xml:space="preserve"> </w:t>
      </w:r>
      <w:r w:rsidRPr="005D3011">
        <w:rPr>
          <w:i/>
        </w:rPr>
        <w:t>Delegated legislation monitor</w:t>
      </w:r>
      <w:r>
        <w:t xml:space="preserve"> 11 of 2015 (2 December 2015), </w:t>
      </w:r>
      <w:r w:rsidRPr="00F14F6E">
        <w:t>Appendix 1.</w:t>
      </w:r>
    </w:p>
  </w:footnote>
  <w:footnote w:id="23">
    <w:p w:rsidR="008E565D" w:rsidRPr="00E35D4F" w:rsidRDefault="008E565D" w:rsidP="00630D81">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8 of 2013, p. 511.</w:t>
      </w:r>
    </w:p>
  </w:footnote>
  <w:footnote w:id="24">
    <w:p w:rsidR="001D663A" w:rsidRPr="00A9748B" w:rsidRDefault="001D663A" w:rsidP="001D663A">
      <w:pPr>
        <w:pStyle w:val="FootnoteText"/>
        <w:spacing w:after="120"/>
      </w:pPr>
      <w:r w:rsidRPr="00A9748B">
        <w:rPr>
          <w:rStyle w:val="FootnoteReference"/>
          <w:vertAlign w:val="baseline"/>
        </w:rPr>
        <w:footnoteRef/>
      </w:r>
      <w:r w:rsidRPr="00A9748B">
        <w:t xml:space="preserve"> </w:t>
      </w:r>
      <w:r>
        <w:tab/>
        <w:t xml:space="preserve">The earlier instruments were the </w:t>
      </w:r>
      <w:r w:rsidRPr="00917892">
        <w:t>Excise (Volume of Liquid Fuels - Temperature Correction) Determination 2015 (No. 1) [F2015L01732]; the Excise (Mass of CNG) Determination 2015 (No. 1) [F2015L01733]; and the Excise (Volume of LPG – Temperature and Pressure Correction) Determination 2015 (No. 1) [F2015L01745</w:t>
      </w:r>
      <w:r>
        <w:t>]: s</w:t>
      </w:r>
      <w:r w:rsidRPr="00A9748B">
        <w:t>ee</w:t>
      </w:r>
      <w:r w:rsidRPr="00A9748B">
        <w:rPr>
          <w:i/>
        </w:rPr>
        <w:t xml:space="preserve"> Delegated legislation monitor </w:t>
      </w:r>
      <w:r>
        <w:t>15of 2015; and 1 and 2 of 2016.</w:t>
      </w:r>
    </w:p>
  </w:footnote>
  <w:footnote w:id="25">
    <w:p w:rsidR="001D663A" w:rsidRPr="007230BA" w:rsidRDefault="001D663A" w:rsidP="001D663A">
      <w:pPr>
        <w:pStyle w:val="FootnoteText"/>
      </w:pPr>
      <w:r w:rsidRPr="007230BA">
        <w:rPr>
          <w:rStyle w:val="FootnoteReference"/>
          <w:vertAlign w:val="baseline"/>
        </w:rPr>
        <w:footnoteRef/>
      </w:r>
      <w:r w:rsidRPr="007230BA">
        <w:t xml:space="preserve"> </w:t>
      </w:r>
      <w:r>
        <w:tab/>
        <w:t>The committee also notes that the standard d</w:t>
      </w:r>
      <w:r w:rsidRPr="007230BA">
        <w:t>escription of consultation</w:t>
      </w:r>
      <w:r>
        <w:t xml:space="preserve"> used in ESs to Remuneration Tribunal Determinations: '</w:t>
      </w:r>
      <w:r w:rsidRPr="000B574F">
        <w:t>In making this Determination the Tribunal has informed itself through consultation in accordance with established practice</w:t>
      </w:r>
      <w:r>
        <w:t>', does not meet the committee's expectations. See for example: Remuneration Tribunal Determination 2016/07 - Official Travel by Office Holders [F2016L01266] and Remuneration Tribunal Determination 2016/09 - Remuneration and Allowances for Holders of Public Office and Judicial and Related Offices [F2016L01269].</w:t>
      </w:r>
    </w:p>
  </w:footnote>
  <w:footnote w:id="26">
    <w:p w:rsidR="002D0A73" w:rsidRPr="00A854E5" w:rsidRDefault="002D0A73" w:rsidP="002D0A73">
      <w:pPr>
        <w:pStyle w:val="FootnoteText"/>
        <w:spacing w:after="120"/>
      </w:pPr>
      <w:r w:rsidRPr="00A854E5">
        <w:rPr>
          <w:rStyle w:val="FootnoteReference"/>
          <w:vertAlign w:val="baseline"/>
        </w:rPr>
        <w:footnoteRef/>
      </w:r>
      <w:r w:rsidRPr="00A854E5">
        <w:t xml:space="preserve"> </w:t>
      </w:r>
      <w:r>
        <w:tab/>
      </w:r>
      <w:r w:rsidRPr="00A854E5">
        <w:t>On 5 March 2016 the</w:t>
      </w:r>
      <w:r w:rsidRPr="00A854E5">
        <w:rPr>
          <w:i/>
        </w:rPr>
        <w:t xml:space="preserve"> Legislative Instruments Act 2003</w:t>
      </w:r>
      <w:r w:rsidRPr="00A854E5">
        <w:t xml:space="preserve"> became the </w:t>
      </w:r>
      <w:r w:rsidRPr="00A854E5">
        <w:rPr>
          <w:i/>
        </w:rPr>
        <w:t>Legislation Act 2003</w:t>
      </w:r>
      <w:r w:rsidRPr="00A854E5">
        <w:t xml:space="preserve"> </w:t>
      </w:r>
      <w:r>
        <w:t>due to</w:t>
      </w:r>
      <w:r w:rsidRPr="00A854E5">
        <w:t xml:space="preserve"> amendments made by the </w:t>
      </w:r>
      <w:r w:rsidRPr="00A854E5">
        <w:rPr>
          <w:i/>
        </w:rPr>
        <w:t>Acts and Instruments (Framework Reform) Act 2015</w:t>
      </w:r>
      <w:r w:rsidRPr="00A854E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Pr="00F710D5" w:rsidRDefault="008E565D"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Pr="00F710D5" w:rsidRDefault="008E565D" w:rsidP="00630D81">
    <w:pPr>
      <w:pStyle w:val="Header"/>
      <w:tabs>
        <w:tab w:val="clear" w:pos="8306"/>
        <w:tab w:val="right" w:pos="900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xi</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Header"/>
      <w:tabs>
        <w:tab w:val="clear" w:pos="8306"/>
        <w:tab w:val="right" w:pos="9000"/>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Pr="00F710D5" w:rsidRDefault="008E565D">
    <w:pPr>
      <w:pStyle w:val="Header"/>
      <w:pBdr>
        <w:bottom w:val="single" w:sz="4" w:space="1" w:color="auto"/>
      </w:pBdr>
      <w:tabs>
        <w:tab w:val="clear" w:pos="8306"/>
        <w:tab w:val="right" w:pos="9000"/>
      </w:tabs>
    </w:pPr>
    <w:r>
      <w:fldChar w:fldCharType="begin"/>
    </w:r>
    <w:r>
      <w:instrText xml:space="preserve"> PAGE </w:instrText>
    </w:r>
    <w:r>
      <w:fldChar w:fldCharType="separate"/>
    </w:r>
    <w:r w:rsidR="00ED725C">
      <w:rPr>
        <w:noProof/>
      </w:rPr>
      <w:t>62</w:t>
    </w:r>
    <w:r>
      <w:rPr>
        <w:noProof/>
      </w:rPr>
      <w:fldChar w:fldCharType="end"/>
    </w:r>
    <w:r w:rsidRPr="007E5241">
      <w:rPr>
        <w:color w:val="FF0000"/>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ED725C">
      <w:rPr>
        <w:noProof/>
      </w:rPr>
      <w:t>61</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Header"/>
      <w:tabs>
        <w:tab w:val="clear" w:pos="8306"/>
        <w:tab w:val="right" w:pos="9000"/>
      </w:tabs>
    </w:pP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300C04">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70</w:t>
    </w:r>
    <w:r>
      <w:rPr>
        <w:noProof/>
      </w:rPr>
      <w:fldChar w:fldCharType="end"/>
    </w:r>
    <w:r w:rsidR="00C77954">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300C04">
      <w:fldChar w:fldCharType="begin"/>
    </w:r>
    <w:r w:rsidR="00300C04">
      <w:instrText xml:space="preserve"> PAGE </w:instrText>
    </w:r>
    <w:r w:rsidR="00300C04">
      <w:fldChar w:fldCharType="separate"/>
    </w:r>
    <w:r w:rsidR="00300C04">
      <w:rPr>
        <w:noProof/>
      </w:rPr>
      <w:t>69</w:t>
    </w:r>
    <w:r w:rsidR="00300C04">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300C04">
    <w:pPr>
      <w:pStyle w:val="Header"/>
      <w:pBdr>
        <w:bottom w:val="single" w:sz="4" w:space="1" w:color="auto"/>
      </w:pBdr>
      <w:tabs>
        <w:tab w:val="clear" w:pos="8306"/>
        <w:tab w:val="right" w:pos="9000"/>
      </w:tabs>
    </w:pPr>
    <w:r>
      <w:fldChar w:fldCharType="begin"/>
    </w:r>
    <w:r>
      <w:instrText xml:space="preserve"> PAGE </w:instrText>
    </w:r>
    <w:r>
      <w:fldChar w:fldCharType="separate"/>
    </w:r>
    <w:r w:rsidR="002D0A73">
      <w:rPr>
        <w:noProof/>
      </w:rPr>
      <w:t>74</w:t>
    </w:r>
    <w:r>
      <w:rPr>
        <w:noProof/>
      </w:rPr>
      <w:fldChar w:fldCharType="end"/>
    </w:r>
    <w:r w:rsidR="00C7795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300C04">
      <w:fldChar w:fldCharType="begin"/>
    </w:r>
    <w:r w:rsidR="00300C04">
      <w:instrText xml:space="preserve"> PAGE </w:instrText>
    </w:r>
    <w:r w:rsidR="00300C04">
      <w:fldChar w:fldCharType="separate"/>
    </w:r>
    <w:r w:rsidR="002D0A73">
      <w:rPr>
        <w:noProof/>
      </w:rPr>
      <w:t>75</w:t>
    </w:r>
    <w:r w:rsidR="00300C04">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300C04">
      <w:t>73</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ED725C">
    <w:pPr>
      <w:pStyle w:val="Header"/>
      <w:pBdr>
        <w:bottom w:val="single" w:sz="4" w:space="1" w:color="auto"/>
      </w:pBdr>
      <w:tabs>
        <w:tab w:val="clear" w:pos="8306"/>
        <w:tab w:val="right" w:pos="9000"/>
      </w:tabs>
    </w:pPr>
    <w:r>
      <w:t>88</w:t>
    </w:r>
    <w:r w:rsidR="00C77954">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7F2A45">
      <w:t>89</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Pr="00F710D5" w:rsidRDefault="008E565D" w:rsidP="00630D81">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v</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Pr="00F710D5" w:rsidRDefault="008E565D">
    <w:pPr>
      <w:pStyle w:val="Header"/>
      <w:pBdr>
        <w:bottom w:val="single" w:sz="4" w:space="1" w:color="auto"/>
      </w:pBdr>
      <w:tabs>
        <w:tab w:val="clear" w:pos="8306"/>
        <w:tab w:val="right" w:pos="9000"/>
      </w:tabs>
    </w:pPr>
    <w:r>
      <w:fldChar w:fldCharType="begin"/>
    </w:r>
    <w:r>
      <w:instrText xml:space="preserve"> PAGE </w:instrText>
    </w:r>
    <w:r>
      <w:fldChar w:fldCharType="separate"/>
    </w:r>
    <w:r w:rsidR="002D0A73">
      <w:rPr>
        <w:noProof/>
      </w:rPr>
      <w:t>viii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65D" w:rsidRDefault="008E565D">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5D834AB"/>
    <w:multiLevelType w:val="hybridMultilevel"/>
    <w:tmpl w:val="6B229A34"/>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C290EC2"/>
    <w:multiLevelType w:val="hybridMultilevel"/>
    <w:tmpl w:val="EF7619BC"/>
    <w:lvl w:ilvl="0" w:tplc="C2167C92">
      <w:start w:val="1"/>
      <w:numFmt w:val="bullet"/>
      <w:lvlText w:val=""/>
      <w:lvlJc w:val="left"/>
      <w:pPr>
        <w:ind w:left="1630" w:hanging="360"/>
      </w:pPr>
      <w:rPr>
        <w:rFonts w:ascii="Symbol" w:hAnsi="Symbol" w:hint="default"/>
        <w:sz w:val="22"/>
        <w:szCs w:val="22"/>
      </w:rPr>
    </w:lvl>
    <w:lvl w:ilvl="1" w:tplc="0C090003" w:tentative="1">
      <w:start w:val="1"/>
      <w:numFmt w:val="bullet"/>
      <w:lvlText w:val="o"/>
      <w:lvlJc w:val="left"/>
      <w:pPr>
        <w:ind w:left="2350" w:hanging="360"/>
      </w:pPr>
      <w:rPr>
        <w:rFonts w:ascii="Courier New" w:hAnsi="Courier New" w:cs="Courier New" w:hint="default"/>
      </w:rPr>
    </w:lvl>
    <w:lvl w:ilvl="2" w:tplc="0C090005" w:tentative="1">
      <w:start w:val="1"/>
      <w:numFmt w:val="bullet"/>
      <w:lvlText w:val=""/>
      <w:lvlJc w:val="left"/>
      <w:pPr>
        <w:ind w:left="3070" w:hanging="360"/>
      </w:pPr>
      <w:rPr>
        <w:rFonts w:ascii="Wingdings" w:hAnsi="Wingdings" w:hint="default"/>
      </w:rPr>
    </w:lvl>
    <w:lvl w:ilvl="3" w:tplc="0C090001" w:tentative="1">
      <w:start w:val="1"/>
      <w:numFmt w:val="bullet"/>
      <w:lvlText w:val=""/>
      <w:lvlJc w:val="left"/>
      <w:pPr>
        <w:ind w:left="3790" w:hanging="360"/>
      </w:pPr>
      <w:rPr>
        <w:rFonts w:ascii="Symbol" w:hAnsi="Symbol" w:hint="default"/>
      </w:rPr>
    </w:lvl>
    <w:lvl w:ilvl="4" w:tplc="0C090003" w:tentative="1">
      <w:start w:val="1"/>
      <w:numFmt w:val="bullet"/>
      <w:lvlText w:val="o"/>
      <w:lvlJc w:val="left"/>
      <w:pPr>
        <w:ind w:left="4510" w:hanging="360"/>
      </w:pPr>
      <w:rPr>
        <w:rFonts w:ascii="Courier New" w:hAnsi="Courier New" w:cs="Courier New" w:hint="default"/>
      </w:rPr>
    </w:lvl>
    <w:lvl w:ilvl="5" w:tplc="0C090005" w:tentative="1">
      <w:start w:val="1"/>
      <w:numFmt w:val="bullet"/>
      <w:lvlText w:val=""/>
      <w:lvlJc w:val="left"/>
      <w:pPr>
        <w:ind w:left="5230" w:hanging="360"/>
      </w:pPr>
      <w:rPr>
        <w:rFonts w:ascii="Wingdings" w:hAnsi="Wingdings" w:hint="default"/>
      </w:rPr>
    </w:lvl>
    <w:lvl w:ilvl="6" w:tplc="0C090001" w:tentative="1">
      <w:start w:val="1"/>
      <w:numFmt w:val="bullet"/>
      <w:lvlText w:val=""/>
      <w:lvlJc w:val="left"/>
      <w:pPr>
        <w:ind w:left="5950" w:hanging="360"/>
      </w:pPr>
      <w:rPr>
        <w:rFonts w:ascii="Symbol" w:hAnsi="Symbol" w:hint="default"/>
      </w:rPr>
    </w:lvl>
    <w:lvl w:ilvl="7" w:tplc="0C090003" w:tentative="1">
      <w:start w:val="1"/>
      <w:numFmt w:val="bullet"/>
      <w:lvlText w:val="o"/>
      <w:lvlJc w:val="left"/>
      <w:pPr>
        <w:ind w:left="6670" w:hanging="360"/>
      </w:pPr>
      <w:rPr>
        <w:rFonts w:ascii="Courier New" w:hAnsi="Courier New" w:cs="Courier New" w:hint="default"/>
      </w:rPr>
    </w:lvl>
    <w:lvl w:ilvl="8" w:tplc="0C090005" w:tentative="1">
      <w:start w:val="1"/>
      <w:numFmt w:val="bullet"/>
      <w:lvlText w:val=""/>
      <w:lvlJc w:val="left"/>
      <w:pPr>
        <w:ind w:left="7390" w:hanging="360"/>
      </w:pPr>
      <w:rPr>
        <w:rFonts w:ascii="Wingdings" w:hAnsi="Wingdings" w:hint="default"/>
      </w:r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0353693"/>
    <w:multiLevelType w:val="multilevel"/>
    <w:tmpl w:val="35D6CC62"/>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210F62F1"/>
    <w:multiLevelType w:val="hybridMultilevel"/>
    <w:tmpl w:val="29AADE82"/>
    <w:lvl w:ilvl="0" w:tplc="2B62C43E">
      <w:start w:val="3"/>
      <w:numFmt w:val="bullet"/>
      <w:lvlText w:val="-"/>
      <w:lvlJc w:val="left"/>
      <w:pPr>
        <w:ind w:left="1526" w:hanging="675"/>
      </w:pPr>
      <w:rPr>
        <w:rFonts w:ascii="Times New Roman" w:eastAsia="Times New Roman" w:hAnsi="Times New Roman"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9">
    <w:nsid w:val="251262C6"/>
    <w:multiLevelType w:val="hybridMultilevel"/>
    <w:tmpl w:val="0E0C5824"/>
    <w:lvl w:ilvl="0" w:tplc="CA022C12">
      <w:start w:val="1"/>
      <w:numFmt w:val="lowerRoman"/>
      <w:lvlText w:val="(%1)"/>
      <w:lvlJc w:val="left"/>
      <w:pPr>
        <w:ind w:left="1844" w:hanging="284"/>
      </w:pPr>
      <w:rPr>
        <w:rFonts w:hint="default"/>
      </w:rPr>
    </w:lvl>
    <w:lvl w:ilvl="1" w:tplc="0C090019" w:tentative="1">
      <w:start w:val="1"/>
      <w:numFmt w:val="lowerLetter"/>
      <w:lvlText w:val="%2."/>
      <w:lvlJc w:val="left"/>
      <w:pPr>
        <w:ind w:left="3066" w:hanging="360"/>
      </w:pPr>
    </w:lvl>
    <w:lvl w:ilvl="2" w:tplc="0C09001B" w:tentative="1">
      <w:start w:val="1"/>
      <w:numFmt w:val="lowerRoman"/>
      <w:lvlText w:val="%3."/>
      <w:lvlJc w:val="right"/>
      <w:pPr>
        <w:ind w:left="3786" w:hanging="180"/>
      </w:pPr>
    </w:lvl>
    <w:lvl w:ilvl="3" w:tplc="0C09000F" w:tentative="1">
      <w:start w:val="1"/>
      <w:numFmt w:val="decimal"/>
      <w:lvlText w:val="%4."/>
      <w:lvlJc w:val="left"/>
      <w:pPr>
        <w:ind w:left="4506" w:hanging="360"/>
      </w:pPr>
    </w:lvl>
    <w:lvl w:ilvl="4" w:tplc="0C090019" w:tentative="1">
      <w:start w:val="1"/>
      <w:numFmt w:val="lowerLetter"/>
      <w:lvlText w:val="%5."/>
      <w:lvlJc w:val="left"/>
      <w:pPr>
        <w:ind w:left="5226" w:hanging="360"/>
      </w:pPr>
    </w:lvl>
    <w:lvl w:ilvl="5" w:tplc="0C09001B" w:tentative="1">
      <w:start w:val="1"/>
      <w:numFmt w:val="lowerRoman"/>
      <w:lvlText w:val="%6."/>
      <w:lvlJc w:val="right"/>
      <w:pPr>
        <w:ind w:left="5946" w:hanging="180"/>
      </w:pPr>
    </w:lvl>
    <w:lvl w:ilvl="6" w:tplc="0C09000F" w:tentative="1">
      <w:start w:val="1"/>
      <w:numFmt w:val="decimal"/>
      <w:lvlText w:val="%7."/>
      <w:lvlJc w:val="left"/>
      <w:pPr>
        <w:ind w:left="6666" w:hanging="360"/>
      </w:pPr>
    </w:lvl>
    <w:lvl w:ilvl="7" w:tplc="0C090019" w:tentative="1">
      <w:start w:val="1"/>
      <w:numFmt w:val="lowerLetter"/>
      <w:lvlText w:val="%8."/>
      <w:lvlJc w:val="left"/>
      <w:pPr>
        <w:ind w:left="7386" w:hanging="360"/>
      </w:pPr>
    </w:lvl>
    <w:lvl w:ilvl="8" w:tplc="0C09001B" w:tentative="1">
      <w:start w:val="1"/>
      <w:numFmt w:val="lowerRoman"/>
      <w:lvlText w:val="%9."/>
      <w:lvlJc w:val="right"/>
      <w:pPr>
        <w:ind w:left="8106" w:hanging="180"/>
      </w:pPr>
    </w:lvl>
  </w:abstractNum>
  <w:abstractNum w:abstractNumId="20">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3">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410224A0"/>
    <w:multiLevelType w:val="hybridMultilevel"/>
    <w:tmpl w:val="6F80E142"/>
    <w:lvl w:ilvl="0" w:tplc="79AE9FB6">
      <w:start w:val="15"/>
      <w:numFmt w:val="bullet"/>
      <w:lvlText w:val="-"/>
      <w:lvlJc w:val="left"/>
      <w:pPr>
        <w:ind w:left="1211" w:hanging="360"/>
      </w:pPr>
      <w:rPr>
        <w:rFonts w:ascii="Times New (W1)" w:eastAsia="Times New Roman" w:hAnsi="Times New (W1)"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7">
    <w:nsid w:val="435F4DF0"/>
    <w:multiLevelType w:val="hybridMultilevel"/>
    <w:tmpl w:val="1D104F62"/>
    <w:lvl w:ilvl="0" w:tplc="7C3ED81A">
      <w:start w:val="3"/>
      <w:numFmt w:val="bullet"/>
      <w:lvlText w:val="·"/>
      <w:lvlJc w:val="left"/>
      <w:pPr>
        <w:ind w:left="1750" w:hanging="615"/>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nsid w:val="4C035065"/>
    <w:multiLevelType w:val="hybridMultilevel"/>
    <w:tmpl w:val="F9A6DDAC"/>
    <w:lvl w:ilvl="0" w:tplc="6934628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3D2471F"/>
    <w:multiLevelType w:val="multilevel"/>
    <w:tmpl w:val="9378FFE6"/>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2">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3">
    <w:nsid w:val="6BDC2FA3"/>
    <w:multiLevelType w:val="hybridMultilevel"/>
    <w:tmpl w:val="86DE61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4">
    <w:nsid w:val="6DC4397D"/>
    <w:multiLevelType w:val="hybridMultilevel"/>
    <w:tmpl w:val="ABB49A1C"/>
    <w:lvl w:ilvl="0" w:tplc="5CE888B2">
      <w:start w:val="1"/>
      <w:numFmt w:val="lowerLetter"/>
      <w:lvlText w:val="(%1)"/>
      <w:lvlJc w:val="left"/>
      <w:pPr>
        <w:ind w:left="1241" w:hanging="39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5">
    <w:nsid w:val="6F3E6318"/>
    <w:multiLevelType w:val="hybridMultilevel"/>
    <w:tmpl w:val="FC10A7F6"/>
    <w:lvl w:ilvl="0" w:tplc="D76E474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6">
    <w:nsid w:val="6F446381"/>
    <w:multiLevelType w:val="hybridMultilevel"/>
    <w:tmpl w:val="23BEBA74"/>
    <w:lvl w:ilvl="0" w:tplc="950C9BA6">
      <w:start w:val="1"/>
      <w:numFmt w:val="bullet"/>
      <w:lvlText w:val=""/>
      <w:lvlJc w:val="left"/>
      <w:pPr>
        <w:ind w:left="1211" w:hanging="360"/>
      </w:pPr>
      <w:rPr>
        <w:rFonts w:ascii="Symbol" w:hAnsi="Symbol" w:hint="default"/>
        <w:sz w:val="22"/>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7">
    <w:nsid w:val="6F7E096B"/>
    <w:multiLevelType w:val="hybridMultilevel"/>
    <w:tmpl w:val="FAD2F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nsid w:val="737C35B7"/>
    <w:multiLevelType w:val="hybridMultilevel"/>
    <w:tmpl w:val="C1A0B2FA"/>
    <w:lvl w:ilvl="0" w:tplc="944E0048">
      <w:start w:val="1"/>
      <w:numFmt w:val="bullet"/>
      <w:lvlText w:val=""/>
      <w:lvlJc w:val="left"/>
      <w:pPr>
        <w:ind w:left="1571" w:hanging="360"/>
      </w:pPr>
      <w:rPr>
        <w:rFonts w:ascii="Symbol" w:hAnsi="Symbol" w:hint="default"/>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0">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41">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30"/>
  </w:num>
  <w:num w:numId="2">
    <w:abstractNumId w:val="14"/>
  </w:num>
  <w:num w:numId="3">
    <w:abstractNumId w:val="17"/>
  </w:num>
  <w:num w:numId="4">
    <w:abstractNumId w:val="18"/>
  </w:num>
  <w:num w:numId="5">
    <w:abstractNumId w:val="22"/>
  </w:num>
  <w:num w:numId="6">
    <w:abstractNumId w:val="2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2"/>
  </w:num>
  <w:num w:numId="19">
    <w:abstractNumId w:val="40"/>
  </w:num>
  <w:num w:numId="20">
    <w:abstractNumId w:val="10"/>
  </w:num>
  <w:num w:numId="21">
    <w:abstractNumId w:val="31"/>
  </w:num>
  <w:num w:numId="22">
    <w:abstractNumId w:val="23"/>
  </w:num>
  <w:num w:numId="23">
    <w:abstractNumId w:val="32"/>
  </w:num>
  <w:num w:numId="24">
    <w:abstractNumId w:val="24"/>
  </w:num>
  <w:num w:numId="25">
    <w:abstractNumId w:val="25"/>
  </w:num>
  <w:num w:numId="26">
    <w:abstractNumId w:val="31"/>
  </w:num>
  <w:num w:numId="27">
    <w:abstractNumId w:val="31"/>
  </w:num>
  <w:num w:numId="28">
    <w:abstractNumId w:val="41"/>
  </w:num>
  <w:num w:numId="29">
    <w:abstractNumId w:val="41"/>
  </w:num>
  <w:num w:numId="30">
    <w:abstractNumId w:val="41"/>
  </w:num>
  <w:num w:numId="31">
    <w:abstractNumId w:val="31"/>
  </w:num>
  <w:num w:numId="32">
    <w:abstractNumId w:val="31"/>
  </w:num>
  <w:num w:numId="33">
    <w:abstractNumId w:val="21"/>
  </w:num>
  <w:num w:numId="34">
    <w:abstractNumId w:val="15"/>
  </w:num>
  <w:num w:numId="35">
    <w:abstractNumId w:val="38"/>
  </w:num>
  <w:num w:numId="36">
    <w:abstractNumId w:val="16"/>
  </w:num>
  <w:num w:numId="37">
    <w:abstractNumId w:val="27"/>
  </w:num>
  <w:num w:numId="38">
    <w:abstractNumId w:val="35"/>
  </w:num>
  <w:num w:numId="39">
    <w:abstractNumId w:val="34"/>
  </w:num>
  <w:num w:numId="40">
    <w:abstractNumId w:val="19"/>
  </w:num>
  <w:num w:numId="41">
    <w:abstractNumId w:val="33"/>
  </w:num>
  <w:num w:numId="42">
    <w:abstractNumId w:val="37"/>
  </w:num>
  <w:num w:numId="43">
    <w:abstractNumId w:val="39"/>
  </w:num>
  <w:num w:numId="44">
    <w:abstractNumId w:val="11"/>
  </w:num>
  <w:num w:numId="45">
    <w:abstractNumId w:val="28"/>
  </w:num>
  <w:num w:numId="46">
    <w:abstractNumId w:val="36"/>
  </w:num>
  <w:num w:numId="47">
    <w:abstractNumId w:val="13"/>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1D663A"/>
    <w:rsid w:val="00204433"/>
    <w:rsid w:val="00296ADC"/>
    <w:rsid w:val="002D0A73"/>
    <w:rsid w:val="00300C04"/>
    <w:rsid w:val="00312055"/>
    <w:rsid w:val="003168FA"/>
    <w:rsid w:val="00325264"/>
    <w:rsid w:val="00333EC9"/>
    <w:rsid w:val="00350769"/>
    <w:rsid w:val="003511B6"/>
    <w:rsid w:val="003E0C8F"/>
    <w:rsid w:val="003F34C3"/>
    <w:rsid w:val="00401F51"/>
    <w:rsid w:val="00420018"/>
    <w:rsid w:val="0044126A"/>
    <w:rsid w:val="004C735D"/>
    <w:rsid w:val="00501FBB"/>
    <w:rsid w:val="00520991"/>
    <w:rsid w:val="0053695B"/>
    <w:rsid w:val="0056550E"/>
    <w:rsid w:val="005B3BA3"/>
    <w:rsid w:val="005D07D1"/>
    <w:rsid w:val="005E6582"/>
    <w:rsid w:val="005E77C4"/>
    <w:rsid w:val="006007DB"/>
    <w:rsid w:val="006248BA"/>
    <w:rsid w:val="00630D81"/>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2A45"/>
    <w:rsid w:val="007F5E17"/>
    <w:rsid w:val="008326C3"/>
    <w:rsid w:val="00837D9C"/>
    <w:rsid w:val="00854AE4"/>
    <w:rsid w:val="008A1C03"/>
    <w:rsid w:val="008E565D"/>
    <w:rsid w:val="00931095"/>
    <w:rsid w:val="00972135"/>
    <w:rsid w:val="009765F1"/>
    <w:rsid w:val="009A4604"/>
    <w:rsid w:val="009A5729"/>
    <w:rsid w:val="00A31357"/>
    <w:rsid w:val="00A6738A"/>
    <w:rsid w:val="00A85B09"/>
    <w:rsid w:val="00A878F4"/>
    <w:rsid w:val="00A87FCF"/>
    <w:rsid w:val="00AA0AC5"/>
    <w:rsid w:val="00AB1147"/>
    <w:rsid w:val="00AC1950"/>
    <w:rsid w:val="00AE08B6"/>
    <w:rsid w:val="00B0092F"/>
    <w:rsid w:val="00B0130A"/>
    <w:rsid w:val="00B0142C"/>
    <w:rsid w:val="00B04A05"/>
    <w:rsid w:val="00B14A2A"/>
    <w:rsid w:val="00B15BA5"/>
    <w:rsid w:val="00B37C37"/>
    <w:rsid w:val="00B428BB"/>
    <w:rsid w:val="00B73A09"/>
    <w:rsid w:val="00B76317"/>
    <w:rsid w:val="00BA2D2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53138"/>
    <w:rsid w:val="00D82DC0"/>
    <w:rsid w:val="00DA1837"/>
    <w:rsid w:val="00DE1781"/>
    <w:rsid w:val="00DE646A"/>
    <w:rsid w:val="00E0235E"/>
    <w:rsid w:val="00E70953"/>
    <w:rsid w:val="00EB5055"/>
    <w:rsid w:val="00ED725C"/>
    <w:rsid w:val="00F26EC0"/>
    <w:rsid w:val="00F64B8D"/>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DE646A"/>
    <w:pPr>
      <w:keepNext/>
      <w:numPr>
        <w:ilvl w:val="3"/>
        <w:numId w:val="32"/>
      </w:numPr>
      <w:outlineLvl w:val="3"/>
    </w:pPr>
    <w:rPr>
      <w:b/>
      <w:i/>
    </w:rPr>
  </w:style>
  <w:style w:type="paragraph" w:styleId="Heading5">
    <w:name w:val="heading 5"/>
    <w:basedOn w:val="Normal"/>
    <w:next w:val="Normal"/>
    <w:link w:val="Heading5Char"/>
    <w:qFormat/>
    <w:rsid w:val="00DE646A"/>
    <w:pPr>
      <w:keepNext/>
      <w:numPr>
        <w:ilvl w:val="4"/>
        <w:numId w:val="32"/>
      </w:numPr>
      <w:jc w:val="left"/>
      <w:outlineLvl w:val="4"/>
    </w:pPr>
    <w:rPr>
      <w:i/>
    </w:rPr>
  </w:style>
  <w:style w:type="paragraph" w:styleId="Heading6">
    <w:name w:val="heading 6"/>
    <w:basedOn w:val="Normal"/>
    <w:next w:val="Normal"/>
    <w:link w:val="Heading6Char"/>
    <w:qFormat/>
    <w:locked/>
    <w:rsid w:val="00DE646A"/>
    <w:pPr>
      <w:numPr>
        <w:ilvl w:val="5"/>
        <w:numId w:val="32"/>
      </w:numPr>
      <w:spacing w:before="240" w:after="60"/>
      <w:outlineLvl w:val="5"/>
    </w:pPr>
    <w:rPr>
      <w:i/>
      <w:sz w:val="22"/>
    </w:rPr>
  </w:style>
  <w:style w:type="paragraph" w:styleId="Heading7">
    <w:name w:val="heading 7"/>
    <w:basedOn w:val="Normal"/>
    <w:next w:val="Normal"/>
    <w:link w:val="Heading7Char"/>
    <w:qFormat/>
    <w:locked/>
    <w:rsid w:val="00DE646A"/>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DE646A"/>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DE646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DE646A"/>
    <w:pPr>
      <w:numPr>
        <w:numId w:val="32"/>
      </w:numPr>
    </w:pPr>
  </w:style>
  <w:style w:type="paragraph" w:customStyle="1" w:styleId="Level2">
    <w:name w:val="Level2"/>
    <w:basedOn w:val="Normal"/>
    <w:rsid w:val="00DE646A"/>
    <w:pPr>
      <w:numPr>
        <w:ilvl w:val="1"/>
        <w:numId w:val="32"/>
      </w:numPr>
    </w:pPr>
  </w:style>
  <w:style w:type="paragraph" w:customStyle="1" w:styleId="Level3">
    <w:name w:val="Level3"/>
    <w:basedOn w:val="Normal"/>
    <w:link w:val="Level3Char"/>
    <w:rsid w:val="00DE646A"/>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DE646A"/>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paragraph" w:customStyle="1" w:styleId="JNP2">
    <w:name w:val="JNP2"/>
    <w:basedOn w:val="Normal"/>
    <w:rsid w:val="00630D81"/>
    <w:pPr>
      <w:spacing w:after="0"/>
      <w:ind w:left="2268"/>
    </w:pPr>
    <w:rPr>
      <w:lang w:val="en-US"/>
    </w:rPr>
  </w:style>
  <w:style w:type="table" w:customStyle="1" w:styleId="ColorfulGrid1">
    <w:name w:val="Colorful Grid1"/>
    <w:basedOn w:val="TableNormal"/>
    <w:uiPriority w:val="73"/>
    <w:rsid w:val="00630D8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630D8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630D8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630D8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630D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630D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630D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630D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630D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30D8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630D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630D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630D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630D8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630D8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630D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630D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30D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30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30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630D81"/>
    <w:pPr>
      <w:tabs>
        <w:tab w:val="left" w:pos="851"/>
      </w:tabs>
      <w:spacing w:before="120"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630D81"/>
    <w:rPr>
      <w:sz w:val="22"/>
      <w:lang w:eastAsia="en-US"/>
    </w:rPr>
  </w:style>
  <w:style w:type="paragraph" w:customStyle="1" w:styleId="H1">
    <w:name w:val="H1"/>
    <w:basedOn w:val="Normal"/>
    <w:link w:val="H1Char"/>
    <w:autoRedefine/>
    <w:rsid w:val="00630D81"/>
    <w:pPr>
      <w:spacing w:before="120" w:after="120" w:line="264" w:lineRule="auto"/>
    </w:pPr>
    <w:rPr>
      <w:rFonts w:ascii="Times New (W1)" w:hAnsi="Times New (W1)"/>
      <w:b/>
      <w:sz w:val="36"/>
    </w:rPr>
  </w:style>
  <w:style w:type="character" w:customStyle="1" w:styleId="H1Char">
    <w:name w:val="H1 Char"/>
    <w:basedOn w:val="DefaultParagraphFont"/>
    <w:link w:val="H1"/>
    <w:rsid w:val="00630D81"/>
    <w:rPr>
      <w:b/>
      <w:sz w:val="36"/>
      <w:lang w:eastAsia="en-US"/>
    </w:rPr>
  </w:style>
  <w:style w:type="paragraph" w:customStyle="1" w:styleId="I1">
    <w:name w:val="I1"/>
    <w:basedOn w:val="Normal"/>
    <w:rsid w:val="00630D81"/>
    <w:pPr>
      <w:spacing w:before="120" w:after="0" w:line="264" w:lineRule="auto"/>
      <w:ind w:left="567" w:right="709"/>
    </w:pPr>
    <w:rPr>
      <w:rFonts w:ascii="Times New (W1)" w:hAnsi="Times New (W1)"/>
      <w:sz w:val="22"/>
    </w:rPr>
  </w:style>
  <w:style w:type="paragraph" w:customStyle="1" w:styleId="H2">
    <w:name w:val="H2"/>
    <w:basedOn w:val="Normal"/>
    <w:link w:val="H2Char"/>
    <w:rsid w:val="00630D81"/>
    <w:pPr>
      <w:spacing w:before="120" w:after="0" w:line="264" w:lineRule="auto"/>
    </w:pPr>
    <w:rPr>
      <w:rFonts w:ascii="Times New (W1)" w:hAnsi="Times New (W1)"/>
      <w:b/>
      <w:sz w:val="28"/>
    </w:rPr>
  </w:style>
  <w:style w:type="character" w:customStyle="1" w:styleId="H2Char">
    <w:name w:val="H2 Char"/>
    <w:basedOn w:val="DefaultParagraphFont"/>
    <w:link w:val="H2"/>
    <w:rsid w:val="00630D81"/>
    <w:rPr>
      <w:b/>
      <w:sz w:val="28"/>
      <w:lang w:eastAsia="en-US"/>
    </w:rPr>
  </w:style>
  <w:style w:type="character" w:customStyle="1" w:styleId="Heading4Char">
    <w:name w:val="Heading 4 Char"/>
    <w:basedOn w:val="DefaultParagraphFont"/>
    <w:link w:val="Heading4"/>
    <w:rsid w:val="00DE646A"/>
    <w:rPr>
      <w:rFonts w:ascii="Times New Roman" w:hAnsi="Times New Roman"/>
      <w:b/>
      <w:i/>
      <w:sz w:val="26"/>
      <w:lang w:eastAsia="en-US"/>
    </w:rPr>
  </w:style>
  <w:style w:type="character" w:customStyle="1" w:styleId="apple-converted-space">
    <w:name w:val="apple-converted-space"/>
    <w:basedOn w:val="DefaultParagraphFont"/>
    <w:rsid w:val="00630D81"/>
  </w:style>
  <w:style w:type="character" w:customStyle="1" w:styleId="Heading3Char">
    <w:name w:val="Heading 3 Char"/>
    <w:basedOn w:val="DefaultParagraphFont"/>
    <w:link w:val="Heading3"/>
    <w:rsid w:val="00630D81"/>
    <w:rPr>
      <w:rFonts w:ascii="Times New Roman" w:hAnsi="Times New Roman"/>
      <w:b/>
      <w:sz w:val="28"/>
      <w:lang w:eastAsia="en-US"/>
    </w:rPr>
  </w:style>
  <w:style w:type="character" w:customStyle="1" w:styleId="QuoteChar">
    <w:name w:val="Quote Char"/>
    <w:basedOn w:val="DefaultParagraphFont"/>
    <w:link w:val="Quote"/>
    <w:rsid w:val="00630D81"/>
    <w:rPr>
      <w:rFonts w:ascii="Times New Roman" w:hAnsi="Times New Roman"/>
      <w:sz w:val="24"/>
      <w:lang w:eastAsia="en-US"/>
    </w:rPr>
  </w:style>
  <w:style w:type="character" w:customStyle="1" w:styleId="Heading5Char">
    <w:name w:val="Heading 5 Char"/>
    <w:basedOn w:val="DefaultParagraphFont"/>
    <w:link w:val="Heading5"/>
    <w:rsid w:val="00DE646A"/>
    <w:rPr>
      <w:rFonts w:ascii="Times New Roman" w:hAnsi="Times New Roman"/>
      <w:i/>
      <w:sz w:val="26"/>
      <w:lang w:eastAsia="en-US"/>
    </w:rPr>
  </w:style>
  <w:style w:type="character" w:customStyle="1" w:styleId="Heading6Char">
    <w:name w:val="Heading 6 Char"/>
    <w:basedOn w:val="DefaultParagraphFont"/>
    <w:link w:val="Heading6"/>
    <w:rsid w:val="00DE646A"/>
    <w:rPr>
      <w:rFonts w:ascii="Times New Roman" w:hAnsi="Times New Roman"/>
      <w:i/>
      <w:sz w:val="22"/>
      <w:lang w:eastAsia="en-US"/>
    </w:rPr>
  </w:style>
  <w:style w:type="character" w:customStyle="1" w:styleId="Heading7Char">
    <w:name w:val="Heading 7 Char"/>
    <w:basedOn w:val="DefaultParagraphFont"/>
    <w:link w:val="Heading7"/>
    <w:rsid w:val="00DE646A"/>
    <w:rPr>
      <w:rFonts w:ascii="Arial" w:hAnsi="Arial"/>
      <w:lang w:eastAsia="en-US"/>
    </w:rPr>
  </w:style>
  <w:style w:type="character" w:customStyle="1" w:styleId="Heading8Char">
    <w:name w:val="Heading 8 Char"/>
    <w:basedOn w:val="DefaultParagraphFont"/>
    <w:link w:val="Heading8"/>
    <w:rsid w:val="00DE646A"/>
    <w:rPr>
      <w:rFonts w:ascii="Arial" w:hAnsi="Arial"/>
      <w:i/>
      <w:lang w:eastAsia="en-US"/>
    </w:rPr>
  </w:style>
  <w:style w:type="character" w:customStyle="1" w:styleId="Heading9Char">
    <w:name w:val="Heading 9 Char"/>
    <w:basedOn w:val="DefaultParagraphFont"/>
    <w:link w:val="Heading9"/>
    <w:rsid w:val="00DE646A"/>
    <w:rPr>
      <w:rFonts w:ascii="Arial" w:hAnsi="Arial"/>
      <w:b/>
      <w:i/>
      <w:sz w:val="18"/>
      <w:lang w:eastAsia="en-US"/>
    </w:rPr>
  </w:style>
  <w:style w:type="paragraph" w:customStyle="1" w:styleId="lddefinition">
    <w:name w:val="lddefinition"/>
    <w:basedOn w:val="Normal"/>
    <w:rsid w:val="00630D81"/>
    <w:pPr>
      <w:spacing w:before="100" w:beforeAutospacing="1" w:after="100" w:afterAutospacing="1"/>
      <w:jc w:val="left"/>
    </w:pPr>
    <w:rPr>
      <w:rFonts w:ascii="Times New (W1)" w:hAnsi="Times New (W1)"/>
      <w:sz w:val="24"/>
      <w:szCs w:val="24"/>
    </w:rPr>
  </w:style>
  <w:style w:type="character" w:customStyle="1" w:styleId="lddefinitionchar">
    <w:name w:val="lddefinitionchar"/>
    <w:basedOn w:val="DefaultParagraphFont"/>
    <w:rsid w:val="00630D81"/>
  </w:style>
  <w:style w:type="character" w:customStyle="1" w:styleId="BalloonTextChar">
    <w:name w:val="Balloon Text Char"/>
    <w:basedOn w:val="DefaultParagraphFont"/>
    <w:link w:val="BalloonText"/>
    <w:semiHidden/>
    <w:rsid w:val="00630D81"/>
    <w:rPr>
      <w:rFonts w:ascii="Tahoma" w:hAnsi="Tahoma" w:cs="Tahoma"/>
      <w:sz w:val="16"/>
      <w:szCs w:val="16"/>
      <w:lang w:eastAsia="en-US"/>
    </w:rPr>
  </w:style>
  <w:style w:type="character" w:customStyle="1" w:styleId="CommentTextChar">
    <w:name w:val="Comment Text Char"/>
    <w:basedOn w:val="DefaultParagraphFont"/>
    <w:link w:val="CommentText"/>
    <w:semiHidden/>
    <w:rsid w:val="00630D81"/>
    <w:rPr>
      <w:rFonts w:ascii="Times New Roman" w:hAnsi="Times New Roman"/>
      <w:lang w:eastAsia="en-US"/>
    </w:rPr>
  </w:style>
  <w:style w:type="character" w:customStyle="1" w:styleId="CommentSubjectChar">
    <w:name w:val="Comment Subject Char"/>
    <w:basedOn w:val="CommentTextChar"/>
    <w:link w:val="CommentSubject"/>
    <w:semiHidden/>
    <w:rsid w:val="00630D81"/>
    <w:rPr>
      <w:rFonts w:ascii="Times New Roman" w:hAnsi="Times New Roman"/>
      <w:b/>
      <w:bCs/>
      <w:lang w:eastAsia="en-US"/>
    </w:rPr>
  </w:style>
  <w:style w:type="character" w:customStyle="1" w:styleId="HeaderChar">
    <w:name w:val="Header Char"/>
    <w:basedOn w:val="DefaultParagraphFont"/>
    <w:link w:val="Header"/>
    <w:semiHidden/>
    <w:rsid w:val="00630D81"/>
    <w:rPr>
      <w:rFonts w:ascii="Times New Roman" w:hAnsi="Times New Roman"/>
      <w:sz w:val="22"/>
      <w:lang w:eastAsia="en-US"/>
    </w:rPr>
  </w:style>
  <w:style w:type="paragraph" w:styleId="Revision">
    <w:name w:val="Revision"/>
    <w:hidden/>
    <w:uiPriority w:val="99"/>
    <w:semiHidden/>
    <w:rsid w:val="00630D81"/>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DE646A"/>
    <w:pPr>
      <w:keepNext/>
      <w:numPr>
        <w:ilvl w:val="3"/>
        <w:numId w:val="32"/>
      </w:numPr>
      <w:outlineLvl w:val="3"/>
    </w:pPr>
    <w:rPr>
      <w:b/>
      <w:i/>
    </w:rPr>
  </w:style>
  <w:style w:type="paragraph" w:styleId="Heading5">
    <w:name w:val="heading 5"/>
    <w:basedOn w:val="Normal"/>
    <w:next w:val="Normal"/>
    <w:link w:val="Heading5Char"/>
    <w:qFormat/>
    <w:rsid w:val="00DE646A"/>
    <w:pPr>
      <w:keepNext/>
      <w:numPr>
        <w:ilvl w:val="4"/>
        <w:numId w:val="32"/>
      </w:numPr>
      <w:jc w:val="left"/>
      <w:outlineLvl w:val="4"/>
    </w:pPr>
    <w:rPr>
      <w:i/>
    </w:rPr>
  </w:style>
  <w:style w:type="paragraph" w:styleId="Heading6">
    <w:name w:val="heading 6"/>
    <w:basedOn w:val="Normal"/>
    <w:next w:val="Normal"/>
    <w:link w:val="Heading6Char"/>
    <w:qFormat/>
    <w:locked/>
    <w:rsid w:val="00DE646A"/>
    <w:pPr>
      <w:numPr>
        <w:ilvl w:val="5"/>
        <w:numId w:val="32"/>
      </w:numPr>
      <w:spacing w:before="240" w:after="60"/>
      <w:outlineLvl w:val="5"/>
    </w:pPr>
    <w:rPr>
      <w:i/>
      <w:sz w:val="22"/>
    </w:rPr>
  </w:style>
  <w:style w:type="paragraph" w:styleId="Heading7">
    <w:name w:val="heading 7"/>
    <w:basedOn w:val="Normal"/>
    <w:next w:val="Normal"/>
    <w:link w:val="Heading7Char"/>
    <w:qFormat/>
    <w:locked/>
    <w:rsid w:val="00DE646A"/>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DE646A"/>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DE646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DE646A"/>
    <w:pPr>
      <w:numPr>
        <w:numId w:val="32"/>
      </w:numPr>
    </w:pPr>
  </w:style>
  <w:style w:type="paragraph" w:customStyle="1" w:styleId="Level2">
    <w:name w:val="Level2"/>
    <w:basedOn w:val="Normal"/>
    <w:rsid w:val="00DE646A"/>
    <w:pPr>
      <w:numPr>
        <w:ilvl w:val="1"/>
        <w:numId w:val="32"/>
      </w:numPr>
    </w:pPr>
  </w:style>
  <w:style w:type="paragraph" w:customStyle="1" w:styleId="Level3">
    <w:name w:val="Level3"/>
    <w:basedOn w:val="Normal"/>
    <w:link w:val="Level3Char"/>
    <w:rsid w:val="00DE646A"/>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DE646A"/>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paragraph" w:customStyle="1" w:styleId="JNP2">
    <w:name w:val="JNP2"/>
    <w:basedOn w:val="Normal"/>
    <w:rsid w:val="00630D81"/>
    <w:pPr>
      <w:spacing w:after="0"/>
      <w:ind w:left="2268"/>
    </w:pPr>
    <w:rPr>
      <w:lang w:val="en-US"/>
    </w:rPr>
  </w:style>
  <w:style w:type="table" w:customStyle="1" w:styleId="ColorfulGrid1">
    <w:name w:val="Colorful Grid1"/>
    <w:basedOn w:val="TableNormal"/>
    <w:uiPriority w:val="73"/>
    <w:rsid w:val="00630D8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630D8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630D8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630D8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630D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630D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630D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630D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630D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30D8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630D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630D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630D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630D8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630D8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630D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630D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30D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30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30D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630D81"/>
    <w:pPr>
      <w:tabs>
        <w:tab w:val="left" w:pos="851"/>
      </w:tabs>
      <w:spacing w:before="120"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630D81"/>
    <w:rPr>
      <w:sz w:val="22"/>
      <w:lang w:eastAsia="en-US"/>
    </w:rPr>
  </w:style>
  <w:style w:type="paragraph" w:customStyle="1" w:styleId="H1">
    <w:name w:val="H1"/>
    <w:basedOn w:val="Normal"/>
    <w:link w:val="H1Char"/>
    <w:autoRedefine/>
    <w:rsid w:val="00630D81"/>
    <w:pPr>
      <w:spacing w:before="120" w:after="120" w:line="264" w:lineRule="auto"/>
    </w:pPr>
    <w:rPr>
      <w:rFonts w:ascii="Times New (W1)" w:hAnsi="Times New (W1)"/>
      <w:b/>
      <w:sz w:val="36"/>
    </w:rPr>
  </w:style>
  <w:style w:type="character" w:customStyle="1" w:styleId="H1Char">
    <w:name w:val="H1 Char"/>
    <w:basedOn w:val="DefaultParagraphFont"/>
    <w:link w:val="H1"/>
    <w:rsid w:val="00630D81"/>
    <w:rPr>
      <w:b/>
      <w:sz w:val="36"/>
      <w:lang w:eastAsia="en-US"/>
    </w:rPr>
  </w:style>
  <w:style w:type="paragraph" w:customStyle="1" w:styleId="I1">
    <w:name w:val="I1"/>
    <w:basedOn w:val="Normal"/>
    <w:rsid w:val="00630D81"/>
    <w:pPr>
      <w:spacing w:before="120" w:after="0" w:line="264" w:lineRule="auto"/>
      <w:ind w:left="567" w:right="709"/>
    </w:pPr>
    <w:rPr>
      <w:rFonts w:ascii="Times New (W1)" w:hAnsi="Times New (W1)"/>
      <w:sz w:val="22"/>
    </w:rPr>
  </w:style>
  <w:style w:type="paragraph" w:customStyle="1" w:styleId="H2">
    <w:name w:val="H2"/>
    <w:basedOn w:val="Normal"/>
    <w:link w:val="H2Char"/>
    <w:rsid w:val="00630D81"/>
    <w:pPr>
      <w:spacing w:before="120" w:after="0" w:line="264" w:lineRule="auto"/>
    </w:pPr>
    <w:rPr>
      <w:rFonts w:ascii="Times New (W1)" w:hAnsi="Times New (W1)"/>
      <w:b/>
      <w:sz w:val="28"/>
    </w:rPr>
  </w:style>
  <w:style w:type="character" w:customStyle="1" w:styleId="H2Char">
    <w:name w:val="H2 Char"/>
    <w:basedOn w:val="DefaultParagraphFont"/>
    <w:link w:val="H2"/>
    <w:rsid w:val="00630D81"/>
    <w:rPr>
      <w:b/>
      <w:sz w:val="28"/>
      <w:lang w:eastAsia="en-US"/>
    </w:rPr>
  </w:style>
  <w:style w:type="character" w:customStyle="1" w:styleId="Heading4Char">
    <w:name w:val="Heading 4 Char"/>
    <w:basedOn w:val="DefaultParagraphFont"/>
    <w:link w:val="Heading4"/>
    <w:rsid w:val="00DE646A"/>
    <w:rPr>
      <w:rFonts w:ascii="Times New Roman" w:hAnsi="Times New Roman"/>
      <w:b/>
      <w:i/>
      <w:sz w:val="26"/>
      <w:lang w:eastAsia="en-US"/>
    </w:rPr>
  </w:style>
  <w:style w:type="character" w:customStyle="1" w:styleId="apple-converted-space">
    <w:name w:val="apple-converted-space"/>
    <w:basedOn w:val="DefaultParagraphFont"/>
    <w:rsid w:val="00630D81"/>
  </w:style>
  <w:style w:type="character" w:customStyle="1" w:styleId="Heading3Char">
    <w:name w:val="Heading 3 Char"/>
    <w:basedOn w:val="DefaultParagraphFont"/>
    <w:link w:val="Heading3"/>
    <w:rsid w:val="00630D81"/>
    <w:rPr>
      <w:rFonts w:ascii="Times New Roman" w:hAnsi="Times New Roman"/>
      <w:b/>
      <w:sz w:val="28"/>
      <w:lang w:eastAsia="en-US"/>
    </w:rPr>
  </w:style>
  <w:style w:type="character" w:customStyle="1" w:styleId="QuoteChar">
    <w:name w:val="Quote Char"/>
    <w:basedOn w:val="DefaultParagraphFont"/>
    <w:link w:val="Quote"/>
    <w:rsid w:val="00630D81"/>
    <w:rPr>
      <w:rFonts w:ascii="Times New Roman" w:hAnsi="Times New Roman"/>
      <w:sz w:val="24"/>
      <w:lang w:eastAsia="en-US"/>
    </w:rPr>
  </w:style>
  <w:style w:type="character" w:customStyle="1" w:styleId="Heading5Char">
    <w:name w:val="Heading 5 Char"/>
    <w:basedOn w:val="DefaultParagraphFont"/>
    <w:link w:val="Heading5"/>
    <w:rsid w:val="00DE646A"/>
    <w:rPr>
      <w:rFonts w:ascii="Times New Roman" w:hAnsi="Times New Roman"/>
      <w:i/>
      <w:sz w:val="26"/>
      <w:lang w:eastAsia="en-US"/>
    </w:rPr>
  </w:style>
  <w:style w:type="character" w:customStyle="1" w:styleId="Heading6Char">
    <w:name w:val="Heading 6 Char"/>
    <w:basedOn w:val="DefaultParagraphFont"/>
    <w:link w:val="Heading6"/>
    <w:rsid w:val="00DE646A"/>
    <w:rPr>
      <w:rFonts w:ascii="Times New Roman" w:hAnsi="Times New Roman"/>
      <w:i/>
      <w:sz w:val="22"/>
      <w:lang w:eastAsia="en-US"/>
    </w:rPr>
  </w:style>
  <w:style w:type="character" w:customStyle="1" w:styleId="Heading7Char">
    <w:name w:val="Heading 7 Char"/>
    <w:basedOn w:val="DefaultParagraphFont"/>
    <w:link w:val="Heading7"/>
    <w:rsid w:val="00DE646A"/>
    <w:rPr>
      <w:rFonts w:ascii="Arial" w:hAnsi="Arial"/>
      <w:lang w:eastAsia="en-US"/>
    </w:rPr>
  </w:style>
  <w:style w:type="character" w:customStyle="1" w:styleId="Heading8Char">
    <w:name w:val="Heading 8 Char"/>
    <w:basedOn w:val="DefaultParagraphFont"/>
    <w:link w:val="Heading8"/>
    <w:rsid w:val="00DE646A"/>
    <w:rPr>
      <w:rFonts w:ascii="Arial" w:hAnsi="Arial"/>
      <w:i/>
      <w:lang w:eastAsia="en-US"/>
    </w:rPr>
  </w:style>
  <w:style w:type="character" w:customStyle="1" w:styleId="Heading9Char">
    <w:name w:val="Heading 9 Char"/>
    <w:basedOn w:val="DefaultParagraphFont"/>
    <w:link w:val="Heading9"/>
    <w:rsid w:val="00DE646A"/>
    <w:rPr>
      <w:rFonts w:ascii="Arial" w:hAnsi="Arial"/>
      <w:b/>
      <w:i/>
      <w:sz w:val="18"/>
      <w:lang w:eastAsia="en-US"/>
    </w:rPr>
  </w:style>
  <w:style w:type="paragraph" w:customStyle="1" w:styleId="lddefinition">
    <w:name w:val="lddefinition"/>
    <w:basedOn w:val="Normal"/>
    <w:rsid w:val="00630D81"/>
    <w:pPr>
      <w:spacing w:before="100" w:beforeAutospacing="1" w:after="100" w:afterAutospacing="1"/>
      <w:jc w:val="left"/>
    </w:pPr>
    <w:rPr>
      <w:rFonts w:ascii="Times New (W1)" w:hAnsi="Times New (W1)"/>
      <w:sz w:val="24"/>
      <w:szCs w:val="24"/>
    </w:rPr>
  </w:style>
  <w:style w:type="character" w:customStyle="1" w:styleId="lddefinitionchar">
    <w:name w:val="lddefinitionchar"/>
    <w:basedOn w:val="DefaultParagraphFont"/>
    <w:rsid w:val="00630D81"/>
  </w:style>
  <w:style w:type="character" w:customStyle="1" w:styleId="BalloonTextChar">
    <w:name w:val="Balloon Text Char"/>
    <w:basedOn w:val="DefaultParagraphFont"/>
    <w:link w:val="BalloonText"/>
    <w:semiHidden/>
    <w:rsid w:val="00630D81"/>
    <w:rPr>
      <w:rFonts w:ascii="Tahoma" w:hAnsi="Tahoma" w:cs="Tahoma"/>
      <w:sz w:val="16"/>
      <w:szCs w:val="16"/>
      <w:lang w:eastAsia="en-US"/>
    </w:rPr>
  </w:style>
  <w:style w:type="character" w:customStyle="1" w:styleId="CommentTextChar">
    <w:name w:val="Comment Text Char"/>
    <w:basedOn w:val="DefaultParagraphFont"/>
    <w:link w:val="CommentText"/>
    <w:semiHidden/>
    <w:rsid w:val="00630D81"/>
    <w:rPr>
      <w:rFonts w:ascii="Times New Roman" w:hAnsi="Times New Roman"/>
      <w:lang w:eastAsia="en-US"/>
    </w:rPr>
  </w:style>
  <w:style w:type="character" w:customStyle="1" w:styleId="CommentSubjectChar">
    <w:name w:val="Comment Subject Char"/>
    <w:basedOn w:val="CommentTextChar"/>
    <w:link w:val="CommentSubject"/>
    <w:semiHidden/>
    <w:rsid w:val="00630D81"/>
    <w:rPr>
      <w:rFonts w:ascii="Times New Roman" w:hAnsi="Times New Roman"/>
      <w:b/>
      <w:bCs/>
      <w:lang w:eastAsia="en-US"/>
    </w:rPr>
  </w:style>
  <w:style w:type="character" w:customStyle="1" w:styleId="HeaderChar">
    <w:name w:val="Header Char"/>
    <w:basedOn w:val="DefaultParagraphFont"/>
    <w:link w:val="Header"/>
    <w:semiHidden/>
    <w:rsid w:val="00630D81"/>
    <w:rPr>
      <w:rFonts w:ascii="Times New Roman" w:hAnsi="Times New Roman"/>
      <w:sz w:val="22"/>
      <w:lang w:eastAsia="en-US"/>
    </w:rPr>
  </w:style>
  <w:style w:type="paragraph" w:styleId="Revision">
    <w:name w:val="Revision"/>
    <w:hidden/>
    <w:uiPriority w:val="99"/>
    <w:semiHidden/>
    <w:rsid w:val="00630D81"/>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yperlink" Target="http://www.comlaw.gov.au/Details/C2012C00041" TargetMode="Externa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yperlink" Target="mailto:RegOrds.Sen@aph.gov.au" TargetMode="External"/><Relationship Id="rId58"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3.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yperlink" Target="http://www.aph.gov.au/Parliamentary_Business/Committees/Senate/Regulations_and_Ordinances%2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2.xml"/><Relationship Id="rId8" Type="http://schemas.openxmlformats.org/officeDocument/2006/relationships/header" Target="header1.xml"/><Relationship Id="rId51" Type="http://schemas.openxmlformats.org/officeDocument/2006/relationships/hyperlink" Target="http://www.aph.gov.au/Parliamentary_Business/Committees/Senate_Committees?url=regord_ctte/alert2012.htm"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4.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Committees/Senate/Regulations_and_Ordinances/Alerts" TargetMode="External"/><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border.gov.au/about/access-accountability/plans-policies-charters/policies/practice-statements/bor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87</Pages>
  <Words>24202</Words>
  <Characters>137952</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161831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kavgicm</cp:lastModifiedBy>
  <cp:revision>2</cp:revision>
  <dcterms:created xsi:type="dcterms:W3CDTF">2016-09-14T07:01:00Z</dcterms:created>
  <dcterms:modified xsi:type="dcterms:W3CDTF">2016-09-14T07:01:00Z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