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F30941">
        <w:rPr>
          <w:sz w:val="24"/>
          <w:szCs w:val="24"/>
        </w:rPr>
        <w:t>4</w:t>
      </w:r>
      <w:r>
        <w:rPr>
          <w:sz w:val="24"/>
          <w:szCs w:val="24"/>
        </w:rPr>
        <w:t xml:space="preserve"> of 201</w:t>
      </w:r>
      <w:r w:rsidR="00B73A09">
        <w:rPr>
          <w:sz w:val="24"/>
          <w:szCs w:val="24"/>
        </w:rPr>
        <w:t>6</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F30941">
        <w:rPr>
          <w:sz w:val="28"/>
        </w:rPr>
        <w:t xml:space="preserve">16 March </w:t>
      </w:r>
      <w:r w:rsidRPr="00BF4D76">
        <w:rPr>
          <w:rFonts w:ascii="Frutiger 55 roman" w:hAnsi="Frutiger 55 roman" w:cs="Calibri"/>
          <w:sz w:val="28"/>
        </w:rPr>
        <w:t>201</w:t>
      </w:r>
      <w:r w:rsidR="00972135">
        <w:rPr>
          <w:rFonts w:ascii="Frutiger 55 roman" w:hAnsi="Frutiger 55 roman" w:cs="Calibri"/>
          <w:sz w:val="28"/>
        </w:rPr>
        <w:t>6</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204433">
        <w:rPr>
          <w:spacing w:val="-3"/>
          <w:sz w:val="24"/>
          <w:szCs w:val="24"/>
        </w:rPr>
        <w:t>6</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EB7C46" w:rsidRDefault="00EB7C46" w:rsidP="00325264">
      <w:pPr>
        <w:sectPr w:rsidR="00EB7C46"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EB7C46" w:rsidRDefault="00EB7C46" w:rsidP="00EB7C46">
      <w:pPr>
        <w:pStyle w:val="Heading1"/>
      </w:pPr>
      <w:bookmarkStart w:id="0" w:name="_Toc340231481"/>
      <w:r>
        <w:lastRenderedPageBreak/>
        <w:t>Membership of the committee</w:t>
      </w:r>
      <w:bookmarkEnd w:id="0"/>
    </w:p>
    <w:p w:rsidR="00EB7C46" w:rsidRDefault="00EB7C46" w:rsidP="00EB7C46">
      <w:pPr>
        <w:spacing w:after="0"/>
      </w:pPr>
    </w:p>
    <w:p w:rsidR="00EB7C46" w:rsidRDefault="00EB7C46" w:rsidP="00EB7C46">
      <w:pPr>
        <w:spacing w:after="0"/>
      </w:pPr>
    </w:p>
    <w:p w:rsidR="00EB7C46" w:rsidRDefault="00EB7C46" w:rsidP="00EB7C46">
      <w:pPr>
        <w:spacing w:after="0"/>
      </w:pPr>
    </w:p>
    <w:p w:rsidR="00EB7C46" w:rsidRDefault="00EB7C46" w:rsidP="00EB7C46">
      <w:pPr>
        <w:spacing w:after="0"/>
      </w:pPr>
    </w:p>
    <w:p w:rsidR="00EB7C46" w:rsidRDefault="00EB7C46" w:rsidP="00EB7C46">
      <w:pPr>
        <w:spacing w:after="0"/>
      </w:pPr>
    </w:p>
    <w:p w:rsidR="00EB7C46" w:rsidRPr="008A46B0" w:rsidRDefault="00EB7C46" w:rsidP="00EB7C46">
      <w:pPr>
        <w:tabs>
          <w:tab w:val="left" w:pos="4536"/>
        </w:tabs>
        <w:outlineLvl w:val="0"/>
        <w:rPr>
          <w:b/>
        </w:rPr>
      </w:pPr>
      <w:bookmarkStart w:id="1" w:name="_Toc340231482"/>
      <w:r>
        <w:rPr>
          <w:b/>
        </w:rPr>
        <w:t>Current m</w:t>
      </w:r>
      <w:r w:rsidRPr="008A46B0">
        <w:rPr>
          <w:b/>
        </w:rPr>
        <w:t>embers</w:t>
      </w:r>
      <w:bookmarkEnd w:id="1"/>
    </w:p>
    <w:p w:rsidR="00EB7C46" w:rsidRPr="001F6A19" w:rsidRDefault="00EB7C46" w:rsidP="00EB7C46">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EB7C46" w:rsidRPr="001F6A19" w:rsidRDefault="00EB7C46" w:rsidP="00EB7C46">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EB7C46" w:rsidRPr="001F6A19" w:rsidRDefault="00EB7C46" w:rsidP="00EB7C46">
      <w:pPr>
        <w:pStyle w:val="JNP2"/>
        <w:tabs>
          <w:tab w:val="right" w:pos="9026"/>
        </w:tabs>
        <w:ind w:left="0"/>
        <w:rPr>
          <w:sz w:val="24"/>
          <w:szCs w:val="24"/>
          <w:lang w:val="en-AU"/>
        </w:rPr>
      </w:pPr>
      <w:r>
        <w:rPr>
          <w:sz w:val="24"/>
          <w:szCs w:val="24"/>
          <w:lang w:val="en-AU"/>
        </w:rPr>
        <w:t>Senator Claire Moore</w:t>
      </w:r>
      <w:r>
        <w:rPr>
          <w:sz w:val="24"/>
          <w:szCs w:val="24"/>
          <w:lang w:val="en-AU"/>
        </w:rPr>
        <w:tab/>
        <w:t>Queensland, ALP</w:t>
      </w:r>
    </w:p>
    <w:p w:rsidR="00EB7C46" w:rsidRPr="001F6A19" w:rsidRDefault="00EB7C46" w:rsidP="00EB7C46">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EB7C46" w:rsidRDefault="00EB7C46" w:rsidP="00EB7C46">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EB7C46" w:rsidRDefault="00EB7C46" w:rsidP="00EB7C46">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EB7C46" w:rsidRDefault="00EB7C46" w:rsidP="00EB7C46">
      <w:pPr>
        <w:spacing w:after="0"/>
        <w:rPr>
          <w:sz w:val="24"/>
          <w:szCs w:val="24"/>
        </w:rPr>
      </w:pPr>
    </w:p>
    <w:p w:rsidR="00EB7C46" w:rsidRDefault="00EB7C46" w:rsidP="00EB7C46">
      <w:pPr>
        <w:spacing w:after="0"/>
        <w:rPr>
          <w:sz w:val="24"/>
          <w:szCs w:val="24"/>
        </w:rPr>
      </w:pPr>
    </w:p>
    <w:p w:rsidR="00EB7C46" w:rsidRDefault="00EB7C46" w:rsidP="00EB7C46">
      <w:pPr>
        <w:spacing w:after="0"/>
        <w:rPr>
          <w:sz w:val="24"/>
          <w:szCs w:val="24"/>
        </w:rPr>
      </w:pPr>
    </w:p>
    <w:p w:rsidR="00EB7C46" w:rsidRDefault="00EB7C46" w:rsidP="00EB7C46">
      <w:pPr>
        <w:spacing w:after="0"/>
        <w:rPr>
          <w:sz w:val="24"/>
          <w:szCs w:val="24"/>
        </w:rPr>
      </w:pPr>
    </w:p>
    <w:p w:rsidR="00EB7C46" w:rsidRDefault="00EB7C46" w:rsidP="00EB7C46">
      <w:pPr>
        <w:spacing w:after="0"/>
        <w:rPr>
          <w:sz w:val="24"/>
          <w:szCs w:val="24"/>
        </w:rPr>
      </w:pPr>
    </w:p>
    <w:p w:rsidR="00EB7C46" w:rsidRPr="00BE73BD" w:rsidRDefault="00EB7C46" w:rsidP="00EB7C46">
      <w:pPr>
        <w:rPr>
          <w:b/>
        </w:rPr>
      </w:pPr>
      <w:bookmarkStart w:id="2" w:name="_Toc340231484"/>
      <w:r w:rsidRPr="00BE73BD">
        <w:rPr>
          <w:b/>
        </w:rPr>
        <w:t>Secretariat</w:t>
      </w:r>
      <w:bookmarkEnd w:id="2"/>
    </w:p>
    <w:p w:rsidR="00EB7C46" w:rsidRPr="00BE73BD" w:rsidRDefault="00EB7C46" w:rsidP="00EB7C46">
      <w:pPr>
        <w:spacing w:after="0"/>
        <w:rPr>
          <w:sz w:val="24"/>
          <w:szCs w:val="24"/>
        </w:rPr>
      </w:pPr>
      <w:bookmarkStart w:id="3" w:name="_Toc340231485"/>
      <w:r w:rsidRPr="00BE73BD">
        <w:rPr>
          <w:sz w:val="24"/>
          <w:szCs w:val="24"/>
        </w:rPr>
        <w:t>Mr Ivan Powell, Secretary</w:t>
      </w:r>
      <w:bookmarkEnd w:id="3"/>
    </w:p>
    <w:p w:rsidR="00EB7C46" w:rsidRDefault="00EB7C46" w:rsidP="00EB7C46">
      <w:pPr>
        <w:spacing w:after="0"/>
        <w:rPr>
          <w:sz w:val="24"/>
          <w:szCs w:val="24"/>
        </w:rPr>
      </w:pPr>
      <w:r>
        <w:rPr>
          <w:sz w:val="24"/>
          <w:szCs w:val="24"/>
        </w:rPr>
        <w:t xml:space="preserve">Ms Jessica Strout, </w:t>
      </w:r>
      <w:bookmarkStart w:id="4" w:name="_GoBack"/>
      <w:bookmarkEnd w:id="4"/>
      <w:r>
        <w:rPr>
          <w:sz w:val="24"/>
          <w:szCs w:val="24"/>
        </w:rPr>
        <w:t>Principal</w:t>
      </w:r>
      <w:r w:rsidRPr="00BE73BD">
        <w:rPr>
          <w:sz w:val="24"/>
          <w:szCs w:val="24"/>
        </w:rPr>
        <w:t xml:space="preserve"> Research Officer</w:t>
      </w:r>
    </w:p>
    <w:p w:rsidR="00EB7C46" w:rsidRPr="00BE73BD" w:rsidRDefault="00EB7C46" w:rsidP="00EB7C46">
      <w:pPr>
        <w:spacing w:after="0"/>
        <w:rPr>
          <w:sz w:val="24"/>
          <w:szCs w:val="24"/>
        </w:rPr>
      </w:pPr>
      <w:r>
        <w:rPr>
          <w:sz w:val="24"/>
          <w:szCs w:val="24"/>
        </w:rPr>
        <w:t>Ms Eloise Menzies, Senior Research Officer</w:t>
      </w:r>
    </w:p>
    <w:p w:rsidR="00EB7C46" w:rsidRDefault="00EB7C46" w:rsidP="00EB7C46">
      <w:pPr>
        <w:spacing w:after="0"/>
        <w:rPr>
          <w:sz w:val="24"/>
          <w:szCs w:val="24"/>
        </w:rPr>
      </w:pPr>
    </w:p>
    <w:p w:rsidR="00EB7C46" w:rsidRDefault="00EB7C46" w:rsidP="00EB7C46">
      <w:pPr>
        <w:spacing w:after="0"/>
        <w:rPr>
          <w:sz w:val="24"/>
          <w:szCs w:val="24"/>
        </w:rPr>
      </w:pPr>
    </w:p>
    <w:p w:rsidR="00EB7C46" w:rsidRDefault="00EB7C46" w:rsidP="00EB7C46">
      <w:pPr>
        <w:spacing w:after="0"/>
        <w:rPr>
          <w:sz w:val="24"/>
          <w:szCs w:val="24"/>
        </w:rPr>
      </w:pPr>
    </w:p>
    <w:p w:rsidR="00EB7C46" w:rsidRPr="007A6AAA" w:rsidRDefault="00EB7C46" w:rsidP="00EB7C46">
      <w:pPr>
        <w:spacing w:after="0"/>
        <w:rPr>
          <w:sz w:val="24"/>
          <w:szCs w:val="24"/>
        </w:rPr>
      </w:pPr>
    </w:p>
    <w:p w:rsidR="00EB7C46" w:rsidRPr="00BE73BD" w:rsidRDefault="00EB7C46" w:rsidP="00EB7C46">
      <w:pPr>
        <w:rPr>
          <w:b/>
        </w:rPr>
      </w:pPr>
      <w:bookmarkStart w:id="5" w:name="_Toc340231486"/>
      <w:r w:rsidRPr="00BE73BD">
        <w:rPr>
          <w:b/>
        </w:rPr>
        <w:t>Committee legal adviser</w:t>
      </w:r>
      <w:bookmarkEnd w:id="5"/>
    </w:p>
    <w:p w:rsidR="00EB7C46" w:rsidRPr="00BE73BD" w:rsidRDefault="00EB7C46" w:rsidP="00EB7C46">
      <w:pPr>
        <w:rPr>
          <w:sz w:val="24"/>
          <w:szCs w:val="24"/>
        </w:rPr>
      </w:pPr>
      <w:r w:rsidRPr="00BE73BD">
        <w:rPr>
          <w:sz w:val="24"/>
          <w:szCs w:val="24"/>
        </w:rPr>
        <w:t>Mr Stephen Argument</w:t>
      </w:r>
    </w:p>
    <w:p w:rsidR="00EB7C46" w:rsidRDefault="00EB7C46" w:rsidP="00EB7C46">
      <w:pPr>
        <w:spacing w:after="0"/>
        <w:rPr>
          <w:sz w:val="24"/>
          <w:szCs w:val="24"/>
        </w:rPr>
      </w:pPr>
    </w:p>
    <w:p w:rsidR="00EB7C46" w:rsidRDefault="00EB7C46" w:rsidP="00EB7C46">
      <w:pPr>
        <w:spacing w:after="0"/>
        <w:rPr>
          <w:sz w:val="24"/>
          <w:szCs w:val="24"/>
        </w:rPr>
      </w:pPr>
    </w:p>
    <w:p w:rsidR="00EB7C46" w:rsidRPr="001B64F3" w:rsidRDefault="00EB7C46" w:rsidP="00EB7C46">
      <w:pPr>
        <w:spacing w:after="0"/>
        <w:rPr>
          <w:sz w:val="24"/>
          <w:szCs w:val="24"/>
        </w:rPr>
      </w:pPr>
    </w:p>
    <w:p w:rsidR="00EB7C46" w:rsidRPr="001B64F3" w:rsidRDefault="00EB7C46" w:rsidP="00EB7C46">
      <w:pPr>
        <w:spacing w:after="0"/>
        <w:rPr>
          <w:sz w:val="24"/>
          <w:szCs w:val="24"/>
        </w:rPr>
      </w:pPr>
    </w:p>
    <w:p w:rsidR="00EB7C46" w:rsidRPr="00BE73BD" w:rsidRDefault="00EB7C46" w:rsidP="00EB7C46">
      <w:pPr>
        <w:rPr>
          <w:b/>
        </w:rPr>
      </w:pPr>
      <w:bookmarkStart w:id="6" w:name="_Toc340231487"/>
      <w:r w:rsidRPr="00BE73BD">
        <w:rPr>
          <w:b/>
        </w:rPr>
        <w:t>Committee contacts</w:t>
      </w:r>
      <w:bookmarkEnd w:id="6"/>
    </w:p>
    <w:p w:rsidR="00EB7C46" w:rsidRPr="00BE73BD" w:rsidRDefault="00EB7C46" w:rsidP="00EB7C46">
      <w:pPr>
        <w:spacing w:after="0"/>
        <w:rPr>
          <w:sz w:val="24"/>
          <w:szCs w:val="24"/>
        </w:rPr>
      </w:pPr>
      <w:bookmarkStart w:id="7" w:name="_Toc340231488"/>
      <w:r w:rsidRPr="00BE73BD">
        <w:rPr>
          <w:sz w:val="24"/>
          <w:szCs w:val="24"/>
        </w:rPr>
        <w:t>PO Box 6100</w:t>
      </w:r>
      <w:bookmarkEnd w:id="7"/>
    </w:p>
    <w:p w:rsidR="00EB7C46" w:rsidRPr="00BE73BD" w:rsidRDefault="00EB7C46" w:rsidP="00EB7C46">
      <w:pPr>
        <w:spacing w:after="0"/>
        <w:rPr>
          <w:sz w:val="24"/>
          <w:szCs w:val="24"/>
        </w:rPr>
      </w:pPr>
      <w:r w:rsidRPr="00BE73BD">
        <w:rPr>
          <w:sz w:val="24"/>
          <w:szCs w:val="24"/>
        </w:rPr>
        <w:t>Parliament House</w:t>
      </w:r>
    </w:p>
    <w:p w:rsidR="00EB7C46" w:rsidRPr="00BE73BD" w:rsidRDefault="00EB7C46" w:rsidP="00EB7C46">
      <w:pPr>
        <w:spacing w:after="0"/>
        <w:rPr>
          <w:sz w:val="24"/>
          <w:szCs w:val="24"/>
        </w:rPr>
      </w:pPr>
      <w:r w:rsidRPr="00BE73BD">
        <w:rPr>
          <w:sz w:val="24"/>
          <w:szCs w:val="24"/>
        </w:rPr>
        <w:t>Canberra ACT 2600</w:t>
      </w:r>
    </w:p>
    <w:p w:rsidR="00EB7C46" w:rsidRPr="00BE73BD" w:rsidRDefault="00EB7C46" w:rsidP="00EB7C46">
      <w:pPr>
        <w:spacing w:after="0"/>
        <w:rPr>
          <w:sz w:val="24"/>
          <w:szCs w:val="24"/>
        </w:rPr>
      </w:pPr>
      <w:r w:rsidRPr="00BE73BD">
        <w:rPr>
          <w:sz w:val="24"/>
          <w:szCs w:val="24"/>
        </w:rPr>
        <w:t>Ph: 02 6277 3066</w:t>
      </w:r>
    </w:p>
    <w:p w:rsidR="00EB7C46" w:rsidRPr="00BE73BD" w:rsidRDefault="00EB7C46" w:rsidP="00EB7C46">
      <w:pPr>
        <w:spacing w:after="0"/>
        <w:rPr>
          <w:sz w:val="24"/>
          <w:szCs w:val="24"/>
        </w:rPr>
      </w:pPr>
      <w:r w:rsidRPr="00BE73BD">
        <w:rPr>
          <w:sz w:val="24"/>
          <w:szCs w:val="24"/>
        </w:rPr>
        <w:t>Email: regords.sen@aph.gov.au</w:t>
      </w:r>
    </w:p>
    <w:p w:rsidR="00EB7C46" w:rsidRPr="00F72A71" w:rsidRDefault="00EB7C46" w:rsidP="00EB7C46">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EB7C46" w:rsidRPr="007E04A9" w:rsidRDefault="00EB7C46" w:rsidP="00EB7C46">
      <w:pPr>
        <w:spacing w:after="0"/>
      </w:pPr>
    </w:p>
    <w:p w:rsidR="00EB7C46" w:rsidRDefault="00EB7C46" w:rsidP="00EB7C46">
      <w:r>
        <w:br w:type="page"/>
      </w:r>
    </w:p>
    <w:p w:rsidR="00EB7C46" w:rsidRPr="00520991" w:rsidRDefault="00EB7C46" w:rsidP="00EB7C46"/>
    <w:p w:rsidR="00EB7C46" w:rsidRDefault="00EB7C46" w:rsidP="00325264">
      <w:pPr>
        <w:sectPr w:rsidR="00EB7C46"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EB7C46" w:rsidRDefault="00EB7C46" w:rsidP="00EB7C46">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405368283"/>
      <w:bookmarkStart w:id="19" w:name="_Toc424218689"/>
      <w:bookmarkStart w:id="20" w:name="_Toc424219070"/>
      <w:bookmarkStart w:id="21" w:name="_Toc424219205"/>
      <w:bookmarkStart w:id="22" w:name="_Toc445803142"/>
      <w:r>
        <w:lastRenderedPageBreak/>
        <w:t>Contents</w:t>
      </w:r>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B7C46" w:rsidRPr="00635538" w:rsidRDefault="00EB7C46" w:rsidP="00EB7C46">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EB7C46" w:rsidRPr="004228CC" w:rsidRDefault="00EB7C46" w:rsidP="00EB7C46">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EB7C46" w:rsidRDefault="00EB7C46" w:rsidP="00EB7C46">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EB7C46" w:rsidRDefault="00EB7C46" w:rsidP="00EB7C46">
      <w:pPr>
        <w:pStyle w:val="TOC2"/>
        <w:tabs>
          <w:tab w:val="right" w:leader="dot" w:pos="9016"/>
        </w:tabs>
        <w:rPr>
          <w:rFonts w:asciiTheme="minorHAnsi" w:eastAsiaTheme="minorEastAsia" w:hAnsiTheme="minorHAnsi" w:cstheme="minorBidi"/>
          <w:b w:val="0"/>
          <w:noProof/>
          <w:sz w:val="22"/>
          <w:szCs w:val="22"/>
          <w:lang w:eastAsia="en-AU"/>
        </w:rPr>
      </w:pPr>
      <w:r>
        <w:rPr>
          <w:noProof/>
        </w:rPr>
        <w:t>Response required</w:t>
      </w:r>
    </w:p>
    <w:p w:rsidR="00EB7C46" w:rsidRPr="0092334B" w:rsidRDefault="00EB7C46" w:rsidP="00EB7C46">
      <w:pPr>
        <w:pStyle w:val="TOC3"/>
        <w:tabs>
          <w:tab w:val="right" w:leader="dot" w:pos="9016"/>
        </w:tabs>
        <w:jc w:val="left"/>
        <w:rPr>
          <w:rFonts w:asciiTheme="minorHAnsi" w:eastAsiaTheme="minorEastAsia" w:hAnsiTheme="minorHAnsi" w:cstheme="minorBidi"/>
          <w:noProof/>
          <w:sz w:val="22"/>
          <w:szCs w:val="22"/>
          <w:lang w:eastAsia="en-AU"/>
        </w:rPr>
      </w:pPr>
      <w:r w:rsidRPr="0092334B">
        <w:rPr>
          <w:rFonts w:ascii="Times New (W1)" w:hAnsi="Times New (W1)"/>
          <w:noProof/>
        </w:rPr>
        <w:t>Amendment of the List of Exempt Native Specimens - South Australia</w:t>
      </w:r>
      <w:r>
        <w:rPr>
          <w:rFonts w:ascii="Times New (W1)" w:hAnsi="Times New (W1)"/>
          <w:noProof/>
        </w:rPr>
        <w:br/>
      </w:r>
      <w:r w:rsidRPr="0092334B">
        <w:rPr>
          <w:rFonts w:ascii="Times New (W1)" w:hAnsi="Times New (W1)"/>
          <w:noProof/>
        </w:rPr>
        <w:t>Lakes and Coorong Fishery (19/02/2016) [F2016L00137]</w:t>
      </w:r>
      <w:r w:rsidRPr="0092334B">
        <w:rPr>
          <w:noProof/>
        </w:rPr>
        <w:tab/>
        <w:t>1</w:t>
      </w:r>
    </w:p>
    <w:p w:rsidR="00EB7C46" w:rsidRDefault="00EB7C46" w:rsidP="00EB7C46">
      <w:pPr>
        <w:pStyle w:val="TOC3"/>
        <w:tabs>
          <w:tab w:val="right" w:leader="dot" w:pos="9016"/>
        </w:tabs>
        <w:jc w:val="left"/>
        <w:rPr>
          <w:rFonts w:asciiTheme="minorHAnsi" w:eastAsiaTheme="minorEastAsia" w:hAnsiTheme="minorHAnsi" w:cstheme="minorBidi"/>
          <w:noProof/>
          <w:sz w:val="22"/>
          <w:szCs w:val="22"/>
          <w:lang w:eastAsia="en-AU"/>
        </w:rPr>
      </w:pPr>
      <w:r w:rsidRPr="0092334B">
        <w:rPr>
          <w:rFonts w:ascii="Times New (W1)" w:hAnsi="Times New (W1)"/>
          <w:noProof/>
        </w:rPr>
        <w:t>Amendment of List of Exempt Native Specimens - Australian salmon</w:t>
      </w:r>
      <w:r>
        <w:rPr>
          <w:rFonts w:ascii="Times New (W1)" w:hAnsi="Times New (W1)"/>
          <w:noProof/>
        </w:rPr>
        <w:br/>
      </w:r>
      <w:r w:rsidRPr="0092334B">
        <w:rPr>
          <w:rFonts w:ascii="Times New (W1)" w:hAnsi="Times New (W1)"/>
          <w:noProof/>
        </w:rPr>
        <w:t>taken by Richey Fishing Company in the Tasmanian Scalefish Fishery [F2016L00172]</w:t>
      </w:r>
      <w:r>
        <w:rPr>
          <w:noProof/>
        </w:rPr>
        <w:tab/>
        <w:t>1</w:t>
      </w:r>
    </w:p>
    <w:p w:rsidR="00EB7C46" w:rsidRDefault="00EB7C46" w:rsidP="00EB7C46">
      <w:pPr>
        <w:pStyle w:val="TOC3"/>
        <w:tabs>
          <w:tab w:val="right" w:leader="dot" w:pos="9016"/>
        </w:tabs>
        <w:jc w:val="left"/>
        <w:rPr>
          <w:rFonts w:asciiTheme="minorHAnsi" w:eastAsiaTheme="minorEastAsia" w:hAnsiTheme="minorHAnsi" w:cstheme="minorBidi"/>
          <w:noProof/>
          <w:sz w:val="22"/>
          <w:szCs w:val="22"/>
          <w:lang w:eastAsia="en-AU"/>
        </w:rPr>
      </w:pPr>
      <w:r w:rsidRPr="00D26713">
        <w:rPr>
          <w:rFonts w:ascii="Times New (W1)" w:hAnsi="Times New (W1)"/>
          <w:noProof/>
        </w:rPr>
        <w:t>CASA EX42/16 - Exemption — use of pre-hiring drug and alcohol tests [F2016L00219]</w:t>
      </w:r>
      <w:r>
        <w:rPr>
          <w:noProof/>
        </w:rPr>
        <w:tab/>
        <w:t>2</w:t>
      </w:r>
    </w:p>
    <w:p w:rsidR="00EB7C46" w:rsidRDefault="00EB7C46" w:rsidP="00EB7C46">
      <w:pPr>
        <w:pStyle w:val="TOC3"/>
        <w:tabs>
          <w:tab w:val="right" w:leader="dot" w:pos="9016"/>
        </w:tabs>
        <w:jc w:val="left"/>
        <w:rPr>
          <w:rFonts w:asciiTheme="minorHAnsi" w:eastAsiaTheme="minorEastAsia" w:hAnsiTheme="minorHAnsi" w:cstheme="minorBidi"/>
          <w:noProof/>
          <w:sz w:val="22"/>
          <w:szCs w:val="22"/>
          <w:lang w:eastAsia="en-AU"/>
        </w:rPr>
      </w:pPr>
      <w:r w:rsidRPr="00D26713">
        <w:rPr>
          <w:rFonts w:ascii="Times New (W1)" w:hAnsi="Times New (W1)"/>
          <w:noProof/>
        </w:rPr>
        <w:t>Telecommunications (Interception and Access) (Communications Access</w:t>
      </w:r>
      <w:r>
        <w:rPr>
          <w:rFonts w:ascii="Times New (W1)" w:hAnsi="Times New (W1)"/>
          <w:noProof/>
        </w:rPr>
        <w:br/>
      </w:r>
      <w:r w:rsidRPr="00D26713">
        <w:rPr>
          <w:rFonts w:ascii="Times New (W1)" w:hAnsi="Times New (W1)"/>
          <w:noProof/>
        </w:rPr>
        <w:t>Co-ordinator) Specification 2016 [F2016L00217]</w:t>
      </w:r>
      <w:r>
        <w:rPr>
          <w:noProof/>
        </w:rPr>
        <w:tab/>
        <w:t>3</w:t>
      </w:r>
    </w:p>
    <w:p w:rsidR="00EB7C46" w:rsidRDefault="00EB7C46" w:rsidP="00EB7C46">
      <w:pPr>
        <w:pStyle w:val="TOC3"/>
        <w:tabs>
          <w:tab w:val="right" w:leader="dot" w:pos="9016"/>
        </w:tabs>
        <w:jc w:val="left"/>
        <w:rPr>
          <w:rFonts w:asciiTheme="minorHAnsi" w:eastAsiaTheme="minorEastAsia" w:hAnsiTheme="minorHAnsi" w:cstheme="minorBidi"/>
          <w:noProof/>
          <w:sz w:val="22"/>
          <w:szCs w:val="22"/>
          <w:lang w:eastAsia="en-AU"/>
        </w:rPr>
      </w:pPr>
      <w:r>
        <w:rPr>
          <w:noProof/>
        </w:rPr>
        <w:t>Wine Equalisation Tax New Zealand Producer Rebate Foreign Exchange Conversion Determination (No. 35) 2016  [F2016L00197]</w:t>
      </w:r>
      <w:r>
        <w:rPr>
          <w:noProof/>
        </w:rPr>
        <w:tab/>
        <w:t>5</w:t>
      </w:r>
    </w:p>
    <w:p w:rsidR="00EB7C46" w:rsidRDefault="00EB7C46" w:rsidP="00EB7C46">
      <w:pPr>
        <w:pStyle w:val="TOC2"/>
        <w:tabs>
          <w:tab w:val="right" w:leader="dot" w:pos="9016"/>
        </w:tabs>
        <w:rPr>
          <w:rFonts w:asciiTheme="minorHAnsi" w:eastAsiaTheme="minorEastAsia" w:hAnsiTheme="minorHAnsi" w:cstheme="minorBidi"/>
          <w:b w:val="0"/>
          <w:noProof/>
          <w:sz w:val="22"/>
          <w:szCs w:val="22"/>
          <w:lang w:eastAsia="en-AU"/>
        </w:rPr>
      </w:pPr>
      <w:r>
        <w:rPr>
          <w:noProof/>
        </w:rPr>
        <w:t>Advice only</w:t>
      </w:r>
    </w:p>
    <w:p w:rsidR="00EB7C46" w:rsidRDefault="00EB7C46" w:rsidP="00EB7C46">
      <w:pPr>
        <w:pStyle w:val="TOC3"/>
        <w:tabs>
          <w:tab w:val="right" w:leader="dot" w:pos="9016"/>
        </w:tabs>
        <w:jc w:val="left"/>
        <w:rPr>
          <w:rFonts w:asciiTheme="minorHAnsi" w:eastAsiaTheme="minorEastAsia" w:hAnsiTheme="minorHAnsi" w:cstheme="minorBidi"/>
          <w:noProof/>
          <w:sz w:val="22"/>
          <w:szCs w:val="22"/>
          <w:lang w:eastAsia="en-AU"/>
        </w:rPr>
      </w:pPr>
      <w:r w:rsidRPr="00D26713">
        <w:rPr>
          <w:rFonts w:ascii="Times New (W1)" w:hAnsi="Times New (W1)"/>
          <w:noProof/>
        </w:rPr>
        <w:t>Financial Framework (Supplementary Powers) Amendment (Social Services Measures No. 1) Regulation 2016 [F2016L00166]</w:t>
      </w:r>
      <w:r>
        <w:rPr>
          <w:noProof/>
        </w:rPr>
        <w:tab/>
        <w:t>6</w:t>
      </w:r>
    </w:p>
    <w:p w:rsidR="00EB7C46" w:rsidRDefault="00EB7C46" w:rsidP="00EB7C46">
      <w:pPr>
        <w:pStyle w:val="TOC3"/>
        <w:tabs>
          <w:tab w:val="right" w:leader="dot" w:pos="9016"/>
        </w:tabs>
        <w:jc w:val="left"/>
        <w:rPr>
          <w:rFonts w:asciiTheme="minorHAnsi" w:eastAsiaTheme="minorEastAsia" w:hAnsiTheme="minorHAnsi" w:cstheme="minorBidi"/>
          <w:noProof/>
          <w:sz w:val="22"/>
          <w:szCs w:val="22"/>
          <w:lang w:eastAsia="en-AU"/>
        </w:rPr>
      </w:pPr>
      <w:r w:rsidRPr="00D26713">
        <w:rPr>
          <w:rFonts w:ascii="Times New (W1)" w:hAnsi="Times New (W1)"/>
          <w:noProof/>
        </w:rPr>
        <w:t>Marine Order 52 (Yachts and training vessels) 2016 [F2016L00142]</w:t>
      </w:r>
      <w:r>
        <w:rPr>
          <w:noProof/>
        </w:rPr>
        <w:tab/>
        <w:t>8</w:t>
      </w:r>
    </w:p>
    <w:p w:rsidR="00EB7C46" w:rsidRDefault="00EB7C46" w:rsidP="00EB7C46">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BD589F">
        <w:rPr>
          <w:i/>
          <w:noProof/>
        </w:rPr>
        <w:t>Acts Interpretation Act 1901</w:t>
      </w:r>
      <w:r>
        <w:rPr>
          <w:noProof/>
        </w:rPr>
        <w:tab/>
        <w:t>9</w:t>
      </w:r>
    </w:p>
    <w:p w:rsidR="00EB7C46" w:rsidRDefault="00EB7C46" w:rsidP="00EB7C46">
      <w:pPr>
        <w:pStyle w:val="TOC1"/>
        <w:tabs>
          <w:tab w:val="right" w:leader="dot" w:pos="9016"/>
        </w:tabs>
        <w:rPr>
          <w:b w:val="0"/>
          <w:noProof/>
          <w:sz w:val="26"/>
          <w:szCs w:val="26"/>
        </w:rPr>
      </w:pPr>
      <w:r>
        <w:rPr>
          <w:noProof/>
        </w:rPr>
        <w:t>Chapter 2 – Concluded matters</w:t>
      </w:r>
    </w:p>
    <w:p w:rsidR="00EB7C46" w:rsidRDefault="00EB7C46" w:rsidP="00EB7C46">
      <w:pPr>
        <w:pStyle w:val="TOC3"/>
        <w:tabs>
          <w:tab w:val="right" w:leader="dot" w:pos="9016"/>
        </w:tabs>
        <w:jc w:val="left"/>
        <w:rPr>
          <w:rFonts w:asciiTheme="minorHAnsi" w:eastAsiaTheme="minorEastAsia" w:hAnsiTheme="minorHAnsi" w:cstheme="minorBidi"/>
          <w:noProof/>
          <w:sz w:val="22"/>
          <w:szCs w:val="22"/>
          <w:lang w:eastAsia="en-AU"/>
        </w:rPr>
      </w:pPr>
      <w:r>
        <w:rPr>
          <w:noProof/>
        </w:rPr>
        <w:t>Carbon Credits (Carbon Farming Initiative – High Efficiency Commercial Appliances) Methodology Determination 2015 [F2015L01839]</w:t>
      </w:r>
      <w:r>
        <w:rPr>
          <w:noProof/>
        </w:rPr>
        <w:tab/>
        <w:t>13</w:t>
      </w:r>
    </w:p>
    <w:p w:rsidR="00EB7C46" w:rsidRDefault="00EB7C46" w:rsidP="00EB7C46">
      <w:pPr>
        <w:pStyle w:val="TOC3"/>
        <w:tabs>
          <w:tab w:val="right" w:leader="dot" w:pos="9016"/>
        </w:tabs>
        <w:jc w:val="left"/>
        <w:rPr>
          <w:rFonts w:asciiTheme="minorHAnsi" w:eastAsiaTheme="minorEastAsia" w:hAnsiTheme="minorHAnsi" w:cstheme="minorBidi"/>
          <w:noProof/>
          <w:sz w:val="22"/>
          <w:szCs w:val="22"/>
          <w:lang w:eastAsia="en-AU"/>
        </w:rPr>
      </w:pPr>
      <w:r w:rsidRPr="00F81DAB">
        <w:rPr>
          <w:noProof/>
        </w:rPr>
        <w:t>Christmas Island Marine Traffic and Harbour Facilities Determination 2015 [F2015L01591] and Cocos (Keeling) Islands Marine Traffic and Harbour Facilities Determination 2015 [F2015L01593]</w:t>
      </w:r>
      <w:r>
        <w:rPr>
          <w:noProof/>
        </w:rPr>
        <w:tab/>
        <w:t>15</w:t>
      </w:r>
    </w:p>
    <w:p w:rsidR="00EB7C46" w:rsidRDefault="00EB7C46" w:rsidP="00EB7C46">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(Charging for a Migration Outcome and</w:t>
      </w:r>
      <w:r>
        <w:rPr>
          <w:noProof/>
        </w:rPr>
        <w:br/>
        <w:t>Other Measures) Regulation 2015 [F2015L01961]</w:t>
      </w:r>
      <w:r>
        <w:rPr>
          <w:noProof/>
        </w:rPr>
        <w:tab/>
        <w:t>17</w:t>
      </w:r>
    </w:p>
    <w:p w:rsidR="00EB7C46" w:rsidRDefault="00EB7C46" w:rsidP="00EB7C46">
      <w:pPr>
        <w:pStyle w:val="TOC3"/>
        <w:tabs>
          <w:tab w:val="right" w:leader="dot" w:pos="9016"/>
        </w:tabs>
        <w:jc w:val="left"/>
        <w:rPr>
          <w:rFonts w:asciiTheme="minorHAnsi" w:eastAsiaTheme="minorEastAsia" w:hAnsiTheme="minorHAnsi" w:cstheme="minorBidi"/>
          <w:noProof/>
          <w:sz w:val="22"/>
          <w:szCs w:val="22"/>
          <w:lang w:eastAsia="en-AU"/>
        </w:rPr>
      </w:pPr>
      <w:r w:rsidRPr="00F81DAB">
        <w:rPr>
          <w:noProof/>
        </w:rPr>
        <w:t>Social Security (Administration) - Queensland Commission (Family Responsibilities Commission) Specification 2015 [F2015L02092]</w:t>
      </w:r>
      <w:r>
        <w:rPr>
          <w:noProof/>
        </w:rPr>
        <w:tab/>
        <w:t>19</w:t>
      </w:r>
    </w:p>
    <w:p w:rsidR="00EB7C46" w:rsidRDefault="00EB7C46" w:rsidP="00EB7C46">
      <w:pPr>
        <w:pStyle w:val="TOC3"/>
        <w:tabs>
          <w:tab w:val="right" w:leader="dot" w:pos="9016"/>
        </w:tabs>
        <w:jc w:val="left"/>
        <w:rPr>
          <w:rFonts w:asciiTheme="minorHAnsi" w:eastAsiaTheme="minorEastAsia" w:hAnsiTheme="minorHAnsi" w:cstheme="minorBidi"/>
          <w:noProof/>
          <w:sz w:val="22"/>
          <w:szCs w:val="22"/>
          <w:lang w:eastAsia="en-AU"/>
        </w:rPr>
      </w:pPr>
      <w:r w:rsidRPr="00F81DAB">
        <w:rPr>
          <w:noProof/>
        </w:rPr>
        <w:t>Variation to the National Environment Protection (Ambient Air Quality)</w:t>
      </w:r>
      <w:r w:rsidRPr="00F81DAB">
        <w:rPr>
          <w:noProof/>
        </w:rPr>
        <w:br/>
        <w:t>Measure 2015 [F2016L00084]</w:t>
      </w:r>
      <w:r>
        <w:rPr>
          <w:noProof/>
        </w:rPr>
        <w:tab/>
        <w:t>20</w:t>
      </w:r>
    </w:p>
    <w:p w:rsidR="00EB7C46" w:rsidRDefault="00EB7C46" w:rsidP="00EB7C46">
      <w:pPr>
        <w:pStyle w:val="TOC1"/>
        <w:tabs>
          <w:tab w:val="right" w:leader="dot" w:pos="9016"/>
        </w:tabs>
        <w:rPr>
          <w:rFonts w:asciiTheme="minorHAnsi" w:eastAsiaTheme="minorEastAsia" w:hAnsiTheme="minorHAnsi" w:cstheme="minorBidi"/>
          <w:b w:val="0"/>
          <w:noProof/>
          <w:sz w:val="22"/>
          <w:szCs w:val="22"/>
          <w:lang w:eastAsia="en-AU"/>
        </w:rPr>
      </w:pPr>
      <w:r>
        <w:rPr>
          <w:noProof/>
        </w:rPr>
        <w:lastRenderedPageBreak/>
        <w:t>Appendix 1 – Correspondence</w:t>
      </w:r>
      <w:r>
        <w:rPr>
          <w:b w:val="0"/>
          <w:noProof/>
          <w:sz w:val="26"/>
          <w:szCs w:val="26"/>
        </w:rPr>
        <w:tab/>
        <w:t>23</w:t>
      </w:r>
    </w:p>
    <w:p w:rsidR="00EB7C46" w:rsidRDefault="00EB7C46" w:rsidP="00EB7C46">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35</w:t>
      </w:r>
    </w:p>
    <w:p w:rsidR="00EB7C46" w:rsidRDefault="00EB7C46" w:rsidP="00EB7C46">
      <w:pPr>
        <w:tabs>
          <w:tab w:val="left" w:pos="1170"/>
        </w:tabs>
        <w:jc w:val="left"/>
        <w:rPr>
          <w:sz w:val="16"/>
          <w:szCs w:val="16"/>
        </w:rPr>
      </w:pPr>
    </w:p>
    <w:p w:rsidR="00EB7C46" w:rsidRDefault="00EB7C46" w:rsidP="00EB7C46"/>
    <w:p w:rsidR="00EB7C46" w:rsidRDefault="00EB7C46" w:rsidP="00EB7C46">
      <w:pPr>
        <w:spacing w:after="0"/>
        <w:jc w:val="left"/>
        <w:sectPr w:rsidR="00EB7C46" w:rsidSect="00635538">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p>
    <w:p w:rsidR="008279DB" w:rsidRPr="004B17F0" w:rsidRDefault="008279DB" w:rsidP="008279DB">
      <w:pPr>
        <w:pStyle w:val="Heading1"/>
      </w:pPr>
      <w:r>
        <w:lastRenderedPageBreak/>
        <w:t>Introduction</w:t>
      </w:r>
    </w:p>
    <w:p w:rsidR="008279DB" w:rsidRDefault="008279DB" w:rsidP="008279DB">
      <w:pPr>
        <w:pStyle w:val="Heading3"/>
        <w:spacing w:after="120"/>
      </w:pPr>
      <w:r>
        <w:t>Terms of reference</w:t>
      </w:r>
    </w:p>
    <w:p w:rsidR="008279DB" w:rsidRDefault="008279DB" w:rsidP="008279DB">
      <w:pPr>
        <w:pStyle w:val="Level1"/>
        <w:numPr>
          <w:ilvl w:val="0"/>
          <w:numId w:val="0"/>
        </w:numPr>
        <w:spacing w:after="120"/>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8279DB" w:rsidRDefault="008279DB" w:rsidP="008279DB">
      <w:pPr>
        <w:pStyle w:val="Level1"/>
        <w:numPr>
          <w:ilvl w:val="0"/>
          <w:numId w:val="0"/>
        </w:numPr>
        <w:spacing w:after="120"/>
      </w:pPr>
      <w:r>
        <w:t>Senate Standing Order 23(3) requires the committee to scrutinise each instrument referred to it to ensure:</w:t>
      </w:r>
    </w:p>
    <w:p w:rsidR="008279DB" w:rsidRPr="00BF47FD" w:rsidRDefault="008279DB" w:rsidP="008279DB">
      <w:pPr>
        <w:pStyle w:val="Quote"/>
        <w:tabs>
          <w:tab w:val="left" w:pos="1418"/>
        </w:tabs>
        <w:spacing w:after="120"/>
        <w:ind w:left="1418" w:hanging="709"/>
      </w:pPr>
      <w:r>
        <w:t>(a)</w:t>
      </w:r>
      <w:r>
        <w:tab/>
      </w:r>
      <w:r w:rsidRPr="00BF47FD">
        <w:t>that it is in accordance with the statute;</w:t>
      </w:r>
    </w:p>
    <w:p w:rsidR="008279DB" w:rsidRPr="00BF47FD" w:rsidRDefault="008279DB" w:rsidP="008279DB">
      <w:pPr>
        <w:pStyle w:val="Quote"/>
        <w:tabs>
          <w:tab w:val="left" w:pos="1418"/>
        </w:tabs>
        <w:spacing w:after="120"/>
        <w:ind w:left="1418" w:hanging="709"/>
      </w:pPr>
      <w:r>
        <w:t>(b)</w:t>
      </w:r>
      <w:r>
        <w:tab/>
      </w:r>
      <w:r w:rsidRPr="00BF47FD">
        <w:t>that it does not trespass unduly on personal rights and liberties;</w:t>
      </w:r>
    </w:p>
    <w:p w:rsidR="008279DB" w:rsidRPr="00BF47FD" w:rsidRDefault="008279DB" w:rsidP="008279DB">
      <w:pPr>
        <w:pStyle w:val="Quote"/>
        <w:tabs>
          <w:tab w:val="left" w:pos="1418"/>
        </w:tabs>
        <w:spacing w:after="120"/>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8279DB" w:rsidRDefault="008279DB" w:rsidP="008279DB">
      <w:pPr>
        <w:pStyle w:val="Quote"/>
        <w:tabs>
          <w:tab w:val="left" w:pos="1418"/>
        </w:tabs>
        <w:spacing w:after="120"/>
        <w:ind w:left="1418" w:hanging="709"/>
      </w:pPr>
      <w:r>
        <w:t>(d)</w:t>
      </w:r>
      <w:r>
        <w:tab/>
      </w:r>
      <w:r w:rsidRPr="00BF47FD">
        <w:t>that it does not contain matter more appropriate for parliamentary enactment.</w:t>
      </w:r>
    </w:p>
    <w:p w:rsidR="008279DB" w:rsidRDefault="008279DB" w:rsidP="008279DB">
      <w:pPr>
        <w:pStyle w:val="Heading3"/>
        <w:spacing w:after="120"/>
      </w:pPr>
      <w:r>
        <w:t>Nature of the committee's scrutiny</w:t>
      </w:r>
    </w:p>
    <w:p w:rsidR="008279DB" w:rsidRDefault="008279DB" w:rsidP="008279DB">
      <w:pPr>
        <w:pStyle w:val="Level1"/>
        <w:numPr>
          <w:ilvl w:val="0"/>
          <w:numId w:val="0"/>
        </w:numPr>
        <w:spacing w:after="120"/>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8279DB" w:rsidRDefault="008279DB" w:rsidP="008279DB">
      <w:pPr>
        <w:pStyle w:val="Level1"/>
        <w:numPr>
          <w:ilvl w:val="0"/>
          <w:numId w:val="0"/>
        </w:numPr>
        <w:spacing w:after="120"/>
      </w:pPr>
      <w:r>
        <w:t xml:space="preserve">The committee's work is supported by processes for the registration, tabling and disallowance of legislative instruments under the </w:t>
      </w:r>
      <w:r>
        <w:rPr>
          <w:i/>
        </w:rPr>
        <w:t>Legislation Act 2003</w:t>
      </w:r>
      <w:r>
        <w:t>.</w:t>
      </w:r>
      <w:r>
        <w:rPr>
          <w:rStyle w:val="FootnoteReference"/>
        </w:rPr>
        <w:footnoteReference w:id="1"/>
      </w:r>
    </w:p>
    <w:p w:rsidR="008279DB" w:rsidRDefault="008279DB" w:rsidP="008279DB">
      <w:pPr>
        <w:pStyle w:val="Heading3"/>
        <w:spacing w:after="120"/>
      </w:pPr>
      <w:r>
        <w:t>Publications</w:t>
      </w:r>
    </w:p>
    <w:p w:rsidR="008279DB" w:rsidRDefault="008279DB" w:rsidP="008279DB">
      <w:pPr>
        <w:pStyle w:val="Level1"/>
        <w:numPr>
          <w:ilvl w:val="0"/>
          <w:numId w:val="0"/>
        </w:numPr>
        <w:spacing w:after="120"/>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8279DB" w:rsidRPr="008B16ED" w:rsidRDefault="008279DB" w:rsidP="008279DB">
      <w:pPr>
        <w:pStyle w:val="Heading3"/>
        <w:spacing w:after="120"/>
      </w:pPr>
      <w:r>
        <w:lastRenderedPageBreak/>
        <w:t>Structure of the monitor</w:t>
      </w:r>
    </w:p>
    <w:p w:rsidR="008279DB" w:rsidRDefault="008279DB" w:rsidP="008279DB">
      <w:pPr>
        <w:pStyle w:val="Level1"/>
        <w:numPr>
          <w:ilvl w:val="0"/>
          <w:numId w:val="0"/>
        </w:numPr>
        <w:spacing w:after="120"/>
      </w:pPr>
      <w:r>
        <w:t>The monitor is comprised of the following parts:</w:t>
      </w:r>
    </w:p>
    <w:p w:rsidR="008279DB" w:rsidRDefault="008279DB" w:rsidP="008279DB">
      <w:pPr>
        <w:pStyle w:val="Bullet1"/>
        <w:tabs>
          <w:tab w:val="clear" w:pos="851"/>
          <w:tab w:val="left" w:pos="567"/>
        </w:tabs>
        <w:spacing w:after="120"/>
        <w:ind w:left="567" w:hanging="567"/>
      </w:pPr>
      <w:r w:rsidRPr="00203D04">
        <w:rPr>
          <w:b/>
        </w:rPr>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8279DB" w:rsidRDefault="008279DB" w:rsidP="008279DB">
      <w:pPr>
        <w:pStyle w:val="Bullet1"/>
        <w:numPr>
          <w:ilvl w:val="0"/>
          <w:numId w:val="35"/>
        </w:numPr>
        <w:tabs>
          <w:tab w:val="clear" w:pos="851"/>
          <w:tab w:val="left" w:pos="567"/>
        </w:tabs>
        <w:spacing w:after="120"/>
        <w:ind w:left="1134" w:hanging="567"/>
      </w:pPr>
      <w:r>
        <w:t xml:space="preserve">seeking an explanation/information; or </w:t>
      </w:r>
    </w:p>
    <w:p w:rsidR="008279DB" w:rsidRDefault="008279DB" w:rsidP="008279DB">
      <w:pPr>
        <w:pStyle w:val="Bullet1"/>
        <w:numPr>
          <w:ilvl w:val="0"/>
          <w:numId w:val="35"/>
        </w:numPr>
        <w:tabs>
          <w:tab w:val="clear" w:pos="851"/>
          <w:tab w:val="left" w:pos="567"/>
        </w:tabs>
        <w:spacing w:after="120"/>
        <w:ind w:left="1134" w:hanging="567"/>
      </w:pPr>
      <w:r>
        <w:t>seeking further explanation/information subsequent to a response; or</w:t>
      </w:r>
    </w:p>
    <w:p w:rsidR="008279DB" w:rsidRDefault="008279DB" w:rsidP="008279DB">
      <w:pPr>
        <w:pStyle w:val="Bullet1"/>
        <w:numPr>
          <w:ilvl w:val="0"/>
          <w:numId w:val="35"/>
        </w:numPr>
        <w:tabs>
          <w:tab w:val="clear" w:pos="851"/>
          <w:tab w:val="left" w:pos="567"/>
        </w:tabs>
        <w:spacing w:after="120"/>
        <w:ind w:left="1134" w:hanging="567"/>
      </w:pPr>
      <w:r>
        <w:t>on an advice only basis.</w:t>
      </w:r>
    </w:p>
    <w:p w:rsidR="008279DB" w:rsidRDefault="008279DB" w:rsidP="008279DB">
      <w:pPr>
        <w:pStyle w:val="Bullet1"/>
        <w:tabs>
          <w:tab w:val="clear" w:pos="851"/>
          <w:tab w:val="left" w:pos="567"/>
        </w:tabs>
        <w:spacing w:after="12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8279DB" w:rsidRDefault="008279DB" w:rsidP="008279DB">
      <w:pPr>
        <w:pStyle w:val="Bullet1"/>
        <w:tabs>
          <w:tab w:val="clear" w:pos="851"/>
          <w:tab w:val="left" w:pos="567"/>
        </w:tabs>
        <w:spacing w:after="120"/>
        <w:ind w:left="567" w:hanging="567"/>
      </w:pPr>
      <w:r w:rsidRPr="00203D04">
        <w:rPr>
          <w:b/>
        </w:rPr>
        <w:t>Appendix 1 Correspondence</w:t>
      </w:r>
      <w:r>
        <w:t>: contains the correspondence relevant to the matters raised in Chapters 1 and 2.</w:t>
      </w:r>
    </w:p>
    <w:p w:rsidR="008279DB" w:rsidRDefault="008279DB" w:rsidP="008279DB">
      <w:pPr>
        <w:pStyle w:val="Bullet1"/>
        <w:tabs>
          <w:tab w:val="clear" w:pos="851"/>
          <w:tab w:val="left" w:pos="567"/>
        </w:tabs>
        <w:spacing w:after="120"/>
        <w:ind w:left="567" w:hanging="567"/>
      </w:pPr>
      <w:r w:rsidRPr="00203D04">
        <w:rPr>
          <w:b/>
        </w:rPr>
        <w:t>Appendix 2 Consultation</w:t>
      </w:r>
      <w:r>
        <w:t xml:space="preserve">: includes the committee's guideline on addressing the consultation requirements of the </w:t>
      </w:r>
      <w:r>
        <w:rPr>
          <w:i/>
        </w:rPr>
        <w:t>Legislation Act 2003</w:t>
      </w:r>
      <w:r>
        <w:t>.</w:t>
      </w:r>
      <w:r>
        <w:rPr>
          <w:rStyle w:val="FootnoteReference"/>
        </w:rPr>
        <w:footnoteReference w:id="3"/>
      </w:r>
    </w:p>
    <w:p w:rsidR="008279DB" w:rsidRDefault="008279DB" w:rsidP="008279DB">
      <w:pPr>
        <w:pStyle w:val="Heading3"/>
        <w:spacing w:after="120"/>
      </w:pPr>
      <w:r>
        <w:t>Acknowledgement</w:t>
      </w:r>
    </w:p>
    <w:p w:rsidR="008279DB" w:rsidRDefault="008279DB" w:rsidP="008279DB">
      <w:pPr>
        <w:pStyle w:val="Level1"/>
        <w:numPr>
          <w:ilvl w:val="0"/>
          <w:numId w:val="0"/>
        </w:numPr>
        <w:spacing w:after="120"/>
      </w:pPr>
      <w:r>
        <w:t>The committee wishes to acknowledge the cooperation of the ministers,</w:t>
      </w:r>
      <w:r>
        <w:br/>
        <w:t>instrument-</w:t>
      </w:r>
      <w:r w:rsidRPr="00ED1B3C">
        <w:t>makers</w:t>
      </w:r>
      <w:r>
        <w:t xml:space="preserve"> </w:t>
      </w:r>
      <w:r w:rsidRPr="00ED1B3C">
        <w:t>and</w:t>
      </w:r>
      <w:r>
        <w:t xml:space="preserve"> departments who assisted the committee with its consideration of the issues raised in this monitor.</w:t>
      </w:r>
    </w:p>
    <w:p w:rsidR="008279DB" w:rsidRDefault="008279DB" w:rsidP="008279DB">
      <w:pPr>
        <w:pStyle w:val="Heading3"/>
        <w:spacing w:after="120"/>
      </w:pPr>
      <w:r>
        <w:t>General information</w:t>
      </w:r>
    </w:p>
    <w:p w:rsidR="008279DB" w:rsidRDefault="008279DB" w:rsidP="008279DB">
      <w:pPr>
        <w:pStyle w:val="Level1"/>
        <w:numPr>
          <w:ilvl w:val="0"/>
          <w:numId w:val="0"/>
        </w:numPr>
        <w:spacing w:after="120"/>
      </w:pPr>
      <w:r w:rsidRPr="00C75374">
        <w:t>The Federal Register of Legislat</w:t>
      </w:r>
      <w:r>
        <w:t>ion Register</w:t>
      </w:r>
      <w:r w:rsidRPr="00C75374">
        <w:t xml:space="preserve"> 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4"/>
      </w:r>
      <w:r w:rsidRPr="00C75374">
        <w:t xml:space="preserve"> </w:t>
      </w:r>
    </w:p>
    <w:p w:rsidR="008279DB" w:rsidRDefault="008279DB" w:rsidP="008279DB">
      <w:pPr>
        <w:pStyle w:val="Level1"/>
        <w:numPr>
          <w:ilvl w:val="0"/>
          <w:numId w:val="0"/>
        </w:numPr>
        <w:spacing w:after="120"/>
      </w:pPr>
      <w:r>
        <w:t>The Senate Disallowable Instruments List provides an informal listing of tabled instruments for which disallowance motions may be moved in the Senate.</w:t>
      </w:r>
      <w:r>
        <w:rPr>
          <w:rStyle w:val="FootnoteReference"/>
        </w:rPr>
        <w:footnoteReference w:id="5"/>
      </w:r>
      <w:r>
        <w:t xml:space="preserve"> </w:t>
      </w:r>
    </w:p>
    <w:p w:rsidR="008279DB" w:rsidRDefault="008279DB" w:rsidP="008279DB">
      <w:pPr>
        <w:pStyle w:val="Level1"/>
        <w:numPr>
          <w:ilvl w:val="0"/>
          <w:numId w:val="0"/>
        </w:numPr>
        <w:rPr>
          <w:b/>
        </w:rPr>
      </w:pPr>
      <w:r>
        <w:t>The Disallowance Alert records all notices of motion for the disallowance of instruments in the Senate, and their progress and eventual outcome.</w:t>
      </w:r>
      <w:r>
        <w:rPr>
          <w:rStyle w:val="FootnoteReference"/>
        </w:rPr>
        <w:footnoteReference w:id="6"/>
      </w:r>
      <w:r>
        <w:t xml:space="preserve"> </w:t>
      </w:r>
    </w:p>
    <w:p w:rsidR="008279DB" w:rsidRDefault="008279DB" w:rsidP="008279DB">
      <w:pPr>
        <w:pStyle w:val="Bullet1"/>
        <w:numPr>
          <w:ilvl w:val="0"/>
          <w:numId w:val="0"/>
        </w:numPr>
        <w:ind w:left="851" w:hanging="851"/>
        <w:rPr>
          <w:b/>
          <w:sz w:val="24"/>
          <w:szCs w:val="24"/>
        </w:rPr>
      </w:pPr>
    </w:p>
    <w:p w:rsidR="008279DB" w:rsidRPr="00364316" w:rsidRDefault="008279DB" w:rsidP="008279DB">
      <w:pPr>
        <w:pStyle w:val="Bullet1"/>
        <w:numPr>
          <w:ilvl w:val="0"/>
          <w:numId w:val="0"/>
        </w:numPr>
        <w:spacing w:after="0"/>
        <w:ind w:left="851" w:hanging="851"/>
        <w:rPr>
          <w:b/>
        </w:rPr>
      </w:pPr>
      <w:r w:rsidRPr="00364316">
        <w:rPr>
          <w:b/>
        </w:rPr>
        <w:t xml:space="preserve">Senator </w:t>
      </w:r>
      <w:r>
        <w:rPr>
          <w:b/>
        </w:rPr>
        <w:t>John Williams (</w:t>
      </w:r>
      <w:r w:rsidRPr="00364316">
        <w:rPr>
          <w:b/>
        </w:rPr>
        <w:t>Chair</w:t>
      </w:r>
      <w:r>
        <w:rPr>
          <w:b/>
        </w:rPr>
        <w:t>)</w:t>
      </w:r>
    </w:p>
    <w:p w:rsidR="008279DB" w:rsidRDefault="008279DB" w:rsidP="00325264">
      <w:pPr>
        <w:sectPr w:rsidR="008279DB" w:rsidSect="007D2D7B">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202" w:left="1440" w:header="1134" w:footer="720" w:gutter="0"/>
          <w:pgNumType w:fmt="lowerRoman" w:start="7"/>
          <w:cols w:space="720"/>
          <w:titlePg/>
        </w:sectPr>
      </w:pPr>
    </w:p>
    <w:p w:rsidR="008279DB" w:rsidRPr="00483549" w:rsidRDefault="008279DB" w:rsidP="008279DB">
      <w:pPr>
        <w:pStyle w:val="Heading1"/>
      </w:pPr>
      <w:r w:rsidRPr="00483549">
        <w:lastRenderedPageBreak/>
        <w:t>Chapter 1</w:t>
      </w:r>
    </w:p>
    <w:p w:rsidR="008279DB" w:rsidRPr="00483549" w:rsidRDefault="008279DB" w:rsidP="008279DB">
      <w:pPr>
        <w:pStyle w:val="Heading2"/>
      </w:pPr>
      <w:r w:rsidRPr="00483549">
        <w:t>New and continuing matters</w:t>
      </w:r>
    </w:p>
    <w:p w:rsidR="008279DB" w:rsidRPr="00483549" w:rsidRDefault="008279DB" w:rsidP="008279DB">
      <w:pPr>
        <w:pStyle w:val="Level1"/>
        <w:numPr>
          <w:ilvl w:val="0"/>
          <w:numId w:val="0"/>
        </w:numPr>
      </w:pPr>
      <w:r w:rsidRPr="00483549">
        <w:t xml:space="preserve">This chapter details concerns in relation to disallowable instruments of delegated legislation received by the Senate Standing Committee on Regulations and Ordinances (the committee) between </w:t>
      </w:r>
      <w:r>
        <w:t xml:space="preserve">26 February </w:t>
      </w:r>
      <w:r w:rsidRPr="00483549">
        <w:t>201</w:t>
      </w:r>
      <w:r>
        <w:t>6</w:t>
      </w:r>
      <w:r w:rsidRPr="00483549">
        <w:t xml:space="preserve"> and </w:t>
      </w:r>
      <w:r>
        <w:t>3</w:t>
      </w:r>
      <w:r w:rsidRPr="00483549">
        <w:t> </w:t>
      </w:r>
      <w:r>
        <w:t xml:space="preserve">March </w:t>
      </w:r>
      <w:r w:rsidRPr="00483549">
        <w:t>201</w:t>
      </w:r>
      <w:r>
        <w:t>6</w:t>
      </w:r>
      <w:r w:rsidRPr="00483549">
        <w:t xml:space="preserve"> (new matters); and matters previously raised in relation to which the committee seeks further information (continuing matters).</w:t>
      </w:r>
    </w:p>
    <w:p w:rsidR="008279DB" w:rsidRPr="00483549" w:rsidRDefault="008279DB" w:rsidP="008279DB">
      <w:pPr>
        <w:pStyle w:val="Heading2"/>
        <w:spacing w:before="240"/>
        <w:rPr>
          <w:sz w:val="32"/>
          <w:szCs w:val="32"/>
        </w:rPr>
      </w:pPr>
      <w:r w:rsidRPr="00483549">
        <w:rPr>
          <w:sz w:val="32"/>
          <w:szCs w:val="32"/>
        </w:rPr>
        <w:t>Response required</w:t>
      </w:r>
    </w:p>
    <w:p w:rsidR="008279DB" w:rsidRDefault="008279DB" w:rsidP="008279DB">
      <w:pPr>
        <w:pStyle w:val="Level1"/>
        <w:numPr>
          <w:ilvl w:val="0"/>
          <w:numId w:val="0"/>
        </w:numPr>
      </w:pPr>
      <w:r w:rsidRPr="00483549">
        <w:t>The committee requests an explanation or information from relevant ministers or instrument-makers with respect to the following concerns.</w:t>
      </w:r>
    </w:p>
    <w:p w:rsidR="008279DB" w:rsidRPr="000C3055" w:rsidRDefault="008279DB" w:rsidP="008279DB">
      <w:pPr>
        <w:spacing w:after="120"/>
        <w:rPr>
          <w:szCs w:val="26"/>
        </w:rPr>
      </w:pPr>
    </w:p>
    <w:tbl>
      <w:tblPr>
        <w:tblW w:w="0" w:type="auto"/>
        <w:tblInd w:w="108" w:type="dxa"/>
        <w:tblLook w:val="04A0" w:firstRow="1" w:lastRow="0" w:firstColumn="1" w:lastColumn="0" w:noHBand="0" w:noVBand="1"/>
      </w:tblPr>
      <w:tblGrid>
        <w:gridCol w:w="2694"/>
        <w:gridCol w:w="6378"/>
      </w:tblGrid>
      <w:tr w:rsidR="008279DB" w:rsidRPr="000C3055" w:rsidTr="001B541D">
        <w:tc>
          <w:tcPr>
            <w:tcW w:w="2694" w:type="dxa"/>
            <w:tcBorders>
              <w:top w:val="single" w:sz="12" w:space="0" w:color="auto"/>
              <w:right w:val="single" w:sz="12" w:space="0" w:color="auto"/>
            </w:tcBorders>
          </w:tcPr>
          <w:p w:rsidR="008279DB" w:rsidRPr="000C3055" w:rsidRDefault="008279DB" w:rsidP="001B541D">
            <w:pPr>
              <w:spacing w:before="120" w:after="120"/>
              <w:rPr>
                <w:b/>
                <w:sz w:val="24"/>
                <w:szCs w:val="24"/>
              </w:rPr>
            </w:pPr>
            <w:r w:rsidRPr="000C3055">
              <w:rPr>
                <w:b/>
                <w:sz w:val="24"/>
                <w:szCs w:val="24"/>
              </w:rPr>
              <w:t>Instrument</w:t>
            </w:r>
          </w:p>
        </w:tc>
        <w:tc>
          <w:tcPr>
            <w:tcW w:w="6378" w:type="dxa"/>
            <w:tcBorders>
              <w:top w:val="single" w:sz="12" w:space="0" w:color="auto"/>
              <w:left w:val="single" w:sz="12" w:space="0" w:color="auto"/>
            </w:tcBorders>
          </w:tcPr>
          <w:p w:rsidR="008279DB" w:rsidRPr="000C3055" w:rsidRDefault="008279DB" w:rsidP="001B541D">
            <w:pPr>
              <w:keepNext/>
              <w:spacing w:before="120" w:after="120"/>
              <w:outlineLvl w:val="2"/>
              <w:rPr>
                <w:rFonts w:ascii="Times New (W1)" w:hAnsi="Times New (W1)"/>
                <w:b/>
                <w:noProof/>
                <w:sz w:val="24"/>
                <w:szCs w:val="24"/>
              </w:rPr>
            </w:pPr>
            <w:r w:rsidRPr="000C3055">
              <w:rPr>
                <w:rFonts w:ascii="Times New (W1)" w:hAnsi="Times New (W1)"/>
                <w:b/>
                <w:noProof/>
                <w:sz w:val="24"/>
                <w:szCs w:val="24"/>
              </w:rPr>
              <w:t>Amendment of the List of Exempt Native Specimens - South Australia Lakes and Coorong Fishery (19/02/2016) [F2016L00137]</w:t>
            </w:r>
          </w:p>
          <w:p w:rsidR="008279DB" w:rsidRPr="000C3055" w:rsidRDefault="008279DB" w:rsidP="001B541D">
            <w:pPr>
              <w:keepNext/>
              <w:spacing w:before="120" w:after="120"/>
              <w:outlineLvl w:val="2"/>
              <w:rPr>
                <w:b/>
                <w:sz w:val="24"/>
                <w:szCs w:val="24"/>
              </w:rPr>
            </w:pPr>
            <w:r w:rsidRPr="000C3055">
              <w:rPr>
                <w:rFonts w:ascii="Times New (W1)" w:hAnsi="Times New (W1)"/>
                <w:b/>
                <w:noProof/>
                <w:sz w:val="24"/>
                <w:szCs w:val="24"/>
              </w:rPr>
              <w:t>Amendment of List of Exempt Native Specimens - Australian salmon taken by Richey Fishing Company in the Tasmanian Scalefish Fishery [F2016L00172]</w:t>
            </w:r>
          </w:p>
        </w:tc>
      </w:tr>
      <w:tr w:rsidR="008279DB" w:rsidRPr="000C3055" w:rsidTr="001B541D">
        <w:tc>
          <w:tcPr>
            <w:tcW w:w="2694" w:type="dxa"/>
            <w:tcBorders>
              <w:right w:val="single" w:sz="12" w:space="0" w:color="auto"/>
            </w:tcBorders>
          </w:tcPr>
          <w:p w:rsidR="008279DB" w:rsidRPr="000C3055" w:rsidRDefault="008279DB" w:rsidP="001B541D">
            <w:pPr>
              <w:spacing w:before="120" w:after="120"/>
              <w:rPr>
                <w:b/>
                <w:sz w:val="24"/>
                <w:szCs w:val="24"/>
              </w:rPr>
            </w:pPr>
            <w:r w:rsidRPr="000C3055">
              <w:rPr>
                <w:b/>
                <w:sz w:val="24"/>
                <w:szCs w:val="24"/>
              </w:rPr>
              <w:t>Purpose</w:t>
            </w:r>
          </w:p>
        </w:tc>
        <w:tc>
          <w:tcPr>
            <w:tcW w:w="6378" w:type="dxa"/>
            <w:tcBorders>
              <w:left w:val="single" w:sz="12" w:space="0" w:color="auto"/>
            </w:tcBorders>
          </w:tcPr>
          <w:p w:rsidR="008279DB" w:rsidRPr="000C3055" w:rsidRDefault="008279DB" w:rsidP="001B541D">
            <w:pPr>
              <w:spacing w:before="120" w:after="120"/>
              <w:rPr>
                <w:sz w:val="24"/>
                <w:szCs w:val="24"/>
              </w:rPr>
            </w:pPr>
            <w:r w:rsidRPr="000C3055">
              <w:rPr>
                <w:noProof/>
                <w:sz w:val="24"/>
                <w:szCs w:val="24"/>
              </w:rPr>
              <w:t>Amends the List of Exempt Native Specimens (29/11/2001) to include product from the South Australia Lakes and Coorong Fishery and Australian salmon harvested by the Richey Fishing Company in Tasmanian coastal waters</w:t>
            </w:r>
          </w:p>
        </w:tc>
      </w:tr>
      <w:tr w:rsidR="008279DB" w:rsidRPr="000C3055" w:rsidTr="001B541D">
        <w:tc>
          <w:tcPr>
            <w:tcW w:w="2694" w:type="dxa"/>
            <w:tcBorders>
              <w:right w:val="single" w:sz="12" w:space="0" w:color="auto"/>
            </w:tcBorders>
          </w:tcPr>
          <w:p w:rsidR="008279DB" w:rsidRPr="000C3055" w:rsidRDefault="008279DB" w:rsidP="001B541D">
            <w:pPr>
              <w:spacing w:before="120" w:after="120"/>
              <w:rPr>
                <w:b/>
                <w:sz w:val="24"/>
                <w:szCs w:val="24"/>
              </w:rPr>
            </w:pPr>
            <w:r w:rsidRPr="000C3055">
              <w:rPr>
                <w:b/>
                <w:sz w:val="24"/>
                <w:szCs w:val="24"/>
              </w:rPr>
              <w:t>Last day to disallow</w:t>
            </w:r>
          </w:p>
        </w:tc>
        <w:tc>
          <w:tcPr>
            <w:tcW w:w="6378" w:type="dxa"/>
            <w:tcBorders>
              <w:left w:val="single" w:sz="12" w:space="0" w:color="auto"/>
            </w:tcBorders>
          </w:tcPr>
          <w:p w:rsidR="008279DB" w:rsidRPr="000C3055" w:rsidRDefault="008279DB" w:rsidP="001B541D">
            <w:pPr>
              <w:spacing w:before="120" w:after="120"/>
              <w:rPr>
                <w:sz w:val="24"/>
                <w:szCs w:val="24"/>
              </w:rPr>
            </w:pPr>
            <w:r w:rsidRPr="000C3055">
              <w:rPr>
                <w:noProof/>
                <w:sz w:val="24"/>
                <w:szCs w:val="24"/>
              </w:rPr>
              <w:t>28 June 2016; 29 June 2016</w:t>
            </w:r>
          </w:p>
        </w:tc>
      </w:tr>
      <w:tr w:rsidR="008279DB" w:rsidRPr="000C3055" w:rsidTr="001B541D">
        <w:tc>
          <w:tcPr>
            <w:tcW w:w="2694" w:type="dxa"/>
            <w:tcBorders>
              <w:right w:val="single" w:sz="12" w:space="0" w:color="auto"/>
            </w:tcBorders>
          </w:tcPr>
          <w:p w:rsidR="008279DB" w:rsidRPr="000C3055" w:rsidRDefault="008279DB" w:rsidP="001B541D">
            <w:pPr>
              <w:spacing w:before="120" w:after="120"/>
              <w:rPr>
                <w:b/>
                <w:sz w:val="24"/>
                <w:szCs w:val="24"/>
              </w:rPr>
            </w:pPr>
            <w:r w:rsidRPr="000C3055">
              <w:rPr>
                <w:b/>
                <w:sz w:val="24"/>
                <w:szCs w:val="24"/>
              </w:rPr>
              <w:t>Authorising legislation</w:t>
            </w:r>
          </w:p>
        </w:tc>
        <w:tc>
          <w:tcPr>
            <w:tcW w:w="6378" w:type="dxa"/>
            <w:tcBorders>
              <w:left w:val="single" w:sz="12" w:space="0" w:color="auto"/>
            </w:tcBorders>
          </w:tcPr>
          <w:p w:rsidR="008279DB" w:rsidRPr="000C3055" w:rsidRDefault="008279DB" w:rsidP="001B541D">
            <w:pPr>
              <w:spacing w:before="120" w:after="120"/>
              <w:rPr>
                <w:i/>
                <w:sz w:val="24"/>
                <w:szCs w:val="24"/>
              </w:rPr>
            </w:pPr>
            <w:r w:rsidRPr="000C3055">
              <w:rPr>
                <w:i/>
                <w:noProof/>
                <w:sz w:val="24"/>
                <w:szCs w:val="24"/>
              </w:rPr>
              <w:t>Environment Protection an</w:t>
            </w:r>
            <w:r>
              <w:rPr>
                <w:i/>
                <w:noProof/>
                <w:sz w:val="24"/>
                <w:szCs w:val="24"/>
              </w:rPr>
              <w:t>d Biodiversity Conservation Act </w:t>
            </w:r>
            <w:r w:rsidRPr="000C3055">
              <w:rPr>
                <w:i/>
                <w:noProof/>
                <w:sz w:val="24"/>
                <w:szCs w:val="24"/>
              </w:rPr>
              <w:t>1999</w:t>
            </w:r>
          </w:p>
        </w:tc>
      </w:tr>
      <w:tr w:rsidR="008279DB" w:rsidRPr="000C3055" w:rsidTr="001B541D">
        <w:tc>
          <w:tcPr>
            <w:tcW w:w="2694" w:type="dxa"/>
            <w:tcBorders>
              <w:right w:val="single" w:sz="12" w:space="0" w:color="auto"/>
            </w:tcBorders>
          </w:tcPr>
          <w:p w:rsidR="008279DB" w:rsidRPr="000C3055" w:rsidRDefault="008279DB" w:rsidP="001B541D">
            <w:pPr>
              <w:spacing w:before="120" w:after="120"/>
              <w:rPr>
                <w:b/>
                <w:sz w:val="24"/>
                <w:szCs w:val="24"/>
              </w:rPr>
            </w:pPr>
            <w:r w:rsidRPr="000C3055">
              <w:rPr>
                <w:b/>
                <w:sz w:val="24"/>
                <w:szCs w:val="24"/>
              </w:rPr>
              <w:t>Department</w:t>
            </w:r>
          </w:p>
        </w:tc>
        <w:tc>
          <w:tcPr>
            <w:tcW w:w="6378" w:type="dxa"/>
            <w:tcBorders>
              <w:left w:val="single" w:sz="12" w:space="0" w:color="auto"/>
            </w:tcBorders>
          </w:tcPr>
          <w:p w:rsidR="008279DB" w:rsidRPr="000C3055" w:rsidRDefault="008279DB" w:rsidP="001B541D">
            <w:pPr>
              <w:spacing w:before="120" w:after="120"/>
              <w:rPr>
                <w:sz w:val="24"/>
                <w:szCs w:val="24"/>
              </w:rPr>
            </w:pPr>
            <w:r w:rsidRPr="000C3055">
              <w:rPr>
                <w:noProof/>
                <w:sz w:val="24"/>
                <w:szCs w:val="24"/>
              </w:rPr>
              <w:t>Environment</w:t>
            </w:r>
          </w:p>
        </w:tc>
      </w:tr>
      <w:tr w:rsidR="008279DB" w:rsidRPr="000C3055" w:rsidTr="001B541D">
        <w:tc>
          <w:tcPr>
            <w:tcW w:w="2694" w:type="dxa"/>
            <w:tcBorders>
              <w:bottom w:val="single" w:sz="12" w:space="0" w:color="auto"/>
              <w:right w:val="single" w:sz="12" w:space="0" w:color="auto"/>
            </w:tcBorders>
          </w:tcPr>
          <w:p w:rsidR="008279DB" w:rsidRPr="000C3055" w:rsidRDefault="008279DB" w:rsidP="001B541D">
            <w:pPr>
              <w:spacing w:before="120" w:after="120"/>
              <w:rPr>
                <w:b/>
                <w:sz w:val="24"/>
                <w:szCs w:val="24"/>
              </w:rPr>
            </w:pPr>
            <w:r w:rsidRPr="000C3055">
              <w:rPr>
                <w:b/>
                <w:sz w:val="24"/>
                <w:szCs w:val="24"/>
              </w:rPr>
              <w:t>Scrutiny principle</w:t>
            </w:r>
          </w:p>
        </w:tc>
        <w:tc>
          <w:tcPr>
            <w:tcW w:w="6378" w:type="dxa"/>
            <w:tcBorders>
              <w:left w:val="single" w:sz="12" w:space="0" w:color="auto"/>
              <w:bottom w:val="single" w:sz="12" w:space="0" w:color="auto"/>
            </w:tcBorders>
          </w:tcPr>
          <w:p w:rsidR="008279DB" w:rsidRPr="000C3055" w:rsidRDefault="008279DB" w:rsidP="001B541D">
            <w:pPr>
              <w:spacing w:before="120" w:after="120"/>
              <w:rPr>
                <w:sz w:val="24"/>
                <w:szCs w:val="24"/>
              </w:rPr>
            </w:pPr>
            <w:r w:rsidRPr="000C3055">
              <w:rPr>
                <w:sz w:val="24"/>
                <w:szCs w:val="24"/>
              </w:rPr>
              <w:t>Standing Order 23(3)</w:t>
            </w:r>
            <w:r w:rsidRPr="000C3055">
              <w:rPr>
                <w:noProof/>
                <w:sz w:val="24"/>
                <w:szCs w:val="24"/>
              </w:rPr>
              <w:t>(a)</w:t>
            </w:r>
          </w:p>
        </w:tc>
      </w:tr>
    </w:tbl>
    <w:p w:rsidR="008279DB" w:rsidRPr="000C3055" w:rsidRDefault="008279DB" w:rsidP="008279DB">
      <w:pPr>
        <w:spacing w:after="120"/>
      </w:pPr>
    </w:p>
    <w:p w:rsidR="008279DB" w:rsidRPr="000C3055" w:rsidRDefault="008279DB" w:rsidP="008279DB">
      <w:pPr>
        <w:spacing w:after="120"/>
        <w:rPr>
          <w:b/>
          <w:noProof/>
        </w:rPr>
      </w:pPr>
      <w:r w:rsidRPr="000C3055">
        <w:rPr>
          <w:b/>
          <w:noProof/>
        </w:rPr>
        <w:t>Incorporation of extrinsic material</w:t>
      </w:r>
    </w:p>
    <w:p w:rsidR="008279DB" w:rsidRDefault="008279DB" w:rsidP="008279DB">
      <w:pPr>
        <w:spacing w:before="120" w:after="120"/>
        <w:rPr>
          <w:szCs w:val="26"/>
        </w:rPr>
      </w:pPr>
      <w:r w:rsidRPr="000C3055">
        <w:rPr>
          <w:szCs w:val="26"/>
        </w:rPr>
        <w:t xml:space="preserve">Section 14 of the </w:t>
      </w:r>
      <w:r w:rsidRPr="000C3055">
        <w:rPr>
          <w:i/>
          <w:szCs w:val="26"/>
        </w:rPr>
        <w:t>Legislative Instruments Act 2003</w:t>
      </w:r>
      <w:r>
        <w:rPr>
          <w:rStyle w:val="FootnoteReference"/>
          <w:szCs w:val="26"/>
        </w:rPr>
        <w:footnoteReference w:id="7"/>
      </w:r>
      <w:r>
        <w:rPr>
          <w:i/>
          <w:szCs w:val="26"/>
        </w:rPr>
        <w:t xml:space="preserve"> </w:t>
      </w:r>
      <w:r w:rsidRPr="000C3055">
        <w:rPr>
          <w:szCs w:val="26"/>
        </w:rPr>
        <w:t xml:space="preserve">allows for the incorporation of </w:t>
      </w:r>
      <w:r w:rsidRPr="00983339">
        <w:rPr>
          <w:szCs w:val="26"/>
        </w:rPr>
        <w:t xml:space="preserve">extrinsic material into instruments. Legislative material may be incorporated as in force from time to time or at a particular date. Non-legislative material may only be </w:t>
      </w:r>
      <w:r w:rsidRPr="00983339">
        <w:rPr>
          <w:szCs w:val="26"/>
        </w:rPr>
        <w:lastRenderedPageBreak/>
        <w:t>incorporated as in force at the commencement of the instrument, unless authorising or other legislation alters the operation of section 14.</w:t>
      </w:r>
    </w:p>
    <w:p w:rsidR="008279DB" w:rsidRPr="000C3055" w:rsidRDefault="008279DB" w:rsidP="008279DB">
      <w:pPr>
        <w:spacing w:after="120"/>
        <w:rPr>
          <w:szCs w:val="26"/>
        </w:rPr>
      </w:pPr>
      <w:r w:rsidRPr="000C3055">
        <w:rPr>
          <w:szCs w:val="26"/>
        </w:rPr>
        <w:t xml:space="preserve">With reference to the above, the committee notes that the instruments add the following entries to the </w:t>
      </w:r>
      <w:r w:rsidRPr="000C3055">
        <w:rPr>
          <w:i/>
          <w:szCs w:val="26"/>
        </w:rPr>
        <w:t>Environment Protection and Biodiv</w:t>
      </w:r>
      <w:r>
        <w:rPr>
          <w:i/>
          <w:szCs w:val="26"/>
        </w:rPr>
        <w:t>ersity Conservation Act </w:t>
      </w:r>
      <w:r w:rsidRPr="000C3055">
        <w:rPr>
          <w:i/>
          <w:szCs w:val="26"/>
        </w:rPr>
        <w:t>1999</w:t>
      </w:r>
      <w:r>
        <w:rPr>
          <w:szCs w:val="26"/>
        </w:rPr>
        <w:t xml:space="preserve"> (EPBC Act)</w:t>
      </w:r>
      <w:r w:rsidRPr="000C3055">
        <w:rPr>
          <w:szCs w:val="26"/>
        </w:rPr>
        <w:t xml:space="preserve"> list of exempt native specimens:</w:t>
      </w:r>
    </w:p>
    <w:p w:rsidR="008279DB" w:rsidRDefault="008279DB" w:rsidP="008279DB">
      <w:pPr>
        <w:pStyle w:val="Bullet1"/>
      </w:pPr>
      <w:r w:rsidRPr="000C3055">
        <w:t xml:space="preserve">specimens that are or are derived from fish or invertebrates, other than specimens that belong to species listed under Part 13 of the EPBC Act, taken in the South Australian Lakes and Coorong Fishery, as defined in the Fisheries Management (Lakes and Coorong Fishery) Regulations 2009 and the Fisheries Management (General) Regulations 2007 in force under the </w:t>
      </w:r>
      <w:r w:rsidRPr="000C3055">
        <w:rPr>
          <w:i/>
        </w:rPr>
        <w:t>Fisheries Management Act 2007</w:t>
      </w:r>
      <w:r w:rsidRPr="000C3055">
        <w:t xml:space="preserve"> (South Australia)</w:t>
      </w:r>
      <w:r>
        <w:t>; and</w:t>
      </w:r>
    </w:p>
    <w:p w:rsidR="008279DB" w:rsidRPr="000C3055" w:rsidRDefault="008279DB" w:rsidP="008279DB">
      <w:pPr>
        <w:pStyle w:val="Bullet1"/>
      </w:pPr>
      <w:r w:rsidRPr="000C3055">
        <w:t>Australian salmon (</w:t>
      </w:r>
      <w:r w:rsidRPr="000C3055">
        <w:rPr>
          <w:i/>
        </w:rPr>
        <w:t>Arripis trutta</w:t>
      </w:r>
      <w:r w:rsidRPr="000C3055">
        <w:t xml:space="preserve">) taken by the Richey Fishing Company in the Tasmanian Scalefish Fishery as defined in the Tasmanian Fisheries (Scalefish) Rules 2015 in force under the Tasmanian </w:t>
      </w:r>
      <w:r w:rsidRPr="000C3055">
        <w:rPr>
          <w:i/>
        </w:rPr>
        <w:t>Living Marine Resources Management Act 1995</w:t>
      </w:r>
      <w:r w:rsidRPr="000C3055">
        <w:t>.</w:t>
      </w:r>
    </w:p>
    <w:p w:rsidR="008279DB" w:rsidRPr="000C3055" w:rsidRDefault="008279DB" w:rsidP="008279DB">
      <w:pPr>
        <w:spacing w:after="120"/>
        <w:rPr>
          <w:szCs w:val="26"/>
        </w:rPr>
      </w:pPr>
      <w:r w:rsidRPr="000C3055">
        <w:rPr>
          <w:szCs w:val="26"/>
        </w:rPr>
        <w:t xml:space="preserve">However, neither the text of the instruments nor the </w:t>
      </w:r>
      <w:r>
        <w:rPr>
          <w:szCs w:val="26"/>
        </w:rPr>
        <w:t>explanatory statements (</w:t>
      </w:r>
      <w:r w:rsidRPr="000C3055">
        <w:rPr>
          <w:szCs w:val="26"/>
        </w:rPr>
        <w:t>ESs</w:t>
      </w:r>
      <w:r>
        <w:rPr>
          <w:szCs w:val="26"/>
        </w:rPr>
        <w:t>)</w:t>
      </w:r>
      <w:r w:rsidRPr="000C3055">
        <w:rPr>
          <w:szCs w:val="26"/>
        </w:rPr>
        <w:t xml:space="preserve"> expressly state the manner in which the Tasmanian </w:t>
      </w:r>
      <w:r>
        <w:rPr>
          <w:i/>
          <w:szCs w:val="26"/>
        </w:rPr>
        <w:t xml:space="preserve">Living </w:t>
      </w:r>
      <w:r w:rsidRPr="000C3055">
        <w:rPr>
          <w:i/>
          <w:szCs w:val="26"/>
        </w:rPr>
        <w:t>Marine Resources Management Act 1995</w:t>
      </w:r>
      <w:r w:rsidRPr="000C3055">
        <w:rPr>
          <w:szCs w:val="26"/>
        </w:rPr>
        <w:t xml:space="preserve"> or the </w:t>
      </w:r>
      <w:r>
        <w:rPr>
          <w:i/>
          <w:szCs w:val="26"/>
        </w:rPr>
        <w:t>Fisheries Management Act </w:t>
      </w:r>
      <w:r w:rsidRPr="000C3055">
        <w:rPr>
          <w:i/>
          <w:szCs w:val="26"/>
        </w:rPr>
        <w:t>2007</w:t>
      </w:r>
      <w:r w:rsidRPr="000C3055">
        <w:rPr>
          <w:szCs w:val="26"/>
        </w:rPr>
        <w:t xml:space="preserve"> (South Australia) are</w:t>
      </w:r>
      <w:r>
        <w:rPr>
          <w:szCs w:val="26"/>
        </w:rPr>
        <w:t xml:space="preserve"> </w:t>
      </w:r>
      <w:r w:rsidRPr="000C3055">
        <w:rPr>
          <w:szCs w:val="26"/>
        </w:rPr>
        <w:t xml:space="preserve">incorporated. </w:t>
      </w:r>
    </w:p>
    <w:p w:rsidR="008279DB" w:rsidRPr="000C3055" w:rsidRDefault="008279DB" w:rsidP="008279DB">
      <w:pPr>
        <w:spacing w:after="120"/>
        <w:rPr>
          <w:szCs w:val="26"/>
        </w:rPr>
      </w:pPr>
      <w:r w:rsidRPr="000C3055">
        <w:rPr>
          <w:szCs w:val="26"/>
        </w:rPr>
        <w:t>The committee's usual expectation where instrument</w:t>
      </w:r>
      <w:r>
        <w:rPr>
          <w:szCs w:val="26"/>
        </w:rPr>
        <w:t>s</w:t>
      </w:r>
      <w:r w:rsidRPr="000C3055">
        <w:rPr>
          <w:szCs w:val="26"/>
        </w:rPr>
        <w:t xml:space="preserve"> incorporate extrinsic material by reference is that the manner of incorporation is clearly specified in the instrument</w:t>
      </w:r>
      <w:r>
        <w:rPr>
          <w:szCs w:val="26"/>
        </w:rPr>
        <w:t>s</w:t>
      </w:r>
      <w:r w:rsidRPr="000C3055">
        <w:rPr>
          <w:szCs w:val="26"/>
        </w:rPr>
        <w:t xml:space="preserve"> and, ideally, in the ES</w:t>
      </w:r>
      <w:r>
        <w:rPr>
          <w:szCs w:val="26"/>
        </w:rPr>
        <w:t>s</w:t>
      </w:r>
      <w:r w:rsidRPr="000C3055">
        <w:rPr>
          <w:szCs w:val="26"/>
        </w:rPr>
        <w:t>. The committee regards this as a best-practice approach that enables anticipated users or persons affected by any such instrument</w:t>
      </w:r>
      <w:r>
        <w:rPr>
          <w:szCs w:val="26"/>
        </w:rPr>
        <w:t>s</w:t>
      </w:r>
      <w:r w:rsidRPr="000C3055">
        <w:rPr>
          <w:szCs w:val="26"/>
        </w:rPr>
        <w:t xml:space="preserve"> to understand its operation without the need to rely on specialist legal knowledge or advice, or consult extrinsic material.</w:t>
      </w:r>
    </w:p>
    <w:p w:rsidR="008279DB" w:rsidRPr="000C3055" w:rsidRDefault="008279DB" w:rsidP="008279DB">
      <w:pPr>
        <w:spacing w:after="0"/>
        <w:rPr>
          <w:b/>
          <w:szCs w:val="26"/>
        </w:rPr>
      </w:pPr>
      <w:r w:rsidRPr="000C3055">
        <w:rPr>
          <w:b/>
          <w:szCs w:val="26"/>
        </w:rPr>
        <w:t>The committee requests the advice of the minister in relation to this matter.</w:t>
      </w:r>
    </w:p>
    <w:p w:rsidR="008279DB" w:rsidRDefault="008279DB" w:rsidP="008279DB">
      <w:pPr>
        <w:spacing w:after="0"/>
        <w:jc w:val="left"/>
      </w:pPr>
      <w:r>
        <w:br w:type="page"/>
      </w:r>
    </w:p>
    <w:tbl>
      <w:tblPr>
        <w:tblW w:w="0" w:type="auto"/>
        <w:tblInd w:w="108" w:type="dxa"/>
        <w:tblLook w:val="04A0" w:firstRow="1" w:lastRow="0" w:firstColumn="1" w:lastColumn="0" w:noHBand="0" w:noVBand="1"/>
      </w:tblPr>
      <w:tblGrid>
        <w:gridCol w:w="2694"/>
        <w:gridCol w:w="6378"/>
      </w:tblGrid>
      <w:tr w:rsidR="008279DB" w:rsidRPr="00164622" w:rsidTr="001B541D">
        <w:tc>
          <w:tcPr>
            <w:tcW w:w="2694" w:type="dxa"/>
            <w:tcBorders>
              <w:top w:val="single" w:sz="12" w:space="0" w:color="auto"/>
              <w:right w:val="single" w:sz="12" w:space="0" w:color="auto"/>
            </w:tcBorders>
          </w:tcPr>
          <w:p w:rsidR="008279DB" w:rsidRPr="00A77228" w:rsidRDefault="008279DB" w:rsidP="001B541D">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8279DB" w:rsidRPr="00BA36F8" w:rsidRDefault="008279DB" w:rsidP="001B541D">
            <w:pPr>
              <w:pStyle w:val="Heading3"/>
              <w:rPr>
                <w:sz w:val="24"/>
                <w:szCs w:val="24"/>
              </w:rPr>
            </w:pPr>
            <w:r w:rsidRPr="00321153">
              <w:rPr>
                <w:rFonts w:ascii="Times New (W1)" w:hAnsi="Times New (W1)"/>
                <w:noProof/>
                <w:sz w:val="24"/>
                <w:szCs w:val="24"/>
              </w:rPr>
              <w:t>CASA EX42/16 - Exemption — use of pre-hiring drug and alcohol tests [F2016L00219]</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Purpose</w:t>
            </w:r>
          </w:p>
        </w:tc>
        <w:tc>
          <w:tcPr>
            <w:tcW w:w="6378" w:type="dxa"/>
            <w:tcBorders>
              <w:left w:val="single" w:sz="12" w:space="0" w:color="auto"/>
            </w:tcBorders>
          </w:tcPr>
          <w:p w:rsidR="008279DB" w:rsidRPr="00A77228" w:rsidRDefault="008279DB" w:rsidP="001B541D">
            <w:pPr>
              <w:spacing w:before="120" w:after="120"/>
              <w:rPr>
                <w:sz w:val="24"/>
                <w:szCs w:val="24"/>
              </w:rPr>
            </w:pPr>
            <w:r w:rsidRPr="00321153">
              <w:rPr>
                <w:noProof/>
                <w:sz w:val="24"/>
                <w:szCs w:val="24"/>
              </w:rPr>
              <w:t>Permits organisations that are required to have a drug and alcohol management plan to use pre-hiring drug and alcohol tests to comply with the requirement to test newly-hired employees</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79DB" w:rsidRPr="00A77228" w:rsidRDefault="008279DB" w:rsidP="001B541D">
            <w:pPr>
              <w:spacing w:before="120" w:after="120"/>
              <w:rPr>
                <w:sz w:val="24"/>
                <w:szCs w:val="24"/>
              </w:rPr>
            </w:pPr>
            <w:r w:rsidRPr="00321153">
              <w:rPr>
                <w:noProof/>
                <w:sz w:val="24"/>
                <w:szCs w:val="24"/>
              </w:rPr>
              <w:t>23 August 2016</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79DB" w:rsidRPr="00CF69BA" w:rsidRDefault="008279DB" w:rsidP="001B541D">
            <w:pPr>
              <w:spacing w:before="120" w:after="120"/>
              <w:rPr>
                <w:sz w:val="24"/>
                <w:szCs w:val="24"/>
              </w:rPr>
            </w:pPr>
            <w:r w:rsidRPr="00CF69BA">
              <w:rPr>
                <w:noProof/>
                <w:sz w:val="24"/>
                <w:szCs w:val="24"/>
              </w:rPr>
              <w:t>Civil Aviation Safety Regulations 1998</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Department</w:t>
            </w:r>
          </w:p>
        </w:tc>
        <w:tc>
          <w:tcPr>
            <w:tcW w:w="6378" w:type="dxa"/>
            <w:tcBorders>
              <w:left w:val="single" w:sz="12" w:space="0" w:color="auto"/>
            </w:tcBorders>
          </w:tcPr>
          <w:p w:rsidR="008279DB" w:rsidRPr="00A77228" w:rsidRDefault="008279DB" w:rsidP="001B541D">
            <w:pPr>
              <w:spacing w:before="120" w:after="120"/>
              <w:rPr>
                <w:sz w:val="24"/>
                <w:szCs w:val="24"/>
              </w:rPr>
            </w:pPr>
            <w:r w:rsidRPr="00321153">
              <w:rPr>
                <w:noProof/>
                <w:sz w:val="24"/>
                <w:szCs w:val="24"/>
              </w:rPr>
              <w:t>Infrastructure and Regional Development</w:t>
            </w:r>
          </w:p>
        </w:tc>
      </w:tr>
      <w:tr w:rsidR="008279DB" w:rsidRPr="00164622" w:rsidTr="001B541D">
        <w:tc>
          <w:tcPr>
            <w:tcW w:w="2694" w:type="dxa"/>
            <w:tcBorders>
              <w:bottom w:val="single" w:sz="12" w:space="0" w:color="auto"/>
              <w:right w:val="single" w:sz="12" w:space="0" w:color="auto"/>
            </w:tcBorders>
          </w:tcPr>
          <w:p w:rsidR="008279DB" w:rsidRPr="00A77228" w:rsidRDefault="008279DB" w:rsidP="001B541D">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79DB" w:rsidRPr="00A77228" w:rsidRDefault="008279DB" w:rsidP="001B541D">
            <w:pPr>
              <w:spacing w:before="120" w:after="120"/>
              <w:rPr>
                <w:sz w:val="24"/>
                <w:szCs w:val="24"/>
              </w:rPr>
            </w:pPr>
            <w:r>
              <w:rPr>
                <w:sz w:val="24"/>
                <w:szCs w:val="24"/>
              </w:rPr>
              <w:t>Standing Order 23(3)</w:t>
            </w:r>
            <w:r w:rsidRPr="00321153">
              <w:rPr>
                <w:noProof/>
                <w:sz w:val="24"/>
                <w:szCs w:val="24"/>
              </w:rPr>
              <w:t>(a)</w:t>
            </w:r>
          </w:p>
        </w:tc>
      </w:tr>
    </w:tbl>
    <w:p w:rsidR="008279DB" w:rsidRDefault="008279DB" w:rsidP="008279DB">
      <w:pPr>
        <w:spacing w:before="120" w:after="120"/>
        <w:rPr>
          <w:b/>
          <w:noProof/>
        </w:rPr>
      </w:pPr>
    </w:p>
    <w:p w:rsidR="008279DB" w:rsidRDefault="008279DB" w:rsidP="008279DB">
      <w:pPr>
        <w:spacing w:before="120" w:after="120"/>
        <w:rPr>
          <w:b/>
          <w:noProof/>
        </w:rPr>
      </w:pPr>
      <w:r w:rsidRPr="00321153">
        <w:rPr>
          <w:b/>
          <w:noProof/>
        </w:rPr>
        <w:t>Matter more appropriate for parliamentary enactment</w:t>
      </w:r>
    </w:p>
    <w:p w:rsidR="008279DB" w:rsidRDefault="008279DB" w:rsidP="008279DB">
      <w:pPr>
        <w:spacing w:before="120" w:after="120"/>
      </w:pPr>
      <w:r w:rsidRPr="0021175E">
        <w:t>Scrutiny principle (d) of the committee's terms of reference requires the committee to consider whether an instrument contains matters more appropriate for parliamentary enactment (that is, matters that should be enacted via primary rather than delegated legislation). This may include instruments which extend relief from compliance with principal legislation.</w:t>
      </w:r>
    </w:p>
    <w:p w:rsidR="008279DB" w:rsidRDefault="008279DB" w:rsidP="008279DB">
      <w:pPr>
        <w:spacing w:before="120" w:after="120"/>
      </w:pPr>
      <w:r>
        <w:t xml:space="preserve">This instrument exempts drug and alcohol management plan (DAMP) organisations that are required to use pre-hiring drug and alcohol tests from having to repeat the drug and alcohol tests after applicants are formally appointed. </w:t>
      </w:r>
      <w:r w:rsidRPr="00310B58">
        <w:t>Th</w:t>
      </w:r>
      <w:r>
        <w:t>e committee also notes that the</w:t>
      </w:r>
      <w:r w:rsidRPr="00310B58">
        <w:t xml:space="preserve"> instrument extends</w:t>
      </w:r>
      <w:r>
        <w:t>,</w:t>
      </w:r>
      <w:r w:rsidRPr="00310B58">
        <w:t xml:space="preserve"> until 28 June 2019, the </w:t>
      </w:r>
      <w:r>
        <w:t xml:space="preserve">previous three-year </w:t>
      </w:r>
      <w:r w:rsidRPr="00310B58">
        <w:t>relief provided by CASA EX25/13</w:t>
      </w:r>
      <w:r>
        <w:t xml:space="preserve"> [</w:t>
      </w:r>
      <w:r w:rsidRPr="0021175E">
        <w:t>F2013L00382</w:t>
      </w:r>
      <w:r>
        <w:t>], the previous two-year relief provided by</w:t>
      </w:r>
      <w:r w:rsidRPr="0021175E">
        <w:t xml:space="preserve"> </w:t>
      </w:r>
      <w:r>
        <w:t>CASA </w:t>
      </w:r>
      <w:r w:rsidRPr="0021175E">
        <w:t xml:space="preserve">EX27/11 </w:t>
      </w:r>
      <w:r>
        <w:t>[</w:t>
      </w:r>
      <w:r w:rsidRPr="00911A2E">
        <w:t>F2011L00319</w:t>
      </w:r>
      <w:r>
        <w:t>] and the previous two-year relief provided by CASA 25/09 [</w:t>
      </w:r>
      <w:r w:rsidRPr="00911A2E">
        <w:t>F2009L01205</w:t>
      </w:r>
      <w:r>
        <w:t>]. The ES for the instrument states that the exemption is necessary because otherwise:</w:t>
      </w:r>
    </w:p>
    <w:p w:rsidR="008279DB" w:rsidRDefault="008279DB" w:rsidP="008279DB">
      <w:pPr>
        <w:pStyle w:val="Quote"/>
      </w:pPr>
      <w:r>
        <w:t>…</w:t>
      </w:r>
      <w:r w:rsidRPr="0039784E">
        <w:t>the drug and alcohol test conducted on a person who was still an applicant would have to be repeated after the applicant was formally appointed.</w:t>
      </w:r>
    </w:p>
    <w:p w:rsidR="008279DB" w:rsidRDefault="008279DB" w:rsidP="008279DB">
      <w:pPr>
        <w:spacing w:before="120" w:after="120"/>
        <w:rPr>
          <w:szCs w:val="26"/>
        </w:rPr>
      </w:pPr>
      <w:r>
        <w:t xml:space="preserve">Given the duration and purpose of the exemption, it appears that the instrument may be addressing an unintended consequence of the operation of the DAMP provisions of the </w:t>
      </w:r>
      <w:r w:rsidRPr="0039784E">
        <w:t>Civil Aviation Safety Regulations 1998</w:t>
      </w:r>
      <w:r>
        <w:t xml:space="preserve"> (the regulations). In such cases, </w:t>
      </w:r>
      <w:r>
        <w:rPr>
          <w:szCs w:val="26"/>
        </w:rPr>
        <w:t xml:space="preserve">the </w:t>
      </w:r>
      <w:r w:rsidRPr="002E1837">
        <w:rPr>
          <w:szCs w:val="26"/>
        </w:rPr>
        <w:t>committee</w:t>
      </w:r>
      <w:r>
        <w:rPr>
          <w:szCs w:val="26"/>
        </w:rPr>
        <w:t>'s</w:t>
      </w:r>
      <w:r w:rsidRPr="002E1837">
        <w:rPr>
          <w:szCs w:val="26"/>
        </w:rPr>
        <w:t xml:space="preserve"> general prefer</w:t>
      </w:r>
      <w:r>
        <w:rPr>
          <w:szCs w:val="26"/>
        </w:rPr>
        <w:t>ence i</w:t>
      </w:r>
      <w:r w:rsidRPr="002E1837">
        <w:rPr>
          <w:szCs w:val="26"/>
        </w:rPr>
        <w:t xml:space="preserve">s that </w:t>
      </w:r>
      <w:r w:rsidRPr="0021175E">
        <w:rPr>
          <w:szCs w:val="26"/>
        </w:rPr>
        <w:t>exemptions are not used or do not continue for</w:t>
      </w:r>
      <w:r>
        <w:rPr>
          <w:szCs w:val="26"/>
        </w:rPr>
        <w:t xml:space="preserve"> </w:t>
      </w:r>
      <w:r w:rsidRPr="0021175E">
        <w:rPr>
          <w:szCs w:val="26"/>
        </w:rPr>
        <w:t>such time as to operate as de facto amendments to principal legislation</w:t>
      </w:r>
      <w:r>
        <w:rPr>
          <w:szCs w:val="26"/>
        </w:rPr>
        <w:t xml:space="preserve"> (in this case the regulations). However, no information is provided in the ES as to why the series of exemptions have been used in favour of an amendment to the relevant DAMP provisions of the regulations.</w:t>
      </w:r>
    </w:p>
    <w:p w:rsidR="008279DB" w:rsidRDefault="008279DB" w:rsidP="008279DB">
      <w:pPr>
        <w:spacing w:before="120" w:after="120"/>
        <w:rPr>
          <w:b/>
          <w:szCs w:val="26"/>
        </w:rPr>
      </w:pPr>
      <w:r>
        <w:rPr>
          <w:b/>
          <w:szCs w:val="26"/>
        </w:rPr>
        <w:t>The committee seeks the advice of the minister in relation to this matter.</w:t>
      </w:r>
    </w:p>
    <w:p w:rsidR="008279DB" w:rsidRDefault="008279DB" w:rsidP="008279DB">
      <w:pPr>
        <w:spacing w:after="0"/>
        <w:jc w:val="left"/>
        <w:rPr>
          <w:b/>
          <w:noProof/>
        </w:rPr>
      </w:pPr>
      <w:r>
        <w:rPr>
          <w:b/>
          <w:noProof/>
        </w:rPr>
        <w:br w:type="page"/>
      </w:r>
    </w:p>
    <w:tbl>
      <w:tblPr>
        <w:tblW w:w="0" w:type="auto"/>
        <w:tblInd w:w="108" w:type="dxa"/>
        <w:tblLook w:val="04A0" w:firstRow="1" w:lastRow="0" w:firstColumn="1" w:lastColumn="0" w:noHBand="0" w:noVBand="1"/>
      </w:tblPr>
      <w:tblGrid>
        <w:gridCol w:w="2694"/>
        <w:gridCol w:w="6378"/>
      </w:tblGrid>
      <w:tr w:rsidR="008279DB" w:rsidRPr="00164622" w:rsidTr="001B541D">
        <w:tc>
          <w:tcPr>
            <w:tcW w:w="2694" w:type="dxa"/>
            <w:tcBorders>
              <w:top w:val="single" w:sz="12" w:space="0" w:color="auto"/>
              <w:right w:val="single" w:sz="12" w:space="0" w:color="auto"/>
            </w:tcBorders>
          </w:tcPr>
          <w:p w:rsidR="008279DB" w:rsidRPr="00A77228" w:rsidRDefault="008279DB" w:rsidP="001B541D">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8279DB" w:rsidRPr="00BA36F8" w:rsidRDefault="008279DB" w:rsidP="001B541D">
            <w:pPr>
              <w:pStyle w:val="Heading3"/>
              <w:rPr>
                <w:sz w:val="24"/>
                <w:szCs w:val="24"/>
              </w:rPr>
            </w:pPr>
            <w:r w:rsidRPr="00321153">
              <w:rPr>
                <w:rFonts w:ascii="Times New (W1)" w:hAnsi="Times New (W1)"/>
                <w:noProof/>
                <w:sz w:val="24"/>
                <w:szCs w:val="24"/>
              </w:rPr>
              <w:t>Telecommunications (Interception and Access) (Communications Access Co-ordinator) Specification 2016 [F2016L00217]</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Purpose</w:t>
            </w:r>
          </w:p>
        </w:tc>
        <w:tc>
          <w:tcPr>
            <w:tcW w:w="6378" w:type="dxa"/>
            <w:tcBorders>
              <w:left w:val="single" w:sz="12" w:space="0" w:color="auto"/>
            </w:tcBorders>
          </w:tcPr>
          <w:p w:rsidR="008279DB" w:rsidRPr="00A77228" w:rsidRDefault="008279DB" w:rsidP="001B541D">
            <w:pPr>
              <w:spacing w:before="120" w:after="120"/>
              <w:rPr>
                <w:sz w:val="24"/>
                <w:szCs w:val="24"/>
              </w:rPr>
            </w:pPr>
            <w:r w:rsidRPr="00321153">
              <w:rPr>
                <w:noProof/>
                <w:sz w:val="24"/>
                <w:szCs w:val="24"/>
              </w:rPr>
              <w:t xml:space="preserve">Specifies the person holding or acting in the position of First Assistant Secretary, National Security Law and Policy Division </w:t>
            </w:r>
            <w:r>
              <w:rPr>
                <w:noProof/>
                <w:sz w:val="24"/>
                <w:szCs w:val="24"/>
              </w:rPr>
              <w:t>a</w:t>
            </w:r>
            <w:r w:rsidRPr="00321153">
              <w:rPr>
                <w:noProof/>
                <w:sz w:val="24"/>
                <w:szCs w:val="24"/>
              </w:rPr>
              <w:t>s the Communications Access Co-ordinator</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79DB" w:rsidRPr="00A77228" w:rsidRDefault="008279DB" w:rsidP="001B541D">
            <w:pPr>
              <w:spacing w:before="120" w:after="120"/>
              <w:rPr>
                <w:sz w:val="24"/>
                <w:szCs w:val="24"/>
              </w:rPr>
            </w:pPr>
            <w:r w:rsidRPr="00321153">
              <w:rPr>
                <w:noProof/>
                <w:sz w:val="24"/>
                <w:szCs w:val="24"/>
              </w:rPr>
              <w:t xml:space="preserve">23 August 2016 </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79DB" w:rsidRPr="00932D1C" w:rsidRDefault="008279DB" w:rsidP="001B541D">
            <w:pPr>
              <w:spacing w:before="120" w:after="120"/>
              <w:rPr>
                <w:i/>
                <w:sz w:val="24"/>
                <w:szCs w:val="24"/>
              </w:rPr>
            </w:pPr>
            <w:r w:rsidRPr="00321153">
              <w:rPr>
                <w:i/>
                <w:noProof/>
                <w:sz w:val="24"/>
                <w:szCs w:val="24"/>
              </w:rPr>
              <w:t>Telecommunications (Interception and Access) Act 1979</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Department</w:t>
            </w:r>
          </w:p>
        </w:tc>
        <w:tc>
          <w:tcPr>
            <w:tcW w:w="6378" w:type="dxa"/>
            <w:tcBorders>
              <w:left w:val="single" w:sz="12" w:space="0" w:color="auto"/>
            </w:tcBorders>
          </w:tcPr>
          <w:p w:rsidR="008279DB" w:rsidRPr="00A77228" w:rsidRDefault="008279DB" w:rsidP="001B541D">
            <w:pPr>
              <w:spacing w:before="120" w:after="120"/>
              <w:rPr>
                <w:sz w:val="24"/>
                <w:szCs w:val="24"/>
              </w:rPr>
            </w:pPr>
            <w:r w:rsidRPr="00321153">
              <w:rPr>
                <w:noProof/>
                <w:sz w:val="24"/>
                <w:szCs w:val="24"/>
              </w:rPr>
              <w:t>Attorney-General's</w:t>
            </w:r>
          </w:p>
        </w:tc>
      </w:tr>
      <w:tr w:rsidR="008279DB" w:rsidRPr="00164622" w:rsidTr="001B541D">
        <w:tc>
          <w:tcPr>
            <w:tcW w:w="2694" w:type="dxa"/>
            <w:tcBorders>
              <w:bottom w:val="single" w:sz="12" w:space="0" w:color="auto"/>
              <w:right w:val="single" w:sz="12" w:space="0" w:color="auto"/>
            </w:tcBorders>
          </w:tcPr>
          <w:p w:rsidR="008279DB" w:rsidRPr="00A77228" w:rsidRDefault="008279DB" w:rsidP="001B541D">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79DB" w:rsidRPr="00A77228" w:rsidRDefault="008279DB" w:rsidP="001B541D">
            <w:pPr>
              <w:spacing w:before="120" w:after="120"/>
              <w:rPr>
                <w:sz w:val="24"/>
                <w:szCs w:val="24"/>
              </w:rPr>
            </w:pPr>
            <w:r>
              <w:rPr>
                <w:sz w:val="24"/>
                <w:szCs w:val="24"/>
              </w:rPr>
              <w:t>Standing Order 23(3)</w:t>
            </w:r>
            <w:r w:rsidRPr="00321153">
              <w:rPr>
                <w:noProof/>
                <w:sz w:val="24"/>
                <w:szCs w:val="24"/>
              </w:rPr>
              <w:t>(a)</w:t>
            </w:r>
          </w:p>
        </w:tc>
      </w:tr>
    </w:tbl>
    <w:p w:rsidR="008279DB" w:rsidRDefault="008279DB" w:rsidP="008279DB">
      <w:pPr>
        <w:spacing w:after="120"/>
      </w:pPr>
    </w:p>
    <w:p w:rsidR="008279DB" w:rsidRDefault="008279DB" w:rsidP="008279DB">
      <w:pPr>
        <w:spacing w:before="120" w:after="120"/>
        <w:rPr>
          <w:b/>
          <w:noProof/>
        </w:rPr>
      </w:pPr>
      <w:r w:rsidRPr="003242EE">
        <w:rPr>
          <w:b/>
          <w:noProof/>
        </w:rPr>
        <w:t>No statement of compatibility</w:t>
      </w:r>
    </w:p>
    <w:p w:rsidR="008279DB" w:rsidRDefault="008279DB" w:rsidP="008279DB">
      <w:pPr>
        <w:spacing w:before="120" w:after="120"/>
      </w:pPr>
      <w:r>
        <w:t xml:space="preserve">Section 9 of the </w:t>
      </w:r>
      <w:r>
        <w:rPr>
          <w:i/>
          <w:iCs/>
        </w:rPr>
        <w:t xml:space="preserve">Human Rights (Parliamentary Scrutiny) Act 2011 </w:t>
      </w:r>
      <w:r>
        <w:t xml:space="preserve">requires a </w:t>
      </w:r>
      <w:r>
        <w:br/>
        <w:t xml:space="preserve">rule-maker to prepare a statement of compatibility in relation to an instrument to which section 42 (disallowance) of the </w:t>
      </w:r>
      <w:r>
        <w:rPr>
          <w:i/>
          <w:iCs/>
        </w:rPr>
        <w:t xml:space="preserve">Legislative Instruments Act 2003 </w:t>
      </w:r>
      <w:r>
        <w:t>applies. The statement of compatibility must include an assessment of whether the legislative instrument is compatible with human rights, and must be included in the ES for the legislative instrument.</w:t>
      </w:r>
    </w:p>
    <w:p w:rsidR="008279DB" w:rsidRDefault="008279DB" w:rsidP="008279DB">
      <w:pPr>
        <w:spacing w:before="120" w:after="120"/>
      </w:pPr>
      <w:r>
        <w:t>With reference to these requirements, the committee notes that the ES for this instrument does not include a statement of compatibility.</w:t>
      </w:r>
    </w:p>
    <w:p w:rsidR="008279DB" w:rsidRDefault="008279DB" w:rsidP="008279DB">
      <w:pPr>
        <w:spacing w:before="120" w:after="0"/>
        <w:rPr>
          <w:b/>
          <w:bCs/>
        </w:rPr>
      </w:pPr>
      <w:r>
        <w:rPr>
          <w:b/>
          <w:bCs/>
        </w:rPr>
        <w:t xml:space="preserve">The committee requests the advice of the minister in relation to this matter; and requests that the ES be updated in accordance with the requirements of the </w:t>
      </w:r>
      <w:r>
        <w:rPr>
          <w:b/>
          <w:bCs/>
          <w:i/>
          <w:iCs/>
        </w:rPr>
        <w:t>Human Rights (Parliamentary Scrutiny) Act 2011</w:t>
      </w:r>
      <w:r>
        <w:rPr>
          <w:b/>
          <w:bCs/>
        </w:rPr>
        <w:t>.</w:t>
      </w:r>
    </w:p>
    <w:p w:rsidR="008279DB" w:rsidRPr="003242EE" w:rsidRDefault="008279DB" w:rsidP="008279DB">
      <w:pPr>
        <w:spacing w:after="0"/>
        <w:rPr>
          <w:b/>
          <w:noProof/>
        </w:rPr>
      </w:pPr>
    </w:p>
    <w:p w:rsidR="008279DB" w:rsidRDefault="008279DB" w:rsidP="008279DB">
      <w:pPr>
        <w:spacing w:after="120"/>
        <w:rPr>
          <w:b/>
          <w:noProof/>
        </w:rPr>
      </w:pPr>
      <w:r w:rsidRPr="003242EE">
        <w:rPr>
          <w:b/>
          <w:noProof/>
        </w:rPr>
        <w:t>No description of consultation</w:t>
      </w:r>
    </w:p>
    <w:p w:rsidR="008279DB" w:rsidRPr="00B56395" w:rsidRDefault="008279DB" w:rsidP="008279DB">
      <w:pPr>
        <w:autoSpaceDE w:val="0"/>
        <w:autoSpaceDN w:val="0"/>
        <w:adjustRightInd w:val="0"/>
        <w:spacing w:before="120" w:after="120"/>
      </w:pPr>
      <w:r>
        <w:rPr>
          <w:szCs w:val="26"/>
        </w:rPr>
        <w:t xml:space="preserve">Section 17 of the </w:t>
      </w:r>
      <w:r>
        <w:rPr>
          <w:i/>
          <w:iCs/>
          <w:szCs w:val="26"/>
        </w:rPr>
        <w:t xml:space="preserve">Legislative Instruments Act 2003 </w:t>
      </w:r>
      <w:r>
        <w:rPr>
          <w:szCs w:val="26"/>
        </w:rPr>
        <w:t xml:space="preserve">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t>
      </w:r>
    </w:p>
    <w:p w:rsidR="008279DB" w:rsidRDefault="008279DB" w:rsidP="008279DB">
      <w:pPr>
        <w:spacing w:before="120" w:after="120"/>
      </w:pPr>
      <w:r>
        <w:t xml:space="preserve">With reference to these requirements, the </w:t>
      </w:r>
      <w:r w:rsidRPr="00B56395">
        <w:t xml:space="preserve">committee </w:t>
      </w:r>
      <w:r>
        <w:t xml:space="preserve">notes that </w:t>
      </w:r>
      <w:r w:rsidRPr="00B56395">
        <w:t>the ES for the instrument provides no information regarding consultation</w:t>
      </w:r>
      <w:r>
        <w:t>.</w:t>
      </w:r>
    </w:p>
    <w:p w:rsidR="008279DB" w:rsidRDefault="008279DB" w:rsidP="008279DB">
      <w:pPr>
        <w:spacing w:before="120" w:after="120"/>
        <w:rPr>
          <w:b/>
          <w:bCs/>
          <w:szCs w:val="26"/>
        </w:rPr>
      </w:pPr>
      <w:r>
        <w:rPr>
          <w:b/>
          <w:bCs/>
          <w:szCs w:val="26"/>
        </w:rPr>
        <w:t xml:space="preserve">The committee requests the advice of the minister in relation to this matter; and requests that the ES be updated in accordance with the requirements of the </w:t>
      </w:r>
      <w:r>
        <w:rPr>
          <w:b/>
          <w:bCs/>
          <w:i/>
          <w:iCs/>
          <w:szCs w:val="26"/>
        </w:rPr>
        <w:t>Legislative Instruments Act 2003</w:t>
      </w:r>
      <w:r>
        <w:rPr>
          <w:b/>
          <w:bCs/>
          <w:szCs w:val="26"/>
        </w:rPr>
        <w:t>.</w:t>
      </w:r>
    </w:p>
    <w:p w:rsidR="008279DB" w:rsidRDefault="008279DB" w:rsidP="008279DB">
      <w:pPr>
        <w:spacing w:after="0"/>
        <w:jc w:val="left"/>
        <w:rPr>
          <w:b/>
          <w:bCs/>
          <w:szCs w:val="26"/>
        </w:rPr>
      </w:pPr>
      <w:r>
        <w:rPr>
          <w:b/>
          <w:bCs/>
          <w:szCs w:val="26"/>
        </w:rPr>
        <w:br w:type="page"/>
      </w:r>
    </w:p>
    <w:p w:rsidR="008279DB" w:rsidRDefault="008279DB" w:rsidP="008279DB">
      <w:pPr>
        <w:spacing w:before="120" w:after="120"/>
        <w:rPr>
          <w:b/>
          <w:bCs/>
          <w:szCs w:val="26"/>
        </w:rPr>
      </w:pPr>
    </w:p>
    <w:tbl>
      <w:tblPr>
        <w:tblW w:w="0" w:type="auto"/>
        <w:tblInd w:w="108" w:type="dxa"/>
        <w:tblLook w:val="04A0" w:firstRow="1" w:lastRow="0" w:firstColumn="1" w:lastColumn="0" w:noHBand="0" w:noVBand="1"/>
      </w:tblPr>
      <w:tblGrid>
        <w:gridCol w:w="2694"/>
        <w:gridCol w:w="6378"/>
      </w:tblGrid>
      <w:tr w:rsidR="008279DB" w:rsidRPr="00164622" w:rsidTr="001B541D">
        <w:tc>
          <w:tcPr>
            <w:tcW w:w="2694" w:type="dxa"/>
            <w:tcBorders>
              <w:top w:val="single" w:sz="12" w:space="0" w:color="auto"/>
              <w:right w:val="single" w:sz="12" w:space="0" w:color="auto"/>
            </w:tcBorders>
          </w:tcPr>
          <w:p w:rsidR="008279DB" w:rsidRPr="00A77228" w:rsidRDefault="008279DB" w:rsidP="001B541D">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8279DB" w:rsidRPr="00BA36F8" w:rsidRDefault="008279DB" w:rsidP="001B541D">
            <w:pPr>
              <w:pStyle w:val="Heading3"/>
              <w:rPr>
                <w:sz w:val="24"/>
                <w:szCs w:val="24"/>
              </w:rPr>
            </w:pPr>
            <w:r w:rsidRPr="00292FA7">
              <w:rPr>
                <w:noProof/>
                <w:sz w:val="24"/>
                <w:szCs w:val="24"/>
              </w:rPr>
              <w:t>Wine Equalisation Tax New Zealand Producer Rebate Foreign Exchange Conversion Determination (No. 35) 2016  [F2016L00197]</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Purpose</w:t>
            </w:r>
          </w:p>
        </w:tc>
        <w:tc>
          <w:tcPr>
            <w:tcW w:w="6378" w:type="dxa"/>
            <w:tcBorders>
              <w:left w:val="single" w:sz="12" w:space="0" w:color="auto"/>
            </w:tcBorders>
          </w:tcPr>
          <w:p w:rsidR="008279DB" w:rsidRPr="00A77228" w:rsidRDefault="008279DB" w:rsidP="001B541D">
            <w:pPr>
              <w:spacing w:before="120" w:after="120"/>
              <w:rPr>
                <w:sz w:val="24"/>
                <w:szCs w:val="24"/>
              </w:rPr>
            </w:pPr>
            <w:r w:rsidRPr="00292FA7">
              <w:rPr>
                <w:noProof/>
                <w:sz w:val="24"/>
                <w:szCs w:val="24"/>
              </w:rPr>
              <w:t>Sets out the manner in which a component of the approved selling price of wine expressed in a currency other than Australian currency may be converted to Australian currency for the purposes of calculating the wine equalisation tax (WET) producer rebate by eligible New Zealand wine producers</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79DB" w:rsidRPr="00A77228" w:rsidRDefault="008279DB" w:rsidP="001B541D">
            <w:pPr>
              <w:spacing w:before="120" w:after="120"/>
              <w:rPr>
                <w:sz w:val="24"/>
                <w:szCs w:val="24"/>
              </w:rPr>
            </w:pPr>
            <w:r w:rsidRPr="00292FA7">
              <w:rPr>
                <w:noProof/>
                <w:sz w:val="24"/>
                <w:szCs w:val="24"/>
              </w:rPr>
              <w:t>29 June 2016</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79DB" w:rsidRPr="00932D1C" w:rsidRDefault="008279DB" w:rsidP="001B541D">
            <w:pPr>
              <w:spacing w:before="120" w:after="120"/>
              <w:rPr>
                <w:i/>
                <w:sz w:val="24"/>
                <w:szCs w:val="24"/>
              </w:rPr>
            </w:pPr>
            <w:r w:rsidRPr="00292FA7">
              <w:rPr>
                <w:i/>
                <w:noProof/>
                <w:sz w:val="24"/>
                <w:szCs w:val="24"/>
              </w:rPr>
              <w:t>A New Tax System (Wine Equalisation Tax) Act 1999</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Department</w:t>
            </w:r>
          </w:p>
        </w:tc>
        <w:tc>
          <w:tcPr>
            <w:tcW w:w="6378" w:type="dxa"/>
            <w:tcBorders>
              <w:left w:val="single" w:sz="12" w:space="0" w:color="auto"/>
            </w:tcBorders>
          </w:tcPr>
          <w:p w:rsidR="008279DB" w:rsidRPr="00A77228" w:rsidRDefault="008279DB" w:rsidP="001B541D">
            <w:pPr>
              <w:spacing w:before="120" w:after="120"/>
              <w:rPr>
                <w:sz w:val="24"/>
                <w:szCs w:val="24"/>
              </w:rPr>
            </w:pPr>
            <w:r w:rsidRPr="00292FA7">
              <w:rPr>
                <w:noProof/>
                <w:sz w:val="24"/>
                <w:szCs w:val="24"/>
              </w:rPr>
              <w:t>Treasury</w:t>
            </w:r>
          </w:p>
        </w:tc>
      </w:tr>
      <w:tr w:rsidR="008279DB" w:rsidRPr="00164622" w:rsidTr="001B541D">
        <w:tc>
          <w:tcPr>
            <w:tcW w:w="2694" w:type="dxa"/>
            <w:tcBorders>
              <w:bottom w:val="single" w:sz="12" w:space="0" w:color="auto"/>
              <w:right w:val="single" w:sz="12" w:space="0" w:color="auto"/>
            </w:tcBorders>
          </w:tcPr>
          <w:p w:rsidR="008279DB" w:rsidRPr="00A77228" w:rsidRDefault="008279DB" w:rsidP="001B541D">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79DB" w:rsidRPr="00A77228" w:rsidRDefault="008279DB" w:rsidP="001B541D">
            <w:pPr>
              <w:spacing w:before="120" w:after="120"/>
              <w:rPr>
                <w:sz w:val="24"/>
                <w:szCs w:val="24"/>
              </w:rPr>
            </w:pPr>
            <w:r>
              <w:rPr>
                <w:sz w:val="24"/>
                <w:szCs w:val="24"/>
              </w:rPr>
              <w:t>Standing Order 23(3)</w:t>
            </w:r>
            <w:r w:rsidRPr="00292FA7">
              <w:rPr>
                <w:noProof/>
                <w:sz w:val="24"/>
                <w:szCs w:val="24"/>
              </w:rPr>
              <w:t>(a)</w:t>
            </w:r>
          </w:p>
        </w:tc>
      </w:tr>
    </w:tbl>
    <w:p w:rsidR="008279DB" w:rsidRDefault="008279DB" w:rsidP="008279DB">
      <w:pPr>
        <w:spacing w:before="120" w:after="120"/>
      </w:pPr>
    </w:p>
    <w:p w:rsidR="008279DB" w:rsidRDefault="008279DB" w:rsidP="008279DB">
      <w:pPr>
        <w:spacing w:before="120" w:after="120"/>
      </w:pPr>
      <w:r w:rsidRPr="00292FA7">
        <w:rPr>
          <w:b/>
          <w:noProof/>
        </w:rPr>
        <w:t>Incorporation of extrinsic material</w:t>
      </w:r>
    </w:p>
    <w:p w:rsidR="008279DB" w:rsidRDefault="008279DB" w:rsidP="008279DB">
      <w:pPr>
        <w:spacing w:before="120" w:after="120"/>
        <w:rPr>
          <w:szCs w:val="26"/>
        </w:rPr>
      </w:pPr>
      <w:r w:rsidRPr="00983339">
        <w:rPr>
          <w:szCs w:val="26"/>
        </w:rPr>
        <w:t xml:space="preserve">Section 14 of the </w:t>
      </w:r>
      <w:r w:rsidRPr="00983339">
        <w:rPr>
          <w:i/>
          <w:szCs w:val="26"/>
        </w:rPr>
        <w:t>Legislative Instruments Act 2003</w:t>
      </w:r>
      <w:r w:rsidRPr="00983339">
        <w:rPr>
          <w:szCs w:val="26"/>
        </w:rPr>
        <w:t xml:space="preserve"> provides for the incorporation of extrinsic material into instruments. Legislative material may be incorporated as in force from time to time or at a particular date. Non-legislative material may only be incorporated as in force at the commencement of the instrument, unless authorising or other legislation alters the operation of section 14.</w:t>
      </w:r>
    </w:p>
    <w:p w:rsidR="008279DB" w:rsidRDefault="008279DB" w:rsidP="008279DB">
      <w:pPr>
        <w:spacing w:before="120" w:after="120"/>
        <w:rPr>
          <w:szCs w:val="26"/>
        </w:rPr>
      </w:pPr>
      <w:r>
        <w:rPr>
          <w:szCs w:val="26"/>
        </w:rPr>
        <w:t xml:space="preserve">With reference to the above, the committee notes that section 4 of the instrument defines the term 'Reserve Bank of New Zealand' as 'the body corporate continued in existence under the </w:t>
      </w:r>
      <w:r>
        <w:rPr>
          <w:i/>
          <w:szCs w:val="26"/>
        </w:rPr>
        <w:t>Reserve Bank of New Zealand Act</w:t>
      </w:r>
      <w:r>
        <w:rPr>
          <w:szCs w:val="26"/>
        </w:rPr>
        <w:t>'</w:t>
      </w:r>
      <w:r w:rsidRPr="00983339">
        <w:rPr>
          <w:szCs w:val="26"/>
        </w:rPr>
        <w:t>. However, neither the text of the instrument nor the ES expressly state the manner in which the</w:t>
      </w:r>
      <w:r>
        <w:rPr>
          <w:szCs w:val="26"/>
        </w:rPr>
        <w:t xml:space="preserve"> </w:t>
      </w:r>
      <w:r>
        <w:rPr>
          <w:i/>
          <w:szCs w:val="26"/>
        </w:rPr>
        <w:t xml:space="preserve">Reserve Bank of New Zealand Act </w:t>
      </w:r>
      <w:r>
        <w:t>is</w:t>
      </w:r>
      <w:r w:rsidRPr="00983339">
        <w:rPr>
          <w:szCs w:val="26"/>
        </w:rPr>
        <w:t xml:space="preserve"> incorporated.</w:t>
      </w:r>
    </w:p>
    <w:p w:rsidR="008279DB" w:rsidRDefault="008279DB" w:rsidP="008279DB">
      <w:pPr>
        <w:spacing w:before="120" w:after="120"/>
        <w:rPr>
          <w:szCs w:val="26"/>
        </w:rPr>
      </w:pPr>
      <w:r w:rsidRPr="00983339">
        <w:rPr>
          <w:szCs w:val="26"/>
        </w:rPr>
        <w:t>The committee's usual expectation where an instrument incorporates extrinsic material</w:t>
      </w:r>
      <w:r>
        <w:rPr>
          <w:szCs w:val="26"/>
        </w:rPr>
        <w:t xml:space="preserve"> </w:t>
      </w:r>
      <w:r w:rsidRPr="00983339">
        <w:rPr>
          <w:szCs w:val="26"/>
        </w:rPr>
        <w:t>by reference is that the manner of incorporation is clearly specified in the instrument</w:t>
      </w:r>
      <w:r>
        <w:rPr>
          <w:szCs w:val="26"/>
        </w:rPr>
        <w:t xml:space="preserve"> </w:t>
      </w:r>
      <w:r w:rsidRPr="00983339">
        <w:rPr>
          <w:szCs w:val="26"/>
        </w:rPr>
        <w:t>and, ideally, in the ES. The committee regards this as a best-practice approach that</w:t>
      </w:r>
      <w:r>
        <w:rPr>
          <w:szCs w:val="26"/>
        </w:rPr>
        <w:t xml:space="preserve"> </w:t>
      </w:r>
      <w:r w:rsidRPr="00983339">
        <w:rPr>
          <w:szCs w:val="26"/>
        </w:rPr>
        <w:t>enables anticipated users or persons affected by any such instrument to understand its</w:t>
      </w:r>
      <w:r>
        <w:rPr>
          <w:szCs w:val="26"/>
        </w:rPr>
        <w:t xml:space="preserve"> </w:t>
      </w:r>
      <w:r w:rsidRPr="00983339">
        <w:rPr>
          <w:szCs w:val="26"/>
        </w:rPr>
        <w:t>operation without the need to rely on specialist legal knowledge or advice, or consult</w:t>
      </w:r>
      <w:r>
        <w:rPr>
          <w:szCs w:val="26"/>
        </w:rPr>
        <w:t xml:space="preserve"> </w:t>
      </w:r>
      <w:r w:rsidRPr="00983339">
        <w:rPr>
          <w:szCs w:val="26"/>
        </w:rPr>
        <w:t>extrinsic material.</w:t>
      </w:r>
    </w:p>
    <w:p w:rsidR="008279DB" w:rsidRDefault="008279DB" w:rsidP="008279DB">
      <w:pPr>
        <w:spacing w:before="120" w:after="120"/>
        <w:rPr>
          <w:b/>
          <w:szCs w:val="26"/>
        </w:rPr>
      </w:pPr>
      <w:r w:rsidRPr="00983339">
        <w:rPr>
          <w:b/>
          <w:szCs w:val="26"/>
        </w:rPr>
        <w:t>The committee requests the advice of the minister in relation to this matter.</w:t>
      </w:r>
    </w:p>
    <w:p w:rsidR="008279DB" w:rsidRDefault="008279DB" w:rsidP="008279DB">
      <w:pPr>
        <w:spacing w:after="0"/>
        <w:jc w:val="left"/>
        <w:rPr>
          <w:b/>
          <w:szCs w:val="26"/>
        </w:rPr>
      </w:pPr>
      <w:r>
        <w:rPr>
          <w:b/>
          <w:szCs w:val="26"/>
        </w:rPr>
        <w:br w:type="page"/>
      </w:r>
    </w:p>
    <w:p w:rsidR="008279DB" w:rsidRPr="00483549" w:rsidRDefault="008279DB" w:rsidP="008279DB">
      <w:pPr>
        <w:pStyle w:val="Heading2"/>
        <w:spacing w:before="240"/>
        <w:rPr>
          <w:sz w:val="32"/>
          <w:szCs w:val="32"/>
        </w:rPr>
      </w:pPr>
      <w:r w:rsidRPr="00483549">
        <w:rPr>
          <w:sz w:val="32"/>
          <w:szCs w:val="32"/>
        </w:rPr>
        <w:lastRenderedPageBreak/>
        <w:t>Advice only</w:t>
      </w:r>
    </w:p>
    <w:p w:rsidR="008279DB" w:rsidRPr="00483549" w:rsidRDefault="008279DB" w:rsidP="008279DB">
      <w:pPr>
        <w:pStyle w:val="Level1"/>
        <w:numPr>
          <w:ilvl w:val="0"/>
          <w:numId w:val="0"/>
        </w:numPr>
      </w:pPr>
      <w:r w:rsidRPr="00483549">
        <w:t>The committee draws the following matters to the attention of relevant ministers or instrument-makers on an advice only basis. These comments do not require a response.</w:t>
      </w:r>
    </w:p>
    <w:p w:rsidR="008279DB" w:rsidRPr="00164622" w:rsidRDefault="008279DB" w:rsidP="008279DB">
      <w:pPr>
        <w:spacing w:before="120" w:after="120"/>
        <w:rPr>
          <w:szCs w:val="26"/>
        </w:rPr>
      </w:pPr>
    </w:p>
    <w:tbl>
      <w:tblPr>
        <w:tblW w:w="0" w:type="auto"/>
        <w:tblInd w:w="108" w:type="dxa"/>
        <w:tblLook w:val="04A0" w:firstRow="1" w:lastRow="0" w:firstColumn="1" w:lastColumn="0" w:noHBand="0" w:noVBand="1"/>
      </w:tblPr>
      <w:tblGrid>
        <w:gridCol w:w="2694"/>
        <w:gridCol w:w="6378"/>
      </w:tblGrid>
      <w:tr w:rsidR="008279DB" w:rsidRPr="00164622" w:rsidTr="001B541D">
        <w:tc>
          <w:tcPr>
            <w:tcW w:w="2694" w:type="dxa"/>
            <w:tcBorders>
              <w:top w:val="single" w:sz="12" w:space="0" w:color="auto"/>
              <w:right w:val="single" w:sz="12" w:space="0" w:color="auto"/>
            </w:tcBorders>
          </w:tcPr>
          <w:p w:rsidR="008279DB" w:rsidRPr="00A77228" w:rsidRDefault="008279DB" w:rsidP="001B541D">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8279DB" w:rsidRPr="00BA36F8" w:rsidRDefault="008279DB" w:rsidP="001B541D">
            <w:pPr>
              <w:pStyle w:val="Heading3"/>
              <w:rPr>
                <w:sz w:val="24"/>
                <w:szCs w:val="24"/>
              </w:rPr>
            </w:pPr>
            <w:r w:rsidRPr="00321153">
              <w:rPr>
                <w:rFonts w:ascii="Times New (W1)" w:hAnsi="Times New (W1)"/>
                <w:noProof/>
                <w:sz w:val="24"/>
                <w:szCs w:val="24"/>
              </w:rPr>
              <w:t>Financial Framework (Supplementary Powers) Amendment (Social Services Measures No. 1) Regulation 2016 [F2016L00166]</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Purpose</w:t>
            </w:r>
          </w:p>
        </w:tc>
        <w:tc>
          <w:tcPr>
            <w:tcW w:w="6378" w:type="dxa"/>
            <w:tcBorders>
              <w:left w:val="single" w:sz="12" w:space="0" w:color="auto"/>
            </w:tcBorders>
          </w:tcPr>
          <w:p w:rsidR="008279DB" w:rsidRPr="00A77228" w:rsidRDefault="008279DB" w:rsidP="001B541D">
            <w:pPr>
              <w:spacing w:before="120" w:after="120"/>
              <w:rPr>
                <w:sz w:val="24"/>
                <w:szCs w:val="24"/>
              </w:rPr>
            </w:pPr>
            <w:r w:rsidRPr="00321153">
              <w:rPr>
                <w:noProof/>
                <w:sz w:val="24"/>
                <w:szCs w:val="24"/>
              </w:rPr>
              <w:t>Amends Schedule 1AB to the Financial Framework (Supplementary Powers) Regulations 1997 to establish legislative authority for spending activities administered by the Department of Social Services</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79DB" w:rsidRPr="00A77228" w:rsidRDefault="008279DB" w:rsidP="001B541D">
            <w:pPr>
              <w:spacing w:before="120" w:after="120"/>
              <w:rPr>
                <w:sz w:val="24"/>
                <w:szCs w:val="24"/>
              </w:rPr>
            </w:pPr>
            <w:r w:rsidRPr="00321153">
              <w:rPr>
                <w:noProof/>
                <w:sz w:val="24"/>
                <w:szCs w:val="24"/>
              </w:rPr>
              <w:t>29 June 2016</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79DB" w:rsidRPr="00932D1C" w:rsidRDefault="008279DB" w:rsidP="001B541D">
            <w:pPr>
              <w:spacing w:before="120" w:after="120"/>
              <w:rPr>
                <w:i/>
                <w:sz w:val="24"/>
                <w:szCs w:val="24"/>
              </w:rPr>
            </w:pPr>
            <w:r w:rsidRPr="00321153">
              <w:rPr>
                <w:i/>
                <w:noProof/>
                <w:sz w:val="24"/>
                <w:szCs w:val="24"/>
              </w:rPr>
              <w:t>Financial Framework (Supplementary Powers) Act 1997</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Department</w:t>
            </w:r>
          </w:p>
        </w:tc>
        <w:tc>
          <w:tcPr>
            <w:tcW w:w="6378" w:type="dxa"/>
            <w:tcBorders>
              <w:left w:val="single" w:sz="12" w:space="0" w:color="auto"/>
            </w:tcBorders>
          </w:tcPr>
          <w:p w:rsidR="008279DB" w:rsidRPr="00A77228" w:rsidRDefault="008279DB" w:rsidP="001B541D">
            <w:pPr>
              <w:spacing w:before="120" w:after="120"/>
              <w:rPr>
                <w:sz w:val="24"/>
                <w:szCs w:val="24"/>
              </w:rPr>
            </w:pPr>
            <w:r w:rsidRPr="00321153">
              <w:rPr>
                <w:noProof/>
                <w:sz w:val="24"/>
                <w:szCs w:val="24"/>
              </w:rPr>
              <w:t>Finance</w:t>
            </w:r>
          </w:p>
        </w:tc>
      </w:tr>
      <w:tr w:rsidR="008279DB" w:rsidRPr="00164622" w:rsidTr="001B541D">
        <w:tc>
          <w:tcPr>
            <w:tcW w:w="2694" w:type="dxa"/>
            <w:tcBorders>
              <w:bottom w:val="single" w:sz="12" w:space="0" w:color="auto"/>
              <w:right w:val="single" w:sz="12" w:space="0" w:color="auto"/>
            </w:tcBorders>
          </w:tcPr>
          <w:p w:rsidR="008279DB" w:rsidRPr="00A77228" w:rsidRDefault="008279DB" w:rsidP="001B541D">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79DB" w:rsidRPr="00A77228" w:rsidRDefault="008279DB" w:rsidP="001B541D">
            <w:pPr>
              <w:spacing w:before="120" w:after="120"/>
              <w:rPr>
                <w:sz w:val="24"/>
                <w:szCs w:val="24"/>
              </w:rPr>
            </w:pPr>
            <w:r>
              <w:rPr>
                <w:sz w:val="24"/>
                <w:szCs w:val="24"/>
              </w:rPr>
              <w:t>Standing Order 23(3)</w:t>
            </w:r>
            <w:r>
              <w:rPr>
                <w:noProof/>
                <w:sz w:val="24"/>
                <w:szCs w:val="24"/>
              </w:rPr>
              <w:t>(a</w:t>
            </w:r>
            <w:r w:rsidRPr="00321153">
              <w:rPr>
                <w:noProof/>
                <w:sz w:val="24"/>
                <w:szCs w:val="24"/>
              </w:rPr>
              <w:t>)</w:t>
            </w:r>
          </w:p>
        </w:tc>
      </w:tr>
    </w:tbl>
    <w:p w:rsidR="008279DB" w:rsidRDefault="008279DB" w:rsidP="008279DB">
      <w:pPr>
        <w:spacing w:after="120"/>
      </w:pPr>
    </w:p>
    <w:p w:rsidR="008279DB" w:rsidRPr="006C656B" w:rsidRDefault="008279DB" w:rsidP="008279DB">
      <w:pPr>
        <w:rPr>
          <w:b/>
          <w:noProof/>
        </w:rPr>
      </w:pPr>
      <w:r w:rsidRPr="006C656B">
        <w:rPr>
          <w:b/>
          <w:noProof/>
        </w:rPr>
        <w:t>Addition of matter to schedule 1AB of the Financial Framework (Supplementary Powers) Regulations 1997—</w:t>
      </w:r>
      <w:r>
        <w:rPr>
          <w:b/>
          <w:noProof/>
        </w:rPr>
        <w:t xml:space="preserve">Constitutional </w:t>
      </w:r>
      <w:r w:rsidRPr="006C656B">
        <w:rPr>
          <w:b/>
          <w:noProof/>
        </w:rPr>
        <w:t>authority for expenditure</w:t>
      </w:r>
    </w:p>
    <w:p w:rsidR="008279DB" w:rsidRPr="00BB7275" w:rsidRDefault="008279DB" w:rsidP="008279DB">
      <w:pPr>
        <w:spacing w:before="120" w:after="120"/>
        <w:rPr>
          <w:noProof/>
        </w:rPr>
      </w:pPr>
      <w:r w:rsidRPr="00BB7275">
        <w:rPr>
          <w:noProof/>
        </w:rPr>
        <w:t>The instrument adds three new items to Part 4 of Schedule 1AB to the Financial Framework (Supplementary Powers) Regulations 1997 to establish legislative authority for spending activities. New table item 10</w:t>
      </w:r>
      <w:r>
        <w:rPr>
          <w:noProof/>
        </w:rPr>
        <w:t xml:space="preserve"> establishes legislative</w:t>
      </w:r>
      <w:r w:rsidRPr="00BB7275">
        <w:rPr>
          <w:noProof/>
        </w:rPr>
        <w:t xml:space="preserve"> authority for the Commonwealth government to fund the Remote Hearing and Vision for Children program</w:t>
      </w:r>
      <w:r>
        <w:rPr>
          <w:noProof/>
        </w:rPr>
        <w:t>,</w:t>
      </w:r>
      <w:r w:rsidRPr="00BB7275">
        <w:rPr>
          <w:noProof/>
        </w:rPr>
        <w:t xml:space="preserve"> </w:t>
      </w:r>
      <w:r>
        <w:rPr>
          <w:noProof/>
        </w:rPr>
        <w:t>via</w:t>
      </w:r>
      <w:r w:rsidRPr="00BB7275">
        <w:rPr>
          <w:noProof/>
        </w:rPr>
        <w:t xml:space="preserve"> a grant to the Royal Institute for Deaf and Blind Children</w:t>
      </w:r>
      <w:r>
        <w:rPr>
          <w:noProof/>
        </w:rPr>
        <w:t>. The program will</w:t>
      </w:r>
      <w:r w:rsidRPr="00BB7275">
        <w:rPr>
          <w:noProof/>
        </w:rPr>
        <w:t xml:space="preserve"> provide children with hearing or vision impairment, and their families, in outer regional, rural and remote areas of Australia</w:t>
      </w:r>
      <w:r>
        <w:rPr>
          <w:noProof/>
        </w:rPr>
        <w:t>,</w:t>
      </w:r>
      <w:r w:rsidRPr="00BB7275">
        <w:rPr>
          <w:noProof/>
        </w:rPr>
        <w:t xml:space="preserve"> with video-based access to information, guidance, support and skills development from qualified allied health </w:t>
      </w:r>
      <w:r>
        <w:rPr>
          <w:noProof/>
        </w:rPr>
        <w:t>and education professionals.</w:t>
      </w:r>
    </w:p>
    <w:p w:rsidR="008279DB" w:rsidRPr="00BB7275" w:rsidRDefault="008279DB" w:rsidP="008279DB">
      <w:pPr>
        <w:spacing w:before="120" w:after="120"/>
        <w:rPr>
          <w:noProof/>
        </w:rPr>
      </w:pPr>
      <w:r w:rsidRPr="00BB7275">
        <w:rPr>
          <w:noProof/>
        </w:rPr>
        <w:t>Scrutiny principle (a) of the committee's terms of reference requires the committee to ensure that an instrument is made in accordance with statute. This principle is interpreted broadly as a requirement to ensure that instruments are made in accordance with their authorising Act as well as any constitutional or other applicable legal requirements.</w:t>
      </w:r>
    </w:p>
    <w:p w:rsidR="008279DB" w:rsidRPr="00BB7275" w:rsidRDefault="008279DB" w:rsidP="008279DB">
      <w:pPr>
        <w:spacing w:before="120" w:after="120"/>
        <w:rPr>
          <w:noProof/>
        </w:rPr>
      </w:pPr>
      <w:r w:rsidRPr="00BB7275">
        <w:rPr>
          <w:noProof/>
        </w:rPr>
        <w:t xml:space="preserve">The committee notes that, in </w:t>
      </w:r>
      <w:r w:rsidRPr="00BB7275">
        <w:rPr>
          <w:i/>
          <w:noProof/>
        </w:rPr>
        <w:t>Williams No. 1</w:t>
      </w:r>
      <w:r w:rsidRPr="00BB7275">
        <w:rPr>
          <w:noProof/>
        </w:rPr>
        <w:t>,</w:t>
      </w:r>
      <w:r>
        <w:rPr>
          <w:rStyle w:val="FootnoteReference"/>
          <w:noProof/>
        </w:rPr>
        <w:footnoteReference w:id="8"/>
      </w:r>
      <w:r w:rsidRPr="00BB7275">
        <w:rPr>
          <w:noProof/>
        </w:rPr>
        <w:t xml:space="preserve"> the High Court confirmed that executive authority to spend appropriated monies is not unlimited and therefore generally </w:t>
      </w:r>
      <w:r w:rsidRPr="00BB7275">
        <w:rPr>
          <w:noProof/>
        </w:rPr>
        <w:lastRenderedPageBreak/>
        <w:t xml:space="preserve">requires legislative authority. As a result of the High Court decision in </w:t>
      </w:r>
      <w:r>
        <w:rPr>
          <w:i/>
          <w:noProof/>
        </w:rPr>
        <w:t>Williams </w:t>
      </w:r>
      <w:r w:rsidRPr="0032698B">
        <w:rPr>
          <w:i/>
          <w:noProof/>
        </w:rPr>
        <w:t>No. 2</w:t>
      </w:r>
      <w:r w:rsidRPr="00BB7275">
        <w:rPr>
          <w:noProof/>
        </w:rPr>
        <w:t>,</w:t>
      </w:r>
      <w:r>
        <w:rPr>
          <w:rStyle w:val="FootnoteReference"/>
          <w:noProof/>
        </w:rPr>
        <w:footnoteReference w:id="9"/>
      </w:r>
      <w:r w:rsidRPr="00BB7275">
        <w:rPr>
          <w:noProof/>
        </w:rPr>
        <w:t xml:space="preserve"> the committee requires that the ES for all instruments specifying programs for the purposes of section 32B of the </w:t>
      </w:r>
      <w:r w:rsidRPr="00BB7275">
        <w:rPr>
          <w:i/>
          <w:noProof/>
        </w:rPr>
        <w:t>Financial Framework (Supplementary Powers) Act 1997</w:t>
      </w:r>
      <w:r w:rsidRPr="00BB7275">
        <w:rPr>
          <w:noProof/>
        </w:rPr>
        <w:t xml:space="preserve"> explicitly state, for each new program, the constitutional authority for the expenditure.</w:t>
      </w:r>
    </w:p>
    <w:p w:rsidR="008279DB" w:rsidRPr="00BB7275" w:rsidRDefault="008279DB" w:rsidP="008279DB">
      <w:pPr>
        <w:spacing w:before="120" w:after="120"/>
        <w:rPr>
          <w:noProof/>
        </w:rPr>
      </w:pPr>
      <w:r w:rsidRPr="00BB7275">
        <w:rPr>
          <w:noProof/>
        </w:rPr>
        <w:t xml:space="preserve">In this regard, the committee notes that the objective of the </w:t>
      </w:r>
      <w:r w:rsidRPr="0032698B">
        <w:rPr>
          <w:noProof/>
        </w:rPr>
        <w:t xml:space="preserve">Remote Hearing and Vision for Children program </w:t>
      </w:r>
      <w:r w:rsidRPr="00BB7275">
        <w:rPr>
          <w:noProof/>
        </w:rPr>
        <w:t>is to:</w:t>
      </w:r>
    </w:p>
    <w:p w:rsidR="008279DB" w:rsidRPr="00BB7275" w:rsidRDefault="008279DB" w:rsidP="008279DB">
      <w:pPr>
        <w:pStyle w:val="Quote"/>
        <w:spacing w:before="120" w:after="120"/>
        <w:rPr>
          <w:noProof/>
        </w:rPr>
      </w:pPr>
      <w:r w:rsidRPr="00BB7275">
        <w:rPr>
          <w:noProof/>
        </w:rPr>
        <w:t>fund the delivery of specialist allied health and education services to children, aged 18 years or under, with hearing or vision impairment, and their families, in remote and regional locations in Australia:</w:t>
      </w:r>
    </w:p>
    <w:p w:rsidR="008279DB" w:rsidRPr="00BB7275" w:rsidRDefault="008279DB" w:rsidP="008279DB">
      <w:pPr>
        <w:pStyle w:val="Quote"/>
        <w:spacing w:before="120" w:after="120"/>
        <w:rPr>
          <w:noProof/>
        </w:rPr>
      </w:pPr>
      <w:r>
        <w:rPr>
          <w:noProof/>
        </w:rPr>
        <w:t>(a)</w:t>
      </w:r>
      <w:r>
        <w:rPr>
          <w:noProof/>
        </w:rPr>
        <w:tab/>
      </w:r>
      <w:r w:rsidRPr="00BB7275">
        <w:rPr>
          <w:noProof/>
        </w:rPr>
        <w:t>as the provision of sickness benefits or benefits to students; or</w:t>
      </w:r>
    </w:p>
    <w:p w:rsidR="008279DB" w:rsidRPr="00BB7275" w:rsidRDefault="008279DB" w:rsidP="008279DB">
      <w:pPr>
        <w:pStyle w:val="Quote"/>
        <w:spacing w:before="120" w:after="120"/>
        <w:rPr>
          <w:noProof/>
        </w:rPr>
      </w:pPr>
      <w:r>
        <w:rPr>
          <w:noProof/>
        </w:rPr>
        <w:t>(b)</w:t>
      </w:r>
      <w:r>
        <w:rPr>
          <w:noProof/>
        </w:rPr>
        <w:tab/>
      </w:r>
      <w:r w:rsidRPr="00BB7275">
        <w:rPr>
          <w:noProof/>
        </w:rPr>
        <w:t>using postal, telegraphic, telephonic and other like services; or</w:t>
      </w:r>
    </w:p>
    <w:p w:rsidR="008279DB" w:rsidRPr="00BB7275" w:rsidRDefault="008279DB" w:rsidP="008279DB">
      <w:pPr>
        <w:pStyle w:val="Quote"/>
        <w:spacing w:before="120" w:after="120"/>
        <w:rPr>
          <w:noProof/>
        </w:rPr>
      </w:pPr>
      <w:r>
        <w:rPr>
          <w:noProof/>
        </w:rPr>
        <w:t>(c)</w:t>
      </w:r>
      <w:r>
        <w:rPr>
          <w:noProof/>
        </w:rPr>
        <w:tab/>
      </w:r>
      <w:r w:rsidRPr="00BB7275">
        <w:rPr>
          <w:noProof/>
        </w:rPr>
        <w:t>to meet Australia’s obligations under:</w:t>
      </w:r>
    </w:p>
    <w:p w:rsidR="008279DB" w:rsidRPr="00BB7275" w:rsidRDefault="008279DB" w:rsidP="008279DB">
      <w:pPr>
        <w:pStyle w:val="Quote"/>
        <w:spacing w:before="120" w:after="120"/>
        <w:ind w:firstLine="589"/>
        <w:rPr>
          <w:noProof/>
        </w:rPr>
      </w:pPr>
      <w:r>
        <w:rPr>
          <w:noProof/>
        </w:rPr>
        <w:t>(i)</w:t>
      </w:r>
      <w:r>
        <w:rPr>
          <w:noProof/>
        </w:rPr>
        <w:tab/>
      </w:r>
      <w:r w:rsidRPr="00BB7275">
        <w:rPr>
          <w:noProof/>
        </w:rPr>
        <w:t>the Convention on the Rights of the Child; or</w:t>
      </w:r>
    </w:p>
    <w:p w:rsidR="008279DB" w:rsidRPr="00BB7275" w:rsidRDefault="008279DB" w:rsidP="008279DB">
      <w:pPr>
        <w:pStyle w:val="Quote"/>
        <w:spacing w:before="120" w:after="120"/>
        <w:ind w:firstLine="589"/>
        <w:rPr>
          <w:noProof/>
        </w:rPr>
      </w:pPr>
      <w:r>
        <w:rPr>
          <w:noProof/>
        </w:rPr>
        <w:t>(ii)</w:t>
      </w:r>
      <w:r>
        <w:rPr>
          <w:noProof/>
        </w:rPr>
        <w:tab/>
      </w:r>
      <w:r w:rsidRPr="00BB7275">
        <w:rPr>
          <w:noProof/>
        </w:rPr>
        <w:t>the Convention on the Rights of Persons with Disabilities; or</w:t>
      </w:r>
    </w:p>
    <w:p w:rsidR="008279DB" w:rsidRPr="00BB7275" w:rsidRDefault="008279DB" w:rsidP="008279DB">
      <w:pPr>
        <w:pStyle w:val="Quote"/>
        <w:spacing w:before="120" w:after="120"/>
        <w:ind w:left="2160" w:hanging="720"/>
        <w:rPr>
          <w:noProof/>
        </w:rPr>
      </w:pPr>
      <w:r>
        <w:rPr>
          <w:noProof/>
        </w:rPr>
        <w:t>(iii)</w:t>
      </w:r>
      <w:r>
        <w:rPr>
          <w:noProof/>
        </w:rPr>
        <w:tab/>
      </w:r>
      <w:r w:rsidRPr="00BB7275">
        <w:rPr>
          <w:noProof/>
        </w:rPr>
        <w:t>the International Covenant on Economic, Social and Cultural Rights.</w:t>
      </w:r>
    </w:p>
    <w:p w:rsidR="008279DB" w:rsidRPr="00BB7275" w:rsidRDefault="008279DB" w:rsidP="008279DB">
      <w:pPr>
        <w:spacing w:before="120" w:after="120"/>
        <w:rPr>
          <w:noProof/>
        </w:rPr>
      </w:pPr>
      <w:r w:rsidRPr="00BB7275">
        <w:rPr>
          <w:noProof/>
        </w:rPr>
        <w:t xml:space="preserve">The ES </w:t>
      </w:r>
      <w:r>
        <w:rPr>
          <w:noProof/>
        </w:rPr>
        <w:t xml:space="preserve">for the regulation </w:t>
      </w:r>
      <w:r w:rsidRPr="00BB7275">
        <w:rPr>
          <w:noProof/>
        </w:rPr>
        <w:t>identifies the constitutional basis for expenditure in relation to th</w:t>
      </w:r>
      <w:r>
        <w:rPr>
          <w:noProof/>
        </w:rPr>
        <w:t>is program as follows</w:t>
      </w:r>
      <w:r w:rsidRPr="00BB7275">
        <w:rPr>
          <w:noProof/>
        </w:rPr>
        <w:t>:</w:t>
      </w:r>
    </w:p>
    <w:p w:rsidR="008279DB" w:rsidRPr="00BB7275" w:rsidRDefault="008279DB" w:rsidP="008279DB">
      <w:pPr>
        <w:pStyle w:val="Quote"/>
        <w:spacing w:before="120" w:after="120"/>
        <w:rPr>
          <w:noProof/>
        </w:rPr>
      </w:pPr>
      <w:r w:rsidRPr="00BB7275">
        <w:rPr>
          <w:noProof/>
        </w:rPr>
        <w:t>Noting that it is not a comprehensive statement of relevant constitutional considerations, the purpose of the item references the following powers of the Constitution:</w:t>
      </w:r>
    </w:p>
    <w:p w:rsidR="008279DB" w:rsidRPr="00BB7275" w:rsidRDefault="008279DB" w:rsidP="008279DB">
      <w:pPr>
        <w:pStyle w:val="Bullet2"/>
        <w:spacing w:before="120" w:after="120"/>
        <w:rPr>
          <w:noProof/>
          <w:sz w:val="24"/>
        </w:rPr>
      </w:pPr>
      <w:r w:rsidRPr="00BB7275">
        <w:rPr>
          <w:noProof/>
          <w:sz w:val="24"/>
        </w:rPr>
        <w:t>the social welfare power (section 51(xxiiiA));</w:t>
      </w:r>
    </w:p>
    <w:p w:rsidR="008279DB" w:rsidRPr="00BB7275" w:rsidRDefault="008279DB" w:rsidP="008279DB">
      <w:pPr>
        <w:pStyle w:val="Bullet2"/>
        <w:spacing w:before="120" w:after="120"/>
        <w:rPr>
          <w:noProof/>
          <w:sz w:val="24"/>
        </w:rPr>
      </w:pPr>
      <w:r w:rsidRPr="00BB7275">
        <w:rPr>
          <w:noProof/>
          <w:sz w:val="24"/>
        </w:rPr>
        <w:t>the communications power (section 51(v)); and</w:t>
      </w:r>
    </w:p>
    <w:p w:rsidR="008279DB" w:rsidRPr="00BB7275" w:rsidRDefault="008279DB" w:rsidP="008279DB">
      <w:pPr>
        <w:pStyle w:val="Bullet2"/>
        <w:spacing w:before="120" w:after="120"/>
        <w:rPr>
          <w:noProof/>
          <w:sz w:val="24"/>
        </w:rPr>
      </w:pPr>
      <w:r w:rsidRPr="00BB7275">
        <w:rPr>
          <w:noProof/>
          <w:sz w:val="24"/>
        </w:rPr>
        <w:t>the external affairs power (section 51(xxix)).</w:t>
      </w:r>
    </w:p>
    <w:p w:rsidR="008279DB" w:rsidRDefault="008279DB" w:rsidP="008279DB">
      <w:pPr>
        <w:spacing w:before="120" w:after="120"/>
        <w:rPr>
          <w:noProof/>
        </w:rPr>
      </w:pPr>
      <w:r>
        <w:rPr>
          <w:noProof/>
        </w:rPr>
        <w:t xml:space="preserve">Therefore, the instrument appears to rely on the </w:t>
      </w:r>
      <w:r w:rsidRPr="00C93672">
        <w:rPr>
          <w:noProof/>
        </w:rPr>
        <w:t>social welfare power</w:t>
      </w:r>
      <w:r>
        <w:rPr>
          <w:noProof/>
        </w:rPr>
        <w:t xml:space="preserve">, the </w:t>
      </w:r>
      <w:r w:rsidRPr="00C93672">
        <w:rPr>
          <w:noProof/>
        </w:rPr>
        <w:t>communications power</w:t>
      </w:r>
      <w:r>
        <w:rPr>
          <w:noProof/>
        </w:rPr>
        <w:t xml:space="preserve"> and the external affairs power as the relevant heads of legislative power to authorise the expenditure in relation to the new making of these provisions (and therefore the spending of public money under them).</w:t>
      </w:r>
    </w:p>
    <w:p w:rsidR="008279DB" w:rsidRDefault="008279DB" w:rsidP="008279DB">
      <w:pPr>
        <w:spacing w:before="120" w:after="120"/>
        <w:rPr>
          <w:noProof/>
        </w:rPr>
      </w:pPr>
      <w:r>
        <w:rPr>
          <w:noProof/>
        </w:rPr>
        <w:t>However, in relation to the external affairs power, the committee understands that, in order to rely on the power in connection with obligations under international treaties, legislation must be appropriately adapted to implement relatively precise obligations arising under that treaty.</w:t>
      </w:r>
    </w:p>
    <w:p w:rsidR="008279DB" w:rsidRDefault="008279DB" w:rsidP="008279DB">
      <w:pPr>
        <w:spacing w:before="120" w:after="120"/>
        <w:rPr>
          <w:noProof/>
        </w:rPr>
      </w:pPr>
      <w:r>
        <w:rPr>
          <w:noProof/>
        </w:rPr>
        <w:t xml:space="preserve">In this respect, the committee's usual expectation where the external affairs power is relied on is that the specific articles of the </w:t>
      </w:r>
      <w:r w:rsidRPr="006E781A">
        <w:rPr>
          <w:noProof/>
        </w:rPr>
        <w:t>international treaties</w:t>
      </w:r>
      <w:r>
        <w:rPr>
          <w:noProof/>
        </w:rPr>
        <w:t xml:space="preserve"> which set out the relevant obligations are referenced and explained in either the instrument or the ES.</w:t>
      </w:r>
    </w:p>
    <w:p w:rsidR="008279DB" w:rsidRPr="006E781A" w:rsidRDefault="008279DB" w:rsidP="008279DB">
      <w:pPr>
        <w:spacing w:before="120" w:after="120"/>
        <w:rPr>
          <w:b/>
          <w:noProof/>
        </w:rPr>
      </w:pPr>
      <w:r>
        <w:rPr>
          <w:b/>
          <w:noProof/>
        </w:rPr>
        <w:t>The committee draws this matter to the minister's attention.</w:t>
      </w:r>
    </w:p>
    <w:tbl>
      <w:tblPr>
        <w:tblW w:w="0" w:type="auto"/>
        <w:tblInd w:w="108" w:type="dxa"/>
        <w:tblLook w:val="04A0" w:firstRow="1" w:lastRow="0" w:firstColumn="1" w:lastColumn="0" w:noHBand="0" w:noVBand="1"/>
      </w:tblPr>
      <w:tblGrid>
        <w:gridCol w:w="2694"/>
        <w:gridCol w:w="6378"/>
      </w:tblGrid>
      <w:tr w:rsidR="008279DB" w:rsidRPr="00164622" w:rsidTr="001B541D">
        <w:tc>
          <w:tcPr>
            <w:tcW w:w="2694" w:type="dxa"/>
            <w:tcBorders>
              <w:top w:val="single" w:sz="12" w:space="0" w:color="auto"/>
              <w:right w:val="single" w:sz="12" w:space="0" w:color="auto"/>
            </w:tcBorders>
          </w:tcPr>
          <w:p w:rsidR="008279DB" w:rsidRPr="00A77228" w:rsidRDefault="008279DB" w:rsidP="001B541D">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8279DB" w:rsidRPr="00BA36F8" w:rsidRDefault="008279DB" w:rsidP="001B541D">
            <w:pPr>
              <w:pStyle w:val="Heading3"/>
              <w:rPr>
                <w:sz w:val="24"/>
                <w:szCs w:val="24"/>
              </w:rPr>
            </w:pPr>
            <w:r w:rsidRPr="00321153">
              <w:rPr>
                <w:rFonts w:ascii="Times New (W1)" w:hAnsi="Times New (W1)"/>
                <w:noProof/>
                <w:sz w:val="24"/>
                <w:szCs w:val="24"/>
              </w:rPr>
              <w:t>Marine Order 52 (Yachts and training vessels) 2016 [F2016L00142]</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Purpose</w:t>
            </w:r>
          </w:p>
        </w:tc>
        <w:tc>
          <w:tcPr>
            <w:tcW w:w="6378" w:type="dxa"/>
            <w:tcBorders>
              <w:left w:val="single" w:sz="12" w:space="0" w:color="auto"/>
            </w:tcBorders>
          </w:tcPr>
          <w:p w:rsidR="008279DB" w:rsidRPr="00A77228" w:rsidRDefault="008279DB" w:rsidP="001B541D">
            <w:pPr>
              <w:spacing w:before="120" w:after="120"/>
              <w:rPr>
                <w:sz w:val="24"/>
                <w:szCs w:val="24"/>
              </w:rPr>
            </w:pPr>
            <w:r w:rsidRPr="00321153">
              <w:rPr>
                <w:noProof/>
                <w:sz w:val="24"/>
                <w:szCs w:val="24"/>
              </w:rPr>
              <w:t>Provides for the survey, maintenance and certification of yachts and training vessels and adopts the UK Large Commercial Yacht Code (the LY3 Code) as modified for Australia for regulated Australian vessels that are large yachts</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79DB" w:rsidRPr="00A77228" w:rsidRDefault="008279DB" w:rsidP="001B541D">
            <w:pPr>
              <w:spacing w:before="120" w:after="120"/>
              <w:rPr>
                <w:sz w:val="24"/>
                <w:szCs w:val="24"/>
              </w:rPr>
            </w:pPr>
            <w:r w:rsidRPr="00321153">
              <w:rPr>
                <w:noProof/>
                <w:sz w:val="24"/>
                <w:szCs w:val="24"/>
              </w:rPr>
              <w:t>28 June 2016</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79DB" w:rsidRPr="00932D1C" w:rsidRDefault="008279DB" w:rsidP="001B541D">
            <w:pPr>
              <w:spacing w:before="120" w:after="120"/>
              <w:rPr>
                <w:i/>
                <w:sz w:val="24"/>
                <w:szCs w:val="24"/>
              </w:rPr>
            </w:pPr>
            <w:r>
              <w:rPr>
                <w:i/>
                <w:noProof/>
                <w:sz w:val="24"/>
                <w:szCs w:val="24"/>
              </w:rPr>
              <w:t>Navigation Act 2012</w:t>
            </w:r>
          </w:p>
        </w:tc>
      </w:tr>
      <w:tr w:rsidR="008279DB" w:rsidRPr="00164622" w:rsidTr="001B541D">
        <w:tc>
          <w:tcPr>
            <w:tcW w:w="2694" w:type="dxa"/>
            <w:tcBorders>
              <w:right w:val="single" w:sz="12" w:space="0" w:color="auto"/>
            </w:tcBorders>
          </w:tcPr>
          <w:p w:rsidR="008279DB" w:rsidRPr="00A77228" w:rsidRDefault="008279DB" w:rsidP="001B541D">
            <w:pPr>
              <w:spacing w:before="120" w:after="120"/>
              <w:rPr>
                <w:b/>
                <w:sz w:val="24"/>
                <w:szCs w:val="24"/>
              </w:rPr>
            </w:pPr>
            <w:r w:rsidRPr="00A77228">
              <w:rPr>
                <w:b/>
                <w:sz w:val="24"/>
                <w:szCs w:val="24"/>
              </w:rPr>
              <w:t>Department</w:t>
            </w:r>
          </w:p>
        </w:tc>
        <w:tc>
          <w:tcPr>
            <w:tcW w:w="6378" w:type="dxa"/>
            <w:tcBorders>
              <w:left w:val="single" w:sz="12" w:space="0" w:color="auto"/>
            </w:tcBorders>
          </w:tcPr>
          <w:p w:rsidR="008279DB" w:rsidRPr="00A77228" w:rsidRDefault="008279DB" w:rsidP="001B541D">
            <w:pPr>
              <w:spacing w:before="120" w:after="120"/>
              <w:rPr>
                <w:sz w:val="24"/>
                <w:szCs w:val="24"/>
              </w:rPr>
            </w:pPr>
            <w:r w:rsidRPr="00321153">
              <w:rPr>
                <w:noProof/>
                <w:sz w:val="24"/>
                <w:szCs w:val="24"/>
              </w:rPr>
              <w:t>Infrastructure and Regional Development</w:t>
            </w:r>
          </w:p>
        </w:tc>
      </w:tr>
      <w:tr w:rsidR="008279DB" w:rsidRPr="00164622" w:rsidTr="001B541D">
        <w:tc>
          <w:tcPr>
            <w:tcW w:w="2694" w:type="dxa"/>
            <w:tcBorders>
              <w:bottom w:val="single" w:sz="12" w:space="0" w:color="auto"/>
              <w:right w:val="single" w:sz="12" w:space="0" w:color="auto"/>
            </w:tcBorders>
          </w:tcPr>
          <w:p w:rsidR="008279DB" w:rsidRPr="00A77228" w:rsidRDefault="008279DB" w:rsidP="001B541D">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79DB" w:rsidRPr="00A77228" w:rsidRDefault="008279DB" w:rsidP="001B541D">
            <w:pPr>
              <w:spacing w:before="120" w:after="120"/>
              <w:rPr>
                <w:sz w:val="24"/>
                <w:szCs w:val="24"/>
              </w:rPr>
            </w:pPr>
            <w:r>
              <w:rPr>
                <w:sz w:val="24"/>
                <w:szCs w:val="24"/>
              </w:rPr>
              <w:t>Standing Order 23(3)</w:t>
            </w:r>
            <w:r w:rsidRPr="00321153">
              <w:rPr>
                <w:noProof/>
                <w:sz w:val="24"/>
                <w:szCs w:val="24"/>
              </w:rPr>
              <w:t>(d)</w:t>
            </w:r>
          </w:p>
        </w:tc>
      </w:tr>
    </w:tbl>
    <w:p w:rsidR="008279DB" w:rsidRDefault="008279DB" w:rsidP="008279DB">
      <w:pPr>
        <w:spacing w:after="0"/>
      </w:pPr>
    </w:p>
    <w:p w:rsidR="008279DB" w:rsidRDefault="008279DB" w:rsidP="008279DB">
      <w:pPr>
        <w:spacing w:after="120"/>
        <w:rPr>
          <w:b/>
        </w:rPr>
      </w:pPr>
      <w:r w:rsidRPr="00321153">
        <w:rPr>
          <w:b/>
          <w:noProof/>
        </w:rPr>
        <w:t xml:space="preserve">Incorporation of extrinsic material </w:t>
      </w:r>
    </w:p>
    <w:p w:rsidR="008279DB" w:rsidRPr="00CB42AF" w:rsidRDefault="008279DB" w:rsidP="008279DB">
      <w:pPr>
        <w:spacing w:before="120" w:after="120"/>
      </w:pPr>
      <w:r w:rsidRPr="00DA2BEF">
        <w:rPr>
          <w:noProof/>
        </w:rPr>
        <w:t xml:space="preserve">Section 14 of the </w:t>
      </w:r>
      <w:r w:rsidRPr="00DA2BEF">
        <w:rPr>
          <w:i/>
          <w:noProof/>
        </w:rPr>
        <w:t xml:space="preserve">Legislative Instruments Act 2003 </w:t>
      </w:r>
      <w:r w:rsidRPr="00DA2BEF">
        <w:t>provides for the incorporation of extrinsic material into instruments. Legislative material may be incorporated as in force from time to time or at a particular date. Non-legislative material may only be incorporated as in force at the commencement of the instrument</w:t>
      </w:r>
      <w:r>
        <w:t>,</w:t>
      </w:r>
      <w:r w:rsidRPr="00DA2BEF">
        <w:t xml:space="preserve"> unless authorising or other legislation alters the operation of section 14.</w:t>
      </w:r>
    </w:p>
    <w:p w:rsidR="008279DB" w:rsidRDefault="008279DB" w:rsidP="008279DB">
      <w:pPr>
        <w:spacing w:before="120" w:after="120"/>
        <w:rPr>
          <w:noProof/>
        </w:rPr>
      </w:pPr>
      <w:r>
        <w:rPr>
          <w:noProof/>
        </w:rPr>
        <w:t>With reference to the above, the committee notes that section 4 of the instrument defines the term 'non-SOLAS certificate' as having the same meaning as in</w:t>
      </w:r>
      <w:r w:rsidRPr="008049E2">
        <w:t xml:space="preserve"> </w:t>
      </w:r>
      <w:r>
        <w:rPr>
          <w:noProof/>
        </w:rPr>
        <w:t>Marine </w:t>
      </w:r>
      <w:r w:rsidRPr="008049E2">
        <w:rPr>
          <w:noProof/>
        </w:rPr>
        <w:t>Order 31 (Vessel surveys and certification) 2015.</w:t>
      </w:r>
      <w:r w:rsidRPr="00230467">
        <w:rPr>
          <w:noProof/>
        </w:rPr>
        <w:t xml:space="preserve"> </w:t>
      </w:r>
      <w:r>
        <w:rPr>
          <w:noProof/>
        </w:rPr>
        <w:t xml:space="preserve">However, neither the text of the instrument nor the ES expressly state the manner in which Marine Order 31 </w:t>
      </w:r>
      <w:r w:rsidRPr="0032698B">
        <w:rPr>
          <w:noProof/>
        </w:rPr>
        <w:t>(Vessel surveys and certification) 2015</w:t>
      </w:r>
      <w:r>
        <w:rPr>
          <w:noProof/>
        </w:rPr>
        <w:t xml:space="preserve"> is incorporated. </w:t>
      </w:r>
    </w:p>
    <w:p w:rsidR="008279DB" w:rsidRDefault="008279DB" w:rsidP="008279DB">
      <w:pPr>
        <w:spacing w:before="120" w:after="120"/>
        <w:rPr>
          <w:noProof/>
        </w:rPr>
      </w:pPr>
      <w:r>
        <w:rPr>
          <w:noProof/>
        </w:rPr>
        <w:t xml:space="preserve">The committee acknowledges that section 10 of the </w:t>
      </w:r>
      <w:r w:rsidRPr="00230467">
        <w:rPr>
          <w:i/>
          <w:noProof/>
        </w:rPr>
        <w:t>Acts Interpretation Act 1901</w:t>
      </w:r>
      <w:r>
        <w:rPr>
          <w:noProof/>
        </w:rPr>
        <w:t xml:space="preserve"> (as applied by section 13(1)(a) of the </w:t>
      </w:r>
      <w:r w:rsidRPr="00230467">
        <w:rPr>
          <w:i/>
          <w:noProof/>
        </w:rPr>
        <w:t>Legislative Instruments Act 2003</w:t>
      </w:r>
      <w:r>
        <w:rPr>
          <w:noProof/>
        </w:rPr>
        <w:t xml:space="preserve">) has the effect that references to external documents which are Commonwealth disallowable instruments (such as </w:t>
      </w:r>
      <w:r w:rsidRPr="008049E2">
        <w:rPr>
          <w:noProof/>
        </w:rPr>
        <w:t>Marine Order 31 (Vessel surveys and certification) 2015</w:t>
      </w:r>
      <w:r>
        <w:rPr>
          <w:noProof/>
        </w:rPr>
        <w:t>) can be taken to be references to versions of those instruments as in force from time to time.</w:t>
      </w:r>
    </w:p>
    <w:p w:rsidR="008279DB" w:rsidRDefault="008279DB" w:rsidP="008279DB">
      <w:pPr>
        <w:spacing w:before="120" w:after="120"/>
        <w:rPr>
          <w:noProof/>
        </w:rPr>
      </w:pPr>
      <w:bookmarkStart w:id="23" w:name="OLE_LINK1"/>
      <w:r>
        <w:rPr>
          <w:noProof/>
        </w:rPr>
        <w:t>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bookmarkEnd w:id="23"/>
    <w:p w:rsidR="008279DB" w:rsidRDefault="008279DB" w:rsidP="008279DB">
      <w:pPr>
        <w:spacing w:before="120" w:after="120"/>
        <w:rPr>
          <w:noProof/>
        </w:rPr>
      </w:pPr>
      <w:r>
        <w:rPr>
          <w:noProof/>
        </w:rPr>
        <w:t xml:space="preserve">The committee therefore considers that, notwithstanding the operation of section 10 of the </w:t>
      </w:r>
      <w:r w:rsidRPr="00230467">
        <w:rPr>
          <w:i/>
          <w:noProof/>
        </w:rPr>
        <w:t>Acts Interpretation Act 1901</w:t>
      </w:r>
      <w:r>
        <w:rPr>
          <w:noProof/>
        </w:rPr>
        <w:t xml:space="preserve"> (as applied by section 13(1)(a) of the </w:t>
      </w:r>
      <w:r w:rsidRPr="00230467">
        <w:rPr>
          <w:i/>
          <w:noProof/>
        </w:rPr>
        <w:t>Legislative Instruments Act 2003</w:t>
      </w:r>
      <w:r>
        <w:rPr>
          <w:noProof/>
        </w:rPr>
        <w:t>), and in the interests of promoting clarity and intelligibility of an instrument to anticipated users, instruments (and, ideally, their accompanying ESs) should clearly state the manner of incorporation of extrinsic material.</w:t>
      </w:r>
    </w:p>
    <w:p w:rsidR="008279DB" w:rsidRDefault="008279DB" w:rsidP="008279DB">
      <w:pPr>
        <w:spacing w:before="120" w:after="120"/>
        <w:rPr>
          <w:b/>
          <w:noProof/>
        </w:rPr>
      </w:pPr>
      <w:r w:rsidRPr="00230467">
        <w:rPr>
          <w:b/>
          <w:noProof/>
        </w:rPr>
        <w:t>The committee draws this matter to the minister's attention.</w:t>
      </w:r>
    </w:p>
    <w:p w:rsidR="008279DB" w:rsidRPr="00483549" w:rsidRDefault="008279DB" w:rsidP="008279DB">
      <w:pPr>
        <w:pStyle w:val="Heading3"/>
        <w:rPr>
          <w:i/>
        </w:rPr>
      </w:pPr>
      <w:r w:rsidRPr="00483549">
        <w:lastRenderedPageBreak/>
        <w:t xml:space="preserve">Multiple instruments that appear to rely on subsection 33(3) of the </w:t>
      </w:r>
      <w:r w:rsidRPr="00483549">
        <w:rPr>
          <w:i/>
        </w:rPr>
        <w:t>Acts Interpretation Act 1901</w:t>
      </w:r>
    </w:p>
    <w:tbl>
      <w:tblPr>
        <w:tblStyle w:val="TableGrid"/>
        <w:tblW w:w="0" w:type="auto"/>
        <w:tblInd w:w="108" w:type="dxa"/>
        <w:tblLook w:val="04A0" w:firstRow="1" w:lastRow="0" w:firstColumn="1" w:lastColumn="0" w:noHBand="0" w:noVBand="1"/>
      </w:tblPr>
      <w:tblGrid>
        <w:gridCol w:w="2694"/>
        <w:gridCol w:w="6378"/>
      </w:tblGrid>
      <w:tr w:rsidR="008279DB" w:rsidRPr="00483549" w:rsidTr="001B541D">
        <w:tc>
          <w:tcPr>
            <w:tcW w:w="2694" w:type="dxa"/>
            <w:tcBorders>
              <w:top w:val="single" w:sz="12" w:space="0" w:color="auto"/>
              <w:left w:val="nil"/>
              <w:bottom w:val="nil"/>
              <w:right w:val="single" w:sz="12" w:space="0" w:color="auto"/>
            </w:tcBorders>
          </w:tcPr>
          <w:p w:rsidR="008279DB" w:rsidRPr="00483549" w:rsidRDefault="008279DB" w:rsidP="001B541D">
            <w:pPr>
              <w:spacing w:after="120"/>
              <w:rPr>
                <w:sz w:val="22"/>
                <w:szCs w:val="22"/>
              </w:rPr>
            </w:pPr>
            <w:r w:rsidRPr="00483549">
              <w:rPr>
                <w:b/>
                <w:szCs w:val="26"/>
              </w:rPr>
              <w:t>Instruments</w:t>
            </w:r>
          </w:p>
        </w:tc>
        <w:tc>
          <w:tcPr>
            <w:tcW w:w="6378" w:type="dxa"/>
            <w:tcBorders>
              <w:top w:val="single" w:sz="12" w:space="0" w:color="auto"/>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CASA 21/16 - Instructions — RNP as primary means of navigation for NDB, VOR or DME overlay approaches (Skytraders A319 aircraft) [F2016L00173]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Christmas Island Airport Facilities Determination (No. 1) 2016 [F2016L00190]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Cocos (Keeling) Islands Airport Facilities Determination (No. 1) 2016 [F2016L00189]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Federal Circuit Court (Commonwealth Tenancy Disputes) Amendment Instrument 2016 [F2016L00144]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Foreign Currency Conversion Determination (No. 30) 2016 [F2016L00180]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Frequency of Fund-raising Events Determination (No. 31) 2016 [F2016L00192]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Particular Attribution Rules Determination (No. 28) 2016 for Prepayments of Telephone Services [F2016L00178]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Particular Attribution Rules Determination (No. 29) 2016 for Electricity Distribution Services [F2016L00179]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08) 2016 for Commission Based Services provided to a member of the Stockbrokers Association of Australia [F2016L00201]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09) 2016 on Loyalty Program Participation [F2016L00196]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10) 2016 for Labour Services [F2016L00209]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11) 2016 on Referrals [F2016L00210]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12) 2016 for Construction Work [F2016L00212]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13) 2016 for Workers Compensation Insurance provided by Coal Mines Insurance Pty Ltd [F2016L00215] </w:t>
            </w:r>
          </w:p>
        </w:tc>
      </w:tr>
      <w:tr w:rsidR="008279DB" w:rsidRPr="00483549" w:rsidTr="001B541D">
        <w:tc>
          <w:tcPr>
            <w:tcW w:w="2694" w:type="dxa"/>
            <w:tcBorders>
              <w:top w:val="nil"/>
              <w:left w:val="nil"/>
              <w:bottom w:val="single" w:sz="12" w:space="0" w:color="auto"/>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single" w:sz="12" w:space="0" w:color="auto"/>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14) 2016 for Selling Agent Services [F2016L00195] </w:t>
            </w:r>
          </w:p>
        </w:tc>
      </w:tr>
      <w:tr w:rsidR="008279DB" w:rsidRPr="00483549" w:rsidTr="001B541D">
        <w:tc>
          <w:tcPr>
            <w:tcW w:w="2694" w:type="dxa"/>
            <w:tcBorders>
              <w:top w:val="single" w:sz="12" w:space="0" w:color="auto"/>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single" w:sz="12" w:space="0" w:color="auto"/>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15) 2016 for Prize Winning Events [F2016L00206]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16) 2016 on Licences for Copyright Material [F2016L00208]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18) 2016 for Friendly Societies [F2016L00211]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19) 2016 for Vending Machine Operators [F2016L00214]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20) 2016 for Labour Services relating to Primary Production Activities [F2016L00218]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21) 2016 for Vehicle Dealers [F2016L00168]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22) 2016 for Product Suppliers to Service Station Franchisees [F2016L00171]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23) 2016 for Administrators of a Superannuation Scheme [F2016L00181]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24) 2016 for Covered Legal Services Obligation [F2016L00184]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25) 2016 for Refrigerant Processors [F2016L00187]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26) 2016 for Electronic Pharmacy and Medical Centre Data [F2016L00188]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Recipient Created Tax Invoice Determination (No. 27) 2016 for Referrers, Spotters, Sub-intermediaries or Sub-agents for General Insurance [F2016L00220]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Goods and Services Tax: Simplified Method to Apportion Input Tax Credits Determination (No. 32) 2016 for Caravan Park Operators [F2016L00193] </w:t>
            </w:r>
          </w:p>
        </w:tc>
      </w:tr>
      <w:tr w:rsidR="008279DB" w:rsidRPr="00483549" w:rsidTr="001B541D">
        <w:tc>
          <w:tcPr>
            <w:tcW w:w="2694" w:type="dxa"/>
            <w:tcBorders>
              <w:top w:val="nil"/>
              <w:left w:val="nil"/>
              <w:bottom w:val="single" w:sz="12" w:space="0" w:color="auto"/>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single" w:sz="12" w:space="0" w:color="auto"/>
              <w:right w:val="nil"/>
            </w:tcBorders>
            <w:vAlign w:val="bottom"/>
          </w:tcPr>
          <w:p w:rsidR="008279DB" w:rsidRPr="00483549" w:rsidRDefault="008279DB" w:rsidP="001B541D">
            <w:pPr>
              <w:spacing w:before="120" w:after="120"/>
              <w:rPr>
                <w:sz w:val="22"/>
              </w:rPr>
            </w:pPr>
            <w:r w:rsidRPr="00483549">
              <w:rPr>
                <w:sz w:val="22"/>
              </w:rPr>
              <w:t xml:space="preserve">Goods and Services Tax: Waiver of Tax Invoice Requirement Determination (No. 33) 2016- Choice Hotels Corporate Charge Card [F2016L00221] </w:t>
            </w:r>
          </w:p>
        </w:tc>
      </w:tr>
    </w:tbl>
    <w:p w:rsidR="008279DB" w:rsidRDefault="008279DB" w:rsidP="008279DB">
      <w:r>
        <w:br w:type="page"/>
      </w:r>
    </w:p>
    <w:tbl>
      <w:tblPr>
        <w:tblStyle w:val="TableGrid"/>
        <w:tblW w:w="0" w:type="auto"/>
        <w:tblInd w:w="108" w:type="dxa"/>
        <w:tblLook w:val="04A0" w:firstRow="1" w:lastRow="0" w:firstColumn="1" w:lastColumn="0" w:noHBand="0" w:noVBand="1"/>
      </w:tblPr>
      <w:tblGrid>
        <w:gridCol w:w="2694"/>
        <w:gridCol w:w="6378"/>
      </w:tblGrid>
      <w:tr w:rsidR="008279DB" w:rsidRPr="00483549" w:rsidTr="001B541D">
        <w:tc>
          <w:tcPr>
            <w:tcW w:w="2694" w:type="dxa"/>
            <w:tcBorders>
              <w:top w:val="single" w:sz="12" w:space="0" w:color="auto"/>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single" w:sz="12" w:space="0" w:color="auto"/>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Private Health Insurance (Prudential Supervision) Amendment Rules 2016 (No. 1) [F2016L00207]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Remuneration Tribunal Determination 2016/01 - Remuneration and Allowances for Holders of Public Office, Judicial and Related Offices and Principal Executive Office [F2016L00162]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Telecommunications (Interception and Access) (Communications Access Co-ordinator) Specification 2016 [F2016L00217]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Veterans' Entitlements Income (Exempt Lump Sum - Superannuation Co-contribution Amounts) Determination 2016 (No. R11/2016) [F2016L00139]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Wine Equalisation Tax New Zealand Producer Rebate Claim Lodgment Determination (No. 34) 2016 [F2016L00198] </w:t>
            </w:r>
          </w:p>
        </w:tc>
      </w:tr>
      <w:tr w:rsidR="008279DB" w:rsidRPr="00483549" w:rsidTr="001B541D">
        <w:tc>
          <w:tcPr>
            <w:tcW w:w="2694" w:type="dxa"/>
            <w:tcBorders>
              <w:top w:val="nil"/>
              <w:left w:val="nil"/>
              <w:bottom w:val="nil"/>
              <w:right w:val="single" w:sz="12" w:space="0" w:color="auto"/>
            </w:tcBorders>
          </w:tcPr>
          <w:p w:rsidR="008279DB" w:rsidRPr="00483549" w:rsidRDefault="008279DB" w:rsidP="001B541D">
            <w:pPr>
              <w:spacing w:after="120"/>
              <w:rPr>
                <w:sz w:val="22"/>
                <w:szCs w:val="22"/>
              </w:rPr>
            </w:pPr>
          </w:p>
        </w:tc>
        <w:tc>
          <w:tcPr>
            <w:tcW w:w="6378" w:type="dxa"/>
            <w:tcBorders>
              <w:top w:val="nil"/>
              <w:left w:val="single" w:sz="12" w:space="0" w:color="auto"/>
              <w:bottom w:val="nil"/>
              <w:right w:val="nil"/>
            </w:tcBorders>
            <w:vAlign w:val="bottom"/>
          </w:tcPr>
          <w:p w:rsidR="008279DB" w:rsidRPr="00483549" w:rsidRDefault="008279DB" w:rsidP="001B541D">
            <w:pPr>
              <w:spacing w:before="120" w:after="120"/>
              <w:rPr>
                <w:sz w:val="22"/>
              </w:rPr>
            </w:pPr>
            <w:r w:rsidRPr="00483549">
              <w:rPr>
                <w:sz w:val="22"/>
              </w:rPr>
              <w:t xml:space="preserve">Wine Equalisation Tax New Zealand Producer Rebate Foreign Exchange Conversion Determination (No. 35) 2016 [F2016L00197] </w:t>
            </w:r>
          </w:p>
        </w:tc>
      </w:tr>
      <w:tr w:rsidR="008279DB" w:rsidRPr="00483549" w:rsidTr="001B541D">
        <w:tc>
          <w:tcPr>
            <w:tcW w:w="2694" w:type="dxa"/>
            <w:tcBorders>
              <w:top w:val="nil"/>
              <w:left w:val="nil"/>
              <w:bottom w:val="single" w:sz="12" w:space="0" w:color="auto"/>
              <w:right w:val="single" w:sz="12" w:space="0" w:color="auto"/>
            </w:tcBorders>
          </w:tcPr>
          <w:p w:rsidR="008279DB" w:rsidRPr="00483549" w:rsidRDefault="008279DB" w:rsidP="001B541D">
            <w:pPr>
              <w:spacing w:before="120"/>
              <w:rPr>
                <w:sz w:val="22"/>
                <w:szCs w:val="22"/>
              </w:rPr>
            </w:pPr>
            <w:r w:rsidRPr="00483549">
              <w:rPr>
                <w:b/>
                <w:sz w:val="24"/>
                <w:szCs w:val="24"/>
              </w:rPr>
              <w:t>Scrutiny principle</w:t>
            </w:r>
          </w:p>
        </w:tc>
        <w:tc>
          <w:tcPr>
            <w:tcW w:w="6378" w:type="dxa"/>
            <w:tcBorders>
              <w:top w:val="nil"/>
              <w:left w:val="single" w:sz="12" w:space="0" w:color="auto"/>
              <w:bottom w:val="single" w:sz="12" w:space="0" w:color="auto"/>
              <w:right w:val="nil"/>
            </w:tcBorders>
          </w:tcPr>
          <w:p w:rsidR="008279DB" w:rsidRPr="00483549" w:rsidRDefault="008279DB" w:rsidP="001B541D">
            <w:pPr>
              <w:spacing w:before="120"/>
              <w:rPr>
                <w:sz w:val="22"/>
                <w:szCs w:val="22"/>
              </w:rPr>
            </w:pPr>
            <w:r w:rsidRPr="00483549">
              <w:rPr>
                <w:noProof/>
                <w:sz w:val="24"/>
                <w:szCs w:val="24"/>
              </w:rPr>
              <w:t>Standing Order 23(3)(a)</w:t>
            </w:r>
          </w:p>
        </w:tc>
      </w:tr>
    </w:tbl>
    <w:p w:rsidR="008279DB" w:rsidRPr="00483549" w:rsidRDefault="008279DB" w:rsidP="008279DB">
      <w:pPr>
        <w:spacing w:after="0"/>
      </w:pPr>
    </w:p>
    <w:p w:rsidR="008279DB" w:rsidRPr="00483549" w:rsidRDefault="008279DB" w:rsidP="008279DB">
      <w:pPr>
        <w:spacing w:before="120" w:after="120"/>
        <w:rPr>
          <w:b/>
          <w:i/>
        </w:rPr>
      </w:pPr>
      <w:r w:rsidRPr="00483549">
        <w:rPr>
          <w:b/>
        </w:rPr>
        <w:t>Drafting</w:t>
      </w:r>
    </w:p>
    <w:p w:rsidR="008279DB" w:rsidRPr="00483549" w:rsidRDefault="008279DB" w:rsidP="008279DB">
      <w:pPr>
        <w:spacing w:before="120" w:after="120"/>
      </w:pPr>
      <w:r w:rsidRPr="00483549">
        <w:t xml:space="preserve">The instruments identified above appear to rely on subsection 33(3) of the </w:t>
      </w:r>
      <w:r w:rsidRPr="00483549">
        <w:rPr>
          <w:i/>
        </w:rPr>
        <w:t>Acts Interpretation Act 1901</w:t>
      </w:r>
      <w:r w:rsidRPr="00483549">
        <w:t xml:space="preserve">, which provides that the power to make an instrument includes the power to vary or revoke the instrument. If that is the case, the committee considers it would be preferable for the ES for any such instrument to identify the relevance of subsection 33(3), in the interests of promoting the clarity and intelligibility of the instrument to anticipated users. </w:t>
      </w:r>
      <w:r w:rsidRPr="00483549">
        <w:rPr>
          <w:b/>
        </w:rPr>
        <w:t xml:space="preserve">The committee provides the following example of a form of words which may be included in an ES where subsection 33(3) of the </w:t>
      </w:r>
      <w:r w:rsidRPr="00483549">
        <w:rPr>
          <w:b/>
          <w:i/>
        </w:rPr>
        <w:t>Acts Interpretation Act 1901</w:t>
      </w:r>
      <w:r w:rsidRPr="00483549">
        <w:rPr>
          <w:b/>
        </w:rPr>
        <w:t xml:space="preserve"> is relevant:</w:t>
      </w:r>
    </w:p>
    <w:p w:rsidR="008279DB" w:rsidRPr="00483549" w:rsidRDefault="008279DB" w:rsidP="008279DB">
      <w:pPr>
        <w:pStyle w:val="Quote"/>
        <w:spacing w:before="120" w:after="120"/>
      </w:pPr>
      <w:r w:rsidRPr="00483549">
        <w:t xml:space="preserve">Under subsection 33(3) of the </w:t>
      </w:r>
      <w:r w:rsidRPr="00483549">
        <w:rPr>
          <w:i/>
        </w:rPr>
        <w:t>Acts Interpretation Act 1901</w:t>
      </w:r>
      <w:r w:rsidRPr="00483549">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Pr="00483549">
        <w:rPr>
          <w:rStyle w:val="FootnoteReference"/>
        </w:rPr>
        <w:footnoteReference w:id="10"/>
      </w:r>
    </w:p>
    <w:p w:rsidR="008279DB" w:rsidRDefault="008279DB">
      <w:pPr>
        <w:spacing w:after="0"/>
        <w:jc w:val="left"/>
      </w:pPr>
      <w:r>
        <w:br w:type="page"/>
      </w:r>
    </w:p>
    <w:p w:rsidR="00520991" w:rsidRDefault="00520991" w:rsidP="00325264"/>
    <w:p w:rsidR="008279DB" w:rsidRDefault="008279DB" w:rsidP="00325264">
      <w:pPr>
        <w:sectPr w:rsidR="008279DB" w:rsidSect="001E10A8">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202" w:left="1440" w:header="1134" w:footer="720" w:gutter="0"/>
          <w:pgNumType w:start="1"/>
          <w:cols w:space="720"/>
          <w:titlePg/>
        </w:sectPr>
      </w:pPr>
    </w:p>
    <w:p w:rsidR="008279DB" w:rsidRPr="0076670E" w:rsidRDefault="008279DB" w:rsidP="008279DB">
      <w:pPr>
        <w:pStyle w:val="Heading1"/>
      </w:pPr>
      <w:r w:rsidRPr="0076670E">
        <w:lastRenderedPageBreak/>
        <w:t>Chapter 2</w:t>
      </w:r>
    </w:p>
    <w:p w:rsidR="008279DB" w:rsidRPr="0076670E" w:rsidRDefault="008279DB" w:rsidP="008279DB">
      <w:pPr>
        <w:pStyle w:val="Heading2"/>
      </w:pPr>
      <w:r w:rsidRPr="0076670E">
        <w:t>Concluded matters</w:t>
      </w:r>
    </w:p>
    <w:p w:rsidR="008279DB" w:rsidRPr="0076670E" w:rsidRDefault="008279DB" w:rsidP="008279DB">
      <w:pPr>
        <w:pStyle w:val="Level1"/>
        <w:numPr>
          <w:ilvl w:val="0"/>
          <w:numId w:val="0"/>
        </w:numPr>
      </w:pPr>
      <w:r w:rsidRPr="0076670E">
        <w:t xml:space="preserve">This chapter </w:t>
      </w:r>
      <w:r>
        <w:t xml:space="preserve">sets out matters which have been concluded to the satisfaction of the committee based on </w:t>
      </w:r>
      <w:r w:rsidRPr="0076670E">
        <w:t>responses received from ministers or relevant instrument-makers.</w:t>
      </w:r>
    </w:p>
    <w:p w:rsidR="008279DB" w:rsidRDefault="008279DB" w:rsidP="008279DB">
      <w:pPr>
        <w:pStyle w:val="Level1"/>
        <w:numPr>
          <w:ilvl w:val="0"/>
          <w:numId w:val="0"/>
        </w:numPr>
        <w:tabs>
          <w:tab w:val="right" w:pos="9026"/>
        </w:tabs>
      </w:pPr>
      <w:r>
        <w:t>C</w:t>
      </w:r>
      <w:r w:rsidRPr="0076670E">
        <w:t xml:space="preserve">orrespondence relating to these matters is included at Appendix </w:t>
      </w:r>
      <w:r>
        <w:t>1</w:t>
      </w:r>
      <w:r w:rsidRPr="0076670E">
        <w:t>.</w:t>
      </w:r>
      <w:r>
        <w:tab/>
      </w:r>
    </w:p>
    <w:tbl>
      <w:tblPr>
        <w:tblW w:w="0" w:type="auto"/>
        <w:tblInd w:w="108" w:type="dxa"/>
        <w:tblLook w:val="04A0" w:firstRow="1" w:lastRow="0" w:firstColumn="1" w:lastColumn="0" w:noHBand="0" w:noVBand="1"/>
      </w:tblPr>
      <w:tblGrid>
        <w:gridCol w:w="2694"/>
        <w:gridCol w:w="6378"/>
      </w:tblGrid>
      <w:tr w:rsidR="008279DB" w:rsidRPr="00164622" w:rsidTr="001B541D">
        <w:tc>
          <w:tcPr>
            <w:tcW w:w="2694" w:type="dxa"/>
            <w:tcBorders>
              <w:top w:val="single" w:sz="12" w:space="0" w:color="auto"/>
              <w:right w:val="single" w:sz="12" w:space="0" w:color="auto"/>
            </w:tcBorders>
          </w:tcPr>
          <w:p w:rsidR="008279DB" w:rsidRPr="00A77228" w:rsidRDefault="008279DB" w:rsidP="001B541D">
            <w:pPr>
              <w:rPr>
                <w:b/>
                <w:sz w:val="24"/>
                <w:szCs w:val="24"/>
              </w:rPr>
            </w:pPr>
            <w:r>
              <w:rPr>
                <w:b/>
                <w:sz w:val="24"/>
                <w:szCs w:val="24"/>
              </w:rPr>
              <w:t>Instrument</w:t>
            </w:r>
          </w:p>
        </w:tc>
        <w:tc>
          <w:tcPr>
            <w:tcW w:w="6378" w:type="dxa"/>
            <w:tcBorders>
              <w:top w:val="single" w:sz="12" w:space="0" w:color="auto"/>
              <w:left w:val="single" w:sz="12" w:space="0" w:color="auto"/>
            </w:tcBorders>
          </w:tcPr>
          <w:p w:rsidR="008279DB" w:rsidRPr="00BA36F8" w:rsidRDefault="008279DB" w:rsidP="001B541D">
            <w:pPr>
              <w:pStyle w:val="Heading3"/>
              <w:rPr>
                <w:sz w:val="24"/>
                <w:szCs w:val="24"/>
              </w:rPr>
            </w:pPr>
            <w:r w:rsidRPr="00D87FB3">
              <w:rPr>
                <w:noProof/>
                <w:sz w:val="24"/>
                <w:szCs w:val="24"/>
              </w:rPr>
              <w:t>Carbon Credits (Carbon Farming Initiative – High Efficiency Com</w:t>
            </w:r>
            <w:r>
              <w:rPr>
                <w:noProof/>
                <w:sz w:val="24"/>
                <w:szCs w:val="24"/>
              </w:rPr>
              <w:t>mercial Appliances) Methodology</w:t>
            </w:r>
            <w:r w:rsidRPr="00D87FB3">
              <w:rPr>
                <w:noProof/>
                <w:sz w:val="24"/>
                <w:szCs w:val="24"/>
              </w:rPr>
              <w:t xml:space="preserve"> Determination 2015 [F2015L01839]</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Purpose</w:t>
            </w:r>
          </w:p>
        </w:tc>
        <w:tc>
          <w:tcPr>
            <w:tcW w:w="6378" w:type="dxa"/>
            <w:tcBorders>
              <w:left w:val="single" w:sz="12" w:space="0" w:color="auto"/>
            </w:tcBorders>
          </w:tcPr>
          <w:p w:rsidR="008279DB" w:rsidRPr="00A77228" w:rsidRDefault="008279DB" w:rsidP="001B541D">
            <w:pPr>
              <w:rPr>
                <w:sz w:val="24"/>
                <w:szCs w:val="24"/>
              </w:rPr>
            </w:pPr>
            <w:r w:rsidRPr="00D87FB3">
              <w:rPr>
                <w:noProof/>
                <w:sz w:val="24"/>
                <w:szCs w:val="24"/>
              </w:rPr>
              <w:t>Prescribes rules for implementing offsets projects to avoid greenhouse gas emissions by installing high efficiency appliances in commercial operations</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Last day to disallow</w:t>
            </w:r>
          </w:p>
        </w:tc>
        <w:tc>
          <w:tcPr>
            <w:tcW w:w="6378" w:type="dxa"/>
            <w:tcBorders>
              <w:left w:val="single" w:sz="12" w:space="0" w:color="auto"/>
            </w:tcBorders>
          </w:tcPr>
          <w:p w:rsidR="008279DB" w:rsidRPr="00A77228" w:rsidRDefault="008279DB" w:rsidP="001B541D">
            <w:pPr>
              <w:rPr>
                <w:sz w:val="24"/>
                <w:szCs w:val="24"/>
              </w:rPr>
            </w:pPr>
            <w:r w:rsidRPr="00D87FB3">
              <w:rPr>
                <w:noProof/>
                <w:sz w:val="24"/>
                <w:szCs w:val="24"/>
              </w:rPr>
              <w:t>15 March 2016</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Authorising legislation</w:t>
            </w:r>
          </w:p>
        </w:tc>
        <w:tc>
          <w:tcPr>
            <w:tcW w:w="6378" w:type="dxa"/>
            <w:tcBorders>
              <w:left w:val="single" w:sz="12" w:space="0" w:color="auto"/>
            </w:tcBorders>
          </w:tcPr>
          <w:p w:rsidR="008279DB" w:rsidRPr="00932D1C" w:rsidRDefault="008279DB" w:rsidP="001B541D">
            <w:pPr>
              <w:rPr>
                <w:i/>
                <w:sz w:val="24"/>
                <w:szCs w:val="24"/>
              </w:rPr>
            </w:pPr>
            <w:r w:rsidRPr="00D87FB3">
              <w:rPr>
                <w:i/>
                <w:noProof/>
                <w:sz w:val="24"/>
                <w:szCs w:val="24"/>
              </w:rPr>
              <w:t>Carbon Credits (Carbon Farming Initiative) Act 2011</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Department</w:t>
            </w:r>
          </w:p>
        </w:tc>
        <w:tc>
          <w:tcPr>
            <w:tcW w:w="6378" w:type="dxa"/>
            <w:tcBorders>
              <w:left w:val="single" w:sz="12" w:space="0" w:color="auto"/>
            </w:tcBorders>
          </w:tcPr>
          <w:p w:rsidR="008279DB" w:rsidRPr="00A77228" w:rsidRDefault="008279DB" w:rsidP="001B541D">
            <w:pPr>
              <w:rPr>
                <w:sz w:val="24"/>
                <w:szCs w:val="24"/>
              </w:rPr>
            </w:pPr>
            <w:r w:rsidRPr="00D87FB3">
              <w:rPr>
                <w:noProof/>
                <w:sz w:val="24"/>
                <w:szCs w:val="24"/>
              </w:rPr>
              <w:t>Environment</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Pr>
                <w:b/>
                <w:sz w:val="24"/>
                <w:szCs w:val="24"/>
              </w:rPr>
              <w:t>Scrutiny principle</w:t>
            </w:r>
          </w:p>
        </w:tc>
        <w:tc>
          <w:tcPr>
            <w:tcW w:w="6378" w:type="dxa"/>
            <w:tcBorders>
              <w:left w:val="single" w:sz="12" w:space="0" w:color="auto"/>
            </w:tcBorders>
          </w:tcPr>
          <w:p w:rsidR="008279DB" w:rsidRPr="00A77228" w:rsidRDefault="008279DB" w:rsidP="001B541D">
            <w:pPr>
              <w:rPr>
                <w:sz w:val="24"/>
                <w:szCs w:val="24"/>
              </w:rPr>
            </w:pPr>
            <w:r>
              <w:rPr>
                <w:sz w:val="24"/>
                <w:szCs w:val="24"/>
              </w:rPr>
              <w:t>Standing Order 23(3)</w:t>
            </w:r>
            <w:r w:rsidRPr="00D87FB3">
              <w:rPr>
                <w:noProof/>
                <w:sz w:val="24"/>
                <w:szCs w:val="24"/>
              </w:rPr>
              <w:t>(a)</w:t>
            </w:r>
          </w:p>
        </w:tc>
      </w:tr>
      <w:tr w:rsidR="008279DB" w:rsidRPr="00164622" w:rsidTr="001B541D">
        <w:tc>
          <w:tcPr>
            <w:tcW w:w="2694" w:type="dxa"/>
            <w:tcBorders>
              <w:bottom w:val="single" w:sz="12" w:space="0" w:color="auto"/>
              <w:right w:val="single" w:sz="12" w:space="0" w:color="auto"/>
            </w:tcBorders>
          </w:tcPr>
          <w:p w:rsidR="008279DB" w:rsidRDefault="008279DB" w:rsidP="001B541D">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8279DB" w:rsidRDefault="008279DB" w:rsidP="001B541D">
            <w:pPr>
              <w:rPr>
                <w:sz w:val="24"/>
                <w:szCs w:val="24"/>
              </w:rPr>
            </w:pPr>
            <w:r>
              <w:rPr>
                <w:i/>
                <w:noProof/>
                <w:sz w:val="24"/>
                <w:szCs w:val="24"/>
              </w:rPr>
              <w:t xml:space="preserve">Delegated legislation monitor </w:t>
            </w:r>
            <w:r w:rsidRPr="00782380">
              <w:rPr>
                <w:noProof/>
                <w:sz w:val="24"/>
                <w:szCs w:val="24"/>
              </w:rPr>
              <w:t>No. 1 of 2016</w:t>
            </w:r>
          </w:p>
        </w:tc>
      </w:tr>
    </w:tbl>
    <w:p w:rsidR="008279DB" w:rsidRDefault="008279DB" w:rsidP="008279DB"/>
    <w:p w:rsidR="008279DB" w:rsidRDefault="008279DB" w:rsidP="008279DB">
      <w:pPr>
        <w:pStyle w:val="Level1"/>
        <w:numPr>
          <w:ilvl w:val="0"/>
          <w:numId w:val="0"/>
        </w:numPr>
        <w:rPr>
          <w:b/>
          <w:noProof/>
        </w:rPr>
      </w:pPr>
      <w:r w:rsidRPr="00D87FB3">
        <w:rPr>
          <w:b/>
          <w:noProof/>
        </w:rPr>
        <w:t>Access to extrinsic material</w:t>
      </w:r>
    </w:p>
    <w:p w:rsidR="008279DB" w:rsidRDefault="008279DB" w:rsidP="008279DB">
      <w:pPr>
        <w:pStyle w:val="Level1"/>
        <w:numPr>
          <w:ilvl w:val="0"/>
          <w:numId w:val="0"/>
        </w:numPr>
        <w:rPr>
          <w:noProof/>
        </w:rPr>
      </w:pPr>
      <w:r>
        <w:rPr>
          <w:noProof/>
        </w:rPr>
        <w:t>The committee commented as follows:</w:t>
      </w:r>
    </w:p>
    <w:p w:rsidR="008279DB" w:rsidRDefault="008279DB" w:rsidP="008279DB">
      <w:r>
        <w:t>Section 5 of the determination defines key terms used in the determination. It defines the terms below as follows:</w:t>
      </w:r>
    </w:p>
    <w:p w:rsidR="008279DB" w:rsidRPr="00AC422D" w:rsidRDefault="008279DB" w:rsidP="008279DB">
      <w:pPr>
        <w:pStyle w:val="Bullet1"/>
        <w:spacing w:before="120" w:after="120"/>
      </w:pPr>
      <w:r w:rsidRPr="002F3FF8">
        <w:rPr>
          <w:b/>
          <w:i/>
        </w:rPr>
        <w:t>ann</w:t>
      </w:r>
      <w:r>
        <w:rPr>
          <w:b/>
          <w:i/>
        </w:rPr>
        <w:t xml:space="preserve">ual coefficient of performance </w:t>
      </w:r>
      <w:r>
        <w:t xml:space="preserve">and </w:t>
      </w:r>
      <w:r w:rsidRPr="002F3FF8">
        <w:rPr>
          <w:b/>
          <w:i/>
        </w:rPr>
        <w:t>annual energy efficiency ratio</w:t>
      </w:r>
      <w:r w:rsidRPr="002F3FF8">
        <w:t xml:space="preserve"> </w:t>
      </w:r>
      <w:r>
        <w:t xml:space="preserve">for air conditioners </w:t>
      </w:r>
      <w:r w:rsidRPr="00AC422D">
        <w:t xml:space="preserve">has the meaning given by </w:t>
      </w:r>
      <w:r w:rsidRPr="002F3FF8">
        <w:rPr>
          <w:i/>
        </w:rPr>
        <w:t>AS/NZS 3823.1.1:2012 Performance of electrical appliances – Airconditioners and heat pumps Part 2: Energy labelling and minimum energy performance standards (MEPS) requirements</w:t>
      </w:r>
      <w:r w:rsidRPr="002F3FF8">
        <w:t>; and</w:t>
      </w:r>
    </w:p>
    <w:p w:rsidR="008279DB" w:rsidRDefault="008279DB" w:rsidP="008279DB">
      <w:pPr>
        <w:pStyle w:val="Bullet1"/>
        <w:spacing w:before="120" w:after="120"/>
      </w:pPr>
      <w:r w:rsidRPr="002F3FF8">
        <w:rPr>
          <w:b/>
          <w:i/>
        </w:rPr>
        <w:t>sensible energy efficiency ratio</w:t>
      </w:r>
      <w:r w:rsidRPr="002F3FF8">
        <w:t>, for a close control air conditioner, has the meaning given by A</w:t>
      </w:r>
      <w:r w:rsidRPr="002F3FF8">
        <w:rPr>
          <w:i/>
        </w:rPr>
        <w:t>S/NZS 4965.1:2008 Performance of close control air conditioners. Part 1: Testing for rating</w:t>
      </w:r>
      <w:r w:rsidRPr="002F3FF8">
        <w:t>.</w:t>
      </w:r>
    </w:p>
    <w:p w:rsidR="008279DB" w:rsidRDefault="008279DB" w:rsidP="008279DB">
      <w:pPr>
        <w:pStyle w:val="Bullet1"/>
        <w:numPr>
          <w:ilvl w:val="0"/>
          <w:numId w:val="0"/>
        </w:numPr>
        <w:spacing w:before="120"/>
      </w:pPr>
      <w:r>
        <w:t xml:space="preserve">The ES to the determination expressly states the manner in which these documents are incorporated, such that in applying a definition that references an Australian/New Zealand Standard, the version of the standard for which the year is specified in the definition applies. </w:t>
      </w:r>
    </w:p>
    <w:p w:rsidR="008279DB" w:rsidRDefault="008279DB" w:rsidP="008279DB">
      <w:r>
        <w:lastRenderedPageBreak/>
        <w:t>The committee's expectations where provisions allow the incorporation of legislative provisions by reference to other documents generally 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w:t>
      </w:r>
    </w:p>
    <w:p w:rsidR="008279DB" w:rsidRDefault="008279DB" w:rsidP="008279DB">
      <w:r w:rsidRPr="00523EB4">
        <w:t>The committee understands that there are cases in which incorporated material will, in practice, only be accessed by persons acting in commercial or regulatory environments, and that in these environments the required fee will not present an unreasonable barrier to access. However, the committee considers that a best-practice approach in such cases is for administering agencies and departments to make available copies to users who fall outside of the particular commercial or regulatory sector.</w:t>
      </w:r>
    </w:p>
    <w:p w:rsidR="008279DB" w:rsidRDefault="008279DB" w:rsidP="008279DB">
      <w:r>
        <w:t xml:space="preserve">In this respect, the committee notes that the above referenced Australian/New Zealand Standards are </w:t>
      </w:r>
      <w:r w:rsidRPr="000A16EC">
        <w:t xml:space="preserve">published by </w:t>
      </w:r>
      <w:r>
        <w:t>and available for sale from SAI Global Limited for a fee. However, neither the instrument nor the ES provide information about whether the standards are otherwise freely and readily available.</w:t>
      </w:r>
    </w:p>
    <w:p w:rsidR="008279DB" w:rsidRDefault="008279DB" w:rsidP="008279DB">
      <w:pPr>
        <w:rPr>
          <w:b/>
        </w:rPr>
      </w:pPr>
      <w:r w:rsidRPr="000A16EC">
        <w:rPr>
          <w:b/>
        </w:rPr>
        <w:t>The committee requests the advice of the minister in relation to this matter.</w:t>
      </w:r>
    </w:p>
    <w:p w:rsidR="008279DB" w:rsidRDefault="008279DB" w:rsidP="008279DB">
      <w:pPr>
        <w:pStyle w:val="Level1"/>
        <w:numPr>
          <w:ilvl w:val="0"/>
          <w:numId w:val="0"/>
        </w:numPr>
        <w:rPr>
          <w:b/>
        </w:rPr>
      </w:pPr>
      <w:r>
        <w:rPr>
          <w:b/>
        </w:rPr>
        <w:t>Minister's response</w:t>
      </w:r>
    </w:p>
    <w:p w:rsidR="008279DB" w:rsidRDefault="008279DB" w:rsidP="008279DB">
      <w:pPr>
        <w:pStyle w:val="Level1"/>
        <w:numPr>
          <w:ilvl w:val="0"/>
          <w:numId w:val="0"/>
        </w:numPr>
      </w:pPr>
      <w:r>
        <w:t>The Minister for the Environment advised:</w:t>
      </w:r>
    </w:p>
    <w:p w:rsidR="008279DB" w:rsidRDefault="008279DB" w:rsidP="008279DB">
      <w:pPr>
        <w:pStyle w:val="Quote"/>
      </w:pPr>
      <w:r>
        <w:t xml:space="preserve">During the development of the Determination, technical consultants advised the Department of the Environment that it would be common practice for many businesses conducting activities under the Determination to have access to these standards. In addition, the definitions contained within the standards also apply when registering products under the </w:t>
      </w:r>
      <w:r w:rsidRPr="00F31C3E">
        <w:rPr>
          <w:i/>
        </w:rPr>
        <w:t>Greenhouse and Energy Minimum Standards (GEMS) Act 2012</w:t>
      </w:r>
      <w:r>
        <w:t>. This will enable businesses to use the publically available GEMS Registry to determine whether a product meets the relevant Australian/ New Zealand Standard definitions rather than accessing the standards directly.</w:t>
      </w:r>
    </w:p>
    <w:p w:rsidR="008279DB" w:rsidRPr="00F31C3E" w:rsidRDefault="008279DB" w:rsidP="008279DB">
      <w:pPr>
        <w:pStyle w:val="Quote"/>
      </w:pPr>
      <w:r>
        <w:t>Furthermore, the National Library of Australia and all state and territory libraries provide free access to these documents to the general public. This provides a means through which other interested parties may gain full access to these documents without purchasing them.</w:t>
      </w:r>
    </w:p>
    <w:p w:rsidR="008279DB" w:rsidRDefault="008279DB" w:rsidP="008279DB">
      <w:pPr>
        <w:pStyle w:val="Level1"/>
        <w:numPr>
          <w:ilvl w:val="0"/>
          <w:numId w:val="0"/>
        </w:numPr>
        <w:rPr>
          <w:b/>
        </w:rPr>
      </w:pPr>
      <w:r>
        <w:rPr>
          <w:b/>
        </w:rPr>
        <w:t>Committee's response</w:t>
      </w:r>
    </w:p>
    <w:p w:rsidR="008279DB" w:rsidRDefault="008279DB" w:rsidP="008279DB">
      <w:pPr>
        <w:pStyle w:val="Level1"/>
        <w:numPr>
          <w:ilvl w:val="0"/>
          <w:numId w:val="0"/>
        </w:numPr>
        <w:rPr>
          <w:b/>
        </w:rPr>
      </w:pPr>
      <w:r>
        <w:rPr>
          <w:b/>
        </w:rPr>
        <w:t xml:space="preserve">The committee thanks the minister for his response and has concluded its examination of the instrument. </w:t>
      </w:r>
    </w:p>
    <w:p w:rsidR="008279DB" w:rsidRDefault="008279DB" w:rsidP="008279DB">
      <w:pPr>
        <w:spacing w:after="0"/>
        <w:jc w:val="left"/>
        <w:rPr>
          <w:b/>
        </w:rPr>
      </w:pPr>
      <w:r>
        <w:rPr>
          <w:b/>
        </w:rPr>
        <w:br w:type="page"/>
      </w:r>
    </w:p>
    <w:tbl>
      <w:tblPr>
        <w:tblW w:w="0" w:type="auto"/>
        <w:tblInd w:w="108" w:type="dxa"/>
        <w:tblLook w:val="04A0" w:firstRow="1" w:lastRow="0" w:firstColumn="1" w:lastColumn="0" w:noHBand="0" w:noVBand="1"/>
      </w:tblPr>
      <w:tblGrid>
        <w:gridCol w:w="2694"/>
        <w:gridCol w:w="6378"/>
      </w:tblGrid>
      <w:tr w:rsidR="008279DB" w:rsidRPr="00164622" w:rsidTr="001B541D">
        <w:tc>
          <w:tcPr>
            <w:tcW w:w="2694" w:type="dxa"/>
            <w:tcBorders>
              <w:top w:val="single" w:sz="12" w:space="0" w:color="auto"/>
              <w:right w:val="single" w:sz="12" w:space="0" w:color="auto"/>
            </w:tcBorders>
          </w:tcPr>
          <w:p w:rsidR="008279DB" w:rsidRPr="00A77228" w:rsidRDefault="008279DB" w:rsidP="001B541D">
            <w:pPr>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8279DB" w:rsidRPr="000B1E3F" w:rsidRDefault="008279DB" w:rsidP="001B541D">
            <w:pPr>
              <w:pStyle w:val="Heading3"/>
              <w:rPr>
                <w:noProof/>
                <w:sz w:val="24"/>
                <w:szCs w:val="24"/>
              </w:rPr>
            </w:pPr>
            <w:r w:rsidRPr="000B1E3F">
              <w:rPr>
                <w:noProof/>
                <w:sz w:val="24"/>
                <w:szCs w:val="24"/>
              </w:rPr>
              <w:t>Christmas Island Marine Traffic and Harbour Facilities Determination 2015 [F2015L01591]</w:t>
            </w:r>
          </w:p>
          <w:p w:rsidR="008279DB" w:rsidRPr="00BA36F8" w:rsidRDefault="008279DB" w:rsidP="001B541D">
            <w:pPr>
              <w:pStyle w:val="Heading3"/>
              <w:rPr>
                <w:sz w:val="24"/>
                <w:szCs w:val="24"/>
              </w:rPr>
            </w:pPr>
            <w:r w:rsidRPr="000B1E3F">
              <w:rPr>
                <w:noProof/>
                <w:sz w:val="24"/>
                <w:szCs w:val="24"/>
              </w:rPr>
              <w:t>Cocos (Keeling) Islands Marine Traffic and Harbour Facilities Determination 2015 [F2015L01593]</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Purpose</w:t>
            </w:r>
          </w:p>
        </w:tc>
        <w:tc>
          <w:tcPr>
            <w:tcW w:w="6378" w:type="dxa"/>
            <w:tcBorders>
              <w:left w:val="single" w:sz="12" w:space="0" w:color="auto"/>
            </w:tcBorders>
          </w:tcPr>
          <w:p w:rsidR="008279DB" w:rsidRPr="00A77228" w:rsidRDefault="008279DB" w:rsidP="001B541D">
            <w:pPr>
              <w:rPr>
                <w:sz w:val="24"/>
                <w:szCs w:val="24"/>
              </w:rPr>
            </w:pPr>
            <w:r w:rsidRPr="00FB2C8C">
              <w:rPr>
                <w:noProof/>
                <w:sz w:val="24"/>
                <w:szCs w:val="24"/>
              </w:rPr>
              <w:t>The instruments set the Port charges for Christmas Island and Cocos (Keeling) Island Ports and the Port conditions for cargo movement on the wharf area of Christmas Island Port</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Last day to disallow</w:t>
            </w:r>
          </w:p>
        </w:tc>
        <w:tc>
          <w:tcPr>
            <w:tcW w:w="6378" w:type="dxa"/>
            <w:tcBorders>
              <w:left w:val="single" w:sz="12" w:space="0" w:color="auto"/>
            </w:tcBorders>
          </w:tcPr>
          <w:p w:rsidR="008279DB" w:rsidRPr="00A77228" w:rsidRDefault="008279DB" w:rsidP="001B541D">
            <w:pPr>
              <w:rPr>
                <w:sz w:val="24"/>
                <w:szCs w:val="24"/>
              </w:rPr>
            </w:pPr>
            <w:r>
              <w:rPr>
                <w:noProof/>
                <w:sz w:val="24"/>
                <w:szCs w:val="24"/>
              </w:rPr>
              <w:t>10 May 2016</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Authorising legislation</w:t>
            </w:r>
          </w:p>
        </w:tc>
        <w:tc>
          <w:tcPr>
            <w:tcW w:w="6378" w:type="dxa"/>
            <w:tcBorders>
              <w:left w:val="single" w:sz="12" w:space="0" w:color="auto"/>
            </w:tcBorders>
          </w:tcPr>
          <w:p w:rsidR="008279DB" w:rsidRPr="00FB2C8C" w:rsidRDefault="008279DB" w:rsidP="001B541D">
            <w:pPr>
              <w:rPr>
                <w:sz w:val="24"/>
                <w:szCs w:val="24"/>
              </w:rPr>
            </w:pPr>
            <w:r w:rsidRPr="00FB2C8C">
              <w:rPr>
                <w:noProof/>
                <w:sz w:val="24"/>
                <w:szCs w:val="24"/>
              </w:rPr>
              <w:t>Utilities and Services Ordinance 1996</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Department</w:t>
            </w:r>
          </w:p>
        </w:tc>
        <w:tc>
          <w:tcPr>
            <w:tcW w:w="6378" w:type="dxa"/>
            <w:tcBorders>
              <w:left w:val="single" w:sz="12" w:space="0" w:color="auto"/>
            </w:tcBorders>
          </w:tcPr>
          <w:p w:rsidR="008279DB" w:rsidRPr="00A77228" w:rsidRDefault="008279DB" w:rsidP="001B541D">
            <w:pPr>
              <w:rPr>
                <w:sz w:val="24"/>
                <w:szCs w:val="24"/>
              </w:rPr>
            </w:pPr>
            <w:r w:rsidRPr="000B1E3F">
              <w:rPr>
                <w:noProof/>
                <w:sz w:val="24"/>
                <w:szCs w:val="24"/>
              </w:rPr>
              <w:t>Infrastructure and Regional Development</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Pr>
                <w:b/>
                <w:sz w:val="24"/>
                <w:szCs w:val="24"/>
              </w:rPr>
              <w:t>Scrutiny principle</w:t>
            </w:r>
          </w:p>
        </w:tc>
        <w:tc>
          <w:tcPr>
            <w:tcW w:w="6378" w:type="dxa"/>
            <w:tcBorders>
              <w:left w:val="single" w:sz="12" w:space="0" w:color="auto"/>
            </w:tcBorders>
          </w:tcPr>
          <w:p w:rsidR="008279DB" w:rsidRPr="00A77228" w:rsidRDefault="008279DB" w:rsidP="001B541D">
            <w:pPr>
              <w:rPr>
                <w:sz w:val="24"/>
                <w:szCs w:val="24"/>
              </w:rPr>
            </w:pPr>
            <w:r>
              <w:rPr>
                <w:sz w:val="24"/>
                <w:szCs w:val="24"/>
              </w:rPr>
              <w:t>Standing Order 23(3)</w:t>
            </w:r>
            <w:r w:rsidRPr="000B1E3F">
              <w:rPr>
                <w:noProof/>
                <w:sz w:val="24"/>
                <w:szCs w:val="24"/>
              </w:rPr>
              <w:t>(a)</w:t>
            </w:r>
          </w:p>
        </w:tc>
      </w:tr>
      <w:tr w:rsidR="008279DB" w:rsidRPr="00164622" w:rsidTr="001B541D">
        <w:tc>
          <w:tcPr>
            <w:tcW w:w="2694" w:type="dxa"/>
            <w:tcBorders>
              <w:bottom w:val="single" w:sz="12" w:space="0" w:color="auto"/>
              <w:right w:val="single" w:sz="12" w:space="0" w:color="auto"/>
            </w:tcBorders>
          </w:tcPr>
          <w:p w:rsidR="008279DB" w:rsidRDefault="008279DB" w:rsidP="001B541D">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8279DB" w:rsidRDefault="008279DB" w:rsidP="001B541D">
            <w:pPr>
              <w:rPr>
                <w:sz w:val="24"/>
                <w:szCs w:val="24"/>
              </w:rPr>
            </w:pPr>
            <w:r>
              <w:rPr>
                <w:i/>
                <w:noProof/>
                <w:sz w:val="24"/>
                <w:szCs w:val="24"/>
              </w:rPr>
              <w:t xml:space="preserve">Delegated legislation monitor </w:t>
            </w:r>
            <w:r w:rsidRPr="00EB5BFF">
              <w:rPr>
                <w:noProof/>
                <w:sz w:val="24"/>
                <w:szCs w:val="24"/>
              </w:rPr>
              <w:t>No</w:t>
            </w:r>
            <w:r>
              <w:rPr>
                <w:noProof/>
                <w:sz w:val="24"/>
                <w:szCs w:val="24"/>
              </w:rPr>
              <w:t>s</w:t>
            </w:r>
            <w:r w:rsidRPr="00EB5BFF">
              <w:rPr>
                <w:noProof/>
                <w:sz w:val="24"/>
                <w:szCs w:val="24"/>
              </w:rPr>
              <w:t xml:space="preserve"> </w:t>
            </w:r>
            <w:r w:rsidRPr="000B1E3F">
              <w:rPr>
                <w:noProof/>
                <w:sz w:val="24"/>
                <w:szCs w:val="24"/>
              </w:rPr>
              <w:t>14</w:t>
            </w:r>
            <w:r>
              <w:rPr>
                <w:noProof/>
                <w:sz w:val="24"/>
                <w:szCs w:val="24"/>
              </w:rPr>
              <w:t xml:space="preserve"> and 16 </w:t>
            </w:r>
            <w:r w:rsidRPr="000B1E3F">
              <w:rPr>
                <w:noProof/>
                <w:sz w:val="24"/>
                <w:szCs w:val="24"/>
              </w:rPr>
              <w:t>of 2015</w:t>
            </w:r>
            <w:r>
              <w:rPr>
                <w:noProof/>
                <w:sz w:val="24"/>
                <w:szCs w:val="24"/>
              </w:rPr>
              <w:t>; 3 of 2016</w:t>
            </w:r>
          </w:p>
        </w:tc>
      </w:tr>
    </w:tbl>
    <w:p w:rsidR="008279DB" w:rsidRDefault="008279DB" w:rsidP="008279DB">
      <w:pPr>
        <w:rPr>
          <w:b/>
          <w:noProof/>
        </w:rPr>
      </w:pPr>
    </w:p>
    <w:p w:rsidR="008279DB" w:rsidRPr="00067E22" w:rsidRDefault="008279DB" w:rsidP="008279DB">
      <w:pPr>
        <w:rPr>
          <w:b/>
          <w:noProof/>
        </w:rPr>
      </w:pPr>
      <w:r w:rsidRPr="00067E22">
        <w:rPr>
          <w:b/>
          <w:noProof/>
        </w:rPr>
        <w:t>Unclear basis for determining fees</w:t>
      </w:r>
    </w:p>
    <w:p w:rsidR="008279DB" w:rsidRPr="00067E22" w:rsidRDefault="008279DB" w:rsidP="008279DB">
      <w:pPr>
        <w:rPr>
          <w:noProof/>
        </w:rPr>
      </w:pPr>
      <w:r w:rsidRPr="00067E22">
        <w:rPr>
          <w:noProof/>
        </w:rPr>
        <w:t xml:space="preserve">The committee commented as follows: </w:t>
      </w:r>
    </w:p>
    <w:p w:rsidR="008279DB" w:rsidRPr="00067E22" w:rsidRDefault="008279DB" w:rsidP="008279DB">
      <w:pPr>
        <w:rPr>
          <w:noProof/>
        </w:rPr>
      </w:pPr>
      <w:r w:rsidRPr="00067E22">
        <w:rPr>
          <w:noProof/>
        </w:rPr>
        <w:t>Schedule 1 of these instruments sets the Port charges for the Christmas Island and Cocos (Keeling) Island Ports.</w:t>
      </w:r>
    </w:p>
    <w:p w:rsidR="008279DB" w:rsidRPr="00067E22" w:rsidRDefault="008279DB" w:rsidP="008279DB">
      <w:pPr>
        <w:rPr>
          <w:noProof/>
        </w:rPr>
      </w:pPr>
      <w:r w:rsidRPr="00067E22">
        <w:rPr>
          <w:noProof/>
        </w:rPr>
        <w:t>The committee's usual expectation in cases where instruments of delegated legislation carry financial implications via the imposition of a charge, fee, levy, scale or rate of costs or payment is that the relevant ES makes clear the specific basis on which an individual imposition or change has been calculated. With reference to these requirements, the committee notes that the ESs for these instruments provide no indication as to the basis on which the fees have been calculated or set.</w:t>
      </w:r>
    </w:p>
    <w:p w:rsidR="008279DB" w:rsidRPr="00067E22" w:rsidRDefault="008279DB" w:rsidP="008279DB">
      <w:pPr>
        <w:rPr>
          <w:b/>
          <w:noProof/>
        </w:rPr>
      </w:pPr>
      <w:r w:rsidRPr="00067E22">
        <w:rPr>
          <w:b/>
          <w:noProof/>
        </w:rPr>
        <w:t>The committee requests the advice of the minister in relation to this matter.</w:t>
      </w:r>
    </w:p>
    <w:p w:rsidR="008279DB" w:rsidRPr="00067E22" w:rsidRDefault="008279DB" w:rsidP="008279DB">
      <w:pPr>
        <w:rPr>
          <w:b/>
          <w:noProof/>
        </w:rPr>
      </w:pPr>
      <w:r w:rsidRPr="00067E22">
        <w:rPr>
          <w:b/>
          <w:noProof/>
        </w:rPr>
        <w:t>Minister's first response</w:t>
      </w:r>
    </w:p>
    <w:p w:rsidR="008279DB" w:rsidRPr="00067E22" w:rsidRDefault="008279DB" w:rsidP="008279DB">
      <w:pPr>
        <w:rPr>
          <w:noProof/>
        </w:rPr>
      </w:pPr>
      <w:r w:rsidRPr="00067E22">
        <w:rPr>
          <w:noProof/>
        </w:rPr>
        <w:t>The Minister for Territories, Local Government, and Major Projects advised:</w:t>
      </w:r>
    </w:p>
    <w:p w:rsidR="008279DB" w:rsidRPr="00067E22" w:rsidRDefault="008279DB" w:rsidP="008279DB">
      <w:pPr>
        <w:pStyle w:val="Quote"/>
        <w:spacing w:before="120"/>
        <w:rPr>
          <w:noProof/>
        </w:rPr>
      </w:pPr>
      <w:r w:rsidRPr="00067E22">
        <w:rPr>
          <w:noProof/>
        </w:rPr>
        <w:t>The 2015 Determinations replaced, and were based on, arrangements for Christmas Island contained in the Marine Traffic and Harbour Facilities Determination No 1 of 2003 (the 2003 Determination). Advice from the contractor which manages both ports for the Australian Government, Patrick Ports, is that the charges in the 2003 Determination were comparable to those in place in similar remote ports in Western Australia and that these should be continued.</w:t>
      </w:r>
    </w:p>
    <w:p w:rsidR="008279DB" w:rsidRPr="00067E22" w:rsidRDefault="008279DB" w:rsidP="008279DB">
      <w:pPr>
        <w:rPr>
          <w:b/>
          <w:noProof/>
        </w:rPr>
      </w:pPr>
      <w:r w:rsidRPr="00067E22">
        <w:rPr>
          <w:b/>
          <w:noProof/>
        </w:rPr>
        <w:lastRenderedPageBreak/>
        <w:t>Committee's first response</w:t>
      </w:r>
    </w:p>
    <w:p w:rsidR="008279DB" w:rsidRPr="00067E22" w:rsidRDefault="008279DB" w:rsidP="008279DB">
      <w:pPr>
        <w:rPr>
          <w:b/>
          <w:noProof/>
        </w:rPr>
      </w:pPr>
      <w:r w:rsidRPr="00067E22">
        <w:rPr>
          <w:b/>
          <w:noProof/>
        </w:rPr>
        <w:t>The committee thanks the minister for his response.</w:t>
      </w:r>
    </w:p>
    <w:p w:rsidR="008279DB" w:rsidRPr="00067E22" w:rsidRDefault="008279DB" w:rsidP="008279DB">
      <w:pPr>
        <w:rPr>
          <w:noProof/>
        </w:rPr>
      </w:pPr>
      <w:r w:rsidRPr="00067E22">
        <w:rPr>
          <w:noProof/>
        </w:rPr>
        <w:t xml:space="preserve">The committee notes the minister's advice that the port charges set by the instruments were comparable to those in similar remote ports in Western Australia. However, the minister's response does not address the question of the specific basis on which the charges have been calculated. </w:t>
      </w:r>
    </w:p>
    <w:p w:rsidR="008279DB" w:rsidRPr="00067E22" w:rsidRDefault="008279DB" w:rsidP="008279DB">
      <w:pPr>
        <w:rPr>
          <w:noProof/>
        </w:rPr>
      </w:pPr>
      <w:r w:rsidRPr="00067E22">
        <w:rPr>
          <w:b/>
          <w:noProof/>
        </w:rPr>
        <w:t>The committee reiterates its request for the advice of the minister in relation to this matter.</w:t>
      </w:r>
    </w:p>
    <w:p w:rsidR="008279DB" w:rsidRDefault="008279DB" w:rsidP="008279DB">
      <w:pPr>
        <w:rPr>
          <w:b/>
        </w:rPr>
      </w:pPr>
      <w:r w:rsidRPr="00067E22">
        <w:rPr>
          <w:b/>
        </w:rPr>
        <w:t>Minister's second response</w:t>
      </w:r>
    </w:p>
    <w:p w:rsidR="008279DB" w:rsidRPr="00D47B84" w:rsidRDefault="008279DB" w:rsidP="008279DB">
      <w:r>
        <w:t>The minister advised:</w:t>
      </w:r>
    </w:p>
    <w:p w:rsidR="008279DB" w:rsidRPr="00067E22" w:rsidRDefault="008279DB" w:rsidP="008279DB">
      <w:pPr>
        <w:pStyle w:val="Quote"/>
        <w:spacing w:before="120"/>
      </w:pPr>
      <w:r w:rsidRPr="00067E22">
        <w:t>I have instructed the Department of Infrastructure and Regional Development to ensure that the Explanatory Statements for the Determinations are amended and are made available to the Committee. The amendments will address the basis upon whi</w:t>
      </w:r>
      <w:r>
        <w:t>ch charges have been calculated…</w:t>
      </w:r>
    </w:p>
    <w:p w:rsidR="008279DB" w:rsidRDefault="008279DB" w:rsidP="008279DB">
      <w:pPr>
        <w:rPr>
          <w:b/>
        </w:rPr>
      </w:pPr>
      <w:r w:rsidRPr="00067E22">
        <w:rPr>
          <w:b/>
        </w:rPr>
        <w:t>Committee's second response</w:t>
      </w:r>
    </w:p>
    <w:p w:rsidR="008279DB" w:rsidRDefault="008279DB" w:rsidP="008279DB">
      <w:pPr>
        <w:rPr>
          <w:b/>
        </w:rPr>
      </w:pPr>
      <w:r>
        <w:rPr>
          <w:b/>
        </w:rPr>
        <w:t xml:space="preserve">The committee thanks the minister for his response. </w:t>
      </w:r>
    </w:p>
    <w:p w:rsidR="008279DB" w:rsidRDefault="008279DB" w:rsidP="008279DB">
      <w:r>
        <w:t xml:space="preserve">The committee notes that revised explanatory statements (ES) for these instruments were tabled in the Senate on 22 February 2016. These revised ESs are included in Appendix 1. The revised ESs describe in further detail the process for comparing port fees and charges in Indian Ocean Territories with those in Western Australian ports. In relation to Christmas Island, the way in which the fees and charges are implemented in relation to wharfage, mooring, berth hire, port dues and equipment hire is also set out. </w:t>
      </w:r>
      <w:r w:rsidRPr="005A0010">
        <w:t xml:space="preserve">However, the </w:t>
      </w:r>
      <w:r>
        <w:t>revised ESs do</w:t>
      </w:r>
      <w:r w:rsidRPr="005A0010">
        <w:t xml:space="preserve"> not address the question of the specific basis on which the charges have been calculated</w:t>
      </w:r>
      <w:r>
        <w:t>; for example, whether the port fees and charges are calculated on the basis of cost recovery or on another basis</w:t>
      </w:r>
      <w:r w:rsidRPr="005A0010">
        <w:t>.</w:t>
      </w:r>
    </w:p>
    <w:p w:rsidR="008279DB" w:rsidRDefault="008279DB" w:rsidP="008279DB">
      <w:r w:rsidRPr="005A0010">
        <w:rPr>
          <w:b/>
        </w:rPr>
        <w:t>The committee reiterates its request for the advice of the minister in relation to this matter.</w:t>
      </w:r>
    </w:p>
    <w:p w:rsidR="008279DB" w:rsidRDefault="008279DB" w:rsidP="008279DB">
      <w:pPr>
        <w:rPr>
          <w:b/>
        </w:rPr>
      </w:pPr>
      <w:r w:rsidRPr="007A6667">
        <w:rPr>
          <w:b/>
        </w:rPr>
        <w:t>Minister's third response</w:t>
      </w:r>
    </w:p>
    <w:p w:rsidR="008279DB" w:rsidRPr="00067E22" w:rsidRDefault="008279DB" w:rsidP="008279DB">
      <w:pPr>
        <w:rPr>
          <w:noProof/>
        </w:rPr>
      </w:pPr>
      <w:r>
        <w:rPr>
          <w:noProof/>
        </w:rPr>
        <w:t>The m</w:t>
      </w:r>
      <w:r w:rsidRPr="00067E22">
        <w:rPr>
          <w:noProof/>
        </w:rPr>
        <w:t>inister advised:</w:t>
      </w:r>
    </w:p>
    <w:p w:rsidR="008279DB" w:rsidRPr="007A6667" w:rsidRDefault="008279DB" w:rsidP="008279DB">
      <w:pPr>
        <w:pStyle w:val="Quote"/>
        <w:spacing w:before="120"/>
      </w:pPr>
      <w:r w:rsidRPr="007A6667">
        <w:t>Christmas Island and the Cocos (Keeling) Islands are remote locations with very small populations. Consequently there is a very low volume of freight to and from Christmas Island and Cocos (Keeling) Islands…</w:t>
      </w:r>
    </w:p>
    <w:p w:rsidR="008279DB" w:rsidRPr="007A6667" w:rsidRDefault="008279DB" w:rsidP="008279DB">
      <w:pPr>
        <w:pStyle w:val="Quote"/>
        <w:spacing w:before="120"/>
      </w:pPr>
      <w:r w:rsidRPr="007A6667">
        <w:t xml:space="preserve">Given these factors, the Australian Government does not collect associated port's fees and charges on a cost recovery basis. Rather, a derived price </w:t>
      </w:r>
      <w:r w:rsidRPr="007A6667">
        <w:lastRenderedPageBreak/>
        <w:t xml:space="preserve">commensurate with other similar Western Australian ports is applied. The fees and charges are also set, bearing </w:t>
      </w:r>
      <w:r>
        <w:t>in mind what the market can bear.</w:t>
      </w:r>
    </w:p>
    <w:p w:rsidR="008279DB" w:rsidRDefault="008279DB" w:rsidP="008279DB">
      <w:pPr>
        <w:pStyle w:val="Quote"/>
        <w:spacing w:before="120"/>
      </w:pPr>
      <w:r w:rsidRPr="007A6667">
        <w:t>In 2014-15, the latest completed financial year, the contract sum for the provision of port management services was $1,943,995 for Christmas Island and $1,729,235 for Cocos (Keeling) Islands, excluding capital acquisition and replacement costs. The annual revenue collected through fees and charges over the same financial year was $1,296,144 for Christmas Island and $184,333 for Cocos (Keeling) Islands.</w:t>
      </w:r>
    </w:p>
    <w:p w:rsidR="008279DB" w:rsidRPr="007A6667" w:rsidRDefault="008279DB" w:rsidP="008279DB">
      <w:pPr>
        <w:rPr>
          <w:b/>
        </w:rPr>
      </w:pPr>
      <w:r w:rsidRPr="007A6667">
        <w:rPr>
          <w:b/>
        </w:rPr>
        <w:t>Committee's third response</w:t>
      </w:r>
    </w:p>
    <w:p w:rsidR="008279DB" w:rsidRPr="007A6667" w:rsidRDefault="008279DB" w:rsidP="008279DB">
      <w:pPr>
        <w:rPr>
          <w:b/>
        </w:rPr>
      </w:pPr>
      <w:r w:rsidRPr="007A6667">
        <w:rPr>
          <w:b/>
        </w:rPr>
        <w:t xml:space="preserve">The committee thanks the minister for his response and has concluded its examination of the instruments. </w:t>
      </w:r>
    </w:p>
    <w:p w:rsidR="008279DB" w:rsidRDefault="008279DB" w:rsidP="008279DB">
      <w:pPr>
        <w:pStyle w:val="Level1"/>
        <w:numPr>
          <w:ilvl w:val="0"/>
          <w:numId w:val="0"/>
        </w:numPr>
        <w:rPr>
          <w:b/>
        </w:rPr>
      </w:pPr>
    </w:p>
    <w:tbl>
      <w:tblPr>
        <w:tblW w:w="0" w:type="auto"/>
        <w:tblInd w:w="108" w:type="dxa"/>
        <w:tblLook w:val="04A0" w:firstRow="1" w:lastRow="0" w:firstColumn="1" w:lastColumn="0" w:noHBand="0" w:noVBand="1"/>
      </w:tblPr>
      <w:tblGrid>
        <w:gridCol w:w="2694"/>
        <w:gridCol w:w="6378"/>
      </w:tblGrid>
      <w:tr w:rsidR="008279DB" w:rsidRPr="00164622" w:rsidTr="001B541D">
        <w:tc>
          <w:tcPr>
            <w:tcW w:w="2694" w:type="dxa"/>
            <w:tcBorders>
              <w:top w:val="single" w:sz="12" w:space="0" w:color="auto"/>
              <w:right w:val="single" w:sz="12" w:space="0" w:color="auto"/>
            </w:tcBorders>
          </w:tcPr>
          <w:p w:rsidR="008279DB" w:rsidRPr="00A77228" w:rsidRDefault="008279DB" w:rsidP="001B541D">
            <w:pPr>
              <w:rPr>
                <w:b/>
                <w:sz w:val="24"/>
                <w:szCs w:val="24"/>
              </w:rPr>
            </w:pPr>
            <w:r>
              <w:rPr>
                <w:b/>
                <w:sz w:val="24"/>
                <w:szCs w:val="24"/>
              </w:rPr>
              <w:t>Instrument</w:t>
            </w:r>
          </w:p>
        </w:tc>
        <w:tc>
          <w:tcPr>
            <w:tcW w:w="6378" w:type="dxa"/>
            <w:tcBorders>
              <w:top w:val="single" w:sz="12" w:space="0" w:color="auto"/>
              <w:left w:val="single" w:sz="12" w:space="0" w:color="auto"/>
            </w:tcBorders>
          </w:tcPr>
          <w:p w:rsidR="008279DB" w:rsidRPr="00BA36F8" w:rsidRDefault="008279DB" w:rsidP="001B541D">
            <w:pPr>
              <w:pStyle w:val="Heading3"/>
              <w:rPr>
                <w:sz w:val="24"/>
                <w:szCs w:val="24"/>
              </w:rPr>
            </w:pPr>
            <w:r w:rsidRPr="00A6366B">
              <w:rPr>
                <w:noProof/>
                <w:sz w:val="24"/>
                <w:szCs w:val="24"/>
              </w:rPr>
              <w:t>Migration Amendment (Charging for a Migration Outcome and Other Measures) Regulation 2015 [F2015L01961]</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Purpose</w:t>
            </w:r>
          </w:p>
        </w:tc>
        <w:tc>
          <w:tcPr>
            <w:tcW w:w="6378" w:type="dxa"/>
            <w:tcBorders>
              <w:left w:val="single" w:sz="12" w:space="0" w:color="auto"/>
            </w:tcBorders>
          </w:tcPr>
          <w:p w:rsidR="008279DB" w:rsidRPr="00A77228" w:rsidRDefault="008279DB" w:rsidP="001B541D">
            <w:pPr>
              <w:rPr>
                <w:sz w:val="24"/>
                <w:szCs w:val="24"/>
              </w:rPr>
            </w:pPr>
            <w:r w:rsidRPr="00A6366B">
              <w:rPr>
                <w:noProof/>
                <w:sz w:val="24"/>
                <w:szCs w:val="24"/>
              </w:rPr>
              <w:t xml:space="preserve">Amends the Migration Regulations 1958 to introduce a range of measures to support the new provisions introduced by the </w:t>
            </w:r>
            <w:r w:rsidRPr="005A2653">
              <w:rPr>
                <w:i/>
                <w:noProof/>
                <w:sz w:val="24"/>
                <w:szCs w:val="24"/>
              </w:rPr>
              <w:t>Migration Amendment (Charging for a Migration Outcome) Act 2015</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Last day to disallow</w:t>
            </w:r>
          </w:p>
        </w:tc>
        <w:tc>
          <w:tcPr>
            <w:tcW w:w="6378" w:type="dxa"/>
            <w:tcBorders>
              <w:left w:val="single" w:sz="12" w:space="0" w:color="auto"/>
            </w:tcBorders>
          </w:tcPr>
          <w:p w:rsidR="008279DB" w:rsidRPr="00A77228" w:rsidRDefault="008279DB" w:rsidP="001B541D">
            <w:pPr>
              <w:rPr>
                <w:sz w:val="24"/>
                <w:szCs w:val="24"/>
              </w:rPr>
            </w:pPr>
            <w:r w:rsidRPr="00A6366B">
              <w:rPr>
                <w:noProof/>
                <w:sz w:val="24"/>
                <w:szCs w:val="24"/>
              </w:rPr>
              <w:t>11 May 2016</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Authorising legislation</w:t>
            </w:r>
          </w:p>
        </w:tc>
        <w:tc>
          <w:tcPr>
            <w:tcW w:w="6378" w:type="dxa"/>
            <w:tcBorders>
              <w:left w:val="single" w:sz="12" w:space="0" w:color="auto"/>
            </w:tcBorders>
          </w:tcPr>
          <w:p w:rsidR="008279DB" w:rsidRPr="00932D1C" w:rsidRDefault="008279DB" w:rsidP="001B541D">
            <w:pPr>
              <w:rPr>
                <w:i/>
                <w:sz w:val="24"/>
                <w:szCs w:val="24"/>
              </w:rPr>
            </w:pPr>
            <w:r w:rsidRPr="00A6366B">
              <w:rPr>
                <w:i/>
                <w:noProof/>
                <w:sz w:val="24"/>
                <w:szCs w:val="24"/>
              </w:rPr>
              <w:t>Migration Act 1958</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Department</w:t>
            </w:r>
          </w:p>
        </w:tc>
        <w:tc>
          <w:tcPr>
            <w:tcW w:w="6378" w:type="dxa"/>
            <w:tcBorders>
              <w:left w:val="single" w:sz="12" w:space="0" w:color="auto"/>
            </w:tcBorders>
          </w:tcPr>
          <w:p w:rsidR="008279DB" w:rsidRPr="00A77228" w:rsidRDefault="008279DB" w:rsidP="001B541D">
            <w:pPr>
              <w:rPr>
                <w:sz w:val="24"/>
                <w:szCs w:val="24"/>
              </w:rPr>
            </w:pPr>
            <w:r w:rsidRPr="00A6366B">
              <w:rPr>
                <w:noProof/>
                <w:sz w:val="24"/>
                <w:szCs w:val="24"/>
              </w:rPr>
              <w:t>Immigration and Border Protection</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Pr>
                <w:b/>
                <w:sz w:val="24"/>
                <w:szCs w:val="24"/>
              </w:rPr>
              <w:t>Scrutiny principle</w:t>
            </w:r>
          </w:p>
        </w:tc>
        <w:tc>
          <w:tcPr>
            <w:tcW w:w="6378" w:type="dxa"/>
            <w:tcBorders>
              <w:left w:val="single" w:sz="12" w:space="0" w:color="auto"/>
            </w:tcBorders>
          </w:tcPr>
          <w:p w:rsidR="008279DB" w:rsidRPr="00A77228" w:rsidRDefault="008279DB" w:rsidP="001B541D">
            <w:pPr>
              <w:rPr>
                <w:sz w:val="24"/>
                <w:szCs w:val="24"/>
              </w:rPr>
            </w:pPr>
            <w:r>
              <w:rPr>
                <w:sz w:val="24"/>
                <w:szCs w:val="24"/>
              </w:rPr>
              <w:t>Standing Order 23(3)</w:t>
            </w:r>
            <w:r w:rsidRPr="00A6366B">
              <w:rPr>
                <w:noProof/>
                <w:sz w:val="24"/>
                <w:szCs w:val="24"/>
              </w:rPr>
              <w:t>(b)</w:t>
            </w:r>
          </w:p>
        </w:tc>
      </w:tr>
      <w:tr w:rsidR="008279DB" w:rsidRPr="00164622" w:rsidTr="001B541D">
        <w:tc>
          <w:tcPr>
            <w:tcW w:w="2694" w:type="dxa"/>
            <w:tcBorders>
              <w:bottom w:val="single" w:sz="12" w:space="0" w:color="auto"/>
              <w:right w:val="single" w:sz="12" w:space="0" w:color="auto"/>
            </w:tcBorders>
          </w:tcPr>
          <w:p w:rsidR="008279DB" w:rsidRDefault="008279DB" w:rsidP="001B541D">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8279DB" w:rsidRDefault="008279DB" w:rsidP="001B541D">
            <w:pPr>
              <w:rPr>
                <w:sz w:val="24"/>
                <w:szCs w:val="24"/>
              </w:rPr>
            </w:pPr>
            <w:r>
              <w:rPr>
                <w:i/>
                <w:noProof/>
                <w:sz w:val="24"/>
                <w:szCs w:val="24"/>
              </w:rPr>
              <w:t xml:space="preserve">Delegated legislation monitor </w:t>
            </w:r>
            <w:r w:rsidRPr="005A2653">
              <w:rPr>
                <w:noProof/>
                <w:sz w:val="24"/>
                <w:szCs w:val="24"/>
              </w:rPr>
              <w:t>No. 1 of 2016</w:t>
            </w:r>
          </w:p>
        </w:tc>
      </w:tr>
    </w:tbl>
    <w:p w:rsidR="008279DB" w:rsidRDefault="008279DB" w:rsidP="008279DB"/>
    <w:p w:rsidR="008279DB" w:rsidRDefault="008279DB" w:rsidP="008279DB">
      <w:pPr>
        <w:rPr>
          <w:b/>
          <w:noProof/>
        </w:rPr>
      </w:pPr>
      <w:r w:rsidRPr="00A6366B">
        <w:rPr>
          <w:b/>
          <w:noProof/>
        </w:rPr>
        <w:t>Retrospective effect</w:t>
      </w:r>
    </w:p>
    <w:p w:rsidR="008279DB" w:rsidRDefault="008279DB" w:rsidP="008279DB">
      <w:r>
        <w:t>The committee commented as follows:</w:t>
      </w:r>
    </w:p>
    <w:p w:rsidR="008279DB" w:rsidRPr="00FA4420" w:rsidRDefault="008279DB" w:rsidP="008279DB">
      <w:r w:rsidRPr="00FA4420">
        <w:t xml:space="preserve">The regulation makes various amendments to the Migration Regulations 1994 to support changes made to the </w:t>
      </w:r>
      <w:r w:rsidRPr="00FA4420">
        <w:rPr>
          <w:i/>
        </w:rPr>
        <w:t>Migration Act 1958</w:t>
      </w:r>
      <w:r w:rsidRPr="00FA4420">
        <w:t xml:space="preserve"> by the </w:t>
      </w:r>
      <w:r w:rsidRPr="00FA4420">
        <w:rPr>
          <w:i/>
        </w:rPr>
        <w:t>Migration Amendment (Charging for a Migration Outcome) Act 2015</w:t>
      </w:r>
      <w:r w:rsidRPr="00FA4420">
        <w:t>. The ES states that the latter Act makes it unlawful for a person to ask for, receive, offer or provide a benefit in return for a migration outcome ('payment for visas' conduct) in relation to certain skilled visa programs.</w:t>
      </w:r>
    </w:p>
    <w:p w:rsidR="008279DB" w:rsidRPr="00FA4420" w:rsidRDefault="008279DB" w:rsidP="008279DB">
      <w:r w:rsidRPr="00FA4420">
        <w:t>Item 52 of Schedule 1 to the regulation inserts a new item into Schedule 13 to</w:t>
      </w:r>
      <w:r>
        <w:t xml:space="preserve"> the Migration Regulations 1958</w:t>
      </w:r>
      <w:r w:rsidRPr="00FA4420">
        <w:t xml:space="preserve"> dealing with the application of the amendments made by the regulation. </w:t>
      </w:r>
      <w:r>
        <w:t>New p</w:t>
      </w:r>
      <w:r w:rsidRPr="00FA4420">
        <w:t>aragraph 5101(4)(a) provides th</w:t>
      </w:r>
      <w:r>
        <w:t xml:space="preserve">at the amendments made by </w:t>
      </w:r>
      <w:r>
        <w:lastRenderedPageBreak/>
        <w:t xml:space="preserve">various items </w:t>
      </w:r>
      <w:r w:rsidRPr="00FA4420">
        <w:t xml:space="preserve">of Schedule 1 to this regulation apply to </w:t>
      </w:r>
      <w:r>
        <w:t xml:space="preserve">an </w:t>
      </w:r>
      <w:r w:rsidRPr="00FA4420">
        <w:t>application for a visa made, but not finally determined</w:t>
      </w:r>
      <w:r>
        <w:t>,</w:t>
      </w:r>
      <w:r w:rsidRPr="00FA4420">
        <w:t xml:space="preserve"> before the comme</w:t>
      </w:r>
      <w:r>
        <w:t>ncement of those items (i.e. 14 </w:t>
      </w:r>
      <w:r w:rsidRPr="00FA4420">
        <w:t>December 2015).</w:t>
      </w:r>
    </w:p>
    <w:p w:rsidR="008279DB" w:rsidRPr="00FA4420" w:rsidRDefault="008279DB" w:rsidP="008279DB">
      <w:r w:rsidRPr="00FA4420">
        <w:t>The committee notes that, although the instrument is not strictly retrospective, it prescribes rules for the future based on antecedent facts (that is, the existence of an earlier visa application). As a consequence, it appears that a person whose application for a visa was made on or before 14 December 2015 is now subject to criteria for the grant of the visa that did not apply at the time of their application.</w:t>
      </w:r>
    </w:p>
    <w:p w:rsidR="008279DB" w:rsidRPr="00FA4420" w:rsidRDefault="008279DB" w:rsidP="008279DB">
      <w:r w:rsidRPr="00FA4420">
        <w:t>The committee's usual approach in cases such as this is to regard the instrument as being retrospective in effect and to asses such cases against the requirement to ensure that instruments of delegated legislation do not unduly trespass on personal rights and liberties (scrutiny principle 23(3)(b)). The committee notes that the ES for the regulation does not address this issue.</w:t>
      </w:r>
    </w:p>
    <w:p w:rsidR="008279DB" w:rsidRDefault="008279DB" w:rsidP="008279DB">
      <w:pPr>
        <w:rPr>
          <w:b/>
          <w:noProof/>
        </w:rPr>
      </w:pPr>
      <w:r w:rsidRPr="00FA4420">
        <w:rPr>
          <w:b/>
          <w:noProof/>
        </w:rPr>
        <w:t>The committee requests the advice of the minister in relation to this matter.</w:t>
      </w:r>
    </w:p>
    <w:p w:rsidR="008279DB" w:rsidRDefault="008279DB" w:rsidP="008279DB">
      <w:pPr>
        <w:rPr>
          <w:b/>
          <w:noProof/>
        </w:rPr>
      </w:pPr>
      <w:r>
        <w:rPr>
          <w:b/>
          <w:noProof/>
        </w:rPr>
        <w:t>Minister's response</w:t>
      </w:r>
    </w:p>
    <w:p w:rsidR="008279DB" w:rsidRDefault="008279DB" w:rsidP="008279DB">
      <w:r>
        <w:t>The Minister for Immigration and Border Protection advised:</w:t>
      </w:r>
    </w:p>
    <w:p w:rsidR="008279DB" w:rsidRDefault="008279DB" w:rsidP="008279DB">
      <w:pPr>
        <w:pStyle w:val="Quote"/>
        <w:spacing w:before="120"/>
      </w:pPr>
      <w:r>
        <w:t xml:space="preserve">This Regulation was made to support the </w:t>
      </w:r>
      <w:r w:rsidRPr="005A2653">
        <w:rPr>
          <w:i/>
        </w:rPr>
        <w:t>Migration Amendment (Charging for a Migration Outcome) Act 2015</w:t>
      </w:r>
      <w:r>
        <w:t xml:space="preserve"> (the Amendment Act). This Act introduced a new sanctions regime in relation to asking for, receiving, offering or providing a benefit in return for a migration outcome (payment for visas conduct). </w:t>
      </w:r>
    </w:p>
    <w:p w:rsidR="008279DB" w:rsidRDefault="008279DB" w:rsidP="008279DB">
      <w:pPr>
        <w:pStyle w:val="Quote"/>
        <w:spacing w:before="120"/>
      </w:pPr>
      <w:r>
        <w:t xml:space="preserve">The supporting Regulation introduced, among other things, new provisions under which visa applications may be refused in relation to payment for visas conduct. These new visa refusal avenues were made to apply to visa applications that had already been made before the changes commenced as well as to new applications. </w:t>
      </w:r>
    </w:p>
    <w:p w:rsidR="008279DB" w:rsidRDefault="008279DB" w:rsidP="008279DB">
      <w:pPr>
        <w:pStyle w:val="Quote"/>
        <w:spacing w:before="120"/>
      </w:pPr>
      <w:r>
        <w:t xml:space="preserve">The Committee requests my advice about the application of these amendments to visa applications that had already been made before the changes commenced. </w:t>
      </w:r>
    </w:p>
    <w:p w:rsidR="008279DB" w:rsidRDefault="008279DB" w:rsidP="008279DB">
      <w:pPr>
        <w:pStyle w:val="Quote"/>
        <w:spacing w:before="120"/>
      </w:pPr>
      <w:r>
        <w:t xml:space="preserve">Payment for visas conduct is considered unacceptable by the Australian Government as it undermines the integrity of the skilled work visa programmes, which are designed to address genuine skill shortages in the Australian labour market by making employees available from overseas. It is not acceptable for sponsors, nominators, employers or other third parties to make a personal gain from their position in a 'payment for visas' arrangement and the opportunity it may provide for the visa holder to become an Australian permanent resident. </w:t>
      </w:r>
    </w:p>
    <w:p w:rsidR="008279DB" w:rsidRDefault="008279DB" w:rsidP="008279DB">
      <w:pPr>
        <w:pStyle w:val="Quote"/>
        <w:spacing w:before="120"/>
      </w:pPr>
      <w:r>
        <w:t xml:space="preserve">It is therefore entirely appropriate that the Amendment Regulation applies to all relevant applications decided after the Amendment Regulation came into effect. It would not be appropriate or in the public interest for visas to </w:t>
      </w:r>
      <w:r>
        <w:lastRenderedPageBreak/>
        <w:t xml:space="preserve">be granted where payment for visas conduct had occurred. The amendments do not unduly trespass on personal rights and liberties. </w:t>
      </w:r>
    </w:p>
    <w:p w:rsidR="008279DB" w:rsidRDefault="008279DB" w:rsidP="008279DB">
      <w:pPr>
        <w:pStyle w:val="Quote"/>
        <w:spacing w:before="120"/>
      </w:pPr>
      <w:r>
        <w:t xml:space="preserve">Further, section 504 of the </w:t>
      </w:r>
      <w:r w:rsidRPr="005A2653">
        <w:rPr>
          <w:i/>
        </w:rPr>
        <w:t>Migration Act 1958</w:t>
      </w:r>
      <w:r>
        <w:t xml:space="preserve"> (the Migration Act) authorises the making of regulations that are necessary or convenient to carry out or give effect to the objectives of the Migration Act, which include regulating the entry and stay of non-citizens in Australia in the national interest. Accordingly, these amendments apply to all relevant applications decided on or after the commencement of the Amendment Regulation. It would be incongruous with the Migration Act's stated objective of regulating the entry and stay of non-citizens in Australia, in the national interest, if amendments directed to the achievement of this objective cannot be applied to existing applications that have not yet been decided at commencement time. </w:t>
      </w:r>
    </w:p>
    <w:p w:rsidR="008279DB" w:rsidRDefault="008279DB" w:rsidP="008279DB">
      <w:pPr>
        <w:pStyle w:val="Quote"/>
        <w:spacing w:before="120"/>
      </w:pPr>
      <w:r>
        <w:t>Given the importance of preventing payment for visas conduct, it is appropriate to ensure these new safeguards apply to all visa applications decided after the commencement of the safeguards.</w:t>
      </w:r>
    </w:p>
    <w:p w:rsidR="008279DB" w:rsidRDefault="008279DB" w:rsidP="008279DB">
      <w:pPr>
        <w:rPr>
          <w:b/>
        </w:rPr>
      </w:pPr>
      <w:r>
        <w:rPr>
          <w:b/>
        </w:rPr>
        <w:t xml:space="preserve">The committee thanks the minister for his response and has concluded its examination of the instrument. </w:t>
      </w:r>
    </w:p>
    <w:p w:rsidR="008279DB" w:rsidRPr="00164622" w:rsidRDefault="008279DB" w:rsidP="008279DB">
      <w:pPr>
        <w:spacing w:after="0"/>
        <w:rPr>
          <w:szCs w:val="26"/>
        </w:rPr>
      </w:pPr>
    </w:p>
    <w:tbl>
      <w:tblPr>
        <w:tblW w:w="0" w:type="auto"/>
        <w:tblInd w:w="108" w:type="dxa"/>
        <w:tblLook w:val="04A0" w:firstRow="1" w:lastRow="0" w:firstColumn="1" w:lastColumn="0" w:noHBand="0" w:noVBand="1"/>
      </w:tblPr>
      <w:tblGrid>
        <w:gridCol w:w="2694"/>
        <w:gridCol w:w="6378"/>
      </w:tblGrid>
      <w:tr w:rsidR="008279DB" w:rsidRPr="00164622" w:rsidTr="001B541D">
        <w:tc>
          <w:tcPr>
            <w:tcW w:w="2694" w:type="dxa"/>
            <w:tcBorders>
              <w:top w:val="single" w:sz="12" w:space="0" w:color="auto"/>
              <w:right w:val="single" w:sz="12" w:space="0" w:color="auto"/>
            </w:tcBorders>
          </w:tcPr>
          <w:p w:rsidR="008279DB" w:rsidRPr="00A77228" w:rsidRDefault="008279DB" w:rsidP="001B541D">
            <w:pPr>
              <w:rPr>
                <w:b/>
                <w:sz w:val="24"/>
                <w:szCs w:val="24"/>
              </w:rPr>
            </w:pPr>
            <w:r>
              <w:rPr>
                <w:b/>
                <w:sz w:val="24"/>
                <w:szCs w:val="24"/>
              </w:rPr>
              <w:t>Instrument</w:t>
            </w:r>
          </w:p>
        </w:tc>
        <w:tc>
          <w:tcPr>
            <w:tcW w:w="6378" w:type="dxa"/>
            <w:tcBorders>
              <w:top w:val="single" w:sz="12" w:space="0" w:color="auto"/>
              <w:left w:val="single" w:sz="12" w:space="0" w:color="auto"/>
            </w:tcBorders>
          </w:tcPr>
          <w:p w:rsidR="008279DB" w:rsidRPr="00BA36F8" w:rsidRDefault="008279DB" w:rsidP="001B541D">
            <w:pPr>
              <w:pStyle w:val="Heading3"/>
              <w:rPr>
                <w:sz w:val="24"/>
                <w:szCs w:val="24"/>
              </w:rPr>
            </w:pPr>
            <w:r w:rsidRPr="00B576A0">
              <w:rPr>
                <w:noProof/>
                <w:sz w:val="24"/>
                <w:szCs w:val="24"/>
              </w:rPr>
              <w:t>Social Security (Administration) - Queensland Commission (Family Responsibilities Commission) Specification 2015 [F2015L02092]</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Purpose</w:t>
            </w:r>
          </w:p>
        </w:tc>
        <w:tc>
          <w:tcPr>
            <w:tcW w:w="6378" w:type="dxa"/>
            <w:tcBorders>
              <w:left w:val="single" w:sz="12" w:space="0" w:color="auto"/>
            </w:tcBorders>
          </w:tcPr>
          <w:p w:rsidR="008279DB" w:rsidRPr="00A77228" w:rsidRDefault="008279DB" w:rsidP="001B541D">
            <w:pPr>
              <w:rPr>
                <w:sz w:val="24"/>
                <w:szCs w:val="24"/>
              </w:rPr>
            </w:pPr>
            <w:r w:rsidRPr="00B576A0">
              <w:rPr>
                <w:noProof/>
                <w:sz w:val="24"/>
                <w:szCs w:val="24"/>
              </w:rPr>
              <w:t xml:space="preserve">Specifies that the definition of Queensland Commission in the </w:t>
            </w:r>
            <w:r w:rsidRPr="00B215C9">
              <w:rPr>
                <w:i/>
                <w:noProof/>
                <w:sz w:val="24"/>
                <w:szCs w:val="24"/>
              </w:rPr>
              <w:t>Social Security (Administration) Act 1999</w:t>
            </w:r>
            <w:r w:rsidRPr="00B576A0">
              <w:rPr>
                <w:noProof/>
                <w:sz w:val="24"/>
                <w:szCs w:val="24"/>
              </w:rPr>
              <w:t xml:space="preserve"> includes, for certain purposes, the Family Responsibilities Commission</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Last day to disallow</w:t>
            </w:r>
          </w:p>
        </w:tc>
        <w:tc>
          <w:tcPr>
            <w:tcW w:w="6378" w:type="dxa"/>
            <w:tcBorders>
              <w:left w:val="single" w:sz="12" w:space="0" w:color="auto"/>
            </w:tcBorders>
          </w:tcPr>
          <w:p w:rsidR="008279DB" w:rsidRPr="00A77228" w:rsidRDefault="008279DB" w:rsidP="001B541D">
            <w:pPr>
              <w:rPr>
                <w:sz w:val="24"/>
                <w:szCs w:val="24"/>
              </w:rPr>
            </w:pPr>
            <w:r w:rsidRPr="00B576A0">
              <w:rPr>
                <w:noProof/>
                <w:sz w:val="24"/>
                <w:szCs w:val="24"/>
              </w:rPr>
              <w:t>11 May 2016</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Authorising legislation</w:t>
            </w:r>
          </w:p>
        </w:tc>
        <w:tc>
          <w:tcPr>
            <w:tcW w:w="6378" w:type="dxa"/>
            <w:tcBorders>
              <w:left w:val="single" w:sz="12" w:space="0" w:color="auto"/>
            </w:tcBorders>
          </w:tcPr>
          <w:p w:rsidR="008279DB" w:rsidRPr="00932D1C" w:rsidRDefault="008279DB" w:rsidP="001B541D">
            <w:pPr>
              <w:rPr>
                <w:i/>
                <w:sz w:val="24"/>
                <w:szCs w:val="24"/>
              </w:rPr>
            </w:pPr>
            <w:r w:rsidRPr="00B576A0">
              <w:rPr>
                <w:i/>
                <w:noProof/>
                <w:sz w:val="24"/>
                <w:szCs w:val="24"/>
              </w:rPr>
              <w:t>Social Security (Administration) Act 1999</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Department</w:t>
            </w:r>
          </w:p>
        </w:tc>
        <w:tc>
          <w:tcPr>
            <w:tcW w:w="6378" w:type="dxa"/>
            <w:tcBorders>
              <w:left w:val="single" w:sz="12" w:space="0" w:color="auto"/>
            </w:tcBorders>
          </w:tcPr>
          <w:p w:rsidR="008279DB" w:rsidRPr="00A77228" w:rsidRDefault="008279DB" w:rsidP="001B541D">
            <w:pPr>
              <w:rPr>
                <w:sz w:val="24"/>
                <w:szCs w:val="24"/>
              </w:rPr>
            </w:pPr>
            <w:r w:rsidRPr="00B576A0">
              <w:rPr>
                <w:noProof/>
                <w:sz w:val="24"/>
                <w:szCs w:val="24"/>
              </w:rPr>
              <w:t>Social Services</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Pr>
                <w:b/>
                <w:sz w:val="24"/>
                <w:szCs w:val="24"/>
              </w:rPr>
              <w:t>Scrutiny principle</w:t>
            </w:r>
          </w:p>
        </w:tc>
        <w:tc>
          <w:tcPr>
            <w:tcW w:w="6378" w:type="dxa"/>
            <w:tcBorders>
              <w:left w:val="single" w:sz="12" w:space="0" w:color="auto"/>
            </w:tcBorders>
          </w:tcPr>
          <w:p w:rsidR="008279DB" w:rsidRPr="00A77228" w:rsidRDefault="008279DB" w:rsidP="001B541D">
            <w:pPr>
              <w:rPr>
                <w:sz w:val="24"/>
                <w:szCs w:val="24"/>
              </w:rPr>
            </w:pPr>
            <w:r>
              <w:rPr>
                <w:sz w:val="24"/>
                <w:szCs w:val="24"/>
              </w:rPr>
              <w:t>Standing Order 23(3)</w:t>
            </w:r>
            <w:r w:rsidRPr="00B576A0">
              <w:rPr>
                <w:noProof/>
                <w:sz w:val="24"/>
                <w:szCs w:val="24"/>
              </w:rPr>
              <w:t>(a)</w:t>
            </w:r>
          </w:p>
        </w:tc>
      </w:tr>
      <w:tr w:rsidR="008279DB" w:rsidRPr="00164622" w:rsidTr="001B541D">
        <w:tc>
          <w:tcPr>
            <w:tcW w:w="2694" w:type="dxa"/>
            <w:tcBorders>
              <w:bottom w:val="single" w:sz="12" w:space="0" w:color="auto"/>
              <w:right w:val="single" w:sz="12" w:space="0" w:color="auto"/>
            </w:tcBorders>
          </w:tcPr>
          <w:p w:rsidR="008279DB" w:rsidRDefault="008279DB" w:rsidP="001B541D">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8279DB" w:rsidRDefault="008279DB" w:rsidP="001B541D">
            <w:pPr>
              <w:rPr>
                <w:sz w:val="24"/>
                <w:szCs w:val="24"/>
              </w:rPr>
            </w:pPr>
            <w:r>
              <w:rPr>
                <w:i/>
                <w:noProof/>
                <w:sz w:val="24"/>
                <w:szCs w:val="24"/>
              </w:rPr>
              <w:t xml:space="preserve">Delegated legislation monitor </w:t>
            </w:r>
            <w:r w:rsidRPr="001D0BFF">
              <w:rPr>
                <w:noProof/>
                <w:sz w:val="24"/>
                <w:szCs w:val="24"/>
              </w:rPr>
              <w:t>No. 2 of 2016</w:t>
            </w:r>
          </w:p>
        </w:tc>
      </w:tr>
    </w:tbl>
    <w:p w:rsidR="008279DB" w:rsidRDefault="008279DB" w:rsidP="008279DB"/>
    <w:p w:rsidR="008279DB" w:rsidRDefault="008279DB" w:rsidP="008279DB">
      <w:pPr>
        <w:rPr>
          <w:b/>
          <w:noProof/>
        </w:rPr>
      </w:pPr>
      <w:r w:rsidRPr="00B576A0">
        <w:rPr>
          <w:b/>
          <w:noProof/>
        </w:rPr>
        <w:t>Drafting</w:t>
      </w:r>
    </w:p>
    <w:p w:rsidR="008279DB" w:rsidRDefault="008279DB" w:rsidP="008279DB">
      <w:r w:rsidRPr="00EA193C">
        <w:t>The committee commented as follows:</w:t>
      </w:r>
    </w:p>
    <w:p w:rsidR="008279DB" w:rsidRPr="00EA193C" w:rsidRDefault="008279DB" w:rsidP="008279DB">
      <w:r w:rsidRPr="00EA193C">
        <w:t>Section 4 of this instrument states:</w:t>
      </w:r>
    </w:p>
    <w:p w:rsidR="008279DB" w:rsidRPr="00EA193C" w:rsidRDefault="008279DB" w:rsidP="008279DB">
      <w:pPr>
        <w:pStyle w:val="Quote"/>
        <w:spacing w:before="120"/>
      </w:pPr>
      <w:r w:rsidRPr="00EA193C">
        <w:t xml:space="preserve">The </w:t>
      </w:r>
      <w:r w:rsidRPr="00EA193C">
        <w:rPr>
          <w:i/>
        </w:rPr>
        <w:t>Social Security (Administration) - Queensland Commission (Family Responsibilities Commission) Specification 2012</w:t>
      </w:r>
      <w:r w:rsidRPr="00EA193C">
        <w:t xml:space="preserve"> is revoked.</w:t>
      </w:r>
    </w:p>
    <w:p w:rsidR="008279DB" w:rsidRPr="00EA193C" w:rsidRDefault="008279DB" w:rsidP="008279DB">
      <w:r w:rsidRPr="00EA193C">
        <w:lastRenderedPageBreak/>
        <w:t xml:space="preserve">However, the committee notes that the Social Security (Administration) - Queensland Commission (Family Responsibilities Commission) Specification 2012 (2012 specification) ceased immediately before 1 January 2014. The committee also notes that section 7(3)(b) of the </w:t>
      </w:r>
      <w:r w:rsidRPr="00EA193C">
        <w:rPr>
          <w:i/>
        </w:rPr>
        <w:t>Acts Interpretation Act 1901</w:t>
      </w:r>
      <w:r w:rsidRPr="00EA193C">
        <w:t xml:space="preserve"> (AIA) provides that the cessation of effect of an Act or part will have the same effect as the repeal or amendment of an Act (this also applies to legislative instruments by virtue of section 13(1) of the </w:t>
      </w:r>
      <w:r w:rsidRPr="00EA193C">
        <w:rPr>
          <w:i/>
        </w:rPr>
        <w:t>Legislative Instruments Act 2003</w:t>
      </w:r>
      <w:r w:rsidRPr="00EA193C">
        <w:t>). It is therefore unclear to the committee why it is necessary for the 2012 specification to be revoked when it has ceased to operate.</w:t>
      </w:r>
    </w:p>
    <w:p w:rsidR="008279DB" w:rsidRDefault="008279DB" w:rsidP="008279DB">
      <w:pPr>
        <w:rPr>
          <w:b/>
          <w:bCs/>
        </w:rPr>
      </w:pPr>
      <w:r w:rsidRPr="00EA193C">
        <w:rPr>
          <w:b/>
          <w:bCs/>
        </w:rPr>
        <w:t>The committee requests the advice of the minister in relation to this matter.</w:t>
      </w:r>
    </w:p>
    <w:p w:rsidR="008279DB" w:rsidRDefault="008279DB" w:rsidP="008279DB">
      <w:pPr>
        <w:rPr>
          <w:b/>
          <w:bCs/>
        </w:rPr>
      </w:pPr>
      <w:r>
        <w:rPr>
          <w:b/>
          <w:bCs/>
        </w:rPr>
        <w:t>Minister's response</w:t>
      </w:r>
    </w:p>
    <w:p w:rsidR="008279DB" w:rsidRDefault="008279DB" w:rsidP="008279DB">
      <w:pPr>
        <w:rPr>
          <w:bCs/>
        </w:rPr>
      </w:pPr>
      <w:r>
        <w:rPr>
          <w:bCs/>
        </w:rPr>
        <w:t>The Minister for Social Services advised:</w:t>
      </w:r>
    </w:p>
    <w:p w:rsidR="008279DB" w:rsidRDefault="008279DB" w:rsidP="008279DB">
      <w:pPr>
        <w:pStyle w:val="Quote"/>
        <w:spacing w:before="120"/>
      </w:pPr>
      <w:r>
        <w:t xml:space="preserve">The 2012 instrument contained the sentence "This Specification ceases before 1 January 2014", which was ambiguous as to the date of ceasing. This ambiguity meant the 2012 instrument was not regarded as ceased and remained a current record on the Federal Register of Legislative Instruments. To ensure that this spent instrument would not remain a current record, the </w:t>
      </w:r>
      <w:r w:rsidRPr="00EA193C">
        <w:rPr>
          <w:i/>
        </w:rPr>
        <w:t>Social Security (Administration) - Queensland Commission (</w:t>
      </w:r>
      <w:r>
        <w:rPr>
          <w:i/>
        </w:rPr>
        <w:t>Family Responsibilities Commission) Specification 2015</w:t>
      </w:r>
      <w:r>
        <w:t xml:space="preserve"> revoked the 2012 instrument.</w:t>
      </w:r>
    </w:p>
    <w:p w:rsidR="008279DB" w:rsidRPr="00EA193C" w:rsidRDefault="008279DB" w:rsidP="008279DB">
      <w:pPr>
        <w:rPr>
          <w:b/>
        </w:rPr>
      </w:pPr>
      <w:r w:rsidRPr="00EA193C">
        <w:rPr>
          <w:b/>
        </w:rPr>
        <w:t>Committee's response</w:t>
      </w:r>
    </w:p>
    <w:p w:rsidR="008279DB" w:rsidRPr="00EA193C" w:rsidRDefault="008279DB" w:rsidP="008279DB">
      <w:pPr>
        <w:rPr>
          <w:b/>
        </w:rPr>
      </w:pPr>
      <w:r w:rsidRPr="00EA193C">
        <w:rPr>
          <w:b/>
        </w:rPr>
        <w:t>The committee thanks the minister for his response and has concluded its examination of the instrument.</w:t>
      </w:r>
    </w:p>
    <w:p w:rsidR="008279DB" w:rsidRDefault="008279DB" w:rsidP="008279DB">
      <w:pPr>
        <w:rPr>
          <w:b/>
        </w:rPr>
      </w:pPr>
    </w:p>
    <w:tbl>
      <w:tblPr>
        <w:tblW w:w="0" w:type="auto"/>
        <w:tblInd w:w="108" w:type="dxa"/>
        <w:tblLook w:val="04A0" w:firstRow="1" w:lastRow="0" w:firstColumn="1" w:lastColumn="0" w:noHBand="0" w:noVBand="1"/>
      </w:tblPr>
      <w:tblGrid>
        <w:gridCol w:w="2694"/>
        <w:gridCol w:w="6378"/>
      </w:tblGrid>
      <w:tr w:rsidR="008279DB" w:rsidRPr="00164622" w:rsidTr="001B541D">
        <w:tc>
          <w:tcPr>
            <w:tcW w:w="2694" w:type="dxa"/>
            <w:tcBorders>
              <w:top w:val="single" w:sz="12" w:space="0" w:color="auto"/>
              <w:right w:val="single" w:sz="12" w:space="0" w:color="auto"/>
            </w:tcBorders>
          </w:tcPr>
          <w:p w:rsidR="008279DB" w:rsidRPr="00A77228" w:rsidRDefault="008279DB" w:rsidP="001B541D">
            <w:pPr>
              <w:rPr>
                <w:b/>
                <w:sz w:val="24"/>
                <w:szCs w:val="24"/>
              </w:rPr>
            </w:pPr>
            <w:bookmarkStart w:id="24" w:name="_Hlk445886379"/>
            <w:r>
              <w:rPr>
                <w:b/>
                <w:sz w:val="24"/>
                <w:szCs w:val="24"/>
              </w:rPr>
              <w:t>Instrument</w:t>
            </w:r>
          </w:p>
        </w:tc>
        <w:tc>
          <w:tcPr>
            <w:tcW w:w="6378" w:type="dxa"/>
            <w:tcBorders>
              <w:top w:val="single" w:sz="12" w:space="0" w:color="auto"/>
              <w:left w:val="single" w:sz="12" w:space="0" w:color="auto"/>
            </w:tcBorders>
          </w:tcPr>
          <w:p w:rsidR="008279DB" w:rsidRPr="00BA36F8" w:rsidRDefault="008279DB" w:rsidP="001B541D">
            <w:pPr>
              <w:pStyle w:val="Heading3"/>
              <w:rPr>
                <w:sz w:val="24"/>
                <w:szCs w:val="24"/>
              </w:rPr>
            </w:pPr>
            <w:r w:rsidRPr="00703CAB">
              <w:rPr>
                <w:noProof/>
                <w:sz w:val="24"/>
                <w:szCs w:val="24"/>
              </w:rPr>
              <w:t>Variation to the National Environment Protection (Ambient Air Quality) Measure 2015 [F2016L00084]</w:t>
            </w:r>
          </w:p>
        </w:tc>
      </w:tr>
      <w:bookmarkEnd w:id="24"/>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Purpose</w:t>
            </w:r>
          </w:p>
        </w:tc>
        <w:tc>
          <w:tcPr>
            <w:tcW w:w="6378" w:type="dxa"/>
            <w:tcBorders>
              <w:left w:val="single" w:sz="12" w:space="0" w:color="auto"/>
            </w:tcBorders>
          </w:tcPr>
          <w:p w:rsidR="008279DB" w:rsidRPr="00A77228" w:rsidRDefault="008279DB" w:rsidP="001B541D">
            <w:pPr>
              <w:rPr>
                <w:sz w:val="24"/>
                <w:szCs w:val="24"/>
              </w:rPr>
            </w:pPr>
            <w:r w:rsidRPr="00703CAB">
              <w:rPr>
                <w:noProof/>
                <w:sz w:val="24"/>
                <w:szCs w:val="24"/>
              </w:rPr>
              <w:t>Updates the National Environment Protection (Ambient Air Quality) Measure in relation to the standards for particles</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Last day to disallow</w:t>
            </w:r>
          </w:p>
        </w:tc>
        <w:tc>
          <w:tcPr>
            <w:tcW w:w="6378" w:type="dxa"/>
            <w:tcBorders>
              <w:left w:val="single" w:sz="12" w:space="0" w:color="auto"/>
            </w:tcBorders>
          </w:tcPr>
          <w:p w:rsidR="008279DB" w:rsidRPr="00A77228" w:rsidRDefault="008279DB" w:rsidP="001B541D">
            <w:pPr>
              <w:rPr>
                <w:sz w:val="24"/>
                <w:szCs w:val="24"/>
              </w:rPr>
            </w:pPr>
            <w:r w:rsidRPr="00703CAB">
              <w:rPr>
                <w:noProof/>
                <w:sz w:val="24"/>
                <w:szCs w:val="24"/>
              </w:rPr>
              <w:t>20 June 2016</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Authorising legislation</w:t>
            </w:r>
          </w:p>
        </w:tc>
        <w:tc>
          <w:tcPr>
            <w:tcW w:w="6378" w:type="dxa"/>
            <w:tcBorders>
              <w:left w:val="single" w:sz="12" w:space="0" w:color="auto"/>
            </w:tcBorders>
          </w:tcPr>
          <w:p w:rsidR="008279DB" w:rsidRPr="00932D1C" w:rsidRDefault="008279DB" w:rsidP="001B541D">
            <w:pPr>
              <w:rPr>
                <w:i/>
                <w:sz w:val="24"/>
                <w:szCs w:val="24"/>
              </w:rPr>
            </w:pPr>
            <w:r w:rsidRPr="00703CAB">
              <w:rPr>
                <w:i/>
                <w:noProof/>
                <w:sz w:val="24"/>
                <w:szCs w:val="24"/>
              </w:rPr>
              <w:t>National Environment Protection Council Act 1994</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sidRPr="00A77228">
              <w:rPr>
                <w:b/>
                <w:sz w:val="24"/>
                <w:szCs w:val="24"/>
              </w:rPr>
              <w:t>Department</w:t>
            </w:r>
          </w:p>
        </w:tc>
        <w:tc>
          <w:tcPr>
            <w:tcW w:w="6378" w:type="dxa"/>
            <w:tcBorders>
              <w:left w:val="single" w:sz="12" w:space="0" w:color="auto"/>
            </w:tcBorders>
          </w:tcPr>
          <w:p w:rsidR="008279DB" w:rsidRPr="00A77228" w:rsidRDefault="008279DB" w:rsidP="001B541D">
            <w:pPr>
              <w:rPr>
                <w:sz w:val="24"/>
                <w:szCs w:val="24"/>
              </w:rPr>
            </w:pPr>
            <w:r w:rsidRPr="00703CAB">
              <w:rPr>
                <w:noProof/>
                <w:sz w:val="24"/>
                <w:szCs w:val="24"/>
              </w:rPr>
              <w:t>Environment</w:t>
            </w:r>
          </w:p>
        </w:tc>
      </w:tr>
      <w:tr w:rsidR="008279DB" w:rsidRPr="00164622" w:rsidTr="001B541D">
        <w:tc>
          <w:tcPr>
            <w:tcW w:w="2694" w:type="dxa"/>
            <w:tcBorders>
              <w:right w:val="single" w:sz="12" w:space="0" w:color="auto"/>
            </w:tcBorders>
          </w:tcPr>
          <w:p w:rsidR="008279DB" w:rsidRPr="00A77228" w:rsidRDefault="008279DB" w:rsidP="001B541D">
            <w:pPr>
              <w:rPr>
                <w:b/>
                <w:sz w:val="24"/>
                <w:szCs w:val="24"/>
              </w:rPr>
            </w:pPr>
            <w:r>
              <w:rPr>
                <w:b/>
                <w:sz w:val="24"/>
                <w:szCs w:val="24"/>
              </w:rPr>
              <w:t>Scrutiny principle</w:t>
            </w:r>
          </w:p>
        </w:tc>
        <w:tc>
          <w:tcPr>
            <w:tcW w:w="6378" w:type="dxa"/>
            <w:tcBorders>
              <w:left w:val="single" w:sz="12" w:space="0" w:color="auto"/>
            </w:tcBorders>
          </w:tcPr>
          <w:p w:rsidR="008279DB" w:rsidRPr="00A77228" w:rsidRDefault="008279DB" w:rsidP="001B541D">
            <w:pPr>
              <w:rPr>
                <w:sz w:val="24"/>
                <w:szCs w:val="24"/>
              </w:rPr>
            </w:pPr>
            <w:r>
              <w:rPr>
                <w:sz w:val="24"/>
                <w:szCs w:val="24"/>
              </w:rPr>
              <w:t>Standing Order 23(3)</w:t>
            </w:r>
            <w:r w:rsidRPr="00703CAB">
              <w:rPr>
                <w:noProof/>
                <w:sz w:val="24"/>
                <w:szCs w:val="24"/>
              </w:rPr>
              <w:t>(a)</w:t>
            </w:r>
          </w:p>
        </w:tc>
      </w:tr>
      <w:tr w:rsidR="008279DB" w:rsidRPr="00164622" w:rsidTr="001B541D">
        <w:tc>
          <w:tcPr>
            <w:tcW w:w="2694" w:type="dxa"/>
            <w:tcBorders>
              <w:bottom w:val="single" w:sz="12" w:space="0" w:color="auto"/>
              <w:right w:val="single" w:sz="12" w:space="0" w:color="auto"/>
            </w:tcBorders>
          </w:tcPr>
          <w:p w:rsidR="008279DB" w:rsidRDefault="008279DB" w:rsidP="001B541D">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8279DB" w:rsidRDefault="008279DB" w:rsidP="001B541D">
            <w:pPr>
              <w:rPr>
                <w:sz w:val="24"/>
                <w:szCs w:val="24"/>
              </w:rPr>
            </w:pPr>
            <w:r>
              <w:rPr>
                <w:i/>
                <w:noProof/>
                <w:sz w:val="24"/>
                <w:szCs w:val="24"/>
              </w:rPr>
              <w:t xml:space="preserve">Delegated legislation monitor </w:t>
            </w:r>
            <w:r w:rsidRPr="00E466C9">
              <w:rPr>
                <w:noProof/>
                <w:sz w:val="24"/>
                <w:szCs w:val="24"/>
              </w:rPr>
              <w:t>No. 2 of 2016</w:t>
            </w:r>
          </w:p>
        </w:tc>
      </w:tr>
    </w:tbl>
    <w:p w:rsidR="008279DB" w:rsidRDefault="008279DB" w:rsidP="008279DB"/>
    <w:p w:rsidR="008279DB" w:rsidRDefault="008279DB" w:rsidP="008279DB">
      <w:pPr>
        <w:rPr>
          <w:b/>
          <w:noProof/>
        </w:rPr>
      </w:pPr>
      <w:r w:rsidRPr="00703CAB">
        <w:rPr>
          <w:b/>
          <w:noProof/>
        </w:rPr>
        <w:lastRenderedPageBreak/>
        <w:t>Incorporation of extrinsic material</w:t>
      </w:r>
    </w:p>
    <w:p w:rsidR="008279DB" w:rsidRDefault="008279DB" w:rsidP="008279DB">
      <w:r>
        <w:t>The committee commented as follows:</w:t>
      </w:r>
    </w:p>
    <w:p w:rsidR="008279DB" w:rsidRPr="005C01F2" w:rsidRDefault="008279DB" w:rsidP="008279DB">
      <w:r w:rsidRPr="005C01F2">
        <w:t xml:space="preserve">Section 14 of the </w:t>
      </w:r>
      <w:r w:rsidRPr="005C01F2">
        <w:rPr>
          <w:i/>
        </w:rPr>
        <w:t>Legislative Instruments Act 2003</w:t>
      </w:r>
      <w:r>
        <w:rPr>
          <w:i/>
        </w:rPr>
        <w:t xml:space="preserve"> </w:t>
      </w:r>
      <w:r w:rsidRPr="005C01F2">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r w:rsidRPr="009817F8">
        <w:rPr>
          <w:rStyle w:val="FootnoteReference"/>
        </w:rPr>
        <w:footnoteReference w:id="11"/>
      </w:r>
    </w:p>
    <w:p w:rsidR="008279DB" w:rsidRPr="005C01F2" w:rsidRDefault="008279DB" w:rsidP="008279DB">
      <w:r w:rsidRPr="005C01F2">
        <w:t>With reference to the above, the committee notes that the instrument substitutes a new subsection 13(1) which states:</w:t>
      </w:r>
    </w:p>
    <w:p w:rsidR="008279DB" w:rsidRPr="005C01F2" w:rsidRDefault="008279DB" w:rsidP="008279DB">
      <w:pPr>
        <w:pStyle w:val="Quote"/>
      </w:pPr>
      <w:r w:rsidRPr="005C01F2">
        <w:t>To the extent practicable, performance monitoring stations should be sited in accordance with the requirements for Australian Standard AS/NZS 3580.1.1:2007 (Methods for sampling and analysis of ambient air – Guide to siting air monitoring equipment). Any variations from AS/NZS 3580.1.1:2007 must be notified to Council for use in assessing reports.</w:t>
      </w:r>
    </w:p>
    <w:p w:rsidR="008279DB" w:rsidRPr="005C01F2" w:rsidRDefault="008279DB" w:rsidP="008279DB">
      <w:r w:rsidRPr="005C01F2">
        <w:t xml:space="preserve">The committee also notes that the instrument substitutes a new </w:t>
      </w:r>
      <w:r>
        <w:t>S</w:t>
      </w:r>
      <w:r w:rsidRPr="005C01F2">
        <w:t>chedule 3 which prescribes Australian Standards Method for Pollutant Monitoring by reference to methods prescribed in 15 other Australian Standards.</w:t>
      </w:r>
    </w:p>
    <w:p w:rsidR="008279DB" w:rsidRPr="005C01F2" w:rsidRDefault="008279DB" w:rsidP="008279DB">
      <w:r w:rsidRPr="005C01F2">
        <w:t xml:space="preserve">However, neither the text of the instrument nor the ES expressly states the manner in which the Australian Standard AS/NZS 3580.1.1:2007 (Methods for sampling and analysis of ambient air – Guide to siting air monitoring equipment) or the 15 other Australian Standards in </w:t>
      </w:r>
      <w:r>
        <w:t>S</w:t>
      </w:r>
      <w:r w:rsidRPr="005C01F2">
        <w:t>chedule 3 are incorporated.</w:t>
      </w:r>
    </w:p>
    <w:p w:rsidR="008279DB" w:rsidRPr="005C01F2" w:rsidRDefault="008279DB" w:rsidP="008279DB">
      <w:r w:rsidRPr="005C01F2">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8279DB" w:rsidRPr="005C01F2" w:rsidRDefault="008279DB" w:rsidP="008279DB">
      <w:pPr>
        <w:rPr>
          <w:b/>
          <w:noProof/>
        </w:rPr>
      </w:pPr>
      <w:r w:rsidRPr="005C01F2">
        <w:rPr>
          <w:b/>
          <w:noProof/>
        </w:rPr>
        <w:t>The committee requests the advice of the minister in relation to this matter.</w:t>
      </w:r>
    </w:p>
    <w:p w:rsidR="008279DB" w:rsidRDefault="008279DB" w:rsidP="008279DB">
      <w:pPr>
        <w:rPr>
          <w:b/>
        </w:rPr>
      </w:pPr>
      <w:r>
        <w:rPr>
          <w:b/>
        </w:rPr>
        <w:t>Minister's response</w:t>
      </w:r>
    </w:p>
    <w:p w:rsidR="008279DB" w:rsidRDefault="008279DB" w:rsidP="008279DB">
      <w:r>
        <w:t>The Minister for the Environment advised:</w:t>
      </w:r>
    </w:p>
    <w:p w:rsidR="008279DB" w:rsidRDefault="008279DB" w:rsidP="008279DB">
      <w:pPr>
        <w:pStyle w:val="Quote"/>
        <w:spacing w:before="120"/>
      </w:pPr>
      <w:r>
        <w:t>The instrument substitutes a new subsection 13(1), which references Australian Standard AS/NZS 3580.1.1:2007 (Methods for sampling and analysis of ambient air - Guide to siting air monitoring equipment), and a new Schedule 3 which references 15 other Australian Standards.</w:t>
      </w:r>
    </w:p>
    <w:p w:rsidR="008279DB" w:rsidRDefault="008279DB" w:rsidP="008279DB">
      <w:pPr>
        <w:pStyle w:val="Quote"/>
        <w:spacing w:before="120"/>
      </w:pPr>
      <w:r>
        <w:lastRenderedPageBreak/>
        <w:t xml:space="preserve">The Committee has noted that where an instrument incorporates extrinsic material by reference, it's [sic] usual expectation is that the manner of incorporation is clearly specified in the instrument and, ideally, in the explanatory statement. </w:t>
      </w:r>
    </w:p>
    <w:p w:rsidR="008279DB" w:rsidRDefault="008279DB" w:rsidP="008279DB">
      <w:pPr>
        <w:pStyle w:val="Quote"/>
        <w:spacing w:before="120"/>
      </w:pPr>
      <w:r>
        <w:t>The instrument lists the Australian Standards by name, including year. Any changes to the standards would result in a different standard with a different name and year. In listing the Australian Standards in this way it is clear that the instrument incorporates the standards as in force at a particular date.</w:t>
      </w:r>
    </w:p>
    <w:p w:rsidR="008279DB" w:rsidRDefault="008279DB" w:rsidP="008279DB">
      <w:pPr>
        <w:pStyle w:val="Quote"/>
        <w:spacing w:before="120"/>
      </w:pPr>
      <w:r>
        <w:t>The explanatory statement also notes that the changes made to the Australian Standard methods in the new subsection 13(1) and new Schedule 3 are 'routine updates'. The necessary implication of this explanation is that it is necessary to update references to the standards in the instrument because the standards are as in force at the time the instrument is made and will only change if amended.</w:t>
      </w:r>
    </w:p>
    <w:p w:rsidR="008279DB" w:rsidRDefault="008279DB" w:rsidP="008279DB">
      <w:pPr>
        <w:pStyle w:val="Quote"/>
        <w:spacing w:before="120"/>
      </w:pPr>
      <w:r>
        <w:t>As noted above, only state and territory governments have obligations placed upon them by the instrument. State and territory governments were consulted during the development of the instrument and all of Australia's environment ministers endorsed the instrument at our meeting in December 2015. Jurisdictions had similar obligations under the primary instrument before the variation. On this basis, I believe the manner of incorporation is clear.</w:t>
      </w:r>
    </w:p>
    <w:p w:rsidR="008279DB" w:rsidRDefault="008279DB" w:rsidP="008279DB">
      <w:pPr>
        <w:spacing w:after="0"/>
        <w:jc w:val="left"/>
        <w:rPr>
          <w:b/>
        </w:rPr>
      </w:pPr>
    </w:p>
    <w:p w:rsidR="008279DB" w:rsidRDefault="008279DB" w:rsidP="008279DB">
      <w:pPr>
        <w:rPr>
          <w:b/>
        </w:rPr>
      </w:pPr>
      <w:r>
        <w:rPr>
          <w:b/>
        </w:rPr>
        <w:t>Committee's response</w:t>
      </w:r>
    </w:p>
    <w:p w:rsidR="008279DB" w:rsidRPr="00E466C9" w:rsidRDefault="008279DB" w:rsidP="008279DB">
      <w:r>
        <w:rPr>
          <w:b/>
        </w:rPr>
        <w:t>The committee thanks the minister for his response and has concluded its examination of the instrument.</w:t>
      </w:r>
    </w:p>
    <w:p w:rsidR="008279DB" w:rsidRDefault="008279DB" w:rsidP="00325264">
      <w:pPr>
        <w:sectPr w:rsidR="008279DB" w:rsidSect="00FB38D1">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pgNumType w:start="13"/>
          <w:cols w:space="708"/>
          <w:titlePg/>
          <w:docGrid w:linePitch="360"/>
        </w:sectPr>
      </w:pPr>
    </w:p>
    <w:p w:rsidR="008279DB" w:rsidRDefault="008279DB" w:rsidP="008279DB">
      <w:pPr>
        <w:pStyle w:val="Heading1"/>
      </w:pPr>
      <w:r>
        <w:lastRenderedPageBreak/>
        <w:t>Appendix 1</w:t>
      </w:r>
    </w:p>
    <w:p w:rsidR="008279DB" w:rsidRPr="00520991" w:rsidRDefault="008279DB" w:rsidP="008279DB">
      <w:pPr>
        <w:pStyle w:val="Heading2"/>
      </w:pPr>
      <w:r>
        <w:t>Correspondence</w:t>
      </w:r>
    </w:p>
    <w:p w:rsidR="008279DB" w:rsidRDefault="008279DB">
      <w:pPr>
        <w:spacing w:after="0"/>
        <w:jc w:val="left"/>
      </w:pPr>
      <w:r>
        <w:br w:type="page"/>
      </w:r>
    </w:p>
    <w:p w:rsidR="008279DB" w:rsidRDefault="008279DB" w:rsidP="00325264"/>
    <w:p w:rsidR="008279DB" w:rsidRDefault="008279DB" w:rsidP="00325264">
      <w:pPr>
        <w:sectPr w:rsidR="008279DB" w:rsidSect="00F95802">
          <w:headerReference w:type="even" r:id="rId44"/>
          <w:headerReference w:type="default" r:id="rId45"/>
          <w:footerReference w:type="even" r:id="rId46"/>
          <w:footerReference w:type="default" r:id="rId47"/>
          <w:headerReference w:type="first" r:id="rId48"/>
          <w:footerReference w:type="first" r:id="rId49"/>
          <w:pgSz w:w="11906" w:h="16838" w:code="9"/>
          <w:pgMar w:top="1440" w:right="1440" w:bottom="1202" w:left="1440" w:header="1134" w:footer="720" w:gutter="0"/>
          <w:pgNumType w:start="23"/>
          <w:cols w:space="720"/>
          <w:titlePg/>
        </w:sectPr>
      </w:pPr>
    </w:p>
    <w:p w:rsidR="008279DB" w:rsidRDefault="008279DB" w:rsidP="008279DB">
      <w:pPr>
        <w:pStyle w:val="Heading1"/>
      </w:pPr>
      <w:r>
        <w:lastRenderedPageBreak/>
        <w:t>Appendix 2</w:t>
      </w:r>
    </w:p>
    <w:p w:rsidR="008279DB" w:rsidRDefault="008279DB" w:rsidP="008279DB">
      <w:pPr>
        <w:pStyle w:val="Heading2"/>
      </w:pPr>
      <w:r>
        <w:t>Guideline on consultation</w:t>
      </w:r>
    </w:p>
    <w:p w:rsidR="008279DB" w:rsidRPr="00C22E53" w:rsidRDefault="008279DB" w:rsidP="008279DB">
      <w:pPr>
        <w:pStyle w:val="Heading3"/>
      </w:pPr>
      <w:r>
        <w:t>Purpose</w:t>
      </w:r>
    </w:p>
    <w:p w:rsidR="008279DB" w:rsidRPr="00C22E53" w:rsidRDefault="008279DB" w:rsidP="008279DB">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241303">
        <w:rPr>
          <w:szCs w:val="24"/>
        </w:rPr>
        <w:t>must describe the nature of any consultation undertaken or explain why no such consultation was undertaken</w:t>
      </w:r>
      <w:r w:rsidRPr="00C22E53">
        <w:rPr>
          <w:szCs w:val="24"/>
        </w:rPr>
        <w:t>.</w:t>
      </w:r>
    </w:p>
    <w:p w:rsidR="008279DB" w:rsidRPr="00C22E53" w:rsidRDefault="008279DB" w:rsidP="008279DB">
      <w:pPr>
        <w:rPr>
          <w:szCs w:val="24"/>
        </w:rPr>
      </w:pPr>
      <w:r w:rsidRPr="00C22E53">
        <w:rPr>
          <w:szCs w:val="24"/>
        </w:rPr>
        <w:t xml:space="preserve">The committee scrutinises instruments to ensure, inter alia, that they meet the technical requirements of the </w:t>
      </w:r>
      <w:hyperlink r:id="rId50" w:history="1">
        <w:r w:rsidRPr="00241303">
          <w:rPr>
            <w:rStyle w:val="Hyperlink"/>
            <w:i/>
            <w:color w:val="auto"/>
            <w:szCs w:val="24"/>
            <w:u w:val="none"/>
          </w:rPr>
          <w:t>Legislati</w:t>
        </w:r>
        <w:r>
          <w:rPr>
            <w:rStyle w:val="Hyperlink"/>
            <w:i/>
            <w:color w:val="auto"/>
            <w:szCs w:val="24"/>
            <w:u w:val="none"/>
          </w:rPr>
          <w:t>on</w:t>
        </w:r>
        <w:r w:rsidRPr="00241303">
          <w:rPr>
            <w:rStyle w:val="Hyperlink"/>
            <w:i/>
            <w:color w:val="auto"/>
            <w:szCs w:val="24"/>
            <w:u w:val="none"/>
          </w:rPr>
          <w:t xml:space="preserve"> Act 2003</w:t>
        </w:r>
      </w:hyperlink>
      <w:r w:rsidRPr="00241303">
        <w:rPr>
          <w:szCs w:val="24"/>
        </w:rPr>
        <w:t xml:space="preserve"> </w:t>
      </w:r>
      <w:r w:rsidRPr="00C22E53">
        <w:rPr>
          <w:szCs w:val="24"/>
        </w:rPr>
        <w:t>(the Act)</w:t>
      </w:r>
      <w:r>
        <w:rPr>
          <w:rStyle w:val="FootnoteReference"/>
          <w:szCs w:val="24"/>
        </w:rPr>
        <w:footnoteReference w:id="12"/>
      </w:r>
      <w:r w:rsidRPr="00C22E53">
        <w:rPr>
          <w:szCs w:val="24"/>
        </w:rPr>
        <w:t xml:space="preserve"> regarding the description of the nature of consultation or the explanation as to why no consultation was undertaken. Where an ES does not meet these technical requirements, the committee generally corresponds with the relevant minister </w:t>
      </w:r>
      <w:r>
        <w:rPr>
          <w:szCs w:val="24"/>
        </w:rPr>
        <w:t xml:space="preserve">or instrument-maker </w:t>
      </w:r>
      <w:r w:rsidRPr="00C22E53">
        <w:rPr>
          <w:szCs w:val="24"/>
        </w:rPr>
        <w:t>seeking further information and appropriate amendment of the ES.</w:t>
      </w:r>
    </w:p>
    <w:p w:rsidR="008279DB" w:rsidRPr="00241303" w:rsidRDefault="008279DB" w:rsidP="008279DB">
      <w:pPr>
        <w:rPr>
          <w:szCs w:val="24"/>
        </w:rPr>
      </w:pPr>
      <w:r w:rsidRPr="00C22E53">
        <w:rPr>
          <w:szCs w:val="24"/>
        </w:rPr>
        <w:t xml:space="preserve">Ensuring that the technical requirements of the Act are met in the first instance will negate the need for the committee to write to the relevant minister </w:t>
      </w:r>
      <w:r>
        <w:rPr>
          <w:szCs w:val="24"/>
        </w:rPr>
        <w:t xml:space="preserve">or instrument-maker </w:t>
      </w:r>
      <w:r w:rsidRPr="00C22E53">
        <w:rPr>
          <w:szCs w:val="24"/>
        </w:rPr>
        <w:t xml:space="preserve">seeking compliance, and ensure that an instrument is not potentially subject to </w:t>
      </w:r>
      <w:hyperlink r:id="rId51" w:history="1">
        <w:r w:rsidRPr="00241303">
          <w:rPr>
            <w:rStyle w:val="Hyperlink"/>
            <w:color w:val="auto"/>
            <w:szCs w:val="24"/>
            <w:u w:val="none"/>
          </w:rPr>
          <w:t>disallowance</w:t>
        </w:r>
      </w:hyperlink>
      <w:r w:rsidRPr="00241303">
        <w:rPr>
          <w:szCs w:val="24"/>
        </w:rPr>
        <w:t>.</w:t>
      </w:r>
    </w:p>
    <w:p w:rsidR="008279DB" w:rsidRPr="00C22E53" w:rsidRDefault="008279DB" w:rsidP="008279DB">
      <w:pPr>
        <w:rPr>
          <w:szCs w:val="24"/>
        </w:rPr>
      </w:pPr>
      <w:r w:rsidRPr="00C22E53">
        <w:rPr>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szCs w:val="24"/>
        </w:rPr>
        <w:t>instrument</w:t>
      </w:r>
      <w:r w:rsidRPr="00C22E53">
        <w:rPr>
          <w:szCs w:val="24"/>
        </w:rPr>
        <w:t>-maker at the time an instrument is made.</w:t>
      </w:r>
    </w:p>
    <w:p w:rsidR="008279DB" w:rsidRDefault="008279DB" w:rsidP="008279DB">
      <w:pPr>
        <w:rPr>
          <w:b/>
          <w:i/>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8279DB" w:rsidRPr="00C22E53" w:rsidRDefault="008279DB" w:rsidP="008279DB">
      <w:pPr>
        <w:pStyle w:val="Heading3"/>
      </w:pPr>
      <w:r w:rsidRPr="00241303">
        <w:t xml:space="preserve">Requirements of the </w:t>
      </w:r>
      <w:r w:rsidRPr="00241303">
        <w:rPr>
          <w:i/>
        </w:rPr>
        <w:t>Legislati</w:t>
      </w:r>
      <w:r>
        <w:rPr>
          <w:i/>
        </w:rPr>
        <w:t>on</w:t>
      </w:r>
      <w:r w:rsidRPr="00241303">
        <w:rPr>
          <w:i/>
        </w:rPr>
        <w:t xml:space="preserve"> Act 2003</w:t>
      </w:r>
    </w:p>
    <w:p w:rsidR="008279DB" w:rsidRPr="00C22E53" w:rsidRDefault="008279DB" w:rsidP="008279DB">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w:t>
      </w:r>
    </w:p>
    <w:p w:rsidR="008279DB" w:rsidRPr="00241303" w:rsidRDefault="008279DB" w:rsidP="008279DB">
      <w:pPr>
        <w:rPr>
          <w:szCs w:val="24"/>
        </w:rPr>
      </w:pPr>
      <w:r w:rsidRPr="00241303">
        <w:rPr>
          <w:szCs w:val="24"/>
        </w:rPr>
        <w:t xml:space="preserve">It is important to note that section </w:t>
      </w:r>
      <w:r>
        <w:rPr>
          <w:szCs w:val="24"/>
        </w:rPr>
        <w:t>15J</w:t>
      </w:r>
      <w:r w:rsidRPr="00241303">
        <w:rPr>
          <w:szCs w:val="24"/>
        </w:rPr>
        <w:t xml:space="preserve"> of the Act requires that </w:t>
      </w:r>
      <w:r>
        <w:rPr>
          <w:szCs w:val="24"/>
        </w:rPr>
        <w:t>ES</w:t>
      </w:r>
      <w:r w:rsidRPr="00241303">
        <w:rPr>
          <w:szCs w:val="24"/>
        </w:rPr>
        <w:t>s describe the nature of any consultation that has been undertaken or, if no such consultation has been undertaken, to explain why none was undertaken.</w:t>
      </w:r>
    </w:p>
    <w:p w:rsidR="008279DB" w:rsidRDefault="008279DB" w:rsidP="008279DB">
      <w:pPr>
        <w:rPr>
          <w:szCs w:val="24"/>
        </w:rPr>
      </w:pPr>
    </w:p>
    <w:p w:rsidR="008279DB" w:rsidRPr="00241303" w:rsidRDefault="008279DB" w:rsidP="008279DB">
      <w:pPr>
        <w:rPr>
          <w:szCs w:val="24"/>
        </w:rPr>
      </w:pPr>
      <w:r w:rsidRPr="00241303">
        <w:rPr>
          <w:szCs w:val="24"/>
        </w:rPr>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8279DB" w:rsidRPr="00C22E53" w:rsidRDefault="008279DB" w:rsidP="008279DB">
      <w:pPr>
        <w:rPr>
          <w:szCs w:val="24"/>
        </w:rPr>
      </w:pPr>
      <w:r w:rsidRPr="00C22E53">
        <w:rPr>
          <w:szCs w:val="24"/>
        </w:rPr>
        <w:t>If a RIS or similar assessment has been prepared, it should be provided to the committee along with the ES.</w:t>
      </w:r>
    </w:p>
    <w:p w:rsidR="008279DB" w:rsidRPr="00C22E53" w:rsidRDefault="008279DB" w:rsidP="008279DB">
      <w:pPr>
        <w:pStyle w:val="Heading3"/>
      </w:pPr>
      <w:r w:rsidRPr="00C22E53">
        <w:t>Describing the nature of consultation</w:t>
      </w:r>
    </w:p>
    <w:p w:rsidR="008279DB" w:rsidRPr="00C22E53" w:rsidRDefault="008279DB" w:rsidP="008279DB">
      <w:pPr>
        <w:rPr>
          <w:szCs w:val="24"/>
        </w:rPr>
      </w:pPr>
      <w:r w:rsidRPr="00C22E53">
        <w:rPr>
          <w:szCs w:val="24"/>
        </w:rPr>
        <w:t xml:space="preserve">To meet the requirements of section </w:t>
      </w:r>
      <w:r>
        <w:rPr>
          <w:szCs w:val="24"/>
        </w:rPr>
        <w:t>15J</w:t>
      </w:r>
      <w:r w:rsidRPr="00C22E53">
        <w:rPr>
          <w:szCs w:val="24"/>
        </w:rPr>
        <w:t xml:space="preserve"> of the Act, an ES must </w:t>
      </w:r>
      <w:r w:rsidRPr="00241303">
        <w:rPr>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8279DB" w:rsidRDefault="008279DB" w:rsidP="008279DB">
      <w:pPr>
        <w:rPr>
          <w:szCs w:val="24"/>
        </w:rPr>
      </w:pPr>
      <w:r w:rsidRPr="00C22E53">
        <w:rPr>
          <w:szCs w:val="24"/>
        </w:rPr>
        <w:t>Where consultation has taken place, the ES to an instrument should set out the following information:</w:t>
      </w:r>
    </w:p>
    <w:p w:rsidR="008279DB" w:rsidRDefault="008279DB" w:rsidP="008279DB">
      <w:pPr>
        <w:pStyle w:val="Bullet1"/>
        <w:spacing w:after="120"/>
        <w:rPr>
          <w:szCs w:val="24"/>
        </w:rPr>
      </w:pPr>
      <w:r w:rsidRPr="00241303">
        <w:rPr>
          <w:b/>
          <w:szCs w:val="24"/>
        </w:rPr>
        <w:t>Method and purpose of consultation</w:t>
      </w:r>
      <w:r w:rsidRPr="00241303">
        <w:rPr>
          <w:szCs w:val="24"/>
        </w:rPr>
        <w:t>:</w:t>
      </w:r>
      <w:r>
        <w:rPr>
          <w:szCs w:val="24"/>
        </w:rPr>
        <w:t xml:space="preserve"> </w:t>
      </w:r>
      <w:r w:rsidRPr="00241303">
        <w:rPr>
          <w:szCs w:val="24"/>
        </w:rPr>
        <w:t>An ES should state who and/or which bodies or groups were targeted for consultation and set out the purpose and parameters of the consultation. An ES should avoid bare statements such as 'Consultation was undertaken'.</w:t>
      </w:r>
    </w:p>
    <w:p w:rsidR="008279DB" w:rsidRDefault="008279DB" w:rsidP="008279DB">
      <w:pPr>
        <w:pStyle w:val="Bullet1"/>
        <w:spacing w:after="120"/>
        <w:rPr>
          <w:szCs w:val="24"/>
        </w:rPr>
      </w:pPr>
      <w:r w:rsidRPr="00241303">
        <w:rPr>
          <w:b/>
          <w:szCs w:val="24"/>
        </w:rPr>
        <w:t>Bodies/groups/individuals consulted</w:t>
      </w:r>
      <w:r>
        <w:rPr>
          <w:szCs w:val="24"/>
        </w:rPr>
        <w:t xml:space="preserve">: </w:t>
      </w:r>
      <w:r w:rsidRPr="00241303">
        <w:rPr>
          <w:szCs w:val="24"/>
        </w:rPr>
        <w:t>An ES should specify the actual names of departments, bodies, agencies, groups et cetera that were consulted. An ES should avoid overly generalised statements such as 'Relevant stakeholders were consulted'.</w:t>
      </w:r>
    </w:p>
    <w:p w:rsidR="008279DB" w:rsidRPr="00241303" w:rsidRDefault="008279DB" w:rsidP="008279DB">
      <w:pPr>
        <w:pStyle w:val="Bullet1"/>
        <w:rPr>
          <w:szCs w:val="24"/>
        </w:rPr>
      </w:pPr>
      <w:r w:rsidRPr="00241303">
        <w:rPr>
          <w:b/>
          <w:szCs w:val="24"/>
        </w:rPr>
        <w:t>Issues raised in consultations and outcomes</w:t>
      </w:r>
      <w:r w:rsidRPr="00241303">
        <w:rPr>
          <w:szCs w:val="24"/>
        </w:rPr>
        <w:t>:</w:t>
      </w:r>
      <w:r>
        <w:rPr>
          <w:szCs w:val="24"/>
        </w:rPr>
        <w:t xml:space="preserve"> </w:t>
      </w:r>
      <w:r w:rsidRPr="00241303">
        <w:rPr>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8279DB" w:rsidRPr="00C22E53" w:rsidRDefault="008279DB" w:rsidP="008279DB">
      <w:pPr>
        <w:pStyle w:val="Heading3"/>
      </w:pPr>
      <w:r w:rsidRPr="00C22E53">
        <w:t>Explaining why consultation has not been undertaken</w:t>
      </w:r>
    </w:p>
    <w:p w:rsidR="008279DB" w:rsidRDefault="008279DB" w:rsidP="008279DB">
      <w:pPr>
        <w:rPr>
          <w:szCs w:val="24"/>
        </w:rPr>
      </w:pPr>
      <w:r w:rsidRPr="00C22E53">
        <w:rPr>
          <w:szCs w:val="24"/>
        </w:rPr>
        <w:t xml:space="preserve">To meet the requirements of section </w:t>
      </w:r>
      <w:r>
        <w:rPr>
          <w:szCs w:val="24"/>
        </w:rPr>
        <w:t>15J</w:t>
      </w:r>
      <w:r w:rsidRPr="00C22E53">
        <w:rPr>
          <w:szCs w:val="24"/>
        </w:rPr>
        <w:t xml:space="preserve"> of the Act, an ES must </w:t>
      </w:r>
      <w:r w:rsidRPr="00241303">
        <w:rPr>
          <w:szCs w:val="24"/>
        </w:rPr>
        <w:t>explain why no consultation was undertaken. The committee does not usually interpret this as requiring a highly detailed explanation of why consultation was not undert</w:t>
      </w:r>
      <w:r w:rsidRPr="00C22E53">
        <w:rPr>
          <w:szCs w:val="24"/>
        </w:rPr>
        <w:t>aken. However, a bare statement that consultation has not taken place may be considered insufficient to meet the requirements of the Act.</w:t>
      </w:r>
    </w:p>
    <w:p w:rsidR="008279DB" w:rsidRPr="00C22E53" w:rsidRDefault="008279DB" w:rsidP="008279DB">
      <w:pPr>
        <w:rPr>
          <w:szCs w:val="24"/>
        </w:rPr>
      </w:pPr>
      <w:r w:rsidRPr="00C22E53">
        <w:rPr>
          <w:szCs w:val="24"/>
        </w:rPr>
        <w:lastRenderedPageBreak/>
        <w:t>In explaining why no consultation has taken place, it is important to note the following considerations:</w:t>
      </w:r>
    </w:p>
    <w:p w:rsidR="008279DB" w:rsidRPr="00241303" w:rsidRDefault="008279DB" w:rsidP="008279DB">
      <w:pPr>
        <w:pStyle w:val="Bullet1"/>
        <w:spacing w:after="120"/>
        <w:rPr>
          <w:b/>
        </w:rPr>
      </w:pPr>
      <w:r>
        <w:rPr>
          <w:b/>
        </w:rPr>
        <w:t>Absence of consultation</w:t>
      </w:r>
      <w:r>
        <w:t>: Where no consultation was undertaken t</w:t>
      </w:r>
      <w:r w:rsidRPr="00241303">
        <w:t>he</w:t>
      </w:r>
      <w:r>
        <w:t xml:space="preserve"> Act requires an explanation for its absence. The</w:t>
      </w:r>
      <w:r w:rsidRPr="00241303">
        <w:t xml:space="preserve"> ES should state why consultation was unnecessary or inappropriate, and explain the reasoning in support of this conclusion. An ES should avoid bare assertions such as 'Consultation was not undertaken because the instrument is beneficial in nature'.</w:t>
      </w:r>
    </w:p>
    <w:p w:rsidR="008279DB" w:rsidRPr="00C22E53" w:rsidRDefault="008279DB" w:rsidP="008279DB">
      <w:pPr>
        <w:pStyle w:val="Bullet1"/>
        <w:spacing w:after="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w:t>
      </w:r>
      <w:r>
        <w:t>15J</w:t>
      </w:r>
      <w:r w:rsidRPr="00C22E53">
        <w:t xml:space="preserve"> of the Act.</w:t>
      </w:r>
    </w:p>
    <w:p w:rsidR="008279DB" w:rsidRDefault="008279DB" w:rsidP="008279DB">
      <w:pPr>
        <w:rPr>
          <w:b/>
          <w:i/>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szCs w:val="24"/>
        </w:rPr>
        <w:t xml:space="preserve">may </w:t>
      </w:r>
      <w:r w:rsidRPr="00C22E53">
        <w:rPr>
          <w:szCs w:val="24"/>
        </w:rPr>
        <w:t>regard this as acceptable provided that (a) the primary legislation and the instrument are made at or about the same time and (b) the consultation addresses the matters dealt with in the delegated legislation.</w:t>
      </w:r>
    </w:p>
    <w:p w:rsidR="008279DB" w:rsidRPr="00C22E53" w:rsidRDefault="008279DB" w:rsidP="008279DB">
      <w:pPr>
        <w:pStyle w:val="Heading3"/>
      </w:pPr>
      <w:r w:rsidRPr="00C22E53">
        <w:t>Seeking further advice or information</w:t>
      </w:r>
    </w:p>
    <w:p w:rsidR="008279DB" w:rsidRDefault="008279DB" w:rsidP="008279DB">
      <w:pPr>
        <w:rPr>
          <w:szCs w:val="24"/>
        </w:rPr>
      </w:pPr>
      <w:r w:rsidRPr="00C22E53">
        <w:rPr>
          <w:szCs w:val="24"/>
        </w:rPr>
        <w:t xml:space="preserve">Further information is available through the committee's website at </w:t>
      </w:r>
      <w:hyperlink r:id="rId52" w:history="1">
        <w:r w:rsidRPr="001C125A">
          <w:rPr>
            <w:rStyle w:val="Hyperlink"/>
            <w:szCs w:val="24"/>
          </w:rPr>
          <w:t>http://www.aph.gov.au/Parliamentary_Business/Committees/Senate/Regulations_and_Ordinances</w:t>
        </w:r>
      </w:hyperlink>
      <w:r w:rsidRPr="001C125A">
        <w:rPr>
          <w:szCs w:val="24"/>
        </w:rPr>
        <w:t xml:space="preserve"> </w:t>
      </w:r>
      <w:r w:rsidRPr="00C22E53">
        <w:rPr>
          <w:szCs w:val="24"/>
        </w:rPr>
        <w:t>or by contacting the committee secretariat at:</w:t>
      </w:r>
    </w:p>
    <w:p w:rsidR="008279DB" w:rsidRDefault="008279DB" w:rsidP="008279DB">
      <w:pPr>
        <w:spacing w:after="0"/>
        <w:ind w:left="720"/>
        <w:rPr>
          <w:szCs w:val="24"/>
        </w:rPr>
      </w:pPr>
      <w:r w:rsidRPr="00C22E53">
        <w:rPr>
          <w:szCs w:val="24"/>
        </w:rPr>
        <w:t>Committee Secretary</w:t>
      </w:r>
    </w:p>
    <w:p w:rsidR="008279DB" w:rsidRPr="00C22E53" w:rsidRDefault="008279DB" w:rsidP="008279DB">
      <w:pPr>
        <w:spacing w:after="0"/>
        <w:ind w:left="720"/>
        <w:rPr>
          <w:szCs w:val="24"/>
        </w:rPr>
      </w:pPr>
      <w:r w:rsidRPr="00C22E53">
        <w:rPr>
          <w:szCs w:val="24"/>
        </w:rPr>
        <w:t>Senate Regulations and Ordinances Committee</w:t>
      </w:r>
    </w:p>
    <w:p w:rsidR="008279DB" w:rsidRPr="00C22E53" w:rsidRDefault="008279DB" w:rsidP="008279DB">
      <w:pPr>
        <w:spacing w:after="0"/>
        <w:ind w:left="720"/>
        <w:rPr>
          <w:szCs w:val="24"/>
        </w:rPr>
      </w:pPr>
      <w:r w:rsidRPr="00C22E53">
        <w:rPr>
          <w:szCs w:val="24"/>
        </w:rPr>
        <w:t>PO Box 6100</w:t>
      </w:r>
    </w:p>
    <w:p w:rsidR="008279DB" w:rsidRPr="00C22E53" w:rsidRDefault="008279DB" w:rsidP="008279DB">
      <w:pPr>
        <w:spacing w:after="0"/>
        <w:ind w:left="720"/>
        <w:rPr>
          <w:szCs w:val="24"/>
        </w:rPr>
      </w:pPr>
      <w:r w:rsidRPr="00C22E53">
        <w:rPr>
          <w:szCs w:val="24"/>
        </w:rPr>
        <w:t>Parliament House</w:t>
      </w:r>
    </w:p>
    <w:p w:rsidR="008279DB" w:rsidRDefault="008279DB" w:rsidP="008279DB">
      <w:pPr>
        <w:spacing w:after="0"/>
        <w:ind w:left="720"/>
        <w:rPr>
          <w:szCs w:val="24"/>
        </w:rPr>
      </w:pPr>
      <w:r w:rsidRPr="00C22E53">
        <w:rPr>
          <w:szCs w:val="24"/>
        </w:rPr>
        <w:t>Canberra ACT 2600</w:t>
      </w:r>
    </w:p>
    <w:p w:rsidR="008279DB" w:rsidRDefault="008279DB" w:rsidP="008279DB">
      <w:pPr>
        <w:spacing w:after="0"/>
        <w:ind w:left="720"/>
        <w:rPr>
          <w:szCs w:val="24"/>
        </w:rPr>
      </w:pPr>
      <w:r w:rsidRPr="00C22E53">
        <w:rPr>
          <w:szCs w:val="24"/>
        </w:rPr>
        <w:t>Australia</w:t>
      </w:r>
    </w:p>
    <w:p w:rsidR="008279DB" w:rsidRPr="00C22E53" w:rsidRDefault="008279DB" w:rsidP="008279DB">
      <w:pPr>
        <w:spacing w:after="60"/>
        <w:ind w:left="720"/>
        <w:rPr>
          <w:szCs w:val="24"/>
        </w:rPr>
      </w:pPr>
    </w:p>
    <w:p w:rsidR="008279DB" w:rsidRPr="00C22E53" w:rsidRDefault="008279DB" w:rsidP="008279DB">
      <w:pPr>
        <w:spacing w:after="0"/>
        <w:ind w:left="720"/>
        <w:rPr>
          <w:szCs w:val="24"/>
        </w:rPr>
      </w:pPr>
      <w:r w:rsidRPr="00C22E53">
        <w:rPr>
          <w:szCs w:val="24"/>
        </w:rPr>
        <w:t xml:space="preserve">Phone: +61 2 6277 3066 </w:t>
      </w:r>
    </w:p>
    <w:p w:rsidR="008279DB" w:rsidRPr="00C22E53" w:rsidRDefault="008279DB" w:rsidP="008279DB">
      <w:pPr>
        <w:spacing w:after="0"/>
        <w:ind w:left="720"/>
        <w:rPr>
          <w:szCs w:val="24"/>
        </w:rPr>
      </w:pPr>
      <w:r w:rsidRPr="00C22E53">
        <w:rPr>
          <w:szCs w:val="24"/>
        </w:rPr>
        <w:t xml:space="preserve">Fax: +61 2 6277 5881 </w:t>
      </w:r>
    </w:p>
    <w:p w:rsidR="008279DB" w:rsidRPr="00C22E53" w:rsidRDefault="008279DB" w:rsidP="008279DB">
      <w:pPr>
        <w:spacing w:after="0"/>
        <w:ind w:left="720"/>
        <w:rPr>
          <w:szCs w:val="24"/>
        </w:rPr>
      </w:pPr>
      <w:r w:rsidRPr="00C22E53">
        <w:rPr>
          <w:szCs w:val="24"/>
        </w:rPr>
        <w:t xml:space="preserve">Email: </w:t>
      </w:r>
      <w:hyperlink r:id="rId53" w:history="1">
        <w:r w:rsidRPr="00C22E53">
          <w:rPr>
            <w:rStyle w:val="Hyperlink"/>
            <w:szCs w:val="24"/>
          </w:rPr>
          <w:t>RegOrds.Sen@aph.gov.au</w:t>
        </w:r>
      </w:hyperlink>
    </w:p>
    <w:p w:rsidR="008279DB" w:rsidRPr="00520991" w:rsidRDefault="008279DB" w:rsidP="00325264"/>
    <w:sectPr w:rsidR="008279DB" w:rsidRPr="00520991" w:rsidSect="00576A40">
      <w:headerReference w:type="even" r:id="rId54"/>
      <w:headerReference w:type="default" r:id="rId55"/>
      <w:footerReference w:type="even" r:id="rId56"/>
      <w:footerReference w:type="default" r:id="rId57"/>
      <w:headerReference w:type="first" r:id="rId58"/>
      <w:footerReference w:type="first" r:id="rId59"/>
      <w:pgSz w:w="11906" w:h="16838" w:code="9"/>
      <w:pgMar w:top="1440" w:right="1440" w:bottom="1202" w:left="1440" w:header="1134" w:footer="720" w:gutter="0"/>
      <w:pgNumType w:start="3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4B2D3F">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796015"/>
      <w:docPartObj>
        <w:docPartGallery w:val="Page Numbers (Bottom of Page)"/>
        <w:docPartUnique/>
      </w:docPartObj>
    </w:sdtPr>
    <w:sdtEndPr>
      <w:rPr>
        <w:noProof/>
      </w:rPr>
    </w:sdtEndPr>
    <w:sdtContent>
      <w:p w:rsidR="003A5592" w:rsidRDefault="008279DB">
        <w:pPr>
          <w:pStyle w:val="Footer"/>
          <w:jc w:val="center"/>
        </w:pPr>
        <w:r>
          <w:fldChar w:fldCharType="begin"/>
        </w:r>
        <w:r>
          <w:instrText xml:space="preserve"> PAGE   \* MERGEFORMAT </w:instrText>
        </w:r>
        <w:r>
          <w:fldChar w:fldCharType="separate"/>
        </w:r>
        <w:r w:rsidR="004B2D3F">
          <w:rPr>
            <w:noProof/>
          </w:rPr>
          <w:t>viii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4B2D3F">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68597"/>
      <w:docPartObj>
        <w:docPartGallery w:val="Page Numbers (Bottom of Page)"/>
        <w:docPartUnique/>
      </w:docPartObj>
    </w:sdtPr>
    <w:sdtEndPr>
      <w:rPr>
        <w:noProof/>
      </w:rPr>
    </w:sdtEndPr>
    <w:sdtContent>
      <w:p w:rsidR="003A5592" w:rsidRDefault="008279DB">
        <w:pPr>
          <w:pStyle w:val="Footer"/>
          <w:jc w:val="center"/>
        </w:pPr>
        <w:r>
          <w:fldChar w:fldCharType="begin"/>
        </w:r>
        <w:r>
          <w:instrText xml:space="preserve"> PAGE   \* MERGEFORMAT </w:instrText>
        </w:r>
        <w:r>
          <w:fldChar w:fldCharType="separate"/>
        </w:r>
        <w:r w:rsidR="004B2D3F">
          <w:rPr>
            <w:noProof/>
          </w:rPr>
          <w:t>vii</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4B2D3F">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4B2D3F">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4B2D3F">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4B2D3F">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4B2D3F">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4B2D3F">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8279DB">
        <w:pPr>
          <w:pStyle w:val="Footer"/>
          <w:jc w:val="center"/>
        </w:pPr>
        <w:r>
          <w:fldChar w:fldCharType="begin"/>
        </w:r>
        <w:r>
          <w:instrText xml:space="preserve"> PAGE   \* MERGEFORMAT </w:instrText>
        </w:r>
        <w:r>
          <w:fldChar w:fldCharType="separate"/>
        </w:r>
        <w:r w:rsidR="004B2D3F">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8279DB">
        <w:pPr>
          <w:pStyle w:val="Footer"/>
          <w:jc w:val="center"/>
        </w:pPr>
        <w:r>
          <w:fldChar w:fldCharType="begin"/>
        </w:r>
        <w:r>
          <w:instrText xml:space="preserve"> PAGE   \* MERGEFORMAT </w:instrText>
        </w:r>
        <w:r>
          <w:fldChar w:fldCharType="separate"/>
        </w:r>
        <w:r w:rsidR="004B2D3F">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46" w:rsidRDefault="00EB7C46">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EB7C46" w:rsidRDefault="00EB7C46">
        <w:pPr>
          <w:pStyle w:val="Footer"/>
          <w:jc w:val="center"/>
        </w:pPr>
        <w:r>
          <w:fldChar w:fldCharType="begin"/>
        </w:r>
        <w:r>
          <w:instrText xml:space="preserve"> PAGE   \* MERGEFORMAT </w:instrText>
        </w:r>
        <w:r>
          <w:fldChar w:fldCharType="separate"/>
        </w:r>
        <w:r w:rsidR="004B2D3F">
          <w:rPr>
            <w:noProof/>
          </w:rPr>
          <w:t>v</w:t>
        </w:r>
        <w:r>
          <w:rPr>
            <w:noProof/>
          </w:rPr>
          <w:fldChar w:fldCharType="end"/>
        </w:r>
      </w:p>
    </w:sdtContent>
  </w:sdt>
  <w:p w:rsidR="00EB7C46" w:rsidRDefault="00EB7C46">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46" w:rsidRDefault="00EB7C46">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8279DB" w:rsidRPr="00ED4CC3" w:rsidRDefault="008279DB" w:rsidP="008279DB">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2">
    <w:p w:rsidR="008279DB" w:rsidRPr="00DB17B5" w:rsidRDefault="008279DB" w:rsidP="008279DB">
      <w:pPr>
        <w:pStyle w:val="FootnoteText"/>
        <w:spacing w:after="120"/>
      </w:pPr>
      <w:r w:rsidRPr="00DB17B5">
        <w:rPr>
          <w:rStyle w:val="FootnoteReference"/>
          <w:vertAlign w:val="baseline"/>
        </w:rPr>
        <w:footnoteRef/>
      </w:r>
      <w:r w:rsidRPr="00DB17B5">
        <w:t xml:space="preserve"> </w:t>
      </w:r>
      <w:r>
        <w:tab/>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_and_Ordinances/Index</w:t>
        </w:r>
      </w:hyperlink>
      <w:r>
        <w:t>.</w:t>
      </w:r>
    </w:p>
  </w:footnote>
  <w:footnote w:id="3">
    <w:p w:rsidR="008279DB" w:rsidRPr="007C7835" w:rsidRDefault="008279DB" w:rsidP="008279DB">
      <w:pPr>
        <w:pStyle w:val="FootnoteText"/>
        <w:spacing w:after="120"/>
        <w:rPr>
          <w:i/>
        </w:rPr>
      </w:pPr>
      <w:r w:rsidRPr="007C7835">
        <w:rPr>
          <w:rStyle w:val="FootnoteReference"/>
          <w:vertAlign w:val="baseline"/>
        </w:rPr>
        <w:footnoteRef/>
      </w:r>
      <w:r w:rsidRPr="007C7835">
        <w:t xml:space="preserve"> </w:t>
      </w:r>
      <w:r>
        <w:tab/>
        <w:t xml:space="preserve">On 5 March 2016 the </w:t>
      </w:r>
      <w:r>
        <w:rPr>
          <w:i/>
        </w:rPr>
        <w:t>Legislative Instruments Act 2003</w:t>
      </w:r>
      <w:r>
        <w:t xml:space="preserve"> became the </w:t>
      </w:r>
      <w:r>
        <w:rPr>
          <w:i/>
        </w:rPr>
        <w:t xml:space="preserve">Legislation Act 2003 </w:t>
      </w:r>
      <w:r>
        <w:t xml:space="preserve">by amendments made by the </w:t>
      </w:r>
      <w:r w:rsidRPr="007C7835">
        <w:rPr>
          <w:i/>
        </w:rPr>
        <w:t>Acts and Instruments (Framework Reform) Act 2015</w:t>
      </w:r>
      <w:r>
        <w:rPr>
          <w:i/>
        </w:rPr>
        <w:t xml:space="preserve">. </w:t>
      </w:r>
    </w:p>
  </w:footnote>
  <w:footnote w:id="4">
    <w:p w:rsidR="008279DB" w:rsidRPr="000E553A" w:rsidRDefault="008279DB" w:rsidP="008279DB">
      <w:pPr>
        <w:pStyle w:val="FootnoteText"/>
        <w:spacing w:after="80"/>
      </w:pPr>
      <w:r w:rsidRPr="000E553A">
        <w:rPr>
          <w:rStyle w:val="FootnoteReference"/>
          <w:vertAlign w:val="baseline"/>
        </w:rPr>
        <w:footnoteRef/>
      </w:r>
      <w:r w:rsidRPr="000E553A">
        <w:t xml:space="preserve"> </w:t>
      </w:r>
      <w:r>
        <w:tab/>
        <w:t xml:space="preserve">See Australian Government, Federal Register of Legislation, </w:t>
      </w:r>
      <w:r w:rsidRPr="00FF2073">
        <w:t>www.legislation.gov.au</w:t>
      </w:r>
      <w:r>
        <w:t xml:space="preserve">. </w:t>
      </w:r>
    </w:p>
  </w:footnote>
  <w:footnote w:id="5">
    <w:p w:rsidR="008279DB" w:rsidRPr="00194B2F" w:rsidRDefault="008279DB" w:rsidP="008279DB">
      <w:pPr>
        <w:pStyle w:val="FootnoteText"/>
        <w:spacing w:after="80"/>
      </w:pPr>
      <w:r w:rsidRPr="00B8697F">
        <w:rPr>
          <w:rStyle w:val="FootnoteReference"/>
          <w:vertAlign w:val="baseline"/>
        </w:rPr>
        <w:footnoteRef/>
      </w:r>
      <w:r w:rsidRPr="00B8697F">
        <w:t xml:space="preserve"> </w:t>
      </w:r>
      <w:r>
        <w:tab/>
        <w:t xml:space="preserve">Parliament of Australia, </w:t>
      </w:r>
      <w:r>
        <w:rPr>
          <w:i/>
        </w:rPr>
        <w:t>Senate Disallowable Instruments List</w:t>
      </w:r>
      <w:r>
        <w:t xml:space="preserve">, </w:t>
      </w:r>
      <w:hyperlink r:id="rId2" w:history="1">
        <w:r w:rsidRPr="00DA49F8">
          <w:rPr>
            <w:rStyle w:val="Hyperlink"/>
          </w:rPr>
          <w:t>http://www.aph.gov.au/Parli</w:t>
        </w:r>
        <w:r w:rsidRPr="00DA49F8">
          <w:rPr>
            <w:rStyle w:val="Hyperlink"/>
          </w:rPr>
          <w:br/>
          <w:t>amentary_Business/Bills_Legislation/leginstruments/Senate_Disallowable_Instruments_List</w:t>
        </w:r>
      </w:hyperlink>
      <w:r>
        <w:t>.</w:t>
      </w:r>
    </w:p>
  </w:footnote>
  <w:footnote w:id="6">
    <w:p w:rsidR="008279DB" w:rsidRPr="000274A0" w:rsidRDefault="008279DB" w:rsidP="008279DB">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2016</w:t>
      </w:r>
      <w:r>
        <w:t xml:space="preserve">, </w:t>
      </w:r>
      <w:hyperlink r:id="rId3" w:history="1">
        <w:r w:rsidRPr="000274A0">
          <w:rPr>
            <w:rStyle w:val="Hyperlink"/>
          </w:rPr>
          <w:t>http://www.aph.gov.au/Parliamentary_Business/Committees/Senate</w:t>
        </w:r>
        <w:r w:rsidRPr="000274A0">
          <w:rPr>
            <w:rStyle w:val="Hyperlink"/>
          </w:rPr>
          <w:br/>
          <w:t>/Regulations_and_Ordinances/Alerts</w:t>
        </w:r>
      </w:hyperlink>
      <w:r>
        <w:t>.</w:t>
      </w:r>
    </w:p>
  </w:footnote>
  <w:footnote w:id="7">
    <w:p w:rsidR="008279DB" w:rsidRPr="00317443" w:rsidRDefault="008279DB" w:rsidP="008279DB">
      <w:pPr>
        <w:pStyle w:val="FootnoteText"/>
        <w:spacing w:after="120"/>
      </w:pPr>
      <w:r w:rsidRPr="00317443">
        <w:rPr>
          <w:rStyle w:val="FootnoteReference"/>
          <w:vertAlign w:val="baseline"/>
        </w:rPr>
        <w:footnoteRef/>
      </w:r>
      <w:r w:rsidRPr="00317443">
        <w:t xml:space="preserve"> </w:t>
      </w:r>
      <w:r>
        <w:tab/>
        <w:t xml:space="preserve">On 5 March 2016 the </w:t>
      </w:r>
      <w:r>
        <w:rPr>
          <w:i/>
        </w:rPr>
        <w:t>Legislative Instruments Act 2003</w:t>
      </w:r>
      <w:r>
        <w:t xml:space="preserve"> became the </w:t>
      </w:r>
      <w:r>
        <w:rPr>
          <w:i/>
        </w:rPr>
        <w:t xml:space="preserve">Legislation Act 2003 </w:t>
      </w:r>
      <w:r>
        <w:t xml:space="preserve">due to amendments made by the </w:t>
      </w:r>
      <w:r w:rsidRPr="007C7835">
        <w:rPr>
          <w:i/>
        </w:rPr>
        <w:t>Acts and Instruments (Framework Reform) Act 2015</w:t>
      </w:r>
      <w:r>
        <w:t>.</w:t>
      </w:r>
    </w:p>
  </w:footnote>
  <w:footnote w:id="8">
    <w:p w:rsidR="008279DB" w:rsidRPr="0006194F" w:rsidRDefault="008279DB" w:rsidP="008279DB">
      <w:pPr>
        <w:pStyle w:val="FootnoteText"/>
        <w:spacing w:after="120"/>
      </w:pPr>
      <w:r w:rsidRPr="0006194F">
        <w:rPr>
          <w:rStyle w:val="FootnoteReference"/>
          <w:vertAlign w:val="baseline"/>
        </w:rPr>
        <w:footnoteRef/>
      </w:r>
      <w:r w:rsidRPr="0006194F">
        <w:t xml:space="preserve"> </w:t>
      </w:r>
      <w:r>
        <w:tab/>
      </w:r>
      <w:r w:rsidRPr="0006194F">
        <w:rPr>
          <w:i/>
        </w:rPr>
        <w:t>Williams v Commonwealth</w:t>
      </w:r>
      <w:r w:rsidRPr="0006194F">
        <w:t xml:space="preserve"> (2012) 248 CLR 156.</w:t>
      </w:r>
    </w:p>
  </w:footnote>
  <w:footnote w:id="9">
    <w:p w:rsidR="008279DB" w:rsidRPr="0006194F" w:rsidRDefault="008279DB" w:rsidP="008279DB">
      <w:pPr>
        <w:pStyle w:val="FootnoteText"/>
        <w:spacing w:after="120"/>
      </w:pPr>
      <w:r w:rsidRPr="0006194F">
        <w:rPr>
          <w:rStyle w:val="FootnoteReference"/>
          <w:vertAlign w:val="baseline"/>
        </w:rPr>
        <w:footnoteRef/>
      </w:r>
      <w:r w:rsidRPr="0006194F">
        <w:t xml:space="preserve"> </w:t>
      </w:r>
      <w:r>
        <w:tab/>
      </w:r>
      <w:r w:rsidRPr="00BB7275">
        <w:rPr>
          <w:i/>
        </w:rPr>
        <w:t>Williams v Commonwealth</w:t>
      </w:r>
      <w:r w:rsidRPr="00631F8F">
        <w:t xml:space="preserve"> </w:t>
      </w:r>
      <w:r w:rsidRPr="001143DD">
        <w:t>(2014) 252 CLR 416</w:t>
      </w:r>
      <w:r>
        <w:t>.</w:t>
      </w:r>
    </w:p>
  </w:footnote>
  <w:footnote w:id="10">
    <w:p w:rsidR="008279DB" w:rsidRPr="00E35D4F" w:rsidRDefault="008279DB" w:rsidP="008279DB">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11">
    <w:p w:rsidR="008279DB" w:rsidRPr="009817F8" w:rsidRDefault="008279DB" w:rsidP="008279DB">
      <w:pPr>
        <w:pStyle w:val="FootnoteText"/>
        <w:spacing w:after="120"/>
      </w:pPr>
      <w:r w:rsidRPr="009817F8">
        <w:rPr>
          <w:rStyle w:val="FootnoteReference"/>
          <w:vertAlign w:val="baseline"/>
        </w:rPr>
        <w:footnoteRef/>
      </w:r>
      <w:r w:rsidRPr="009817F8">
        <w:t xml:space="preserve"> </w:t>
      </w:r>
      <w:r>
        <w:tab/>
        <w:t xml:space="preserve">On 5 March 2016 the </w:t>
      </w:r>
      <w:r>
        <w:rPr>
          <w:i/>
        </w:rPr>
        <w:t>Legislative Instruments Act 2003</w:t>
      </w:r>
      <w:r>
        <w:t xml:space="preserve"> became the </w:t>
      </w:r>
      <w:r>
        <w:rPr>
          <w:i/>
        </w:rPr>
        <w:t xml:space="preserve">Legislation Act 2003 </w:t>
      </w:r>
      <w:r>
        <w:t xml:space="preserve">due to amendments made by the </w:t>
      </w:r>
      <w:r w:rsidRPr="007C7835">
        <w:rPr>
          <w:i/>
        </w:rPr>
        <w:t>Acts and Instruments (Framework Reform) Act 2015</w:t>
      </w:r>
      <w:r>
        <w:t>.</w:t>
      </w:r>
    </w:p>
  </w:footnote>
  <w:footnote w:id="12">
    <w:p w:rsidR="008279DB" w:rsidRPr="00A854E5" w:rsidRDefault="008279DB" w:rsidP="008279DB">
      <w:pPr>
        <w:pStyle w:val="FootnoteText"/>
        <w:spacing w:after="120"/>
      </w:pPr>
      <w:r w:rsidRPr="00A854E5">
        <w:rPr>
          <w:rStyle w:val="FootnoteReference"/>
          <w:vertAlign w:val="baseline"/>
        </w:rPr>
        <w:footnoteRef/>
      </w:r>
      <w:r w:rsidRPr="00A854E5">
        <w:t xml:space="preserve"> </w:t>
      </w:r>
      <w:r>
        <w:tab/>
      </w:r>
      <w:r w:rsidRPr="00A854E5">
        <w:t>On 5 March 2016 the</w:t>
      </w:r>
      <w:r w:rsidRPr="00A854E5">
        <w:rPr>
          <w:i/>
        </w:rPr>
        <w:t xml:space="preserve"> Legislative Instruments Act 2003</w:t>
      </w:r>
      <w:r w:rsidRPr="00A854E5">
        <w:t xml:space="preserve"> became the </w:t>
      </w:r>
      <w:r w:rsidRPr="00A854E5">
        <w:rPr>
          <w:i/>
        </w:rPr>
        <w:t>Legislation Act 2003</w:t>
      </w:r>
      <w:r w:rsidRPr="00A854E5">
        <w:t xml:space="preserve"> </w:t>
      </w:r>
      <w:r>
        <w:t>due to</w:t>
      </w:r>
      <w:r w:rsidRPr="00A854E5">
        <w:t xml:space="preserve"> amendments made by the </w:t>
      </w:r>
      <w:r w:rsidRPr="00A854E5">
        <w:rPr>
          <w:i/>
        </w:rPr>
        <w:t>Acts and Instruments (Framework Reform) Act 2015</w:t>
      </w:r>
      <w:r w:rsidRPr="00A854E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F710D5" w:rsidRDefault="004B2D3F" w:rsidP="007E6842">
    <w:pPr>
      <w:pStyle w:val="Header"/>
      <w:tabs>
        <w:tab w:val="clear" w:pos="8306"/>
        <w:tab w:val="right" w:pos="900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8279DB">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ix</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8279DB">
    <w:pPr>
      <w:pStyle w:val="Header"/>
      <w:tabs>
        <w:tab w:val="clear" w:pos="8306"/>
        <w:tab w:val="right" w:pos="9000"/>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Pr="00F710D5" w:rsidRDefault="008279DB">
    <w:pPr>
      <w:pStyle w:val="Header"/>
      <w:pBdr>
        <w:bottom w:val="single" w:sz="4" w:space="1" w:color="auto"/>
      </w:pBdr>
      <w:tabs>
        <w:tab w:val="clear" w:pos="8306"/>
        <w:tab w:val="right" w:pos="9000"/>
      </w:tabs>
    </w:pPr>
    <w:r>
      <w:fldChar w:fldCharType="begin"/>
    </w:r>
    <w:r>
      <w:instrText xml:space="preserve"> PAGE </w:instrText>
    </w:r>
    <w:r>
      <w:fldChar w:fldCharType="separate"/>
    </w:r>
    <w:r w:rsidR="004B2D3F">
      <w:rPr>
        <w:noProof/>
      </w:rPr>
      <w:t>12</w:t>
    </w:r>
    <w:r>
      <w:rPr>
        <w:noProof/>
      </w:rPr>
      <w:fldChar w:fldCharType="end"/>
    </w:r>
    <w:r w:rsidRPr="007E5241">
      <w:rPr>
        <w:color w:val="FF0000"/>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8279DB">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4B2D3F">
      <w:rPr>
        <w:noProof/>
      </w:rPr>
      <w:t>11</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8279DB">
    <w:pPr>
      <w:pStyle w:val="Header"/>
      <w:tabs>
        <w:tab w:val="clear" w:pos="8306"/>
        <w:tab w:val="right" w:pos="9000"/>
      </w:tabs>
    </w:pPr>
    <w:r>
      <w:tab/>
    </w:r>
    <w:r>
      <w:fldChar w:fldCharType="begin"/>
    </w:r>
    <w:r>
      <w:instrText xml:space="preserve"> PAGE </w:instrText>
    </w:r>
    <w:r>
      <w:fldChar w:fldCharType="separate"/>
    </w:r>
    <w:r w:rsidR="004B2D3F">
      <w:rPr>
        <w:noProof/>
      </w:rPr>
      <w:t>1</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8279DB">
    <w:pPr>
      <w:pStyle w:val="Header"/>
      <w:pBdr>
        <w:bottom w:val="single" w:sz="4" w:space="1" w:color="auto"/>
      </w:pBdr>
      <w:tabs>
        <w:tab w:val="clear" w:pos="8306"/>
        <w:tab w:val="right" w:pos="9000"/>
      </w:tabs>
    </w:pPr>
    <w:r>
      <w:fldChar w:fldCharType="begin"/>
    </w:r>
    <w:r>
      <w:instrText xml:space="preserve"> PAGE </w:instrText>
    </w:r>
    <w:r>
      <w:fldChar w:fldCharType="separate"/>
    </w:r>
    <w:r w:rsidR="004B2D3F">
      <w:rPr>
        <w:noProof/>
      </w:rPr>
      <w:t>22</w:t>
    </w:r>
    <w:r>
      <w:rPr>
        <w:noProof/>
      </w:rPr>
      <w:fldChar w:fldCharType="end"/>
    </w: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8279DB">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4B2D3F">
      <w:rPr>
        <w:noProof/>
      </w:rPr>
      <w:t>21</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8279DB">
    <w:pPr>
      <w:pStyle w:val="Header"/>
      <w:tabs>
        <w:tab w:val="clear" w:pos="8306"/>
        <w:tab w:val="right" w:pos="9000"/>
      </w:tabs>
    </w:pPr>
    <w:r>
      <w:tab/>
    </w:r>
    <w:r>
      <w:fldChar w:fldCharType="begin"/>
    </w:r>
    <w:r>
      <w:instrText xml:space="preserve"> PAGE </w:instrText>
    </w:r>
    <w:r>
      <w:fldChar w:fldCharType="separate"/>
    </w:r>
    <w:r w:rsidR="004B2D3F">
      <w:rPr>
        <w:noProof/>
      </w:rPr>
      <w:t>13</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8279DB">
    <w:pPr>
      <w:pStyle w:val="Header"/>
      <w:pBdr>
        <w:bottom w:val="single" w:sz="4" w:space="1" w:color="auto"/>
      </w:pBdr>
      <w:tabs>
        <w:tab w:val="clear" w:pos="8306"/>
        <w:tab w:val="right" w:pos="9000"/>
      </w:tabs>
    </w:pPr>
    <w:r>
      <w:fldChar w:fldCharType="begin"/>
    </w:r>
    <w:r>
      <w:instrText xml:space="preserve"> PAGE </w:instrText>
    </w:r>
    <w:r>
      <w:fldChar w:fldCharType="separate"/>
    </w:r>
    <w:r w:rsidR="004B2D3F">
      <w:rPr>
        <w:noProof/>
      </w:rPr>
      <w:t>24</w:t>
    </w:r>
    <w:r>
      <w:rPr>
        <w:noProof/>
      </w:rPr>
      <w:fldChar w:fldCharType="end"/>
    </w:r>
    <w:r w:rsidR="00C7795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8279DB">
      <w:fldChar w:fldCharType="begin"/>
    </w:r>
    <w:r w:rsidR="008279DB">
      <w:instrText xml:space="preserve"> PAGE </w:instrText>
    </w:r>
    <w:r w:rsidR="008279DB">
      <w:fldChar w:fldCharType="separate"/>
    </w:r>
    <w:r w:rsidR="008279DB">
      <w:rPr>
        <w:noProof/>
      </w:rPr>
      <w:t>31</w:t>
    </w:r>
    <w:r w:rsidR="008279DB">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8279DB">
      <w:fldChar w:fldCharType="begin"/>
    </w:r>
    <w:r w:rsidR="008279DB">
      <w:instrText xml:space="preserve"> PAGE </w:instrText>
    </w:r>
    <w:r w:rsidR="008279DB">
      <w:fldChar w:fldCharType="separate"/>
    </w:r>
    <w:r w:rsidR="004B2D3F">
      <w:rPr>
        <w:noProof/>
      </w:rPr>
      <w:t>23</w:t>
    </w:r>
    <w:r w:rsidR="008279DB">
      <w:rPr>
        <w:noProof/>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8279DB">
    <w:pPr>
      <w:pStyle w:val="Header"/>
      <w:pBdr>
        <w:bottom w:val="single" w:sz="4" w:space="1" w:color="auto"/>
      </w:pBdr>
      <w:tabs>
        <w:tab w:val="clear" w:pos="8306"/>
        <w:tab w:val="right" w:pos="9000"/>
      </w:tabs>
    </w:pPr>
    <w:r>
      <w:fldChar w:fldCharType="begin"/>
    </w:r>
    <w:r>
      <w:instrText xml:space="preserve"> PAGE </w:instrText>
    </w:r>
    <w:r>
      <w:fldChar w:fldCharType="separate"/>
    </w:r>
    <w:r w:rsidR="004B2D3F">
      <w:rPr>
        <w:noProof/>
      </w:rPr>
      <w:t>36</w:t>
    </w:r>
    <w:r>
      <w:rPr>
        <w:noProof/>
      </w:rPr>
      <w:fldChar w:fldCharType="end"/>
    </w:r>
    <w:r w:rsidR="00C77954">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8279DB">
      <w:fldChar w:fldCharType="begin"/>
    </w:r>
    <w:r w:rsidR="008279DB">
      <w:instrText xml:space="preserve"> PAGE </w:instrText>
    </w:r>
    <w:r w:rsidR="008279DB">
      <w:fldChar w:fldCharType="separate"/>
    </w:r>
    <w:r w:rsidR="004B2D3F">
      <w:rPr>
        <w:noProof/>
      </w:rPr>
      <w:t>37</w:t>
    </w:r>
    <w:r w:rsidR="008279DB">
      <w:rPr>
        <w:noProof/>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8279DB">
      <w:fldChar w:fldCharType="begin"/>
    </w:r>
    <w:r w:rsidR="008279DB">
      <w:instrText xml:space="preserve"> PAGE </w:instrText>
    </w:r>
    <w:r w:rsidR="008279DB">
      <w:fldChar w:fldCharType="separate"/>
    </w:r>
    <w:r w:rsidR="004B2D3F">
      <w:rPr>
        <w:noProof/>
      </w:rPr>
      <w:t>35</w:t>
    </w:r>
    <w:r w:rsidR="008279DB">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8279DB">
      <w:fldChar w:fldCharType="begin"/>
    </w:r>
    <w:r w:rsidR="008279DB">
      <w:instrText xml:space="preserve"> PAGE </w:instrText>
    </w:r>
    <w:r w:rsidR="008279DB">
      <w:fldChar w:fldCharType="separate"/>
    </w:r>
    <w:r w:rsidR="00EB7C46">
      <w:rPr>
        <w:noProof/>
      </w:rPr>
      <w:t>v</w:t>
    </w:r>
    <w:r w:rsidR="008279DB">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46" w:rsidRPr="00EB7C46" w:rsidRDefault="00EB7C46" w:rsidP="00EB7C4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46" w:rsidRPr="00EB7C46" w:rsidRDefault="00EB7C46" w:rsidP="00EB7C4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46" w:rsidRDefault="00EB7C46">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1CBE0A80"/>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47757B"/>
    <w:multiLevelType w:val="multilevel"/>
    <w:tmpl w:val="8AD223E8"/>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3D2471F"/>
    <w:multiLevelType w:val="multilevel"/>
    <w:tmpl w:val="F2F2E068"/>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9">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8"/>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9"/>
  </w:num>
  <w:num w:numId="29">
    <w:abstractNumId w:val="29"/>
  </w:num>
  <w:num w:numId="30">
    <w:abstractNumId w:val="29"/>
  </w:num>
  <w:num w:numId="31">
    <w:abstractNumId w:val="25"/>
  </w:num>
  <w:num w:numId="32">
    <w:abstractNumId w:val="25"/>
  </w:num>
  <w:num w:numId="33">
    <w:abstractNumId w:val="17"/>
  </w:num>
  <w:num w:numId="34">
    <w:abstractNumId w:val="13"/>
  </w:num>
  <w:num w:numId="35">
    <w:abstractNumId w:val="2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1E0CB5"/>
    <w:rsid w:val="00204433"/>
    <w:rsid w:val="00296ADC"/>
    <w:rsid w:val="00312055"/>
    <w:rsid w:val="003168FA"/>
    <w:rsid w:val="00325264"/>
    <w:rsid w:val="00333EC9"/>
    <w:rsid w:val="00350769"/>
    <w:rsid w:val="003E0C8F"/>
    <w:rsid w:val="003F34C3"/>
    <w:rsid w:val="00401F51"/>
    <w:rsid w:val="00420018"/>
    <w:rsid w:val="0044126A"/>
    <w:rsid w:val="004B2D3F"/>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279DB"/>
    <w:rsid w:val="008326C3"/>
    <w:rsid w:val="00837D9C"/>
    <w:rsid w:val="00854AE4"/>
    <w:rsid w:val="008A1C03"/>
    <w:rsid w:val="00931095"/>
    <w:rsid w:val="00972135"/>
    <w:rsid w:val="009A4604"/>
    <w:rsid w:val="009A5729"/>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3A09"/>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EB7C46"/>
    <w:rsid w:val="00F30941"/>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4B2D3F"/>
    <w:pPr>
      <w:keepNext/>
      <w:numPr>
        <w:ilvl w:val="3"/>
        <w:numId w:val="32"/>
      </w:numPr>
      <w:outlineLvl w:val="3"/>
    </w:pPr>
    <w:rPr>
      <w:b/>
      <w:i/>
    </w:rPr>
  </w:style>
  <w:style w:type="paragraph" w:styleId="Heading5">
    <w:name w:val="heading 5"/>
    <w:basedOn w:val="Normal"/>
    <w:next w:val="Normal"/>
    <w:qFormat/>
    <w:rsid w:val="004B2D3F"/>
    <w:pPr>
      <w:keepNext/>
      <w:numPr>
        <w:ilvl w:val="4"/>
        <w:numId w:val="32"/>
      </w:numPr>
      <w:jc w:val="left"/>
      <w:outlineLvl w:val="4"/>
    </w:pPr>
    <w:rPr>
      <w:i/>
    </w:rPr>
  </w:style>
  <w:style w:type="paragraph" w:styleId="Heading6">
    <w:name w:val="heading 6"/>
    <w:basedOn w:val="Normal"/>
    <w:next w:val="Normal"/>
    <w:qFormat/>
    <w:locked/>
    <w:rsid w:val="004B2D3F"/>
    <w:pPr>
      <w:numPr>
        <w:ilvl w:val="5"/>
        <w:numId w:val="32"/>
      </w:numPr>
      <w:spacing w:before="240" w:after="60"/>
      <w:outlineLvl w:val="5"/>
    </w:pPr>
    <w:rPr>
      <w:i/>
      <w:sz w:val="22"/>
    </w:rPr>
  </w:style>
  <w:style w:type="paragraph" w:styleId="Heading7">
    <w:name w:val="heading 7"/>
    <w:basedOn w:val="Normal"/>
    <w:next w:val="Normal"/>
    <w:qFormat/>
    <w:locked/>
    <w:rsid w:val="004B2D3F"/>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4B2D3F"/>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4B2D3F"/>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4B2D3F"/>
    <w:pPr>
      <w:numPr>
        <w:numId w:val="32"/>
      </w:numPr>
    </w:pPr>
  </w:style>
  <w:style w:type="paragraph" w:customStyle="1" w:styleId="Level2">
    <w:name w:val="Level2"/>
    <w:basedOn w:val="Normal"/>
    <w:rsid w:val="004B2D3F"/>
    <w:pPr>
      <w:numPr>
        <w:ilvl w:val="1"/>
        <w:numId w:val="32"/>
      </w:numPr>
    </w:pPr>
  </w:style>
  <w:style w:type="paragraph" w:customStyle="1" w:styleId="Level3">
    <w:name w:val="Level3"/>
    <w:basedOn w:val="Normal"/>
    <w:link w:val="Level3Char"/>
    <w:rsid w:val="004B2D3F"/>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4B2D3F"/>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EB7C46"/>
    <w:rPr>
      <w:rFonts w:ascii="Times New Roman" w:hAnsi="Times New Roman"/>
      <w:b/>
      <w:kern w:val="28"/>
      <w:sz w:val="40"/>
      <w:lang w:eastAsia="en-US"/>
    </w:rPr>
  </w:style>
  <w:style w:type="character" w:customStyle="1" w:styleId="HeaderChar">
    <w:name w:val="Header Char"/>
    <w:basedOn w:val="DefaultParagraphFont"/>
    <w:link w:val="Header"/>
    <w:semiHidden/>
    <w:rsid w:val="00EB7C46"/>
    <w:rPr>
      <w:rFonts w:ascii="Times New Roman" w:hAnsi="Times New Roman"/>
      <w:sz w:val="22"/>
      <w:lang w:eastAsia="en-US"/>
    </w:rPr>
  </w:style>
  <w:style w:type="paragraph" w:customStyle="1" w:styleId="JNP2">
    <w:name w:val="JNP2"/>
    <w:basedOn w:val="Normal"/>
    <w:rsid w:val="00EB7C46"/>
    <w:pPr>
      <w:spacing w:after="0"/>
      <w:ind w:left="2268"/>
    </w:pPr>
    <w:rPr>
      <w:lang w:val="en-US"/>
    </w:rPr>
  </w:style>
  <w:style w:type="character" w:customStyle="1" w:styleId="FootnoteTextChar">
    <w:name w:val="Footnote Text Char"/>
    <w:basedOn w:val="DefaultParagraphFont"/>
    <w:link w:val="FootnoteText"/>
    <w:rsid w:val="008279DB"/>
    <w:rPr>
      <w:sz w:val="22"/>
      <w:lang w:eastAsia="en-US"/>
    </w:rPr>
  </w:style>
  <w:style w:type="character" w:customStyle="1" w:styleId="QuoteChar">
    <w:name w:val="Quote Char"/>
    <w:basedOn w:val="DefaultParagraphFont"/>
    <w:link w:val="Quote"/>
    <w:rsid w:val="008279DB"/>
    <w:rPr>
      <w:rFonts w:ascii="Times New Roman" w:hAnsi="Times New Roman"/>
      <w:sz w:val="24"/>
      <w:lang w:eastAsia="en-US"/>
    </w:rPr>
  </w:style>
  <w:style w:type="character" w:customStyle="1" w:styleId="Heading2Char">
    <w:name w:val="Heading 2 Char"/>
    <w:basedOn w:val="DefaultParagraphFont"/>
    <w:link w:val="Heading2"/>
    <w:rsid w:val="008279DB"/>
    <w:rPr>
      <w:rFonts w:ascii="Times New Roman" w:hAnsi="Times New Roman"/>
      <w:b/>
      <w:sz w:val="36"/>
      <w:lang w:eastAsia="en-US"/>
    </w:rPr>
  </w:style>
  <w:style w:type="character" w:customStyle="1" w:styleId="Heading3Char">
    <w:name w:val="Heading 3 Char"/>
    <w:basedOn w:val="DefaultParagraphFont"/>
    <w:link w:val="Heading3"/>
    <w:rsid w:val="008279DB"/>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4B2D3F"/>
    <w:pPr>
      <w:keepNext/>
      <w:numPr>
        <w:ilvl w:val="3"/>
        <w:numId w:val="32"/>
      </w:numPr>
      <w:outlineLvl w:val="3"/>
    </w:pPr>
    <w:rPr>
      <w:b/>
      <w:i/>
    </w:rPr>
  </w:style>
  <w:style w:type="paragraph" w:styleId="Heading5">
    <w:name w:val="heading 5"/>
    <w:basedOn w:val="Normal"/>
    <w:next w:val="Normal"/>
    <w:qFormat/>
    <w:rsid w:val="004B2D3F"/>
    <w:pPr>
      <w:keepNext/>
      <w:numPr>
        <w:ilvl w:val="4"/>
        <w:numId w:val="32"/>
      </w:numPr>
      <w:jc w:val="left"/>
      <w:outlineLvl w:val="4"/>
    </w:pPr>
    <w:rPr>
      <w:i/>
    </w:rPr>
  </w:style>
  <w:style w:type="paragraph" w:styleId="Heading6">
    <w:name w:val="heading 6"/>
    <w:basedOn w:val="Normal"/>
    <w:next w:val="Normal"/>
    <w:qFormat/>
    <w:locked/>
    <w:rsid w:val="004B2D3F"/>
    <w:pPr>
      <w:numPr>
        <w:ilvl w:val="5"/>
        <w:numId w:val="32"/>
      </w:numPr>
      <w:spacing w:before="240" w:after="60"/>
      <w:outlineLvl w:val="5"/>
    </w:pPr>
    <w:rPr>
      <w:i/>
      <w:sz w:val="22"/>
    </w:rPr>
  </w:style>
  <w:style w:type="paragraph" w:styleId="Heading7">
    <w:name w:val="heading 7"/>
    <w:basedOn w:val="Normal"/>
    <w:next w:val="Normal"/>
    <w:qFormat/>
    <w:locked/>
    <w:rsid w:val="004B2D3F"/>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4B2D3F"/>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4B2D3F"/>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4B2D3F"/>
    <w:pPr>
      <w:numPr>
        <w:numId w:val="32"/>
      </w:numPr>
    </w:pPr>
  </w:style>
  <w:style w:type="paragraph" w:customStyle="1" w:styleId="Level2">
    <w:name w:val="Level2"/>
    <w:basedOn w:val="Normal"/>
    <w:rsid w:val="004B2D3F"/>
    <w:pPr>
      <w:numPr>
        <w:ilvl w:val="1"/>
        <w:numId w:val="32"/>
      </w:numPr>
    </w:pPr>
  </w:style>
  <w:style w:type="paragraph" w:customStyle="1" w:styleId="Level3">
    <w:name w:val="Level3"/>
    <w:basedOn w:val="Normal"/>
    <w:link w:val="Level3Char"/>
    <w:rsid w:val="004B2D3F"/>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4B2D3F"/>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EB7C46"/>
    <w:rPr>
      <w:rFonts w:ascii="Times New Roman" w:hAnsi="Times New Roman"/>
      <w:b/>
      <w:kern w:val="28"/>
      <w:sz w:val="40"/>
      <w:lang w:eastAsia="en-US"/>
    </w:rPr>
  </w:style>
  <w:style w:type="character" w:customStyle="1" w:styleId="HeaderChar">
    <w:name w:val="Header Char"/>
    <w:basedOn w:val="DefaultParagraphFont"/>
    <w:link w:val="Header"/>
    <w:semiHidden/>
    <w:rsid w:val="00EB7C46"/>
    <w:rPr>
      <w:rFonts w:ascii="Times New Roman" w:hAnsi="Times New Roman"/>
      <w:sz w:val="22"/>
      <w:lang w:eastAsia="en-US"/>
    </w:rPr>
  </w:style>
  <w:style w:type="paragraph" w:customStyle="1" w:styleId="JNP2">
    <w:name w:val="JNP2"/>
    <w:basedOn w:val="Normal"/>
    <w:rsid w:val="00EB7C46"/>
    <w:pPr>
      <w:spacing w:after="0"/>
      <w:ind w:left="2268"/>
    </w:pPr>
    <w:rPr>
      <w:lang w:val="en-US"/>
    </w:rPr>
  </w:style>
  <w:style w:type="character" w:customStyle="1" w:styleId="FootnoteTextChar">
    <w:name w:val="Footnote Text Char"/>
    <w:basedOn w:val="DefaultParagraphFont"/>
    <w:link w:val="FootnoteText"/>
    <w:rsid w:val="008279DB"/>
    <w:rPr>
      <w:sz w:val="22"/>
      <w:lang w:eastAsia="en-US"/>
    </w:rPr>
  </w:style>
  <w:style w:type="character" w:customStyle="1" w:styleId="QuoteChar">
    <w:name w:val="Quote Char"/>
    <w:basedOn w:val="DefaultParagraphFont"/>
    <w:link w:val="Quote"/>
    <w:rsid w:val="008279DB"/>
    <w:rPr>
      <w:rFonts w:ascii="Times New Roman" w:hAnsi="Times New Roman"/>
      <w:sz w:val="24"/>
      <w:lang w:eastAsia="en-US"/>
    </w:rPr>
  </w:style>
  <w:style w:type="character" w:customStyle="1" w:styleId="Heading2Char">
    <w:name w:val="Heading 2 Char"/>
    <w:basedOn w:val="DefaultParagraphFont"/>
    <w:link w:val="Heading2"/>
    <w:rsid w:val="008279DB"/>
    <w:rPr>
      <w:rFonts w:ascii="Times New Roman" w:hAnsi="Times New Roman"/>
      <w:b/>
      <w:sz w:val="36"/>
      <w:lang w:eastAsia="en-US"/>
    </w:rPr>
  </w:style>
  <w:style w:type="character" w:customStyle="1" w:styleId="Heading3Char">
    <w:name w:val="Heading 3 Char"/>
    <w:basedOn w:val="DefaultParagraphFont"/>
    <w:link w:val="Heading3"/>
    <w:rsid w:val="008279DB"/>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yperlink" Target="http://www.comlaw.gov.au/Details/C2012C00041" TargetMode="External"/><Relationship Id="rId55" Type="http://schemas.openxmlformats.org/officeDocument/2006/relationships/header" Target="header2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yperlink" Target="mailto:RegOrds.Sen@aph.gov.au" TargetMode="External"/><Relationship Id="rId58"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3.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yperlink" Target="http://www.aph.gov.au/Parliamentary_Business/Committees/Senate/Regulations_and_Ordinances%2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footer" Target="footer22.xml"/><Relationship Id="rId8" Type="http://schemas.openxmlformats.org/officeDocument/2006/relationships/header" Target="header1.xml"/><Relationship Id="rId51" Type="http://schemas.openxmlformats.org/officeDocument/2006/relationships/hyperlink" Target="http://www.aph.gov.au/Parliamentary_Business/Committees/Senate_Committees?url=regord_ctte/alert2012.htm"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4.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Committees/Senate/Regulations_and_Ordinances/Alerts" TargetMode="External"/><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aph.gov.au/Parliamentary_Business/Committees/Senate/Regulations_and_Ordinances/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6</TotalTime>
  <Pages>35</Pages>
  <Words>8242</Words>
  <Characters>48780</Characters>
  <Application>Microsoft Office Word</Application>
  <DocSecurity>0</DocSecurity>
  <Lines>406</Lines>
  <Paragraphs>113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Menzies, Eloise (SEN)</cp:lastModifiedBy>
  <cp:revision>4</cp:revision>
  <dcterms:created xsi:type="dcterms:W3CDTF">2016-03-16T02:05:00Z</dcterms:created>
  <dcterms:modified xsi:type="dcterms:W3CDTF">2016-03-16T03:29:00Z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