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5A7674">
        <w:rPr>
          <w:sz w:val="24"/>
          <w:szCs w:val="24"/>
        </w:rPr>
        <w:t>16</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5A7674">
        <w:rPr>
          <w:sz w:val="28"/>
        </w:rPr>
        <w:t>2 December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6E00BC" w:rsidRDefault="006E00BC" w:rsidP="00325264">
      <w:pPr>
        <w:sectPr w:rsidR="006E00BC"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6E00BC" w:rsidRDefault="006E00BC" w:rsidP="006E00BC">
      <w:pPr>
        <w:pStyle w:val="Heading1"/>
      </w:pPr>
      <w:bookmarkStart w:id="0" w:name="_Toc340231481"/>
      <w:r>
        <w:lastRenderedPageBreak/>
        <w:t>Membership of the committee</w:t>
      </w:r>
      <w:bookmarkEnd w:id="0"/>
    </w:p>
    <w:p w:rsidR="006E00BC" w:rsidRDefault="006E00BC" w:rsidP="006E00BC">
      <w:pPr>
        <w:spacing w:after="0"/>
      </w:pPr>
    </w:p>
    <w:p w:rsidR="006E00BC" w:rsidRDefault="006E00BC" w:rsidP="006E00BC">
      <w:pPr>
        <w:spacing w:after="0"/>
      </w:pPr>
    </w:p>
    <w:p w:rsidR="006E00BC" w:rsidRDefault="006E00BC" w:rsidP="006E00BC">
      <w:pPr>
        <w:spacing w:after="0"/>
      </w:pPr>
    </w:p>
    <w:p w:rsidR="006E00BC" w:rsidRDefault="006E00BC" w:rsidP="006E00BC">
      <w:pPr>
        <w:spacing w:after="0"/>
      </w:pPr>
    </w:p>
    <w:p w:rsidR="006E00BC" w:rsidRDefault="006E00BC" w:rsidP="006E00BC">
      <w:pPr>
        <w:spacing w:after="0"/>
      </w:pPr>
    </w:p>
    <w:p w:rsidR="006E00BC" w:rsidRPr="008A46B0" w:rsidRDefault="006E00BC" w:rsidP="006E00BC">
      <w:pPr>
        <w:tabs>
          <w:tab w:val="left" w:pos="4536"/>
        </w:tabs>
        <w:outlineLvl w:val="0"/>
        <w:rPr>
          <w:b/>
        </w:rPr>
      </w:pPr>
      <w:bookmarkStart w:id="1" w:name="_Toc340231482"/>
      <w:r>
        <w:rPr>
          <w:b/>
        </w:rPr>
        <w:t>Current m</w:t>
      </w:r>
      <w:r w:rsidRPr="008A46B0">
        <w:rPr>
          <w:b/>
        </w:rPr>
        <w:t>embers</w:t>
      </w:r>
      <w:bookmarkEnd w:id="1"/>
    </w:p>
    <w:p w:rsidR="006E00BC" w:rsidRPr="001F6A19" w:rsidRDefault="006E00BC" w:rsidP="006E00BC">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6E00BC" w:rsidRPr="001F6A19" w:rsidRDefault="006E00BC" w:rsidP="006E00BC">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6E00BC" w:rsidRPr="001F6A19" w:rsidRDefault="006E00BC" w:rsidP="006E00BC">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6E00BC" w:rsidRPr="001F6A19" w:rsidRDefault="006E00BC" w:rsidP="006E00BC">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6E00BC" w:rsidRDefault="006E00BC" w:rsidP="006E00BC">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6E00BC" w:rsidRDefault="006E00BC" w:rsidP="006E00BC">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6E00BC" w:rsidRDefault="006E00BC" w:rsidP="006E00BC">
      <w:pPr>
        <w:spacing w:after="0"/>
        <w:rPr>
          <w:sz w:val="24"/>
          <w:szCs w:val="24"/>
        </w:rPr>
      </w:pPr>
    </w:p>
    <w:p w:rsidR="006E00BC" w:rsidRDefault="006E00BC" w:rsidP="006E00BC">
      <w:pPr>
        <w:spacing w:after="0"/>
        <w:rPr>
          <w:sz w:val="24"/>
          <w:szCs w:val="24"/>
        </w:rPr>
      </w:pPr>
    </w:p>
    <w:p w:rsidR="006E00BC" w:rsidRDefault="006E00BC" w:rsidP="006E00BC">
      <w:pPr>
        <w:spacing w:after="0"/>
        <w:rPr>
          <w:sz w:val="24"/>
          <w:szCs w:val="24"/>
        </w:rPr>
      </w:pPr>
    </w:p>
    <w:p w:rsidR="006E00BC" w:rsidRDefault="006E00BC" w:rsidP="006E00BC">
      <w:pPr>
        <w:spacing w:after="0"/>
        <w:rPr>
          <w:sz w:val="24"/>
          <w:szCs w:val="24"/>
        </w:rPr>
      </w:pPr>
    </w:p>
    <w:p w:rsidR="006E00BC" w:rsidRDefault="006E00BC" w:rsidP="006E00BC">
      <w:pPr>
        <w:spacing w:after="0"/>
        <w:rPr>
          <w:sz w:val="24"/>
          <w:szCs w:val="24"/>
        </w:rPr>
      </w:pPr>
    </w:p>
    <w:p w:rsidR="006E00BC" w:rsidRPr="00BE73BD" w:rsidRDefault="006E00BC" w:rsidP="006E00BC">
      <w:pPr>
        <w:rPr>
          <w:b/>
        </w:rPr>
      </w:pPr>
      <w:bookmarkStart w:id="2" w:name="_Toc340231484"/>
      <w:r w:rsidRPr="00BE73BD">
        <w:rPr>
          <w:b/>
        </w:rPr>
        <w:t>Secretariat</w:t>
      </w:r>
      <w:bookmarkEnd w:id="2"/>
    </w:p>
    <w:p w:rsidR="006E00BC" w:rsidRPr="00BE73BD" w:rsidRDefault="006E00BC" w:rsidP="006E00BC">
      <w:pPr>
        <w:spacing w:after="0"/>
        <w:rPr>
          <w:sz w:val="24"/>
          <w:szCs w:val="24"/>
        </w:rPr>
      </w:pPr>
      <w:bookmarkStart w:id="3" w:name="_Toc340231485"/>
      <w:r w:rsidRPr="00BE73BD">
        <w:rPr>
          <w:sz w:val="24"/>
          <w:szCs w:val="24"/>
        </w:rPr>
        <w:t>Mr Ivan Powell, Secretary</w:t>
      </w:r>
      <w:bookmarkEnd w:id="3"/>
    </w:p>
    <w:p w:rsidR="006E00BC" w:rsidRPr="00BE73BD" w:rsidRDefault="006E00BC" w:rsidP="006E00BC">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6E00BC" w:rsidRDefault="006E00BC" w:rsidP="006E00BC">
      <w:pPr>
        <w:spacing w:after="0"/>
        <w:rPr>
          <w:sz w:val="24"/>
          <w:szCs w:val="24"/>
        </w:rPr>
      </w:pPr>
      <w:r>
        <w:rPr>
          <w:sz w:val="24"/>
          <w:szCs w:val="24"/>
        </w:rPr>
        <w:t>Ms Eloise Menzies, Senior Research Officer</w:t>
      </w:r>
    </w:p>
    <w:p w:rsidR="006E00BC" w:rsidRDefault="006E00BC" w:rsidP="006E00BC">
      <w:pPr>
        <w:spacing w:after="0"/>
        <w:rPr>
          <w:sz w:val="24"/>
          <w:szCs w:val="24"/>
        </w:rPr>
      </w:pPr>
    </w:p>
    <w:p w:rsidR="006E00BC" w:rsidRDefault="006E00BC" w:rsidP="006E00BC">
      <w:pPr>
        <w:spacing w:after="0"/>
        <w:rPr>
          <w:sz w:val="24"/>
          <w:szCs w:val="24"/>
        </w:rPr>
      </w:pPr>
    </w:p>
    <w:p w:rsidR="006E00BC" w:rsidRPr="007A6AAA" w:rsidRDefault="006E00BC" w:rsidP="006E00BC">
      <w:pPr>
        <w:spacing w:after="0"/>
        <w:rPr>
          <w:sz w:val="24"/>
          <w:szCs w:val="24"/>
        </w:rPr>
      </w:pPr>
    </w:p>
    <w:p w:rsidR="006E00BC" w:rsidRPr="00BE73BD" w:rsidRDefault="006E00BC" w:rsidP="006E00BC">
      <w:pPr>
        <w:rPr>
          <w:b/>
        </w:rPr>
      </w:pPr>
      <w:bookmarkStart w:id="4" w:name="_Toc340231486"/>
      <w:r w:rsidRPr="00BE73BD">
        <w:rPr>
          <w:b/>
        </w:rPr>
        <w:t>Committee legal adviser</w:t>
      </w:r>
      <w:bookmarkEnd w:id="4"/>
    </w:p>
    <w:p w:rsidR="006E00BC" w:rsidRPr="00BE73BD" w:rsidRDefault="006E00BC" w:rsidP="006E00BC">
      <w:pPr>
        <w:rPr>
          <w:sz w:val="24"/>
          <w:szCs w:val="24"/>
        </w:rPr>
      </w:pPr>
      <w:r w:rsidRPr="00BE73BD">
        <w:rPr>
          <w:sz w:val="24"/>
          <w:szCs w:val="24"/>
        </w:rPr>
        <w:t>Mr Stephen Argument</w:t>
      </w:r>
    </w:p>
    <w:p w:rsidR="006E00BC" w:rsidRDefault="006E00BC" w:rsidP="006E00BC">
      <w:pPr>
        <w:spacing w:after="0"/>
        <w:rPr>
          <w:sz w:val="24"/>
          <w:szCs w:val="24"/>
        </w:rPr>
      </w:pPr>
    </w:p>
    <w:p w:rsidR="006E00BC" w:rsidRDefault="006E00BC" w:rsidP="006E00BC">
      <w:pPr>
        <w:spacing w:after="0"/>
        <w:rPr>
          <w:sz w:val="24"/>
          <w:szCs w:val="24"/>
        </w:rPr>
      </w:pPr>
    </w:p>
    <w:p w:rsidR="006E00BC" w:rsidRPr="001B64F3" w:rsidRDefault="006E00BC" w:rsidP="006E00BC">
      <w:pPr>
        <w:spacing w:after="0"/>
        <w:rPr>
          <w:sz w:val="24"/>
          <w:szCs w:val="24"/>
        </w:rPr>
      </w:pPr>
    </w:p>
    <w:p w:rsidR="006E00BC" w:rsidRPr="001B64F3" w:rsidRDefault="006E00BC" w:rsidP="006E00BC">
      <w:pPr>
        <w:spacing w:after="0"/>
        <w:rPr>
          <w:sz w:val="24"/>
          <w:szCs w:val="24"/>
        </w:rPr>
      </w:pPr>
    </w:p>
    <w:p w:rsidR="006E00BC" w:rsidRPr="00BE73BD" w:rsidRDefault="006E00BC" w:rsidP="006E00BC">
      <w:pPr>
        <w:rPr>
          <w:b/>
        </w:rPr>
      </w:pPr>
      <w:bookmarkStart w:id="5" w:name="_Toc340231487"/>
      <w:r w:rsidRPr="00BE73BD">
        <w:rPr>
          <w:b/>
        </w:rPr>
        <w:t>Committee contacts</w:t>
      </w:r>
      <w:bookmarkEnd w:id="5"/>
    </w:p>
    <w:p w:rsidR="006E00BC" w:rsidRPr="00BE73BD" w:rsidRDefault="006E00BC" w:rsidP="006E00BC">
      <w:pPr>
        <w:spacing w:after="0"/>
        <w:rPr>
          <w:sz w:val="24"/>
          <w:szCs w:val="24"/>
        </w:rPr>
      </w:pPr>
      <w:bookmarkStart w:id="6" w:name="_Toc340231488"/>
      <w:r w:rsidRPr="00BE73BD">
        <w:rPr>
          <w:sz w:val="24"/>
          <w:szCs w:val="24"/>
        </w:rPr>
        <w:t>PO Box 6100</w:t>
      </w:r>
      <w:bookmarkEnd w:id="6"/>
    </w:p>
    <w:p w:rsidR="006E00BC" w:rsidRPr="00BE73BD" w:rsidRDefault="006E00BC" w:rsidP="006E00BC">
      <w:pPr>
        <w:spacing w:after="0"/>
        <w:rPr>
          <w:sz w:val="24"/>
          <w:szCs w:val="24"/>
        </w:rPr>
      </w:pPr>
      <w:r w:rsidRPr="00BE73BD">
        <w:rPr>
          <w:sz w:val="24"/>
          <w:szCs w:val="24"/>
        </w:rPr>
        <w:t>Parliament House</w:t>
      </w:r>
    </w:p>
    <w:p w:rsidR="006E00BC" w:rsidRPr="00BE73BD" w:rsidRDefault="006E00BC" w:rsidP="006E00BC">
      <w:pPr>
        <w:spacing w:after="0"/>
        <w:rPr>
          <w:sz w:val="24"/>
          <w:szCs w:val="24"/>
        </w:rPr>
      </w:pPr>
      <w:r w:rsidRPr="00BE73BD">
        <w:rPr>
          <w:sz w:val="24"/>
          <w:szCs w:val="24"/>
        </w:rPr>
        <w:t>Canberra ACT 2600</w:t>
      </w:r>
    </w:p>
    <w:p w:rsidR="006E00BC" w:rsidRPr="00BE73BD" w:rsidRDefault="006E00BC" w:rsidP="006E00BC">
      <w:pPr>
        <w:spacing w:after="0"/>
        <w:rPr>
          <w:sz w:val="24"/>
          <w:szCs w:val="24"/>
        </w:rPr>
      </w:pPr>
      <w:r w:rsidRPr="00BE73BD">
        <w:rPr>
          <w:sz w:val="24"/>
          <w:szCs w:val="24"/>
        </w:rPr>
        <w:t>Ph: 02 6277 3066</w:t>
      </w:r>
    </w:p>
    <w:p w:rsidR="006E00BC" w:rsidRPr="00BE73BD" w:rsidRDefault="006E00BC" w:rsidP="006E00BC">
      <w:pPr>
        <w:spacing w:after="0"/>
        <w:rPr>
          <w:sz w:val="24"/>
          <w:szCs w:val="24"/>
        </w:rPr>
      </w:pPr>
      <w:r w:rsidRPr="00BE73BD">
        <w:rPr>
          <w:sz w:val="24"/>
          <w:szCs w:val="24"/>
        </w:rPr>
        <w:t>Email: regords.sen@aph.gov.au</w:t>
      </w:r>
    </w:p>
    <w:p w:rsidR="006E00BC" w:rsidRPr="00F72A71" w:rsidRDefault="006E00BC" w:rsidP="006E00BC">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6E00BC" w:rsidRPr="007E04A9" w:rsidRDefault="006E00BC" w:rsidP="006E00BC">
      <w:pPr>
        <w:spacing w:after="0"/>
      </w:pPr>
    </w:p>
    <w:p w:rsidR="006E00BC" w:rsidRDefault="006E00BC" w:rsidP="006E00BC">
      <w:r>
        <w:br w:type="page"/>
      </w:r>
    </w:p>
    <w:p w:rsidR="006E00BC" w:rsidRPr="00520991" w:rsidRDefault="006E00BC" w:rsidP="006E00BC"/>
    <w:p w:rsidR="006E00BC" w:rsidRDefault="006E00BC" w:rsidP="00325264">
      <w:pPr>
        <w:sectPr w:rsidR="006E00BC" w:rsidSect="006E00B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6E00BC" w:rsidRDefault="006E00BC" w:rsidP="006E00BC">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36746608"/>
      <w:bookmarkStart w:id="22" w:name="_Toc436825006"/>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E00BC" w:rsidRPr="00635538" w:rsidRDefault="006E00BC" w:rsidP="006E00BC">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6E00BC" w:rsidRPr="004228CC" w:rsidRDefault="006E00BC" w:rsidP="006E00BC">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6E00BC" w:rsidRDefault="006E00BC" w:rsidP="006E00BC">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6E00BC" w:rsidRDefault="006E00BC" w:rsidP="006E00BC">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(Division 4 Financial Products) Instrument 2015/1030 [F2015L01771]</w:t>
      </w:r>
      <w:r>
        <w:rPr>
          <w:noProof/>
        </w:rPr>
        <w:tab/>
        <w:t>1</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Bankruptcy Amendment (National Personal Insolvency Index)</w:t>
      </w:r>
      <w:r>
        <w:rPr>
          <w:noProof/>
        </w:rPr>
        <w:br/>
        <w:t>Regulation 2015 [F2015L01800]</w:t>
      </w:r>
      <w:r>
        <w:rPr>
          <w:noProof/>
        </w:rPr>
        <w:tab/>
        <w:t>2</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Insurance (prudential standard) determination No. 1 of 2015 - Prudential Standard GPS 320 - Actuarial and Related Matters [F2015L01768]</w:t>
      </w:r>
      <w:r>
        <w:rPr>
          <w:noProof/>
        </w:rPr>
        <w:tab/>
        <w:t>3</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Therapeutic Goods (Medical Devices) Amendment (In Vitro Diagnostic</w:t>
      </w:r>
      <w:r>
        <w:rPr>
          <w:noProof/>
        </w:rPr>
        <w:br/>
        <w:t>Medical Devices) Regulation 2015 [F2015L01791]</w:t>
      </w:r>
      <w:r>
        <w:rPr>
          <w:noProof/>
        </w:rPr>
        <w:tab/>
        <w:t>4</w:t>
      </w:r>
    </w:p>
    <w:p w:rsidR="006E00BC" w:rsidRDefault="006E00BC" w:rsidP="006E00BC">
      <w:pPr>
        <w:pStyle w:val="TOC2"/>
        <w:tabs>
          <w:tab w:val="right" w:leader="dot" w:pos="9016"/>
        </w:tabs>
        <w:rPr>
          <w:rFonts w:asciiTheme="minorHAnsi" w:eastAsiaTheme="minorEastAsia" w:hAnsiTheme="minorHAnsi" w:cstheme="minorBidi"/>
          <w:b w:val="0"/>
          <w:noProof/>
          <w:sz w:val="22"/>
          <w:szCs w:val="22"/>
          <w:lang w:eastAsia="en-AU"/>
        </w:rPr>
      </w:pPr>
      <w:r>
        <w:rPr>
          <w:noProof/>
        </w:rPr>
        <w:t>Further response required</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Charter of the United Nations (Sanctions—Syria) Regulation 2015 [F2015L01463]</w:t>
      </w:r>
      <w:r>
        <w:rPr>
          <w:noProof/>
        </w:rPr>
        <w:tab/>
        <w:t>6</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Charter of the United Nations (Sanctions—Iraq) Amendment Regulation 2015 [F2015L01464]</w:t>
      </w:r>
      <w:r>
        <w:rPr>
          <w:noProof/>
        </w:rPr>
        <w:tab/>
        <w:t>6</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Christmas Island Marine Traffic and Harbour Facilities Determination 2015 [F2015L01591]</w:t>
      </w:r>
      <w:r>
        <w:rPr>
          <w:noProof/>
        </w:rPr>
        <w:tab/>
        <w:t>11</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Cocos (Keeling) Islands Marine Traffic and Harbour Facilities</w:t>
      </w:r>
      <w:r>
        <w:rPr>
          <w:rFonts w:ascii="Times New (W1)" w:hAnsi="Times New (W1)"/>
          <w:noProof/>
        </w:rPr>
        <w:br/>
      </w:r>
      <w:r w:rsidRPr="000B4F79">
        <w:rPr>
          <w:rFonts w:ascii="Times New (W1)" w:hAnsi="Times New (W1)"/>
          <w:noProof/>
        </w:rPr>
        <w:t>Determination 2015 [F2015L01593]</w:t>
      </w:r>
      <w:r>
        <w:rPr>
          <w:noProof/>
        </w:rPr>
        <w:tab/>
        <w:t>11</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Removal of Prisoners (Territories) Regulation 2015 [F2015L01524]</w:t>
      </w:r>
      <w:r>
        <w:rPr>
          <w:noProof/>
        </w:rPr>
        <w:tab/>
        <w:t>14</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0B4F79">
        <w:rPr>
          <w:rFonts w:ascii="Times New (W1)" w:hAnsi="Times New (W1)"/>
          <w:noProof/>
        </w:rPr>
        <w:t>Safety, Rehabilitation and Compensation (Definition of Employee)</w:t>
      </w:r>
      <w:r>
        <w:rPr>
          <w:rFonts w:ascii="Times New (W1)" w:hAnsi="Times New (W1)"/>
          <w:noProof/>
        </w:rPr>
        <w:br/>
      </w:r>
      <w:r w:rsidRPr="000B4F79">
        <w:rPr>
          <w:rFonts w:ascii="Times New (W1)" w:hAnsi="Times New (W1)"/>
          <w:noProof/>
        </w:rPr>
        <w:t>Amendment Notice 2015 [F2015L01665]</w:t>
      </w:r>
      <w:r>
        <w:rPr>
          <w:noProof/>
        </w:rPr>
        <w:tab/>
        <w:t>15</w:t>
      </w:r>
    </w:p>
    <w:p w:rsidR="006E00BC" w:rsidRDefault="006E00BC" w:rsidP="006E00BC">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D589F">
        <w:rPr>
          <w:i/>
          <w:noProof/>
        </w:rPr>
        <w:t>Acts Interpretation Act 1901</w:t>
      </w:r>
      <w:r>
        <w:rPr>
          <w:noProof/>
        </w:rPr>
        <w:tab/>
        <w:t>18</w:t>
      </w:r>
    </w:p>
    <w:p w:rsidR="006E00BC" w:rsidRDefault="006E00BC" w:rsidP="006E00BC">
      <w:pPr>
        <w:pStyle w:val="TOC1"/>
        <w:tabs>
          <w:tab w:val="right" w:leader="dot" w:pos="9016"/>
        </w:tabs>
        <w:rPr>
          <w:b w:val="0"/>
          <w:noProof/>
          <w:sz w:val="26"/>
          <w:szCs w:val="26"/>
        </w:rPr>
      </w:pPr>
      <w:r>
        <w:rPr>
          <w:noProof/>
        </w:rPr>
        <w:t>Chapter 2 – Concluded matters</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Passports (Application Fees) Amendment Determination 2015</w:t>
      </w:r>
      <w:r>
        <w:rPr>
          <w:noProof/>
        </w:rPr>
        <w:br/>
        <w:t>(No. 1) [F2015L01629]</w:t>
      </w:r>
      <w:r>
        <w:rPr>
          <w:noProof/>
        </w:rPr>
        <w:tab/>
        <w:t>21</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sidRPr="00C116EC">
        <w:rPr>
          <w:noProof/>
        </w:rPr>
        <w:t>Carbon Credits (Carbon Farming Initiative—Facilities) Methodology Determination 2015 [F2015L01346]</w:t>
      </w:r>
      <w:r>
        <w:rPr>
          <w:noProof/>
        </w:rPr>
        <w:tab/>
        <w:t>23</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Comptroller-General of Customs Instrument of Approval No. 2 of 2015 [F2015L01501]</w:t>
      </w:r>
      <w:r>
        <w:rPr>
          <w:noProof/>
        </w:rPr>
        <w:tab/>
        <w:t>25</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Instrument of Approval No. 12 of 2015 [F2015L01541]</w:t>
      </w:r>
      <w:r>
        <w:rPr>
          <w:noProof/>
        </w:rPr>
        <w:tab/>
        <w:t>25</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Instrument of Approval No. 14 of 2015 [F2015L01529]</w:t>
      </w:r>
      <w:r>
        <w:rPr>
          <w:noProof/>
        </w:rPr>
        <w:tab/>
        <w:t>25</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Instrument of Approval No. 15 of 2015 [F2015L01532]</w:t>
      </w:r>
      <w:r>
        <w:rPr>
          <w:noProof/>
        </w:rPr>
        <w:tab/>
        <w:t>25</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AASB 132 - Financial Instruments: Presentation - August 2015</w:t>
      </w:r>
      <w:r>
        <w:rPr>
          <w:noProof/>
        </w:rPr>
        <w:br/>
        <w:t>[F2015L01605]</w:t>
      </w:r>
      <w:r>
        <w:rPr>
          <w:noProof/>
        </w:rPr>
        <w:tab/>
        <w:t>27</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Legislation (Exemptions and Other Matters) Regulation 2015</w:t>
      </w:r>
      <w:r>
        <w:rPr>
          <w:noProof/>
        </w:rPr>
        <w:br/>
        <w:t>[F2015L01475]</w:t>
      </w:r>
      <w:r>
        <w:rPr>
          <w:noProof/>
        </w:rPr>
        <w:tab/>
        <w:t>30</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(Conversion of Protection Visa Applications)</w:t>
      </w:r>
      <w:r>
        <w:rPr>
          <w:noProof/>
        </w:rPr>
        <w:br/>
        <w:t>Regulation 2015 [F2015L01461]</w:t>
      </w:r>
      <w:r>
        <w:rPr>
          <w:noProof/>
        </w:rPr>
        <w:tab/>
        <w:t>33</w:t>
      </w:r>
    </w:p>
    <w:p w:rsidR="006E00BC" w:rsidRDefault="006E00BC" w:rsidP="006E00BC">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Licence Conditions (Outpost Licence)</w:t>
      </w:r>
      <w:r>
        <w:rPr>
          <w:noProof/>
        </w:rPr>
        <w:br/>
        <w:t>Determination 2015 [F2015L01433]</w:t>
      </w:r>
      <w:r>
        <w:rPr>
          <w:noProof/>
        </w:rPr>
        <w:tab/>
        <w:t>35</w:t>
      </w:r>
    </w:p>
    <w:p w:rsidR="006E00BC" w:rsidRDefault="006E00BC" w:rsidP="006E00BC">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39</w:t>
      </w:r>
    </w:p>
    <w:p w:rsidR="006E00BC" w:rsidRDefault="006E00BC" w:rsidP="006E00BC">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71</w:t>
      </w:r>
    </w:p>
    <w:p w:rsidR="006E00BC" w:rsidRDefault="006E00BC" w:rsidP="006E00BC">
      <w:pPr>
        <w:tabs>
          <w:tab w:val="left" w:pos="1170"/>
        </w:tabs>
        <w:jc w:val="left"/>
        <w:rPr>
          <w:sz w:val="16"/>
          <w:szCs w:val="16"/>
        </w:rPr>
      </w:pPr>
    </w:p>
    <w:p w:rsidR="006E00BC" w:rsidRDefault="006E00BC" w:rsidP="006E00BC">
      <w:pPr>
        <w:spacing w:after="0"/>
        <w:jc w:val="left"/>
        <w:sectPr w:rsidR="006E00BC" w:rsidSect="006E00BC">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6E00BC" w:rsidRPr="004B17F0" w:rsidRDefault="006E00BC" w:rsidP="006E00BC">
      <w:pPr>
        <w:pStyle w:val="Heading1"/>
      </w:pPr>
      <w:r>
        <w:lastRenderedPageBreak/>
        <w:t>Introduction</w:t>
      </w:r>
    </w:p>
    <w:p w:rsidR="006E00BC" w:rsidRDefault="006E00BC" w:rsidP="006E00BC">
      <w:pPr>
        <w:pStyle w:val="Heading3"/>
        <w:spacing w:after="120"/>
      </w:pPr>
      <w:r>
        <w:t>Terms of reference</w:t>
      </w:r>
    </w:p>
    <w:p w:rsidR="006E00BC" w:rsidRDefault="006E00BC" w:rsidP="006E00BC">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6E00BC" w:rsidRDefault="006E00BC" w:rsidP="006E00BC">
      <w:pPr>
        <w:pStyle w:val="Level1"/>
        <w:numPr>
          <w:ilvl w:val="0"/>
          <w:numId w:val="0"/>
        </w:numPr>
        <w:spacing w:after="120"/>
      </w:pPr>
      <w:r>
        <w:t>Senate Standing Order 23(3) requires the committee to scrutinise each instrument referred to it to ensure:</w:t>
      </w:r>
    </w:p>
    <w:p w:rsidR="006E00BC" w:rsidRPr="00BF47FD" w:rsidRDefault="006E00BC" w:rsidP="006E00BC">
      <w:pPr>
        <w:pStyle w:val="Quote"/>
        <w:tabs>
          <w:tab w:val="left" w:pos="1418"/>
        </w:tabs>
        <w:spacing w:after="120"/>
        <w:ind w:left="1418" w:hanging="709"/>
      </w:pPr>
      <w:r>
        <w:t>(a)</w:t>
      </w:r>
      <w:r>
        <w:tab/>
      </w:r>
      <w:r w:rsidRPr="00BF47FD">
        <w:t>that it is in accordance with the statute;</w:t>
      </w:r>
    </w:p>
    <w:p w:rsidR="006E00BC" w:rsidRPr="00BF47FD" w:rsidRDefault="006E00BC" w:rsidP="006E00BC">
      <w:pPr>
        <w:pStyle w:val="Quote"/>
        <w:tabs>
          <w:tab w:val="left" w:pos="1418"/>
        </w:tabs>
        <w:spacing w:after="120"/>
        <w:ind w:left="1418" w:hanging="709"/>
      </w:pPr>
      <w:r>
        <w:t>(b)</w:t>
      </w:r>
      <w:r>
        <w:tab/>
      </w:r>
      <w:r w:rsidRPr="00BF47FD">
        <w:t>that it does not trespass unduly on personal rights and liberties;</w:t>
      </w:r>
    </w:p>
    <w:p w:rsidR="006E00BC" w:rsidRPr="00BF47FD" w:rsidRDefault="006E00BC" w:rsidP="006E00BC">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6E00BC" w:rsidRDefault="006E00BC" w:rsidP="006E00BC">
      <w:pPr>
        <w:pStyle w:val="Quote"/>
        <w:tabs>
          <w:tab w:val="left" w:pos="1418"/>
        </w:tabs>
        <w:spacing w:after="120"/>
        <w:ind w:left="1418" w:hanging="709"/>
      </w:pPr>
      <w:r>
        <w:t>(d)</w:t>
      </w:r>
      <w:r>
        <w:tab/>
      </w:r>
      <w:r w:rsidRPr="00BF47FD">
        <w:t>that it does not contain matter more appropriate for parliamentary enactment.</w:t>
      </w:r>
    </w:p>
    <w:p w:rsidR="006E00BC" w:rsidRDefault="006E00BC" w:rsidP="006E00BC">
      <w:pPr>
        <w:pStyle w:val="Heading3"/>
        <w:spacing w:after="120"/>
      </w:pPr>
      <w:r>
        <w:t>Nature of the committee's scrutiny</w:t>
      </w:r>
    </w:p>
    <w:p w:rsidR="006E00BC" w:rsidRDefault="006E00BC" w:rsidP="006E00BC">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6E00BC" w:rsidRDefault="006E00BC" w:rsidP="006E00BC">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6E00BC" w:rsidRDefault="006E00BC" w:rsidP="006E00BC">
      <w:pPr>
        <w:pStyle w:val="Heading3"/>
        <w:spacing w:after="120"/>
      </w:pPr>
      <w:r>
        <w:t>Publications</w:t>
      </w:r>
    </w:p>
    <w:p w:rsidR="006E00BC" w:rsidRDefault="006E00BC" w:rsidP="006E00BC">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6E00BC" w:rsidRPr="008B16ED" w:rsidRDefault="006E00BC" w:rsidP="006E00BC">
      <w:pPr>
        <w:pStyle w:val="Heading3"/>
        <w:spacing w:after="120"/>
      </w:pPr>
      <w:r>
        <w:lastRenderedPageBreak/>
        <w:t>Structure of the monitor</w:t>
      </w:r>
    </w:p>
    <w:p w:rsidR="006E00BC" w:rsidRDefault="006E00BC" w:rsidP="006E00BC">
      <w:pPr>
        <w:pStyle w:val="Level1"/>
        <w:numPr>
          <w:ilvl w:val="0"/>
          <w:numId w:val="0"/>
        </w:numPr>
        <w:spacing w:after="120"/>
      </w:pPr>
      <w:r>
        <w:t>The monitor is comprised of the following parts:</w:t>
      </w:r>
    </w:p>
    <w:p w:rsidR="006E00BC" w:rsidRDefault="006E00BC" w:rsidP="006E00BC">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6E00BC" w:rsidRDefault="006E00BC" w:rsidP="006E00BC">
      <w:pPr>
        <w:pStyle w:val="Bullet1"/>
        <w:numPr>
          <w:ilvl w:val="0"/>
          <w:numId w:val="35"/>
        </w:numPr>
        <w:tabs>
          <w:tab w:val="clear" w:pos="851"/>
          <w:tab w:val="left" w:pos="567"/>
        </w:tabs>
        <w:spacing w:after="120"/>
        <w:ind w:left="1134" w:hanging="567"/>
      </w:pPr>
      <w:r>
        <w:t xml:space="preserve">seeking an explanation/information; or </w:t>
      </w:r>
    </w:p>
    <w:p w:rsidR="006E00BC" w:rsidRDefault="006E00BC" w:rsidP="006E00BC">
      <w:pPr>
        <w:pStyle w:val="Bullet1"/>
        <w:numPr>
          <w:ilvl w:val="0"/>
          <w:numId w:val="35"/>
        </w:numPr>
        <w:tabs>
          <w:tab w:val="clear" w:pos="851"/>
          <w:tab w:val="left" w:pos="567"/>
        </w:tabs>
        <w:spacing w:after="120"/>
        <w:ind w:left="1134" w:hanging="567"/>
      </w:pPr>
      <w:r>
        <w:t>seeking further explanation/information subsequent to a response; or</w:t>
      </w:r>
    </w:p>
    <w:p w:rsidR="006E00BC" w:rsidRDefault="006E00BC" w:rsidP="006E00BC">
      <w:pPr>
        <w:pStyle w:val="Bullet1"/>
        <w:numPr>
          <w:ilvl w:val="0"/>
          <w:numId w:val="35"/>
        </w:numPr>
        <w:tabs>
          <w:tab w:val="clear" w:pos="851"/>
          <w:tab w:val="left" w:pos="567"/>
        </w:tabs>
        <w:spacing w:after="120"/>
        <w:ind w:left="1134" w:hanging="567"/>
      </w:pPr>
      <w:r>
        <w:t>on an advice only basis.</w:t>
      </w:r>
    </w:p>
    <w:p w:rsidR="006E00BC" w:rsidRDefault="006E00BC" w:rsidP="006E00BC">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6E00BC" w:rsidRDefault="006E00BC" w:rsidP="006E00BC">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6E00BC" w:rsidRDefault="006E00BC" w:rsidP="006E00BC">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6E00BC" w:rsidRDefault="006E00BC" w:rsidP="006E00BC">
      <w:pPr>
        <w:pStyle w:val="Heading3"/>
        <w:spacing w:after="120"/>
      </w:pPr>
      <w:r>
        <w:t>Acknowledgement</w:t>
      </w:r>
    </w:p>
    <w:p w:rsidR="006E00BC" w:rsidRDefault="006E00BC" w:rsidP="006E00BC">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6E00BC" w:rsidRDefault="006E00BC" w:rsidP="006E00BC">
      <w:pPr>
        <w:pStyle w:val="Heading3"/>
        <w:spacing w:after="120"/>
      </w:pPr>
      <w:r>
        <w:t>General information</w:t>
      </w:r>
    </w:p>
    <w:p w:rsidR="006E00BC" w:rsidRDefault="006E00BC" w:rsidP="006E00BC">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6E00BC" w:rsidRDefault="006E00BC" w:rsidP="006E00BC">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6E00BC" w:rsidRDefault="006E00BC" w:rsidP="006E00BC">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6E00BC" w:rsidRDefault="006E00BC" w:rsidP="006E00BC">
      <w:pPr>
        <w:pStyle w:val="Bullet1"/>
        <w:numPr>
          <w:ilvl w:val="0"/>
          <w:numId w:val="0"/>
        </w:numPr>
        <w:spacing w:after="0"/>
        <w:ind w:left="851" w:hanging="851"/>
        <w:rPr>
          <w:b/>
          <w:sz w:val="24"/>
          <w:szCs w:val="24"/>
        </w:rPr>
      </w:pPr>
    </w:p>
    <w:p w:rsidR="006E00BC" w:rsidRDefault="006E00BC" w:rsidP="006E00BC">
      <w:pPr>
        <w:pStyle w:val="Bullet1"/>
        <w:numPr>
          <w:ilvl w:val="0"/>
          <w:numId w:val="0"/>
        </w:numPr>
        <w:spacing w:after="0"/>
        <w:ind w:left="851" w:hanging="851"/>
        <w:rPr>
          <w:b/>
          <w:sz w:val="24"/>
          <w:szCs w:val="24"/>
        </w:rPr>
      </w:pPr>
    </w:p>
    <w:p w:rsidR="006E00BC" w:rsidRDefault="006E00BC" w:rsidP="006E00BC">
      <w:pPr>
        <w:pStyle w:val="Bullet1"/>
        <w:numPr>
          <w:ilvl w:val="0"/>
          <w:numId w:val="0"/>
        </w:numPr>
        <w:spacing w:after="0"/>
        <w:ind w:left="851" w:hanging="851"/>
        <w:rPr>
          <w:b/>
          <w:sz w:val="24"/>
          <w:szCs w:val="24"/>
        </w:rPr>
      </w:pPr>
    </w:p>
    <w:p w:rsidR="006E00BC" w:rsidRPr="0061320E" w:rsidRDefault="006E00BC" w:rsidP="006E00BC">
      <w:pPr>
        <w:pStyle w:val="Bullet1"/>
        <w:numPr>
          <w:ilvl w:val="0"/>
          <w:numId w:val="0"/>
        </w:numPr>
        <w:spacing w:after="0"/>
        <w:ind w:left="851" w:hanging="851"/>
        <w:rPr>
          <w:b/>
          <w:sz w:val="24"/>
          <w:szCs w:val="24"/>
        </w:rPr>
      </w:pPr>
    </w:p>
    <w:p w:rsidR="006E00BC" w:rsidRPr="00364316" w:rsidRDefault="006E00BC" w:rsidP="006E00BC">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6E00BC" w:rsidRDefault="006E00BC" w:rsidP="00325264">
      <w:pPr>
        <w:sectPr w:rsidR="006E00BC" w:rsidSect="006E00BC">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6E00BC" w:rsidRPr="001F4E38" w:rsidRDefault="006E00BC" w:rsidP="006E00BC">
      <w:pPr>
        <w:pStyle w:val="Heading1"/>
      </w:pPr>
      <w:r w:rsidRPr="001F4E38">
        <w:lastRenderedPageBreak/>
        <w:t>Chapter 1</w:t>
      </w:r>
    </w:p>
    <w:p w:rsidR="006E00BC" w:rsidRPr="001F4E38" w:rsidRDefault="006E00BC" w:rsidP="006E00BC">
      <w:pPr>
        <w:pStyle w:val="Heading2"/>
      </w:pPr>
      <w:r w:rsidRPr="001F4E38">
        <w:t xml:space="preserve">New </w:t>
      </w:r>
      <w:r>
        <w:t xml:space="preserve">and continuing </w:t>
      </w:r>
      <w:r w:rsidRPr="001F4E38">
        <w:t>matters</w:t>
      </w:r>
    </w:p>
    <w:p w:rsidR="006E00BC" w:rsidRDefault="006E00BC" w:rsidP="006E00BC">
      <w:pPr>
        <w:pStyle w:val="Level1"/>
        <w:numPr>
          <w:ilvl w:val="0"/>
          <w:numId w:val="0"/>
        </w:numPr>
      </w:pPr>
      <w:r>
        <w:t>This chapter details concerns in relation to disallowable instruments of delegated legislation received by the Senate Standing Committee on Regulations and Ordinances (the committee) between 6 November 2015 and 19 November 2015 (new matters); and matters previously raised in relation to which the committee seeks further information (continuing matters).</w:t>
      </w:r>
    </w:p>
    <w:p w:rsidR="006E00BC" w:rsidRPr="00E8612C" w:rsidRDefault="006E00BC" w:rsidP="006E00BC">
      <w:pPr>
        <w:pStyle w:val="Heading2"/>
        <w:spacing w:before="240"/>
        <w:rPr>
          <w:sz w:val="32"/>
          <w:szCs w:val="32"/>
        </w:rPr>
      </w:pPr>
      <w:r w:rsidRPr="00E8612C">
        <w:rPr>
          <w:sz w:val="32"/>
          <w:szCs w:val="32"/>
        </w:rPr>
        <w:t>Response required</w:t>
      </w:r>
    </w:p>
    <w:p w:rsidR="006E00BC" w:rsidRDefault="006E00BC" w:rsidP="006E00BC">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6E00BC" w:rsidRPr="00164622"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spacing w:before="120" w:after="120"/>
              <w:rPr>
                <w:sz w:val="24"/>
                <w:szCs w:val="24"/>
              </w:rPr>
            </w:pPr>
            <w:r w:rsidRPr="00E258D6">
              <w:rPr>
                <w:noProof/>
                <w:sz w:val="24"/>
                <w:szCs w:val="24"/>
              </w:rPr>
              <w:t>ASIC Corporations (Division 4 Financial Products) Instrument 2015/1030 [F2015L01771]</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Pr>
                <w:noProof/>
                <w:sz w:val="24"/>
                <w:szCs w:val="24"/>
              </w:rPr>
              <w:t xml:space="preserve">Broadens the </w:t>
            </w:r>
            <w:r w:rsidRPr="00E258D6">
              <w:rPr>
                <w:noProof/>
                <w:sz w:val="24"/>
                <w:szCs w:val="24"/>
              </w:rPr>
              <w:t>class of financial products to</w:t>
            </w:r>
            <w:r>
              <w:rPr>
                <w:noProof/>
                <w:sz w:val="24"/>
                <w:szCs w:val="24"/>
              </w:rPr>
              <w:t xml:space="preserve"> facilitate transfers</w:t>
            </w:r>
            <w:r w:rsidRPr="00E258D6">
              <w:rPr>
                <w:noProof/>
                <w:sz w:val="24"/>
                <w:szCs w:val="24"/>
              </w:rPr>
              <w:t xml:space="preserve"> through ASX Settlement Pty Ltd</w:t>
            </w:r>
            <w:r>
              <w:rPr>
                <w:noProof/>
                <w:sz w:val="24"/>
                <w:szCs w:val="24"/>
              </w:rPr>
              <w:t xml:space="preserve"> and</w:t>
            </w:r>
            <w:r w:rsidRPr="00E258D6">
              <w:rPr>
                <w:noProof/>
                <w:sz w:val="24"/>
                <w:szCs w:val="24"/>
              </w:rPr>
              <w:t xml:space="preserve"> </w:t>
            </w:r>
            <w:r>
              <w:rPr>
                <w:noProof/>
                <w:sz w:val="24"/>
                <w:szCs w:val="24"/>
              </w:rPr>
              <w:t xml:space="preserve">extends the </w:t>
            </w:r>
            <w:r w:rsidRPr="00E258D6">
              <w:rPr>
                <w:noProof/>
                <w:sz w:val="24"/>
                <w:szCs w:val="24"/>
              </w:rPr>
              <w:t xml:space="preserve">statutory warranties and indemnities in Part 7.11 of the </w:t>
            </w:r>
            <w:r>
              <w:rPr>
                <w:i/>
                <w:noProof/>
                <w:sz w:val="24"/>
                <w:szCs w:val="24"/>
              </w:rPr>
              <w:t>Corporations Act </w:t>
            </w:r>
            <w:r w:rsidRPr="00AD328A">
              <w:rPr>
                <w:i/>
                <w:noProof/>
                <w:sz w:val="24"/>
                <w:szCs w:val="24"/>
              </w:rPr>
              <w:t>2001</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25 February 2016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E258D6">
              <w:rPr>
                <w:i/>
                <w:noProof/>
                <w:sz w:val="24"/>
                <w:szCs w:val="24"/>
              </w:rPr>
              <w:t>Corporations Act 2001</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Treasury</w:t>
            </w:r>
          </w:p>
        </w:tc>
      </w:tr>
      <w:tr w:rsidR="006E00BC" w:rsidRPr="00164622" w:rsidTr="006E00BC">
        <w:tc>
          <w:tcPr>
            <w:tcW w:w="2694" w:type="dxa"/>
            <w:tcBorders>
              <w:bottom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E00BC" w:rsidRPr="00A77228" w:rsidRDefault="006E00BC" w:rsidP="006E00BC">
            <w:pPr>
              <w:spacing w:before="120" w:after="120"/>
              <w:rPr>
                <w:sz w:val="24"/>
                <w:szCs w:val="24"/>
              </w:rPr>
            </w:pPr>
            <w:r>
              <w:rPr>
                <w:sz w:val="24"/>
                <w:szCs w:val="24"/>
              </w:rPr>
              <w:t>Standing Order 23(3)</w:t>
            </w:r>
            <w:r w:rsidRPr="00E258D6">
              <w:rPr>
                <w:noProof/>
                <w:sz w:val="24"/>
                <w:szCs w:val="24"/>
              </w:rPr>
              <w:t>(a)</w:t>
            </w:r>
          </w:p>
        </w:tc>
      </w:tr>
    </w:tbl>
    <w:p w:rsidR="006E00BC" w:rsidRDefault="006E00BC" w:rsidP="006E00BC">
      <w:pPr>
        <w:spacing w:after="120"/>
      </w:pPr>
    </w:p>
    <w:p w:rsidR="006E00BC" w:rsidRDefault="006E00BC" w:rsidP="006E00BC">
      <w:pPr>
        <w:rPr>
          <w:b/>
          <w:noProof/>
        </w:rPr>
      </w:pPr>
      <w:r>
        <w:rPr>
          <w:b/>
          <w:noProof/>
        </w:rPr>
        <w:t>I</w:t>
      </w:r>
      <w:r w:rsidRPr="00E258D6">
        <w:rPr>
          <w:b/>
          <w:noProof/>
        </w:rPr>
        <w:t>ncorporation of extrinsic material</w:t>
      </w:r>
    </w:p>
    <w:p w:rsidR="006E00BC" w:rsidRPr="00067EAA" w:rsidRDefault="006E00BC" w:rsidP="006E00BC">
      <w:r w:rsidRPr="00067EAA">
        <w:t xml:space="preserve">Section 14 of the </w:t>
      </w:r>
      <w:r w:rsidRPr="00067EAA">
        <w:rPr>
          <w:i/>
        </w:rPr>
        <w:t xml:space="preserve">Legislative Instruments Act 2003 </w:t>
      </w:r>
      <w:r w:rsidRPr="00067EAA">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6E00BC" w:rsidRPr="00067EAA" w:rsidRDefault="006E00BC" w:rsidP="006E00BC">
      <w:r w:rsidRPr="00067EAA">
        <w:t>With reference to the above, the committee notes that the instrument refers to the</w:t>
      </w:r>
      <w:r>
        <w:t xml:space="preserve"> 'operating rules of ASX' in its definition of </w:t>
      </w:r>
      <w:r w:rsidRPr="00067EAA">
        <w:rPr>
          <w:b/>
          <w:i/>
        </w:rPr>
        <w:t>AQUA Quote Display Board</w:t>
      </w:r>
      <w:r>
        <w:t xml:space="preserve">. </w:t>
      </w:r>
      <w:r w:rsidRPr="00067EAA">
        <w:t>However, nei</w:t>
      </w:r>
      <w:r>
        <w:t>ther the text of the instrument</w:t>
      </w:r>
      <w:r w:rsidRPr="00067EAA">
        <w:t xml:space="preserve"> nor the </w:t>
      </w:r>
      <w:r>
        <w:t>explanatory statement (</w:t>
      </w:r>
      <w:r w:rsidRPr="00067EAA">
        <w:t>ES</w:t>
      </w:r>
      <w:r>
        <w:t>)</w:t>
      </w:r>
      <w:r w:rsidRPr="00067EAA">
        <w:t xml:space="preserve"> expressly state</w:t>
      </w:r>
      <w:r>
        <w:t>s</w:t>
      </w:r>
      <w:r w:rsidRPr="00067EAA">
        <w:t xml:space="preserve"> the manner in </w:t>
      </w:r>
      <w:r>
        <w:t>which the operating rules</w:t>
      </w:r>
      <w:r w:rsidRPr="00067EAA">
        <w:t xml:space="preserve"> </w:t>
      </w:r>
      <w:r>
        <w:t xml:space="preserve">of ASX </w:t>
      </w:r>
      <w:r w:rsidRPr="00067EAA">
        <w:t>are incorporated.</w:t>
      </w:r>
    </w:p>
    <w:p w:rsidR="006E00BC" w:rsidRPr="00067EAA" w:rsidRDefault="006E00BC" w:rsidP="006E00BC">
      <w:r w:rsidRPr="00067EAA">
        <w:t xml:space="preserve">The committee's usual expectation where an instrument incorporates extrinsic material by reference is that the manner of incorporation is clearly specified in the instrument </w:t>
      </w:r>
      <w:r w:rsidRPr="00067EAA">
        <w:lastRenderedPageBreak/>
        <w:t>and, ideally, in the ES. The committee regards this as a best-practice approach that enables anticipated users or persons affected by any such instrument to understand its operation without the need to rely on specialist legal knowledge or advice, or consult extrinsic material</w:t>
      </w:r>
      <w:r>
        <w:t xml:space="preserve"> or Acts</w:t>
      </w:r>
      <w:r w:rsidRPr="00067EAA">
        <w:t>.</w:t>
      </w:r>
    </w:p>
    <w:p w:rsidR="006E00BC" w:rsidRDefault="006E00BC" w:rsidP="006E00BC">
      <w:r w:rsidRPr="00067EAA">
        <w:rPr>
          <w:b/>
        </w:rPr>
        <w:t>The committee requests the advice of the minister in relation to this matter</w:t>
      </w:r>
      <w:r w:rsidRPr="00067EAA">
        <w:t>.</w:t>
      </w:r>
    </w:p>
    <w:p w:rsidR="006E00BC" w:rsidRDefault="006E00BC" w:rsidP="006E00BC"/>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spacing w:before="120" w:after="120"/>
              <w:rPr>
                <w:sz w:val="24"/>
                <w:szCs w:val="24"/>
              </w:rPr>
            </w:pPr>
            <w:r w:rsidRPr="00E258D6">
              <w:rPr>
                <w:noProof/>
                <w:sz w:val="24"/>
                <w:szCs w:val="24"/>
              </w:rPr>
              <w:t>Bankruptcy Amendment (National Personal Insolvency Index) Regulation 2015 [F2015L01800]</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Pr>
                <w:noProof/>
                <w:sz w:val="24"/>
                <w:szCs w:val="24"/>
              </w:rPr>
              <w:t>A</w:t>
            </w:r>
            <w:r w:rsidRPr="00E258D6">
              <w:rPr>
                <w:noProof/>
                <w:sz w:val="24"/>
                <w:szCs w:val="24"/>
              </w:rPr>
              <w:t xml:space="preserve">ligns the period of time that information </w:t>
            </w:r>
            <w:r>
              <w:rPr>
                <w:noProof/>
                <w:sz w:val="24"/>
                <w:szCs w:val="24"/>
              </w:rPr>
              <w:t xml:space="preserve">relating to </w:t>
            </w:r>
            <w:r w:rsidRPr="00E258D6">
              <w:rPr>
                <w:noProof/>
                <w:sz w:val="24"/>
                <w:szCs w:val="24"/>
              </w:rPr>
              <w:t xml:space="preserve">debt agreements is retained on the </w:t>
            </w:r>
            <w:r w:rsidRPr="00AD328A">
              <w:rPr>
                <w:noProof/>
                <w:sz w:val="24"/>
                <w:szCs w:val="24"/>
              </w:rPr>
              <w:t>National Personal Insolvency Index</w:t>
            </w:r>
            <w:r>
              <w:rPr>
                <w:noProof/>
                <w:sz w:val="24"/>
                <w:szCs w:val="24"/>
              </w:rPr>
              <w:t xml:space="preserve"> </w:t>
            </w:r>
            <w:r w:rsidRPr="00E258D6">
              <w:rPr>
                <w:noProof/>
                <w:sz w:val="24"/>
                <w:szCs w:val="24"/>
              </w:rPr>
              <w:t xml:space="preserve">with the period of time that the same information is recorded on credit reports under the </w:t>
            </w:r>
            <w:r w:rsidRPr="00067EAA">
              <w:rPr>
                <w:i/>
                <w:noProof/>
                <w:sz w:val="24"/>
                <w:szCs w:val="24"/>
              </w:rPr>
              <w:t>Privacy Act 1988</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29 February 2016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E258D6">
              <w:rPr>
                <w:i/>
                <w:noProof/>
                <w:sz w:val="24"/>
                <w:szCs w:val="24"/>
              </w:rPr>
              <w:t>Bankruptcy Act 1966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Attorney-General's</w:t>
            </w:r>
          </w:p>
        </w:tc>
      </w:tr>
      <w:tr w:rsidR="006E00BC" w:rsidRPr="00164622" w:rsidTr="006E00BC">
        <w:tc>
          <w:tcPr>
            <w:tcW w:w="2694" w:type="dxa"/>
            <w:tcBorders>
              <w:bottom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E00BC" w:rsidRPr="00A77228" w:rsidRDefault="006E00BC" w:rsidP="006E00BC">
            <w:pPr>
              <w:spacing w:before="120" w:after="120"/>
              <w:rPr>
                <w:sz w:val="24"/>
                <w:szCs w:val="24"/>
              </w:rPr>
            </w:pPr>
            <w:r>
              <w:rPr>
                <w:sz w:val="24"/>
                <w:szCs w:val="24"/>
              </w:rPr>
              <w:t>Standing Order 23(3)</w:t>
            </w:r>
            <w:r w:rsidRPr="00E258D6">
              <w:rPr>
                <w:noProof/>
                <w:sz w:val="24"/>
                <w:szCs w:val="24"/>
              </w:rPr>
              <w:t>(a)</w:t>
            </w:r>
          </w:p>
        </w:tc>
      </w:tr>
    </w:tbl>
    <w:p w:rsidR="006E00BC" w:rsidRDefault="006E00BC" w:rsidP="006E00BC">
      <w:pPr>
        <w:spacing w:after="120"/>
      </w:pPr>
    </w:p>
    <w:p w:rsidR="006E00BC" w:rsidRDefault="006E00BC" w:rsidP="006E00BC">
      <w:pPr>
        <w:rPr>
          <w:b/>
          <w:noProof/>
        </w:rPr>
      </w:pPr>
      <w:r>
        <w:rPr>
          <w:b/>
          <w:noProof/>
        </w:rPr>
        <w:t>N</w:t>
      </w:r>
      <w:r w:rsidRPr="00E258D6">
        <w:rPr>
          <w:b/>
          <w:noProof/>
        </w:rPr>
        <w:t>o statement of compatibility</w:t>
      </w:r>
    </w:p>
    <w:p w:rsidR="006E00BC" w:rsidRDefault="006E00BC" w:rsidP="006E00BC">
      <w:r w:rsidRPr="008C6D4A">
        <w:t xml:space="preserve">Section </w:t>
      </w:r>
      <w:r>
        <w:t>9</w:t>
      </w:r>
      <w:r w:rsidRPr="008C6D4A">
        <w:t xml:space="preserve"> of the </w:t>
      </w:r>
      <w:r w:rsidRPr="00067EAA">
        <w:rPr>
          <w:i/>
        </w:rPr>
        <w:t>Human Rights (Parliamentary Scrutiny) Act 2011</w:t>
      </w:r>
      <w:r w:rsidRPr="008C6D4A">
        <w:t xml:space="preserve"> </w:t>
      </w:r>
      <w:r>
        <w:t>requires</w:t>
      </w:r>
      <w:r w:rsidRPr="008C6D4A">
        <w:t xml:space="preserve"> a </w:t>
      </w:r>
      <w:r>
        <w:br/>
      </w:r>
      <w:r w:rsidRPr="008C6D4A">
        <w:t xml:space="preserve">rule-maker to </w:t>
      </w:r>
      <w:r>
        <w:t xml:space="preserve">prepare a statement of compatibility in relation to an instrument </w:t>
      </w:r>
      <w:r w:rsidRPr="00067EAA">
        <w:t>to which section 42 (disallowance) of the </w:t>
      </w:r>
      <w:r w:rsidRPr="00067EAA">
        <w:rPr>
          <w:i/>
          <w:iCs/>
        </w:rPr>
        <w:t>Legislative Instruments Act 2003</w:t>
      </w:r>
      <w:r w:rsidRPr="00067EAA">
        <w:t> applies</w:t>
      </w:r>
      <w:r w:rsidRPr="008C6D4A">
        <w:t xml:space="preserve">. </w:t>
      </w:r>
      <w:r>
        <w:t xml:space="preserve">The statement of compatibility </w:t>
      </w:r>
      <w:r w:rsidRPr="00067EAA">
        <w:t>must include an assessment of whether the legislative instrument is compatible with human rights</w:t>
      </w:r>
      <w:r>
        <w:t xml:space="preserve">, and </w:t>
      </w:r>
      <w:r w:rsidRPr="00067EAA">
        <w:t xml:space="preserve">must be included in the </w:t>
      </w:r>
      <w:r>
        <w:t xml:space="preserve">ES for </w:t>
      </w:r>
      <w:r w:rsidRPr="00067EAA">
        <w:t>the legislative instrument</w:t>
      </w:r>
      <w:r>
        <w:t>.</w:t>
      </w:r>
    </w:p>
    <w:p w:rsidR="006E00BC" w:rsidRPr="008C6D4A" w:rsidRDefault="006E00BC" w:rsidP="006E00BC">
      <w:r w:rsidRPr="008C6D4A">
        <w:t xml:space="preserve">With reference to these requirements, the committee notes that the ES for this instrument </w:t>
      </w:r>
      <w:r>
        <w:t>does not include a statement of compatibility</w:t>
      </w:r>
      <w:r w:rsidRPr="008C6D4A">
        <w:t>.</w:t>
      </w:r>
    </w:p>
    <w:p w:rsidR="006E00BC" w:rsidRDefault="006E00BC" w:rsidP="006E00BC">
      <w:pPr>
        <w:rPr>
          <w:b/>
          <w:noProof/>
        </w:rPr>
      </w:pPr>
      <w:r w:rsidRPr="008C6D4A">
        <w:rPr>
          <w:b/>
        </w:rPr>
        <w:t xml:space="preserve">The committee requests the advice of the minister in relation to this matter; and requests that the ES be updated in accordance with the requirements of the </w:t>
      </w:r>
      <w:r w:rsidRPr="00067EAA">
        <w:rPr>
          <w:b/>
          <w:i/>
        </w:rPr>
        <w:t>Human Rights (Parliamentary Scrutiny) Act 2011</w:t>
      </w:r>
      <w:r w:rsidRPr="008C6D4A">
        <w:rPr>
          <w:b/>
        </w:rPr>
        <w:t>.</w:t>
      </w:r>
    </w:p>
    <w:p w:rsidR="006E00BC" w:rsidRDefault="006E00BC" w:rsidP="006E00BC">
      <w:pPr>
        <w:spacing w:after="0"/>
        <w:jc w:val="left"/>
      </w:pPr>
      <w:r>
        <w:br w:type="page"/>
      </w: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E00BC" w:rsidRPr="00BA36F8" w:rsidRDefault="006E00BC" w:rsidP="006E00BC">
            <w:pPr>
              <w:pStyle w:val="Heading3"/>
              <w:spacing w:before="120" w:after="120"/>
              <w:rPr>
                <w:sz w:val="24"/>
                <w:szCs w:val="24"/>
              </w:rPr>
            </w:pPr>
            <w:r w:rsidRPr="00E258D6">
              <w:rPr>
                <w:noProof/>
                <w:sz w:val="24"/>
                <w:szCs w:val="24"/>
              </w:rPr>
              <w:t>Insurance (prudential standard) determination No. 1 of 2015 - Prudential Standard GPS 320 - Actuarial and Related Matters [F2015L01768]</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Pr>
                <w:noProof/>
                <w:sz w:val="24"/>
                <w:szCs w:val="24"/>
              </w:rPr>
              <w:t>Sets out the roles and responsibilities of an Actuary and determines acturarial review requirements</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25 February 2016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E258D6">
              <w:rPr>
                <w:i/>
                <w:noProof/>
                <w:sz w:val="24"/>
                <w:szCs w:val="24"/>
              </w:rPr>
              <w:t>Insurance Act 1973</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Treasury</w:t>
            </w:r>
          </w:p>
        </w:tc>
      </w:tr>
      <w:tr w:rsidR="006E00BC" w:rsidRPr="00164622" w:rsidTr="006E00BC">
        <w:tc>
          <w:tcPr>
            <w:tcW w:w="2694" w:type="dxa"/>
            <w:tcBorders>
              <w:bottom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E00BC" w:rsidRPr="00A77228" w:rsidRDefault="006E00BC" w:rsidP="006E00BC">
            <w:pPr>
              <w:spacing w:before="120" w:after="120"/>
              <w:rPr>
                <w:sz w:val="24"/>
                <w:szCs w:val="24"/>
              </w:rPr>
            </w:pPr>
            <w:r>
              <w:rPr>
                <w:sz w:val="24"/>
                <w:szCs w:val="24"/>
              </w:rPr>
              <w:t>Standing Order 23(3)</w:t>
            </w:r>
            <w:r w:rsidRPr="00E258D6">
              <w:rPr>
                <w:noProof/>
                <w:sz w:val="24"/>
                <w:szCs w:val="24"/>
              </w:rPr>
              <w:t>(a)</w:t>
            </w:r>
          </w:p>
        </w:tc>
      </w:tr>
    </w:tbl>
    <w:p w:rsidR="006E00BC" w:rsidRDefault="006E00BC" w:rsidP="006E00BC">
      <w:pPr>
        <w:spacing w:after="120"/>
      </w:pPr>
    </w:p>
    <w:p w:rsidR="006E00BC" w:rsidRDefault="006E00BC" w:rsidP="006E00BC">
      <w:pPr>
        <w:rPr>
          <w:b/>
          <w:noProof/>
        </w:rPr>
      </w:pPr>
      <w:r>
        <w:rPr>
          <w:b/>
          <w:noProof/>
        </w:rPr>
        <w:t>I</w:t>
      </w:r>
      <w:r w:rsidRPr="00E258D6">
        <w:rPr>
          <w:b/>
          <w:noProof/>
        </w:rPr>
        <w:t>ncorporation of extrinsic material</w:t>
      </w:r>
    </w:p>
    <w:p w:rsidR="006E00BC" w:rsidRDefault="006E00BC" w:rsidP="006E00BC">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6E00BC" w:rsidRDefault="006E00BC" w:rsidP="006E00BC">
      <w:r w:rsidRPr="00CF5136">
        <w:t>With reference to the above, the committee notes that various items of this instrument refer to</w:t>
      </w:r>
      <w:r>
        <w:t xml:space="preserve"> Prudential Standards GPS 001, GPS 110, GPS 112, GPS 114, GPS 115, GPS 116, GPS 230, GPS 310, GPS 320, and CPS 520. 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prudential standards</w:t>
      </w:r>
      <w:r w:rsidRPr="00CF5136">
        <w:t xml:space="preserve"> referred to are incorporated.</w:t>
      </w:r>
      <w:r>
        <w:t xml:space="preserve"> </w:t>
      </w:r>
    </w:p>
    <w:p w:rsidR="006E00BC" w:rsidRPr="00823B9D" w:rsidRDefault="006E00BC" w:rsidP="006E00BC">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 or Acts.</w:t>
      </w:r>
    </w:p>
    <w:p w:rsidR="006E00BC" w:rsidRDefault="006E00BC" w:rsidP="006E00BC">
      <w:pPr>
        <w:spacing w:after="180"/>
        <w:rPr>
          <w:b/>
          <w:noProof/>
        </w:rPr>
      </w:pPr>
      <w:r w:rsidRPr="00212CDA">
        <w:rPr>
          <w:b/>
          <w:noProof/>
        </w:rPr>
        <w:t>The committee requests the advice of the minister in relation to this matter</w:t>
      </w:r>
      <w:r>
        <w:rPr>
          <w:b/>
          <w:noProof/>
        </w:rPr>
        <w:t>.</w:t>
      </w:r>
    </w:p>
    <w:p w:rsidR="006E00BC" w:rsidRDefault="006E00BC" w:rsidP="006E00BC">
      <w:pPr>
        <w:spacing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E00BC" w:rsidRPr="00BA36F8" w:rsidRDefault="006E00BC" w:rsidP="006E00BC">
            <w:pPr>
              <w:pStyle w:val="Heading3"/>
              <w:spacing w:before="120" w:after="120"/>
              <w:rPr>
                <w:sz w:val="24"/>
                <w:szCs w:val="24"/>
              </w:rPr>
            </w:pPr>
            <w:r w:rsidRPr="00E258D6">
              <w:rPr>
                <w:noProof/>
                <w:sz w:val="24"/>
                <w:szCs w:val="24"/>
              </w:rPr>
              <w:t>Therapeutic Goods (Medical Devices) Amendment (In Vitro Diagnostic Medical Devices) Regulation 2015 [F2015L01791]</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Default="006E00BC" w:rsidP="006E00BC">
            <w:pPr>
              <w:spacing w:before="120" w:after="120"/>
              <w:rPr>
                <w:noProof/>
                <w:sz w:val="24"/>
                <w:szCs w:val="24"/>
              </w:rPr>
            </w:pPr>
            <w:r>
              <w:rPr>
                <w:noProof/>
                <w:sz w:val="24"/>
                <w:szCs w:val="24"/>
              </w:rPr>
              <w:t>Amends the Therapeutic Goods (Medical Devices) Regulations 2002 to provide alternative conformity assessment procedures for Class 4 in-house in vitro diagnostic medical devices</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29 February 2016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E258D6">
              <w:rPr>
                <w:i/>
                <w:noProof/>
                <w:sz w:val="24"/>
                <w:szCs w:val="24"/>
              </w:rPr>
              <w:t>Therapeutic Goods Act 1989</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E258D6">
              <w:rPr>
                <w:noProof/>
                <w:sz w:val="24"/>
                <w:szCs w:val="24"/>
              </w:rPr>
              <w:t>Health</w:t>
            </w:r>
          </w:p>
        </w:tc>
      </w:tr>
      <w:tr w:rsidR="006E00BC" w:rsidRPr="00164622" w:rsidTr="006E00BC">
        <w:tc>
          <w:tcPr>
            <w:tcW w:w="2694" w:type="dxa"/>
            <w:tcBorders>
              <w:bottom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E00BC" w:rsidRPr="00A77228" w:rsidRDefault="006E00BC" w:rsidP="006E00BC">
            <w:pPr>
              <w:spacing w:before="120" w:after="120"/>
              <w:rPr>
                <w:sz w:val="24"/>
                <w:szCs w:val="24"/>
              </w:rPr>
            </w:pPr>
            <w:r>
              <w:rPr>
                <w:sz w:val="24"/>
                <w:szCs w:val="24"/>
              </w:rPr>
              <w:t>Standing Order 23(3)</w:t>
            </w:r>
            <w:r w:rsidRPr="00E258D6">
              <w:rPr>
                <w:noProof/>
                <w:sz w:val="24"/>
                <w:szCs w:val="24"/>
              </w:rPr>
              <w:t>(a)</w:t>
            </w:r>
          </w:p>
        </w:tc>
      </w:tr>
    </w:tbl>
    <w:p w:rsidR="006E00BC" w:rsidRDefault="006E00BC" w:rsidP="006E00BC">
      <w:pPr>
        <w:spacing w:after="120"/>
      </w:pPr>
    </w:p>
    <w:p w:rsidR="006E00BC" w:rsidRDefault="006E00BC" w:rsidP="006E00BC">
      <w:pPr>
        <w:rPr>
          <w:b/>
          <w:noProof/>
        </w:rPr>
      </w:pPr>
      <w:r>
        <w:rPr>
          <w:b/>
          <w:noProof/>
        </w:rPr>
        <w:t>U</w:t>
      </w:r>
      <w:r w:rsidRPr="00E258D6">
        <w:rPr>
          <w:b/>
          <w:noProof/>
        </w:rPr>
        <w:t>nclear basis for determining fees</w:t>
      </w:r>
    </w:p>
    <w:p w:rsidR="006E00BC" w:rsidRDefault="006E00BC" w:rsidP="006E00BC">
      <w:pPr>
        <w:spacing w:after="180"/>
      </w:pPr>
      <w:r>
        <w:t xml:space="preserve">The regulation amends the </w:t>
      </w:r>
      <w:r w:rsidRPr="006D30E3">
        <w:t>Therapeutic Goods (Medical Devices) Regulations 2002 to provide alternative conformity assessment procedures for Class 4 in-house in vitro diagnostic medical devices</w:t>
      </w:r>
      <w:r>
        <w:t xml:space="preserve"> (IVD). The committee notes that item 10 of the regulation introduces two application audit fees for Class 4 in-house IVDs required to undergo an application audit. The application audit fee is $59 900 for </w:t>
      </w:r>
      <w:r w:rsidRPr="00126F3C">
        <w:t>Class 4 in-house IVDs that are an immunohaematology reagent IVD</w:t>
      </w:r>
      <w:r>
        <w:t xml:space="preserve"> and $14 600 </w:t>
      </w:r>
      <w:r w:rsidRPr="00126F3C">
        <w:t xml:space="preserve">for other Class </w:t>
      </w:r>
      <w:r>
        <w:t>4 in-house IVDs. However, the ES does not explicitly state the basis on which the fees have been calculated for this new category of circumstances.</w:t>
      </w:r>
    </w:p>
    <w:p w:rsidR="006E00BC" w:rsidRDefault="006E00BC" w:rsidP="006E00BC">
      <w:r w:rsidRPr="00500C49">
        <w:t>The committee's usual expectation in cases where an instrument of delegated</w:t>
      </w:r>
      <w:r>
        <w:t xml:space="preserve"> </w:t>
      </w:r>
      <w:r w:rsidRPr="00500C49">
        <w:t xml:space="preserve">legislation carries financial implications via the imposition of </w:t>
      </w:r>
      <w:r>
        <w:t>or</w:t>
      </w:r>
      <w:r w:rsidRPr="00500C49">
        <w:t xml:space="preserve"> change to a charge,</w:t>
      </w:r>
      <w:r>
        <w:t xml:space="preserve"> </w:t>
      </w:r>
      <w:r w:rsidRPr="00500C49">
        <w:t>fee, levy, scale or rate of costs or payment is that the relevant ES makes clear the</w:t>
      </w:r>
      <w:r>
        <w:t xml:space="preserve"> </w:t>
      </w:r>
      <w:r w:rsidRPr="00500C49">
        <w:t>specific basis on which an individual imposition or change has been calculated.</w:t>
      </w:r>
    </w:p>
    <w:p w:rsidR="006E00BC" w:rsidRDefault="006E00BC" w:rsidP="006E00BC">
      <w:pPr>
        <w:spacing w:after="0"/>
        <w:rPr>
          <w:b/>
          <w:bCs/>
          <w:szCs w:val="26"/>
        </w:rPr>
      </w:pPr>
      <w:r>
        <w:rPr>
          <w:b/>
          <w:bCs/>
          <w:szCs w:val="26"/>
        </w:rPr>
        <w:t>The committee requests the advice of the minister in relation to this matter.</w:t>
      </w:r>
    </w:p>
    <w:p w:rsidR="006E00BC" w:rsidRDefault="006E00BC" w:rsidP="006E00BC">
      <w:pPr>
        <w:spacing w:after="0"/>
        <w:rPr>
          <w:b/>
          <w:noProof/>
        </w:rPr>
      </w:pPr>
    </w:p>
    <w:p w:rsidR="006E00BC" w:rsidRDefault="006E00BC" w:rsidP="006E00BC">
      <w:pPr>
        <w:spacing w:after="0"/>
        <w:rPr>
          <w:b/>
          <w:noProof/>
        </w:rPr>
      </w:pPr>
      <w:r>
        <w:rPr>
          <w:b/>
          <w:noProof/>
        </w:rPr>
        <w:t>Acces</w:t>
      </w:r>
      <w:r w:rsidR="00B9306D">
        <w:rPr>
          <w:b/>
          <w:noProof/>
        </w:rPr>
        <w:t>s</w:t>
      </w:r>
      <w:bookmarkStart w:id="23" w:name="_GoBack"/>
      <w:bookmarkEnd w:id="23"/>
      <w:r>
        <w:rPr>
          <w:b/>
          <w:noProof/>
        </w:rPr>
        <w:t xml:space="preserve"> to extrinsic material</w:t>
      </w:r>
    </w:p>
    <w:p w:rsidR="006E00BC" w:rsidRDefault="006E00BC" w:rsidP="006E00BC">
      <w:pPr>
        <w:spacing w:after="0"/>
        <w:rPr>
          <w:b/>
          <w:noProof/>
        </w:rPr>
      </w:pPr>
    </w:p>
    <w:p w:rsidR="006E00BC" w:rsidRDefault="006E00BC" w:rsidP="006E00BC">
      <w:pPr>
        <w:spacing w:after="0"/>
      </w:pPr>
      <w:r>
        <w:rPr>
          <w:noProof/>
        </w:rPr>
        <w:t>Item 9 of the regulation inserts new section 6B.3 into the T</w:t>
      </w:r>
      <w:r w:rsidRPr="006D30E3">
        <w:t>herapeutic Goods (Medical Devices) Regulations 2002</w:t>
      </w:r>
      <w:r>
        <w:t xml:space="preserve">. The new section incorporates by reference </w:t>
      </w:r>
      <w:r w:rsidRPr="002404BF">
        <w:rPr>
          <w:i/>
        </w:rPr>
        <w:t>ISO 15189, Medical laboratories—Requirements for quality and competence</w:t>
      </w:r>
      <w:r w:rsidRPr="002404BF">
        <w:t>, published by the International Organization for Standardization, as amended from time to time.</w:t>
      </w:r>
    </w:p>
    <w:p w:rsidR="006E00BC" w:rsidRDefault="006E00BC" w:rsidP="006E00BC">
      <w:pPr>
        <w:spacing w:after="0"/>
      </w:pPr>
    </w:p>
    <w:p w:rsidR="006E00BC" w:rsidRDefault="006E00BC" w:rsidP="006E00BC">
      <w:pPr>
        <w:spacing w:after="0"/>
      </w:pPr>
      <w:r>
        <w:t xml:space="preserve">The committee's expectations where provisions allow the incorporation of legislative provisions by reference to other documents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w:t>
      </w:r>
      <w:r>
        <w:lastRenderedPageBreak/>
        <w:t>including standards or industry databases, is not publically available or is available only if a fee is paid, such that those obliged to obey the law may have inadequate access to its terms.</w:t>
      </w:r>
    </w:p>
    <w:p w:rsidR="006E00BC" w:rsidRDefault="006E00BC" w:rsidP="006E00BC">
      <w:pPr>
        <w:spacing w:after="0"/>
      </w:pPr>
    </w:p>
    <w:p w:rsidR="006E00BC" w:rsidRDefault="006E00BC" w:rsidP="006E00BC">
      <w:pPr>
        <w:spacing w:after="0"/>
      </w:pPr>
      <w:r>
        <w:t xml:space="preserve">In this respect, the committee notes that </w:t>
      </w:r>
      <w:r w:rsidRPr="000A16EC">
        <w:rPr>
          <w:i/>
        </w:rPr>
        <w:t>ISO 15189, Medical laboratories—Requirements for quality and competence</w:t>
      </w:r>
      <w:r w:rsidRPr="000A16EC">
        <w:t xml:space="preserve"> </w:t>
      </w:r>
      <w:r>
        <w:t xml:space="preserve">is </w:t>
      </w:r>
      <w:r w:rsidRPr="000A16EC">
        <w:t xml:space="preserve">published by </w:t>
      </w:r>
      <w:r>
        <w:t xml:space="preserve">and available for sale from </w:t>
      </w:r>
      <w:r w:rsidRPr="000A16EC">
        <w:t>the International Organization for Standardization</w:t>
      </w:r>
      <w:r>
        <w:t xml:space="preserve"> for a fee of CHF178.</w:t>
      </w:r>
      <w:r>
        <w:rPr>
          <w:rStyle w:val="FootnoteReference"/>
        </w:rPr>
        <w:footnoteReference w:id="6"/>
      </w:r>
      <w:r>
        <w:t xml:space="preserve"> However, neither the instrument nor the ES provide information about whether the standard is otherwise freely and readily available.</w:t>
      </w:r>
    </w:p>
    <w:p w:rsidR="006E00BC" w:rsidRDefault="006E00BC" w:rsidP="006E00BC">
      <w:pPr>
        <w:spacing w:after="0"/>
      </w:pPr>
    </w:p>
    <w:p w:rsidR="006E00BC" w:rsidRPr="000A16EC" w:rsidRDefault="006E00BC" w:rsidP="006E00BC">
      <w:pPr>
        <w:spacing w:after="0"/>
        <w:rPr>
          <w:b/>
          <w:bCs/>
          <w:szCs w:val="26"/>
        </w:rPr>
      </w:pPr>
      <w:r w:rsidRPr="000A16EC">
        <w:rPr>
          <w:b/>
        </w:rPr>
        <w:t>The committee requests the advice of the minister in relation to this matter.</w:t>
      </w:r>
    </w:p>
    <w:p w:rsidR="006E00BC" w:rsidRDefault="006E00BC" w:rsidP="006E00BC">
      <w:pPr>
        <w:spacing w:after="0"/>
        <w:jc w:val="left"/>
        <w:rPr>
          <w:b/>
          <w:sz w:val="32"/>
          <w:szCs w:val="32"/>
        </w:rPr>
      </w:pPr>
      <w:r>
        <w:rPr>
          <w:sz w:val="32"/>
          <w:szCs w:val="32"/>
        </w:rPr>
        <w:br w:type="page"/>
      </w:r>
    </w:p>
    <w:p w:rsidR="006E00BC" w:rsidRDefault="006E00BC" w:rsidP="006E00BC">
      <w:pPr>
        <w:pStyle w:val="Heading2"/>
        <w:spacing w:before="240"/>
        <w:rPr>
          <w:sz w:val="32"/>
          <w:szCs w:val="32"/>
        </w:rPr>
      </w:pPr>
      <w:r w:rsidRPr="00647493">
        <w:rPr>
          <w:sz w:val="32"/>
          <w:szCs w:val="32"/>
        </w:rPr>
        <w:lastRenderedPageBreak/>
        <w:t>Further response required</w:t>
      </w:r>
    </w:p>
    <w:p w:rsidR="006E00BC" w:rsidRDefault="006E00BC" w:rsidP="006E00BC">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6E00BC" w:rsidRDefault="006E00BC" w:rsidP="006E00BC">
      <w:r>
        <w:t>Correspondence relating to these matters is included at Appendix 1.</w:t>
      </w:r>
    </w:p>
    <w:p w:rsidR="006E00BC" w:rsidRPr="00164622"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E00BC" w:rsidRPr="00A46DB0" w:rsidRDefault="006E00BC" w:rsidP="006E00BC">
            <w:pPr>
              <w:pStyle w:val="Heading3"/>
              <w:spacing w:before="120" w:after="120"/>
              <w:rPr>
                <w:rFonts w:ascii="Times New (W1)" w:hAnsi="Times New (W1)"/>
                <w:noProof/>
                <w:sz w:val="24"/>
                <w:szCs w:val="24"/>
              </w:rPr>
            </w:pPr>
            <w:r w:rsidRPr="00A46DB0">
              <w:rPr>
                <w:rFonts w:ascii="Times New (W1)" w:hAnsi="Times New (W1)"/>
                <w:noProof/>
                <w:sz w:val="24"/>
                <w:szCs w:val="24"/>
              </w:rPr>
              <w:t>Charter of the United Nations (Sanctions—Syria) Regulation 2015 [F2015L01463]</w:t>
            </w:r>
          </w:p>
          <w:p w:rsidR="006E00BC" w:rsidRPr="00BA36F8" w:rsidRDefault="006E00BC" w:rsidP="006E00BC">
            <w:pPr>
              <w:pStyle w:val="Heading3"/>
              <w:rPr>
                <w:sz w:val="24"/>
                <w:szCs w:val="24"/>
              </w:rPr>
            </w:pPr>
            <w:r w:rsidRPr="00A46DB0">
              <w:rPr>
                <w:rFonts w:ascii="Times New (W1)" w:hAnsi="Times New (W1)"/>
                <w:noProof/>
                <w:sz w:val="24"/>
                <w:szCs w:val="24"/>
              </w:rPr>
              <w:t>Charter of the United Nations (Sanctions—Iraq) Amendment Regulation 2015 [F2015L01464]</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sidRPr="00A46DB0">
              <w:rPr>
                <w:noProof/>
                <w:sz w:val="24"/>
                <w:szCs w:val="24"/>
              </w:rPr>
              <w:t>Implements UN Security Council Resolution 2199 relating to Syria in Australia; amends the Charter of the United Nations (Sanctions—Iraq) Regulations 2008 to implement UN Security Council Resolution 2199</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A46DB0">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A46DB0">
              <w:rPr>
                <w:i/>
                <w:noProof/>
                <w:sz w:val="24"/>
                <w:szCs w:val="24"/>
              </w:rPr>
              <w:t>Charter of the United Nations Act 1945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A46DB0">
              <w:rPr>
                <w:noProof/>
                <w:sz w:val="24"/>
                <w:szCs w:val="24"/>
              </w:rPr>
              <w:t>Foreign Affairs and Trade</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spacing w:before="120" w:after="120"/>
              <w:rPr>
                <w:sz w:val="24"/>
                <w:szCs w:val="24"/>
              </w:rPr>
            </w:pPr>
            <w:r>
              <w:rPr>
                <w:sz w:val="24"/>
                <w:szCs w:val="24"/>
              </w:rPr>
              <w:t>Standing Order 23(3)(</w:t>
            </w:r>
            <w:r w:rsidRPr="00A46DB0">
              <w:rPr>
                <w:noProof/>
                <w:sz w:val="24"/>
                <w:szCs w:val="24"/>
              </w:rPr>
              <w:t>b</w:t>
            </w:r>
            <w:r>
              <w:rPr>
                <w:noProof/>
                <w:sz w:val="24"/>
                <w:szCs w:val="24"/>
              </w:rPr>
              <w:t>)</w:t>
            </w:r>
          </w:p>
        </w:tc>
      </w:tr>
      <w:tr w:rsidR="006E00BC" w:rsidRPr="00164622" w:rsidTr="006E00BC">
        <w:tc>
          <w:tcPr>
            <w:tcW w:w="2694" w:type="dxa"/>
            <w:tcBorders>
              <w:bottom w:val="single" w:sz="12" w:space="0" w:color="auto"/>
              <w:right w:val="single" w:sz="12" w:space="0" w:color="auto"/>
            </w:tcBorders>
          </w:tcPr>
          <w:p w:rsidR="006E00BC" w:rsidRDefault="006E00BC" w:rsidP="006E00BC">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A46DB0">
              <w:rPr>
                <w:noProof/>
                <w:sz w:val="24"/>
                <w:szCs w:val="24"/>
              </w:rPr>
              <w:t>14 of 2015</w:t>
            </w:r>
          </w:p>
        </w:tc>
      </w:tr>
    </w:tbl>
    <w:p w:rsidR="006E00BC" w:rsidRDefault="006E00BC" w:rsidP="006E00BC">
      <w:pPr>
        <w:spacing w:after="120"/>
      </w:pPr>
    </w:p>
    <w:p w:rsidR="006E00BC" w:rsidRDefault="006E00BC" w:rsidP="006E00BC">
      <w:pPr>
        <w:rPr>
          <w:b/>
          <w:noProof/>
        </w:rPr>
      </w:pPr>
      <w:r>
        <w:rPr>
          <w:b/>
          <w:noProof/>
        </w:rPr>
        <w:t>Unclear meaning of the term 'illegally removed'</w:t>
      </w:r>
    </w:p>
    <w:p w:rsidR="006E00BC" w:rsidRDefault="006E00BC" w:rsidP="006E00BC">
      <w:r>
        <w:t>The committee commented as follows:</w:t>
      </w:r>
    </w:p>
    <w:p w:rsidR="006E00BC" w:rsidRDefault="006E00BC" w:rsidP="006E00BC">
      <w:r>
        <w:t>These regulations give effect in Australia to obligations arising from United Nations Security Council resolution 2199 (2015), which imposes sanctions on Syria and Iraq. The resolution was adopted under Chapter VII of the Charter of the United Nations on 12 February 2015, and is therefore binding on Australia. Paragraph 17 of the resolution requires United Nations member states to take appropriate steps to prevent the trade in Iraqi and Syrian cultural property and other items of archaeological, historical, cultural, rare scientific, and religious importance illegally removed from Iraq since 6 August 1990, and from Syria since 15 March 2011.</w:t>
      </w:r>
    </w:p>
    <w:p w:rsidR="006E00BC" w:rsidRDefault="006E00BC" w:rsidP="006E00BC">
      <w:r>
        <w:t>The regulations create offences which are triggered if a person does not comply with the written directions of the Secretary of the Department of Foreign Affairs and Trade regarding 'illegally removed cultural property'.</w:t>
      </w:r>
    </w:p>
    <w:p w:rsidR="006E00BC" w:rsidRDefault="006E00BC" w:rsidP="006E00BC">
      <w:r>
        <w:t>With reference to the above, the committee notes that the regulations define 'illegally removed cultural property' as an item of:</w:t>
      </w:r>
    </w:p>
    <w:p w:rsidR="006E00BC" w:rsidRDefault="006E00BC" w:rsidP="006E00BC">
      <w:pPr>
        <w:pStyle w:val="Bullet1"/>
      </w:pPr>
      <w:r>
        <w:lastRenderedPageBreak/>
        <w:t>Syrian/Iraqi cultural property; or</w:t>
      </w:r>
    </w:p>
    <w:p w:rsidR="006E00BC" w:rsidRDefault="006E00BC" w:rsidP="006E00BC">
      <w:pPr>
        <w:pStyle w:val="Bullet1"/>
      </w:pPr>
      <w:r>
        <w:t>archaeological, historical, cultural, rare scientific, or religious, importance;</w:t>
      </w:r>
    </w:p>
    <w:p w:rsidR="006E00BC" w:rsidRDefault="006E00BC" w:rsidP="006E00BC">
      <w:pPr>
        <w:pStyle w:val="Bullet1"/>
      </w:pPr>
      <w:r>
        <w:t>that has been illegally removed from Syria on or after 15 March 2011, or from Iraq on or after 6 August 1990.</w:t>
      </w:r>
    </w:p>
    <w:p w:rsidR="006E00BC" w:rsidRDefault="006E00BC" w:rsidP="006E00BC">
      <w:r>
        <w:t>However, neither the regulations nor the ESs expressly define what the concept of 'illegally removed' means. In particular, it is unclear whether this is to be understood with reference to Syrian/Iraqi, international or Australian law, and whether the concept applies as at the time of the alleged removal of the cultural property or as at a later point in time (for example, when the secretary is considering the making of a written direction).</w:t>
      </w:r>
    </w:p>
    <w:p w:rsidR="006E00BC" w:rsidRDefault="006E00BC" w:rsidP="006E00BC">
      <w:pPr>
        <w:rPr>
          <w:b/>
        </w:rPr>
      </w:pPr>
      <w:r>
        <w:rPr>
          <w:b/>
        </w:rPr>
        <w:t>The committee requests the advice of the minister in relation to this matter.</w:t>
      </w:r>
    </w:p>
    <w:p w:rsidR="006E00BC" w:rsidRDefault="006E00BC" w:rsidP="006E00BC">
      <w:pPr>
        <w:rPr>
          <w:b/>
        </w:rPr>
      </w:pPr>
      <w:r>
        <w:rPr>
          <w:b/>
        </w:rPr>
        <w:t>Minister's response</w:t>
      </w:r>
    </w:p>
    <w:p w:rsidR="006E00BC" w:rsidRDefault="006E00BC" w:rsidP="006E00BC">
      <w:r>
        <w:t>The Minister for Foreign Affairs advised:</w:t>
      </w:r>
    </w:p>
    <w:p w:rsidR="006E00BC" w:rsidRDefault="006E00BC" w:rsidP="006E00BC">
      <w:pPr>
        <w:pStyle w:val="Quote"/>
        <w:rPr>
          <w:b/>
        </w:rPr>
      </w:pPr>
      <w:r>
        <w:t>Australia is under an international legal obligation to implement United Nations Security Council Resolutions (UNSCR) as expeditiously as practicable. The term 'illegally removed' is drawn directly from the terms of UN Security Council Resolution 2199 (2015) and Australia is under an international obligation to implement the terms of the UNSCR into Australian law. The term 'illegally removed' refers to property that has been removed from Syria or Iraq without the consent of the legitimate owner, or in breach of Syrian, Iraqi, or international law. To clarify this issue, the Department of Foreign Affairs and Trade has prepared revised Explanatory Statements for both Regulations, which are attached for your information.</w:t>
      </w:r>
    </w:p>
    <w:p w:rsidR="006E00BC" w:rsidRDefault="006E00BC" w:rsidP="006E00BC">
      <w:pPr>
        <w:rPr>
          <w:b/>
        </w:rPr>
      </w:pPr>
      <w:r>
        <w:rPr>
          <w:b/>
        </w:rPr>
        <w:t>Committee's response</w:t>
      </w:r>
    </w:p>
    <w:p w:rsidR="006E00BC" w:rsidRDefault="006E00BC" w:rsidP="006E00BC">
      <w:pPr>
        <w:rPr>
          <w:b/>
        </w:rPr>
      </w:pPr>
      <w:r>
        <w:rPr>
          <w:b/>
        </w:rPr>
        <w:t>The committee thanks the minister for her response.</w:t>
      </w:r>
    </w:p>
    <w:p w:rsidR="006E00BC" w:rsidRDefault="006E00BC" w:rsidP="006E00BC">
      <w:r>
        <w:t>The committee notes the minister's advice that 'illegally removed' refers to 'property that has been removed from Syria or Iraq without the consent of the legitimate owner, or in breach of Syrian, Iraqi, or international law'.</w:t>
      </w:r>
    </w:p>
    <w:p w:rsidR="006E00BC" w:rsidRDefault="006E00BC" w:rsidP="006E00BC">
      <w:r>
        <w:t xml:space="preserve">However, the committee notes that, notwithstanding the minister's advice, the term 'illegally removed' (which is not further defined in UN Security Council Resolution 2199 (2015)) remains very broad and imprecise in its apparent application, covering a considerable period of time and different regimes, such as the Assad and Hussein regimes (which may have criminalised certain dealings with cultural property). Given this, the scope and operation of the term 'illegally removed cultural property' remains unclear to the committee in terms of what types of dealings with cultural property may have been criminalised over the period in question and, as noted in the committee's initial comments, whether 'illegally removed property' is to be </w:t>
      </w:r>
      <w:r>
        <w:lastRenderedPageBreak/>
        <w:t>understood with reference to Syrian, Iraqi or international law at the time of the alleged removal of the cultural property or at a later point in time.</w:t>
      </w:r>
    </w:p>
    <w:p w:rsidR="006E00BC" w:rsidRDefault="006E00BC" w:rsidP="006E00BC">
      <w:r>
        <w:t>The committee also acknowledges the minister's efforts to include further information in the ES to assist with the interpretation of the offence provisions in the regulations. However, in addition to the preceding remarks, the committee notes that it would generally expect that the definition of a term relevant to the interpretation and application of an offence provision to be contained in the regulation itself rather than in the ES for the instrument.</w:t>
      </w:r>
    </w:p>
    <w:p w:rsidR="006E00BC" w:rsidRDefault="006E00BC" w:rsidP="006E00BC">
      <w:pPr>
        <w:rPr>
          <w:b/>
        </w:rPr>
      </w:pPr>
      <w:r>
        <w:rPr>
          <w:b/>
        </w:rPr>
        <w:t>The committee seeks the advice of the minister in relation to this matter.</w:t>
      </w:r>
    </w:p>
    <w:p w:rsidR="006E00BC" w:rsidRDefault="006E00BC" w:rsidP="006E00BC">
      <w:pPr>
        <w:spacing w:after="180"/>
        <w:rPr>
          <w:b/>
          <w:noProof/>
        </w:rPr>
      </w:pPr>
      <w:r>
        <w:rPr>
          <w:b/>
          <w:noProof/>
        </w:rPr>
        <w:t>Retrospective effect</w:t>
      </w:r>
    </w:p>
    <w:p w:rsidR="006E00BC" w:rsidRDefault="006E00BC" w:rsidP="006E00BC">
      <w:pPr>
        <w:spacing w:after="180"/>
        <w:rPr>
          <w:noProof/>
        </w:rPr>
      </w:pPr>
      <w:r>
        <w:rPr>
          <w:noProof/>
        </w:rPr>
        <w:t>The committee commented as follows:</w:t>
      </w:r>
    </w:p>
    <w:p w:rsidR="006E00BC" w:rsidRDefault="006E00BC" w:rsidP="006E00BC">
      <w:pPr>
        <w:spacing w:after="180"/>
        <w:rPr>
          <w:noProof/>
        </w:rPr>
      </w:pPr>
      <w:r>
        <w:rPr>
          <w:noProof/>
        </w:rPr>
        <w:t>Section 4 of the first regulation provides that 'illegally removed cultural property' is that which has 'been illegally removed from Syria on or after 15 March 2011'.</w:t>
      </w:r>
    </w:p>
    <w:p w:rsidR="006E00BC" w:rsidRDefault="006E00BC" w:rsidP="006E00BC">
      <w:pPr>
        <w:spacing w:after="180"/>
        <w:rPr>
          <w:noProof/>
        </w:rPr>
      </w:pPr>
      <w:r>
        <w:rPr>
          <w:noProof/>
        </w:rPr>
        <w:t xml:space="preserve">Item 1 of schedule 2 to the second regulation amends the definition of 'illegally removed cultural property' in the </w:t>
      </w:r>
      <w:r>
        <w:rPr>
          <w:noProof/>
          <w:szCs w:val="26"/>
        </w:rPr>
        <w:t>Charter of the United Nations (Sanctions</w:t>
      </w:r>
      <w:r>
        <w:rPr>
          <w:rFonts w:ascii="Times New (W1)" w:hAnsi="Times New (W1)"/>
          <w:noProof/>
          <w:sz w:val="24"/>
          <w:szCs w:val="24"/>
        </w:rPr>
        <w:t>—</w:t>
      </w:r>
      <w:r>
        <w:rPr>
          <w:noProof/>
          <w:szCs w:val="26"/>
        </w:rPr>
        <w:t xml:space="preserve">Iraq) Regulations 2008. The new definition defines this as </w:t>
      </w:r>
      <w:r>
        <w:rPr>
          <w:noProof/>
        </w:rPr>
        <w:t>that which has 'been illegally removed from Iraq on or after 6 August 1990', which effectively expands the type of property covered by the regulation.</w:t>
      </w:r>
    </w:p>
    <w:p w:rsidR="006E00BC" w:rsidRDefault="006E00BC" w:rsidP="006E00BC">
      <w:pPr>
        <w:spacing w:after="180"/>
      </w:pPr>
      <w:r>
        <w:t>The committee notes that, although the instruments are not strictly retrospective, the new definitions operate such that the regulations will apply to antecedent facts (that is, the previous removal of cultural property from Syria or Iraq). As a consequence, it appears that persons may have performed acts prior to the commencement of the regulations that are now caught by the offence provisions described above. The committee notes that, while the relevant offences relate to a failure to comply with a direction (this direction-making power operating prospectively), the definitions on which the offences rely refer to antecedent facts.</w:t>
      </w:r>
    </w:p>
    <w:p w:rsidR="006E00BC" w:rsidRDefault="006E00BC" w:rsidP="006E00BC">
      <w:pPr>
        <w:spacing w:after="180"/>
      </w:pPr>
      <w:r>
        <w:t>The committee's usual approach to such cases is to regard them as being retrospective in effect, and to assess such cases against the requirement to ensure that instruments of delegated legislation do not unduly trespass on personal rights and liberties (scrutiny principle 23(3)(b)).</w:t>
      </w:r>
    </w:p>
    <w:p w:rsidR="006E00BC" w:rsidRDefault="006E00BC" w:rsidP="006E00BC">
      <w:pPr>
        <w:spacing w:after="180"/>
      </w:pPr>
      <w:r>
        <w:t>The committee's usual expectation is therefore that the statements of compatibility address the question of any retrospective effect and provide a justification for this approach (particularly where a person's rights or liberties may be adversely affected). However, in this case the committee notes that no explanation is offered.</w:t>
      </w:r>
    </w:p>
    <w:p w:rsidR="006E00BC" w:rsidRDefault="006E00BC" w:rsidP="006E00BC">
      <w:pPr>
        <w:rPr>
          <w:b/>
        </w:rPr>
      </w:pPr>
      <w:r>
        <w:rPr>
          <w:b/>
        </w:rPr>
        <w:t>The committee requests the advice of the minister in relation to this matter.</w:t>
      </w:r>
    </w:p>
    <w:p w:rsidR="006E00BC" w:rsidRDefault="006E00BC" w:rsidP="006E00BC">
      <w:pPr>
        <w:rPr>
          <w:b/>
        </w:rPr>
      </w:pPr>
      <w:r>
        <w:rPr>
          <w:b/>
        </w:rPr>
        <w:t>Minister's response</w:t>
      </w:r>
    </w:p>
    <w:p w:rsidR="006E00BC" w:rsidRDefault="006E00BC" w:rsidP="006E00BC">
      <w:r>
        <w:t xml:space="preserve">The Minister for Foreign Affairs advised: </w:t>
      </w:r>
    </w:p>
    <w:p w:rsidR="006E00BC" w:rsidRDefault="006E00BC" w:rsidP="006E00BC">
      <w:pPr>
        <w:pStyle w:val="Quote"/>
      </w:pPr>
      <w:r>
        <w:lastRenderedPageBreak/>
        <w:t>The Regulations reflect the international obligations imposed by UNSCR 2199 including the need to take steps to prevent the trade in cultural property illegally removed from Iraq or Syria since 6 August 1990 and 15 March 2011 respectively. As accepted by the Committee, the Regulations criminalise the present trade in illegally removed cultural property rather than their past removal and an offence does not arise unless a direction is issued. The Regulations do not change the status of legally removed property and only apply where no good title has been obtained by the fact that the goods were illegally removed.</w:t>
      </w:r>
    </w:p>
    <w:p w:rsidR="006E00BC" w:rsidRDefault="006E00BC" w:rsidP="006E00BC">
      <w:pPr>
        <w:rPr>
          <w:b/>
        </w:rPr>
      </w:pPr>
      <w:r>
        <w:rPr>
          <w:b/>
        </w:rPr>
        <w:t>Committee's response</w:t>
      </w:r>
    </w:p>
    <w:p w:rsidR="006E00BC" w:rsidRDefault="006E00BC" w:rsidP="006E00BC">
      <w:pPr>
        <w:rPr>
          <w:b/>
        </w:rPr>
      </w:pPr>
      <w:r>
        <w:rPr>
          <w:b/>
        </w:rPr>
        <w:t>The committee thanks the minister for her response and has concluded its examination of this issue.</w:t>
      </w:r>
    </w:p>
    <w:p w:rsidR="006E00BC" w:rsidRDefault="006E00BC" w:rsidP="006E00BC">
      <w:pPr>
        <w:rPr>
          <w:b/>
          <w:noProof/>
        </w:rPr>
      </w:pPr>
      <w:r>
        <w:rPr>
          <w:b/>
          <w:noProof/>
        </w:rPr>
        <w:t>Insufficient information regarding strict liability offences</w:t>
      </w:r>
    </w:p>
    <w:p w:rsidR="006E00BC" w:rsidRDefault="006E00BC" w:rsidP="006E00BC">
      <w:pPr>
        <w:spacing w:after="180"/>
        <w:rPr>
          <w:noProof/>
        </w:rPr>
      </w:pPr>
      <w:r>
        <w:rPr>
          <w:noProof/>
        </w:rPr>
        <w:t>The committee commented as follows:</w:t>
      </w:r>
    </w:p>
    <w:p w:rsidR="006E00BC" w:rsidRDefault="006E00BC" w:rsidP="006E00BC">
      <w:pPr>
        <w:spacing w:after="180"/>
        <w:rPr>
          <w:noProof/>
        </w:rPr>
      </w:pPr>
      <w:r>
        <w:rPr>
          <w:noProof/>
        </w:rPr>
        <w:t>The first regulation creates a strict liability offence for failing to comply with a direction from the Secretary of the Department of Foreign Affairs and Trade, the Secretary of the Arts Department or a member of the Australian Federal Police or the police force of a state or territory in relation to illegally removed cultural property of Syria.</w:t>
      </w:r>
    </w:p>
    <w:p w:rsidR="006E00BC" w:rsidRDefault="006E00BC" w:rsidP="006E00BC">
      <w:pPr>
        <w:spacing w:after="180"/>
        <w:rPr>
          <w:noProof/>
        </w:rPr>
      </w:pPr>
      <w:r>
        <w:rPr>
          <w:noProof/>
        </w:rPr>
        <w:t>The second instrument amends the Charter of the United Nations (Sanctions-Iraq) Regulations 2008 to create a similar strict liability offence in relation to illegally removed cultural property of Iraq.</w:t>
      </w:r>
    </w:p>
    <w:p w:rsidR="006E00BC" w:rsidRDefault="006E00BC" w:rsidP="006E00BC">
      <w:pPr>
        <w:spacing w:after="180"/>
        <w:rPr>
          <w:noProof/>
        </w:rPr>
      </w:pPr>
      <w:r>
        <w:rPr>
          <w:noProof/>
        </w:rPr>
        <w:t>Given the limiting nature and potential consequences for individuals of strict and vicarious liability offence provisions, the committee generally requires a detailed justification for the inclusion of any such offences (particularly strict liability offences) in delegated legislation. The committee notes that in this case the ESs provide no explanation of or justification for the framing of the offences.</w:t>
      </w:r>
    </w:p>
    <w:p w:rsidR="006E00BC" w:rsidRDefault="006E00BC" w:rsidP="006E00BC">
      <w:pPr>
        <w:rPr>
          <w:b/>
          <w:noProof/>
        </w:rPr>
      </w:pPr>
      <w:r>
        <w:rPr>
          <w:b/>
          <w:noProof/>
        </w:rPr>
        <w:t>The committee requests the advice of the minister in relation to this matter.</w:t>
      </w:r>
    </w:p>
    <w:p w:rsidR="006E00BC" w:rsidRDefault="006E00BC" w:rsidP="006E00BC">
      <w:pPr>
        <w:rPr>
          <w:b/>
        </w:rPr>
      </w:pPr>
      <w:r>
        <w:rPr>
          <w:b/>
        </w:rPr>
        <w:t>Minister's response</w:t>
      </w:r>
    </w:p>
    <w:p w:rsidR="006E00BC" w:rsidRDefault="006E00BC" w:rsidP="006E00BC">
      <w:r>
        <w:t>The Minister for Foreign Affairs advised:</w:t>
      </w:r>
    </w:p>
    <w:p w:rsidR="006E00BC" w:rsidRDefault="006E00BC" w:rsidP="006E00BC">
      <w:pPr>
        <w:pStyle w:val="Quote"/>
      </w:pPr>
      <w:r>
        <w:t>A strict liability offence was appropriate for these Regulations due to the fact that a person who has been correctly issued with a direction to return the illegally removed cultural property is effectively put 'on notice' by the issuing of that direction to return the item. As a result they have received sufficient notice of their obligations under the Regulations and have the opportunity to avoid unintentional contravention.</w:t>
      </w:r>
    </w:p>
    <w:p w:rsidR="006E00BC" w:rsidRDefault="006E00BC" w:rsidP="006E00BC">
      <w:pPr>
        <w:pStyle w:val="Quote"/>
        <w:rPr>
          <w:b/>
        </w:rPr>
      </w:pPr>
      <w:r>
        <w:t xml:space="preserve">It would be therefore unnecessary to impose a requirement to prove the individual's intention not to comply with the notice. Further, strict liability is appropriate for these offences as the offences are not punishable by </w:t>
      </w:r>
      <w:r>
        <w:lastRenderedPageBreak/>
        <w:t>imprisonment, the offences are punishable only by a fine of below 60 penalty units and because a requirement to prove fault would reduce the effectiveness of the enforcement regime in deterring the trade in illegally removed Syrian and Iraqi cultural property. I also note that honest and reasonable mistake of fact is available as a defence to strict liability offences under s9.2 of the Criminal Code.</w:t>
      </w:r>
    </w:p>
    <w:p w:rsidR="006E00BC" w:rsidRDefault="006E00BC" w:rsidP="006E00BC">
      <w:pPr>
        <w:rPr>
          <w:b/>
        </w:rPr>
      </w:pPr>
      <w:r>
        <w:rPr>
          <w:b/>
        </w:rPr>
        <w:t>Committee's response</w:t>
      </w:r>
    </w:p>
    <w:p w:rsidR="006E00BC" w:rsidRDefault="006E00BC" w:rsidP="006E00BC">
      <w:pPr>
        <w:rPr>
          <w:b/>
        </w:rPr>
      </w:pPr>
      <w:r>
        <w:rPr>
          <w:b/>
        </w:rPr>
        <w:t xml:space="preserve">The committee thanks the minister for her response. </w:t>
      </w:r>
    </w:p>
    <w:p w:rsidR="006E00BC" w:rsidRDefault="006E00BC" w:rsidP="006E00BC">
      <w:r>
        <w:t>The committee notes the minster's advice that 'strict liability is appropriate for these offences as the offences are not punishable by imprisonment, [and] the offences are punishable only by a fine of below 60 penalty units.'</w:t>
      </w:r>
    </w:p>
    <w:p w:rsidR="006E00BC" w:rsidRDefault="006E00BC" w:rsidP="006E00BC">
      <w:r>
        <w:t xml:space="preserve">However, the committee notes that, while the minister's advice appears correct in relation to property removed from Iraq [F2015L01464], failure to comply with the arrangements specified by the Secretary in relation to Syria [F2015L01463] is designated as a breach of UN sanction enforcement law, such that a person commits an offence under the </w:t>
      </w:r>
      <w:r>
        <w:rPr>
          <w:i/>
        </w:rPr>
        <w:t>Charter of the United Nations Act 1945</w:t>
      </w:r>
      <w:r>
        <w:t>. This is punishable by up to ten years imprisonment and/or a fine of up to 2500 penalty units (or $450 000).</w:t>
      </w:r>
      <w:r>
        <w:rPr>
          <w:rStyle w:val="FootnoteReference"/>
        </w:rPr>
        <w:footnoteReference w:id="7"/>
      </w:r>
      <w:r>
        <w:t xml:space="preserve"> As such, it is unclear to the committee, in light of the minister's advice, whether it is intended that these penalties should apply for a failure to comply with the arrangements specified by the Secretary in relation to Syria; and, if so, whether it is appropriate that the offence be one of strict liability.</w:t>
      </w:r>
    </w:p>
    <w:p w:rsidR="006E00BC" w:rsidRDefault="006E00BC" w:rsidP="006E00BC">
      <w:pPr>
        <w:rPr>
          <w:b/>
        </w:rPr>
      </w:pPr>
      <w:r>
        <w:rPr>
          <w:b/>
        </w:rPr>
        <w:t>The committee seeks the advice of the minister in relation to this matter.</w:t>
      </w:r>
    </w:p>
    <w:p w:rsidR="006E00BC" w:rsidRDefault="006E00BC" w:rsidP="006E00BC">
      <w:r>
        <w:br w:type="page"/>
      </w:r>
    </w:p>
    <w:p w:rsidR="006E00BC" w:rsidRPr="00164622"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E00BC" w:rsidRPr="000B1E3F" w:rsidRDefault="006E00BC" w:rsidP="006E00BC">
            <w:pPr>
              <w:pStyle w:val="Heading3"/>
              <w:spacing w:before="120" w:after="120"/>
              <w:rPr>
                <w:rFonts w:ascii="Times New (W1)" w:hAnsi="Times New (W1)"/>
                <w:noProof/>
                <w:sz w:val="24"/>
                <w:szCs w:val="24"/>
              </w:rPr>
            </w:pPr>
            <w:r w:rsidRPr="000B1E3F">
              <w:rPr>
                <w:rFonts w:ascii="Times New (W1)" w:hAnsi="Times New (W1)"/>
                <w:noProof/>
                <w:sz w:val="24"/>
                <w:szCs w:val="24"/>
              </w:rPr>
              <w:t>Christmas Island Marine Traffic and Harbour Facilities Determination 2015 [F2015L01591]</w:t>
            </w:r>
          </w:p>
          <w:p w:rsidR="006E00BC" w:rsidRPr="00BA36F8" w:rsidRDefault="006E00BC" w:rsidP="006E00BC">
            <w:pPr>
              <w:pStyle w:val="Heading3"/>
              <w:rPr>
                <w:sz w:val="24"/>
                <w:szCs w:val="24"/>
              </w:rPr>
            </w:pPr>
            <w:r w:rsidRPr="000B1E3F">
              <w:rPr>
                <w:rFonts w:ascii="Times New (W1)" w:hAnsi="Times New (W1)"/>
                <w:noProof/>
                <w:sz w:val="24"/>
                <w:szCs w:val="24"/>
              </w:rPr>
              <w:t>Cocos (Keeling) Islands Marine Traffic and Harbour Facilities Determination 2015 [F2015L01593]</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sidRPr="00FB2C8C">
              <w:rPr>
                <w:noProof/>
                <w:sz w:val="24"/>
                <w:szCs w:val="24"/>
              </w:rPr>
              <w:t>The instruments set the Port charges for Christmas Island and Cocos (Keeling) Island Ports and the Port conditions for cargo movement on the wharf area of Christmas Island Port</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0B1E3F">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FB2C8C" w:rsidRDefault="006E00BC" w:rsidP="006E00BC">
            <w:pPr>
              <w:spacing w:before="120" w:after="120"/>
              <w:rPr>
                <w:sz w:val="24"/>
                <w:szCs w:val="24"/>
              </w:rPr>
            </w:pPr>
            <w:r w:rsidRPr="00FB2C8C">
              <w:rPr>
                <w:noProof/>
                <w:sz w:val="24"/>
                <w:szCs w:val="24"/>
              </w:rPr>
              <w:t>Utilities and Services Ordinance 1996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0B1E3F">
              <w:rPr>
                <w:noProof/>
                <w:sz w:val="24"/>
                <w:szCs w:val="24"/>
              </w:rPr>
              <w:t>Infrastructure and Regional Development</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spacing w:before="120" w:after="120"/>
              <w:rPr>
                <w:sz w:val="24"/>
                <w:szCs w:val="24"/>
              </w:rPr>
            </w:pPr>
            <w:r>
              <w:rPr>
                <w:sz w:val="24"/>
                <w:szCs w:val="24"/>
              </w:rPr>
              <w:t>Standing Order 23(3)</w:t>
            </w:r>
            <w:r w:rsidRPr="000B1E3F">
              <w:rPr>
                <w:noProof/>
                <w:sz w:val="24"/>
                <w:szCs w:val="24"/>
              </w:rPr>
              <w:t>(a)</w:t>
            </w:r>
          </w:p>
        </w:tc>
      </w:tr>
      <w:tr w:rsidR="006E00BC" w:rsidRPr="00164622" w:rsidTr="006E00BC">
        <w:tc>
          <w:tcPr>
            <w:tcW w:w="2694" w:type="dxa"/>
            <w:tcBorders>
              <w:bottom w:val="single" w:sz="12" w:space="0" w:color="auto"/>
              <w:right w:val="single" w:sz="12" w:space="0" w:color="auto"/>
            </w:tcBorders>
          </w:tcPr>
          <w:p w:rsidR="006E00BC" w:rsidRDefault="006E00BC" w:rsidP="006E00BC">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0B1E3F">
              <w:rPr>
                <w:noProof/>
                <w:sz w:val="24"/>
                <w:szCs w:val="24"/>
              </w:rPr>
              <w:t>14 of 2015</w:t>
            </w:r>
          </w:p>
        </w:tc>
      </w:tr>
    </w:tbl>
    <w:p w:rsidR="006E00BC" w:rsidRDefault="006E00BC" w:rsidP="006E00BC">
      <w:pPr>
        <w:spacing w:after="120"/>
      </w:pPr>
    </w:p>
    <w:p w:rsidR="006E00BC" w:rsidRDefault="006E00BC" w:rsidP="006E00BC">
      <w:pPr>
        <w:rPr>
          <w:b/>
          <w:noProof/>
        </w:rPr>
      </w:pPr>
      <w:r w:rsidRPr="000B1E3F">
        <w:rPr>
          <w:b/>
          <w:noProof/>
        </w:rPr>
        <w:t>Unclear basis for determining fees</w:t>
      </w:r>
    </w:p>
    <w:p w:rsidR="006E00BC" w:rsidRDefault="006E00BC" w:rsidP="006E00BC">
      <w:pPr>
        <w:rPr>
          <w:noProof/>
        </w:rPr>
      </w:pPr>
      <w:r>
        <w:rPr>
          <w:noProof/>
        </w:rPr>
        <w:t xml:space="preserve">The committee commented as follows: </w:t>
      </w:r>
    </w:p>
    <w:p w:rsidR="006E00BC" w:rsidRDefault="006E00BC" w:rsidP="006E00BC">
      <w:pPr>
        <w:rPr>
          <w:noProof/>
        </w:rPr>
      </w:pPr>
      <w:r>
        <w:rPr>
          <w:noProof/>
        </w:rPr>
        <w:t>Schedule 1 of these instruments sets the Port charges for the Christmas Island and Cocos (Keeling) Island Ports.</w:t>
      </w:r>
    </w:p>
    <w:p w:rsidR="006E00BC" w:rsidRDefault="006E00BC" w:rsidP="006E00BC">
      <w:pPr>
        <w:rPr>
          <w:noProof/>
        </w:rPr>
      </w:pPr>
      <w:r>
        <w:rPr>
          <w:noProof/>
        </w:rPr>
        <w:t>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With reference to these requirements, the committee notes that the ESs for these instruments provide no indication as to the basis on which the fees have been calculated or set.</w:t>
      </w:r>
    </w:p>
    <w:p w:rsidR="006E00BC" w:rsidRDefault="006E00BC" w:rsidP="006E00BC">
      <w:pPr>
        <w:rPr>
          <w:b/>
          <w:noProof/>
        </w:rPr>
      </w:pPr>
      <w:r w:rsidRPr="00FB2C8C">
        <w:rPr>
          <w:b/>
          <w:noProof/>
        </w:rPr>
        <w:t>The committee requests the advice of the minister in relation to this matter.</w:t>
      </w:r>
    </w:p>
    <w:p w:rsidR="006E00BC" w:rsidRDefault="006E00BC" w:rsidP="006E00BC">
      <w:pPr>
        <w:rPr>
          <w:b/>
          <w:noProof/>
        </w:rPr>
      </w:pPr>
      <w:r>
        <w:rPr>
          <w:b/>
          <w:noProof/>
        </w:rPr>
        <w:t>Minister's response</w:t>
      </w:r>
    </w:p>
    <w:p w:rsidR="006E00BC" w:rsidRDefault="006E00BC" w:rsidP="006E00BC">
      <w:pPr>
        <w:rPr>
          <w:noProof/>
        </w:rPr>
      </w:pPr>
      <w:r>
        <w:rPr>
          <w:noProof/>
        </w:rPr>
        <w:t>The Minister for Territories, Local Government, and Major Projects advised:</w:t>
      </w:r>
    </w:p>
    <w:p w:rsidR="006E00BC" w:rsidRDefault="006E00BC" w:rsidP="006E00BC">
      <w:pPr>
        <w:pStyle w:val="Quote"/>
        <w:rPr>
          <w:noProof/>
        </w:rPr>
      </w:pPr>
      <w:r>
        <w:rPr>
          <w:noProof/>
        </w:rPr>
        <w:t>The 2015 Determinations replaced, and were based on, arrangements for Christmas Island contained in the Marine Traffic and Harbour Facilities Determination No 1 of 2003 (the 2003 Determination). Advice from the contractor which manages both ports for the Australian Government, Patrick Ports, is that the charges in the 2003 Determination were comparable to those in place in similar remote ports in Western Australia and that these should be continued.</w:t>
      </w:r>
    </w:p>
    <w:p w:rsidR="006E00BC" w:rsidRPr="00FB2C8C" w:rsidRDefault="006E00BC" w:rsidP="006E00BC">
      <w:pPr>
        <w:rPr>
          <w:b/>
          <w:noProof/>
        </w:rPr>
      </w:pPr>
      <w:r w:rsidRPr="00FB2C8C">
        <w:rPr>
          <w:b/>
          <w:noProof/>
        </w:rPr>
        <w:lastRenderedPageBreak/>
        <w:t>Committee's response</w:t>
      </w:r>
    </w:p>
    <w:p w:rsidR="006E00BC" w:rsidRDefault="006E00BC" w:rsidP="006E00BC">
      <w:pPr>
        <w:rPr>
          <w:b/>
          <w:noProof/>
        </w:rPr>
      </w:pPr>
      <w:r w:rsidRPr="00FB2C8C">
        <w:rPr>
          <w:b/>
          <w:noProof/>
        </w:rPr>
        <w:t xml:space="preserve">The committee thanks the minister for </w:t>
      </w:r>
      <w:r>
        <w:rPr>
          <w:b/>
          <w:noProof/>
        </w:rPr>
        <w:t>his</w:t>
      </w:r>
      <w:r w:rsidRPr="00FB2C8C">
        <w:rPr>
          <w:b/>
          <w:noProof/>
        </w:rPr>
        <w:t xml:space="preserve"> response.</w:t>
      </w:r>
    </w:p>
    <w:p w:rsidR="006E00BC" w:rsidRDefault="006E00BC" w:rsidP="006E00BC">
      <w:pPr>
        <w:rPr>
          <w:noProof/>
        </w:rPr>
      </w:pPr>
      <w:r>
        <w:rPr>
          <w:noProof/>
        </w:rPr>
        <w:t xml:space="preserve">The committee notes the minister's advice that the port charges set by the instruments were comparable to those in similar remote ports in Western Australia. However, the minister's response does not address the question of </w:t>
      </w:r>
      <w:r w:rsidRPr="003A7CCD">
        <w:rPr>
          <w:noProof/>
        </w:rPr>
        <w:t xml:space="preserve">the specific basis on which </w:t>
      </w:r>
      <w:r>
        <w:rPr>
          <w:noProof/>
        </w:rPr>
        <w:t>the charges</w:t>
      </w:r>
      <w:r w:rsidRPr="003A7CCD">
        <w:rPr>
          <w:noProof/>
        </w:rPr>
        <w:t xml:space="preserve"> </w:t>
      </w:r>
      <w:r>
        <w:rPr>
          <w:noProof/>
        </w:rPr>
        <w:t xml:space="preserve">have </w:t>
      </w:r>
      <w:r w:rsidRPr="003A7CCD">
        <w:rPr>
          <w:noProof/>
        </w:rPr>
        <w:t>been calculated</w:t>
      </w:r>
      <w:r>
        <w:rPr>
          <w:noProof/>
        </w:rPr>
        <w:t xml:space="preserve">. </w:t>
      </w:r>
    </w:p>
    <w:p w:rsidR="006E00BC" w:rsidRPr="00FB2C8C" w:rsidRDefault="006E00BC" w:rsidP="006E00BC">
      <w:pPr>
        <w:rPr>
          <w:noProof/>
        </w:rPr>
      </w:pPr>
      <w:r w:rsidRPr="003A7CCD">
        <w:rPr>
          <w:b/>
          <w:noProof/>
        </w:rPr>
        <w:t xml:space="preserve">The committee </w:t>
      </w:r>
      <w:r>
        <w:rPr>
          <w:b/>
          <w:noProof/>
        </w:rPr>
        <w:t>reiterates its request for</w:t>
      </w:r>
      <w:r w:rsidRPr="003A7CCD">
        <w:rPr>
          <w:b/>
          <w:noProof/>
        </w:rPr>
        <w:t xml:space="preserve"> the advice of the minister in relation to this matter.</w:t>
      </w:r>
    </w:p>
    <w:p w:rsidR="006E00BC" w:rsidRDefault="006E00BC" w:rsidP="006E00BC">
      <w:pPr>
        <w:rPr>
          <w:b/>
          <w:noProof/>
        </w:rPr>
      </w:pPr>
      <w:r w:rsidRPr="000B1E3F">
        <w:rPr>
          <w:b/>
          <w:noProof/>
        </w:rPr>
        <w:t>No description of consultation</w:t>
      </w:r>
    </w:p>
    <w:p w:rsidR="006E00BC" w:rsidRDefault="006E00BC" w:rsidP="006E00BC">
      <w:pPr>
        <w:rPr>
          <w:noProof/>
        </w:rPr>
      </w:pPr>
      <w:r w:rsidRPr="00FB2C8C">
        <w:rPr>
          <w:noProof/>
        </w:rPr>
        <w:t>The committee commented as follows:</w:t>
      </w:r>
    </w:p>
    <w:p w:rsidR="006E00BC" w:rsidRPr="00FB2C8C" w:rsidRDefault="006E00BC" w:rsidP="006E00BC">
      <w:pPr>
        <w:rPr>
          <w:noProof/>
        </w:rPr>
      </w:pPr>
      <w:r w:rsidRPr="00FB2C8C">
        <w:rPr>
          <w:noProof/>
        </w:rPr>
        <w:t xml:space="preserve">Section 17 of the </w:t>
      </w:r>
      <w:r w:rsidRPr="00FB2C8C">
        <w:rPr>
          <w:i/>
          <w:noProof/>
        </w:rPr>
        <w:t>Legislative Instruments Act 2003</w:t>
      </w:r>
      <w:r w:rsidRPr="00FB2C8C">
        <w:rPr>
          <w:noProof/>
        </w:rP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ESs for these instruments provide no information in relation to consultation.</w:t>
      </w:r>
    </w:p>
    <w:p w:rsidR="006E00BC" w:rsidRPr="00FB2C8C" w:rsidRDefault="006E00BC" w:rsidP="006E00BC">
      <w:pPr>
        <w:rPr>
          <w:noProof/>
        </w:rPr>
      </w:pPr>
      <w:r w:rsidRPr="00FB2C8C">
        <w:rPr>
          <w:noProof/>
        </w:rPr>
        <w:t>The committee's expectations in this regard are set out in the guideline on consultation contained in Appendix 2.</w:t>
      </w:r>
    </w:p>
    <w:p w:rsidR="006E00BC" w:rsidRDefault="006E00BC" w:rsidP="006E00BC">
      <w:pPr>
        <w:rPr>
          <w:b/>
          <w:noProof/>
        </w:rPr>
      </w:pPr>
      <w:r w:rsidRPr="00FB2C8C">
        <w:rPr>
          <w:b/>
          <w:noProof/>
        </w:rPr>
        <w:t xml:space="preserve">The committee requests the advice of the minister in relation to this matter; and requests that the ESs be updated in accordance with the requirements of the </w:t>
      </w:r>
      <w:r w:rsidRPr="00FB2C8C">
        <w:rPr>
          <w:b/>
          <w:i/>
          <w:noProof/>
        </w:rPr>
        <w:t>Legislative Instruments Act 2003</w:t>
      </w:r>
      <w:r w:rsidRPr="00FB2C8C">
        <w:rPr>
          <w:b/>
          <w:noProof/>
        </w:rPr>
        <w:t>.</w:t>
      </w:r>
    </w:p>
    <w:p w:rsidR="006E00BC" w:rsidRPr="00FB2C8C" w:rsidRDefault="006E00BC" w:rsidP="006E00BC">
      <w:pPr>
        <w:rPr>
          <w:b/>
          <w:noProof/>
        </w:rPr>
      </w:pPr>
      <w:r w:rsidRPr="00FB2C8C">
        <w:rPr>
          <w:b/>
          <w:noProof/>
        </w:rPr>
        <w:t>Minister's response</w:t>
      </w:r>
    </w:p>
    <w:p w:rsidR="006E00BC" w:rsidRPr="00FB2C8C" w:rsidRDefault="006E00BC" w:rsidP="006E00BC">
      <w:pPr>
        <w:rPr>
          <w:noProof/>
        </w:rPr>
      </w:pPr>
      <w:r w:rsidRPr="00FB2C8C">
        <w:rPr>
          <w:noProof/>
        </w:rPr>
        <w:t>The Minister for Territories, Local Government, and Major Projects advised:</w:t>
      </w:r>
    </w:p>
    <w:p w:rsidR="006E00BC" w:rsidRDefault="006E00BC" w:rsidP="006E00BC">
      <w:pPr>
        <w:pStyle w:val="Quote"/>
        <w:rPr>
          <w:noProof/>
        </w:rPr>
      </w:pPr>
      <w:r>
        <w:rPr>
          <w:noProof/>
        </w:rPr>
        <w:t xml:space="preserve">In developing the 2015 Determinations, the Department consulted with Patrick Ports and the Office of Best Practice Regulation. The Department also wrote to Mr Barry Haase, the Administrator of the Territories of Christmas Island and the Cocos (Keeling) Islands, advising that the 2015 Determinations were being made and briefing him on the outcomes of the consultations. </w:t>
      </w:r>
    </w:p>
    <w:p w:rsidR="006E00BC" w:rsidRDefault="006E00BC" w:rsidP="006E00BC">
      <w:pPr>
        <w:pStyle w:val="Quote"/>
        <w:rPr>
          <w:noProof/>
        </w:rPr>
      </w:pPr>
      <w:r>
        <w:rPr>
          <w:noProof/>
        </w:rPr>
        <w:t>The 2015 Determinations did not amend the charges for Christmas Island set out in the 2003 Determination and only made a minor amendment to the conditions for managing the port. The 2015 Determinations provided legal authority for existing practices for Cocos (Keeling) Islands and port charges consistent with those for Christmas Island. As such, the Department did not consider further consultation was necessary.</w:t>
      </w:r>
    </w:p>
    <w:p w:rsidR="006E00BC" w:rsidRDefault="006E00BC" w:rsidP="006E00BC">
      <w:pPr>
        <w:rPr>
          <w:b/>
          <w:noProof/>
        </w:rPr>
      </w:pPr>
      <w:r w:rsidRPr="00FB2C8C">
        <w:rPr>
          <w:b/>
          <w:noProof/>
        </w:rPr>
        <w:lastRenderedPageBreak/>
        <w:t>Committee's response</w:t>
      </w:r>
    </w:p>
    <w:p w:rsidR="006E00BC" w:rsidRDefault="006E00BC" w:rsidP="006E00BC">
      <w:pPr>
        <w:rPr>
          <w:b/>
          <w:noProof/>
        </w:rPr>
      </w:pPr>
      <w:r w:rsidRPr="003A7CCD">
        <w:rPr>
          <w:b/>
          <w:noProof/>
        </w:rPr>
        <w:t>The committee thanks the minister for his response and has concluded its examination of this issue.</w:t>
      </w:r>
    </w:p>
    <w:p w:rsidR="006E00BC" w:rsidRDefault="006E00BC" w:rsidP="006E00BC">
      <w:pPr>
        <w:rPr>
          <w:b/>
        </w:rPr>
      </w:pPr>
      <w:r w:rsidRPr="000B1E3F">
        <w:rPr>
          <w:b/>
          <w:noProof/>
        </w:rPr>
        <w:t>Drafting</w:t>
      </w:r>
    </w:p>
    <w:p w:rsidR="006E00BC" w:rsidRPr="00FB2C8C" w:rsidRDefault="006E00BC" w:rsidP="006E00BC">
      <w:r w:rsidRPr="00FB2C8C">
        <w:t>The committee commented as follows:</w:t>
      </w:r>
    </w:p>
    <w:p w:rsidR="006E00BC" w:rsidRPr="00FB2C8C" w:rsidRDefault="006E00BC" w:rsidP="006E00BC">
      <w:r w:rsidRPr="00FB2C8C">
        <w:t>The committee notes that these instruments are identified as made under section 4 of the</w:t>
      </w:r>
      <w:bookmarkStart w:id="25" w:name="OLE_LINK1"/>
      <w:r w:rsidRPr="00FB2C8C">
        <w:t xml:space="preserve"> Utilities and Services Ordinance 1996</w:t>
      </w:r>
      <w:bookmarkEnd w:id="25"/>
      <w:r w:rsidRPr="00FB2C8C">
        <w:t>. Section 4 enables the Administrator to impose on a person a fee in relation to the provision, by the Administrator, of a utility to the person; or the use, by the person, of a service provided by the Administrator; being the fee determined by the Administrator, from time to time, to be the fee applicable to the utility or service.</w:t>
      </w:r>
    </w:p>
    <w:p w:rsidR="006E00BC" w:rsidRPr="00FB2C8C" w:rsidRDefault="006E00BC" w:rsidP="006E00BC">
      <w:r w:rsidRPr="00FB2C8C">
        <w:t>However, while the instruments appear to have been made by the Administrator, the ESs to the instruments state:</w:t>
      </w:r>
    </w:p>
    <w:p w:rsidR="006E00BC" w:rsidRPr="00FB2C8C" w:rsidRDefault="006E00BC" w:rsidP="006E00BC">
      <w:pPr>
        <w:pStyle w:val="Quote"/>
      </w:pPr>
      <w:r w:rsidRPr="00FB2C8C">
        <w:t xml:space="preserve">The Governor-General has made this Determination in accordance with the power granted to him under section 4 of the </w:t>
      </w:r>
      <w:r w:rsidRPr="00FB2C8C">
        <w:rPr>
          <w:i/>
        </w:rPr>
        <w:t>Utilities and Services Ordinance 1996.</w:t>
      </w:r>
    </w:p>
    <w:p w:rsidR="006E00BC" w:rsidRDefault="006E00BC" w:rsidP="006E00BC">
      <w:pPr>
        <w:rPr>
          <w:b/>
        </w:rPr>
      </w:pPr>
      <w:r w:rsidRPr="00FB2C8C">
        <w:rPr>
          <w:b/>
        </w:rPr>
        <w:t>The committee requests the advice of the minister in relation to this matter.</w:t>
      </w:r>
    </w:p>
    <w:p w:rsidR="006E00BC" w:rsidRPr="00FB2C8C" w:rsidRDefault="006E00BC" w:rsidP="006E00BC">
      <w:pPr>
        <w:rPr>
          <w:b/>
        </w:rPr>
      </w:pPr>
      <w:r w:rsidRPr="00FB2C8C">
        <w:rPr>
          <w:b/>
        </w:rPr>
        <w:t>Minister's response</w:t>
      </w:r>
    </w:p>
    <w:p w:rsidR="006E00BC" w:rsidRPr="00FB2C8C" w:rsidRDefault="006E00BC" w:rsidP="006E00BC">
      <w:r w:rsidRPr="00FB2C8C">
        <w:t>The Minister for Territories, Local Government, and Major Projects advised:</w:t>
      </w:r>
    </w:p>
    <w:p w:rsidR="006E00BC" w:rsidRDefault="006E00BC" w:rsidP="006E00BC">
      <w:pPr>
        <w:pStyle w:val="Quote"/>
      </w:pPr>
      <w:r w:rsidRPr="00FB2C8C">
        <w:t xml:space="preserve">The 2015 Determinations were made by the Administrator under section 4 of the </w:t>
      </w:r>
      <w:r w:rsidRPr="00FB2C8C">
        <w:rPr>
          <w:i/>
        </w:rPr>
        <w:t>Utilities and Services Ordinance 1996</w:t>
      </w:r>
      <w:r w:rsidRPr="00FB2C8C">
        <w:t>. I have instructed the Department to update the explanatory statements to reflect the correct information.</w:t>
      </w:r>
    </w:p>
    <w:p w:rsidR="006E00BC" w:rsidRPr="00FB2C8C" w:rsidRDefault="006E00BC" w:rsidP="006E00BC">
      <w:pPr>
        <w:rPr>
          <w:b/>
        </w:rPr>
      </w:pPr>
      <w:r w:rsidRPr="00FB2C8C">
        <w:rPr>
          <w:b/>
        </w:rPr>
        <w:t>Committee's response</w:t>
      </w:r>
    </w:p>
    <w:p w:rsidR="006E00BC" w:rsidRPr="00FB2C8C" w:rsidRDefault="006E00BC" w:rsidP="006E00BC">
      <w:pPr>
        <w:rPr>
          <w:b/>
        </w:rPr>
      </w:pPr>
      <w:r w:rsidRPr="00FB2C8C">
        <w:rPr>
          <w:b/>
        </w:rPr>
        <w:t>The committee thanks the minister for h</w:t>
      </w:r>
      <w:r>
        <w:rPr>
          <w:b/>
        </w:rPr>
        <w:t>is</w:t>
      </w:r>
      <w:r w:rsidRPr="00FB2C8C">
        <w:rPr>
          <w:b/>
        </w:rPr>
        <w:t xml:space="preserve"> response and has concluded its examination of this issue.</w:t>
      </w:r>
    </w:p>
    <w:p w:rsidR="006E00BC" w:rsidRDefault="006E00BC" w:rsidP="006E00BC">
      <w:pPr>
        <w:spacing w:after="0"/>
        <w:jc w:val="left"/>
      </w:pPr>
      <w:r>
        <w:br w:type="page"/>
      </w: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0B1E3F">
              <w:rPr>
                <w:rFonts w:ascii="Times New (W1)" w:hAnsi="Times New (W1)"/>
                <w:noProof/>
                <w:sz w:val="24"/>
                <w:szCs w:val="24"/>
              </w:rPr>
              <w:t>Removal of Prisoners (Territories) Regulation 2015 [F2015L01524]</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sidRPr="00C97BE5">
              <w:rPr>
                <w:noProof/>
                <w:sz w:val="24"/>
                <w:szCs w:val="24"/>
              </w:rPr>
              <w:t>Repeals and re-makes the Removal of Prisoners (Territories) Regulations in the same form; and continues an administrative process that allows prisoners to make an application to the secretary of the Commonwealth department with administrative responsibility for the territories to return to a territory after the expiration of their custodial sentence, at no cost to themselves</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0B1E3F">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0B1E3F">
              <w:rPr>
                <w:i/>
                <w:noProof/>
                <w:sz w:val="24"/>
                <w:szCs w:val="24"/>
              </w:rPr>
              <w:t>Removal of Prisoners (Territories) Act 1923</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0B1E3F">
              <w:rPr>
                <w:noProof/>
                <w:sz w:val="24"/>
                <w:szCs w:val="24"/>
              </w:rPr>
              <w:t>Infrastructure and Regional Development</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spacing w:before="120" w:after="120"/>
              <w:rPr>
                <w:sz w:val="24"/>
                <w:szCs w:val="24"/>
              </w:rPr>
            </w:pPr>
            <w:r>
              <w:rPr>
                <w:sz w:val="24"/>
                <w:szCs w:val="24"/>
              </w:rPr>
              <w:t>Standing Order 23(3)</w:t>
            </w:r>
            <w:r w:rsidRPr="000B1E3F">
              <w:rPr>
                <w:noProof/>
                <w:sz w:val="24"/>
                <w:szCs w:val="24"/>
              </w:rPr>
              <w:t>(a)</w:t>
            </w:r>
          </w:p>
        </w:tc>
      </w:tr>
      <w:tr w:rsidR="006E00BC" w:rsidRPr="00164622" w:rsidTr="006E00BC">
        <w:tc>
          <w:tcPr>
            <w:tcW w:w="2694" w:type="dxa"/>
            <w:tcBorders>
              <w:bottom w:val="single" w:sz="12" w:space="0" w:color="auto"/>
              <w:right w:val="single" w:sz="12" w:space="0" w:color="auto"/>
            </w:tcBorders>
          </w:tcPr>
          <w:p w:rsidR="006E00BC" w:rsidRDefault="006E00BC" w:rsidP="006E00BC">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0B1E3F">
              <w:rPr>
                <w:noProof/>
                <w:sz w:val="24"/>
                <w:szCs w:val="24"/>
              </w:rPr>
              <w:t>14 of 2015</w:t>
            </w:r>
          </w:p>
        </w:tc>
      </w:tr>
    </w:tbl>
    <w:p w:rsidR="006E00BC" w:rsidRDefault="006E00BC" w:rsidP="006E00BC">
      <w:pPr>
        <w:spacing w:after="120"/>
      </w:pPr>
    </w:p>
    <w:p w:rsidR="006E00BC" w:rsidRDefault="006E00BC" w:rsidP="006E00BC">
      <w:pPr>
        <w:rPr>
          <w:b/>
        </w:rPr>
      </w:pPr>
      <w:r w:rsidRPr="000B1E3F">
        <w:rPr>
          <w:b/>
          <w:noProof/>
        </w:rPr>
        <w:t>No description of consultation</w:t>
      </w:r>
    </w:p>
    <w:p w:rsidR="006E00BC" w:rsidRPr="00C97BE5" w:rsidRDefault="006E00BC" w:rsidP="006E00BC">
      <w:pPr>
        <w:spacing w:after="120"/>
      </w:pPr>
      <w:r w:rsidRPr="00C97BE5">
        <w:t>The committee commented as follows:</w:t>
      </w:r>
    </w:p>
    <w:p w:rsidR="006E00BC" w:rsidRPr="008C6D4A" w:rsidRDefault="006E00BC" w:rsidP="006E00BC">
      <w:pPr>
        <w:spacing w:after="120"/>
      </w:pPr>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6E00BC" w:rsidRPr="008C6D4A" w:rsidRDefault="006E00BC" w:rsidP="006E00BC">
      <w:pPr>
        <w:spacing w:after="120"/>
      </w:pPr>
      <w:r w:rsidRPr="008C6D4A">
        <w:t>The committee's expectations in this regard are set out in the guideline on consultation contained in Appendix 2.</w:t>
      </w:r>
    </w:p>
    <w:p w:rsidR="006E00BC" w:rsidRDefault="006E00BC" w:rsidP="006E00BC">
      <w:pPr>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6E00BC" w:rsidRDefault="006E00BC" w:rsidP="006E00BC">
      <w:pPr>
        <w:rPr>
          <w:b/>
        </w:rPr>
      </w:pPr>
      <w:r>
        <w:rPr>
          <w:b/>
        </w:rPr>
        <w:t>Minister's response</w:t>
      </w:r>
    </w:p>
    <w:p w:rsidR="006E00BC" w:rsidRPr="00C97BE5" w:rsidRDefault="006E00BC" w:rsidP="006E00BC">
      <w:r w:rsidRPr="00C97BE5">
        <w:t>The Minister for Territories, Local Government, and Major Projects advised:</w:t>
      </w:r>
    </w:p>
    <w:p w:rsidR="006E00BC" w:rsidRDefault="006E00BC" w:rsidP="006E00BC">
      <w:pPr>
        <w:pStyle w:val="Quote"/>
      </w:pPr>
      <w:r>
        <w:t xml:space="preserve">The Department consulted the Attorney-General's Department and the Administrator on the 2015 Regulation. The Department did not consider that further consultation with the territory communities was necessary given the 2015 Regulation did not change the arrangements in place under the previous regulations. </w:t>
      </w:r>
    </w:p>
    <w:p w:rsidR="006E00BC" w:rsidRDefault="006E00BC" w:rsidP="006E00BC">
      <w:pPr>
        <w:pStyle w:val="Quote"/>
      </w:pPr>
      <w:r>
        <w:lastRenderedPageBreak/>
        <w:t>I have asked the Department to ensure it provides this information for new instruments in the future. I thank the Committee for its assistance in relation to this matter.</w:t>
      </w:r>
    </w:p>
    <w:p w:rsidR="006E00BC" w:rsidRPr="00C97BE5" w:rsidRDefault="006E00BC" w:rsidP="006E00BC">
      <w:pPr>
        <w:rPr>
          <w:b/>
        </w:rPr>
      </w:pPr>
      <w:r w:rsidRPr="00C97BE5">
        <w:rPr>
          <w:b/>
        </w:rPr>
        <w:t>Committee's response</w:t>
      </w:r>
    </w:p>
    <w:p w:rsidR="006E00BC" w:rsidRDefault="006E00BC" w:rsidP="006E00BC">
      <w:pPr>
        <w:rPr>
          <w:b/>
        </w:rPr>
      </w:pPr>
      <w:r w:rsidRPr="00C97BE5">
        <w:rPr>
          <w:b/>
        </w:rPr>
        <w:t>The committee thanks the minister for his response.</w:t>
      </w:r>
    </w:p>
    <w:p w:rsidR="006E00BC" w:rsidRDefault="006E00BC" w:rsidP="006E00BC">
      <w:pPr>
        <w:spacing w:after="120"/>
      </w:pPr>
      <w:r>
        <w:t>The committee notes the minister's advice that the Attorney-General's Department and the Administrator were consulted on this regulation and that further consultation was not considered necessary given the regulation did not change existing arrangements.</w:t>
      </w:r>
    </w:p>
    <w:p w:rsidR="006E00BC" w:rsidRDefault="006E00BC" w:rsidP="006E00BC">
      <w:pPr>
        <w:spacing w:after="120"/>
      </w:pPr>
      <w:r>
        <w:t xml:space="preserve">The committee also acknowledges the minister's efforts to ensure this information is included in future regulations. However, the committee's concern with respect to consultation is to ensure that an ES is technically compliant with the descriptive requirements of the </w:t>
      </w:r>
      <w:r>
        <w:rPr>
          <w:i/>
        </w:rPr>
        <w:t xml:space="preserve">Legislative Instruments Act 2003 </w:t>
      </w:r>
      <w:r>
        <w:t xml:space="preserve">(LIA), and thus in accordance with statute (scrutiny principle (a)). This is because the absence of a description of consultation in an ES falls short of the committee's requirements in relation to the content of ESs. The committee regards the extent and nature of consultation in relation to the making of an instrument as a critical aspect of the exercise of the parliament's delegated powers and, accordingly, information regarding consultation as a critical inclusion for ESs. </w:t>
      </w:r>
    </w:p>
    <w:p w:rsidR="006E00BC" w:rsidRDefault="006E00BC" w:rsidP="006E00BC">
      <w:pPr>
        <w:spacing w:after="120"/>
        <w:rPr>
          <w:b/>
        </w:rPr>
      </w:pPr>
      <w:r w:rsidRPr="0087088C">
        <w:rPr>
          <w:b/>
        </w:rPr>
        <w:t xml:space="preserve">The committee therefore reiterates its request to the minister that the ES be updated with the information provided in relation to consultation, in accordance with the requirements of the </w:t>
      </w:r>
      <w:r w:rsidRPr="0087088C">
        <w:rPr>
          <w:b/>
          <w:i/>
        </w:rPr>
        <w:t>Legislative Instruments Act 2003</w:t>
      </w:r>
      <w:r w:rsidRPr="0087088C">
        <w:rPr>
          <w:b/>
        </w:rPr>
        <w:t>.</w:t>
      </w:r>
    </w:p>
    <w:p w:rsidR="006E00BC" w:rsidRDefault="006E00BC" w:rsidP="006E00BC">
      <w:pPr>
        <w:spacing w:after="120"/>
        <w:rPr>
          <w:b/>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spacing w:before="120" w:after="120"/>
              <w:rPr>
                <w:sz w:val="24"/>
                <w:szCs w:val="24"/>
              </w:rPr>
            </w:pPr>
            <w:r w:rsidRPr="00DA020F">
              <w:rPr>
                <w:rFonts w:ascii="Times New (W1)" w:hAnsi="Times New (W1)"/>
                <w:noProof/>
                <w:sz w:val="24"/>
                <w:szCs w:val="24"/>
              </w:rPr>
              <w:t>Safety, Rehabilitation and Compensation (Definition of Employee) Amendment Notice 2015 [F2015L01665]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spacing w:before="120" w:after="120"/>
              <w:rPr>
                <w:sz w:val="24"/>
                <w:szCs w:val="24"/>
              </w:rPr>
            </w:pPr>
            <w:r w:rsidRPr="00DA020F">
              <w:rPr>
                <w:noProof/>
                <w:sz w:val="24"/>
                <w:szCs w:val="24"/>
              </w:rPr>
              <w:t>Amends the Commonwealth Employees’ Rehabilitation and Compensation Act 1988 – Notice of Declarations and Specifications (Notice No.</w:t>
            </w:r>
            <w:r>
              <w:rPr>
                <w:noProof/>
                <w:sz w:val="24"/>
                <w:szCs w:val="24"/>
              </w:rPr>
              <w:t> </w:t>
            </w:r>
            <w:r w:rsidRPr="00DA020F">
              <w:rPr>
                <w:noProof/>
                <w:sz w:val="24"/>
                <w:szCs w:val="24"/>
              </w:rPr>
              <w:t>1 of 1990) to substitute reference to the ‘Australian National Gallery’ with the ‘National Gallery of Australia’ and corrects a typographical error in the the Safety, Rehabilitation and Compensation Act 1988 – Notice of Declaration under subsection</w:t>
            </w:r>
            <w:r>
              <w:rPr>
                <w:noProof/>
                <w:sz w:val="24"/>
                <w:szCs w:val="24"/>
              </w:rPr>
              <w:t> </w:t>
            </w:r>
            <w:r w:rsidRPr="00DA020F">
              <w:rPr>
                <w:noProof/>
                <w:sz w:val="24"/>
                <w:szCs w:val="24"/>
              </w:rPr>
              <w:t>5(6) (Notice No.</w:t>
            </w:r>
            <w:r>
              <w:rPr>
                <w:noProof/>
                <w:sz w:val="24"/>
                <w:szCs w:val="24"/>
              </w:rPr>
              <w:t> </w:t>
            </w:r>
            <w:r w:rsidRPr="00DA020F">
              <w:rPr>
                <w:noProof/>
                <w:sz w:val="24"/>
                <w:szCs w:val="24"/>
              </w:rPr>
              <w:t>V1 of 1995)</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spacing w:before="120" w:after="120"/>
              <w:rPr>
                <w:sz w:val="24"/>
                <w:szCs w:val="24"/>
              </w:rPr>
            </w:pPr>
            <w:r w:rsidRPr="00DA020F">
              <w:rPr>
                <w:noProof/>
                <w:sz w:val="24"/>
                <w:szCs w:val="24"/>
              </w:rPr>
              <w:t>22 February 2016</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spacing w:before="120" w:after="120"/>
              <w:rPr>
                <w:i/>
                <w:sz w:val="24"/>
                <w:szCs w:val="24"/>
              </w:rPr>
            </w:pPr>
            <w:r w:rsidRPr="00DA020F">
              <w:rPr>
                <w:i/>
                <w:noProof/>
                <w:sz w:val="24"/>
                <w:szCs w:val="24"/>
              </w:rPr>
              <w:t>Safety, Rehabilitation and Compensation Act 1988</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spacing w:before="120" w:after="120"/>
              <w:rPr>
                <w:sz w:val="24"/>
                <w:szCs w:val="24"/>
              </w:rPr>
            </w:pPr>
            <w:r w:rsidRPr="00DA020F">
              <w:rPr>
                <w:noProof/>
                <w:sz w:val="24"/>
                <w:szCs w:val="24"/>
              </w:rPr>
              <w:t>Employment</w:t>
            </w:r>
          </w:p>
        </w:tc>
      </w:tr>
      <w:tr w:rsidR="006E00BC" w:rsidRPr="00164622" w:rsidTr="006E00BC">
        <w:tc>
          <w:tcPr>
            <w:tcW w:w="2694" w:type="dxa"/>
            <w:tcBorders>
              <w:right w:val="single" w:sz="12" w:space="0" w:color="auto"/>
            </w:tcBorders>
          </w:tcPr>
          <w:p w:rsidR="006E00BC" w:rsidRPr="00A77228" w:rsidRDefault="006E00BC" w:rsidP="006E00BC">
            <w:pPr>
              <w:spacing w:before="120" w:after="120"/>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spacing w:before="120" w:after="120"/>
              <w:rPr>
                <w:sz w:val="24"/>
                <w:szCs w:val="24"/>
              </w:rPr>
            </w:pPr>
            <w:r>
              <w:rPr>
                <w:sz w:val="24"/>
                <w:szCs w:val="24"/>
              </w:rPr>
              <w:t>Standing Order 23(3)(</w:t>
            </w:r>
            <w:r w:rsidRPr="00DA020F">
              <w:rPr>
                <w:noProof/>
                <w:sz w:val="24"/>
                <w:szCs w:val="24"/>
              </w:rPr>
              <w:t>a</w:t>
            </w:r>
            <w:r>
              <w:rPr>
                <w:noProof/>
                <w:sz w:val="24"/>
                <w:szCs w:val="24"/>
              </w:rPr>
              <w:t>)</w:t>
            </w:r>
          </w:p>
        </w:tc>
      </w:tr>
      <w:tr w:rsidR="006E00BC" w:rsidRPr="00164622" w:rsidTr="006E00BC">
        <w:tc>
          <w:tcPr>
            <w:tcW w:w="2694" w:type="dxa"/>
            <w:tcBorders>
              <w:bottom w:val="single" w:sz="12" w:space="0" w:color="auto"/>
              <w:right w:val="single" w:sz="12" w:space="0" w:color="auto"/>
            </w:tcBorders>
          </w:tcPr>
          <w:p w:rsidR="006E00BC" w:rsidRDefault="006E00BC" w:rsidP="006E00BC">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DA020F">
              <w:rPr>
                <w:noProof/>
                <w:sz w:val="24"/>
                <w:szCs w:val="24"/>
              </w:rPr>
              <w:t>14</w:t>
            </w:r>
            <w:r>
              <w:rPr>
                <w:noProof/>
                <w:sz w:val="24"/>
                <w:szCs w:val="24"/>
              </w:rPr>
              <w:t xml:space="preserve"> of 2015</w:t>
            </w:r>
          </w:p>
        </w:tc>
      </w:tr>
    </w:tbl>
    <w:p w:rsidR="006E00BC" w:rsidRDefault="006E00BC" w:rsidP="006E00BC">
      <w:pPr>
        <w:spacing w:after="120"/>
      </w:pPr>
    </w:p>
    <w:p w:rsidR="006E00BC" w:rsidRDefault="006E00BC" w:rsidP="006E00BC">
      <w:pPr>
        <w:rPr>
          <w:b/>
        </w:rPr>
      </w:pPr>
      <w:r w:rsidRPr="00DA020F">
        <w:rPr>
          <w:b/>
          <w:noProof/>
        </w:rPr>
        <w:lastRenderedPageBreak/>
        <w:t>No description of consultation</w:t>
      </w:r>
    </w:p>
    <w:p w:rsidR="006E00BC" w:rsidRDefault="006E00BC" w:rsidP="006E00BC">
      <w:pPr>
        <w:spacing w:after="120"/>
      </w:pPr>
      <w:r>
        <w:t>The committee commented as follows:</w:t>
      </w:r>
    </w:p>
    <w:p w:rsidR="006E00BC" w:rsidRPr="008C6D4A" w:rsidRDefault="006E00BC" w:rsidP="006E00BC">
      <w:pPr>
        <w:spacing w:after="180"/>
      </w:pPr>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6E00BC" w:rsidRPr="008C6D4A" w:rsidRDefault="006E00BC" w:rsidP="006E00BC">
      <w:pPr>
        <w:spacing w:after="120"/>
      </w:pPr>
      <w:r w:rsidRPr="008C6D4A">
        <w:t>The committee's expectations in this regard are set out in the guideline on consultation contained in Appendix 2.</w:t>
      </w:r>
    </w:p>
    <w:p w:rsidR="006E00BC" w:rsidRDefault="006E00BC" w:rsidP="006E00BC">
      <w:pPr>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6E00BC" w:rsidRDefault="006E00BC" w:rsidP="006E00BC">
      <w:pPr>
        <w:rPr>
          <w:b/>
        </w:rPr>
      </w:pPr>
      <w:r w:rsidRPr="00A678D5">
        <w:rPr>
          <w:b/>
        </w:rPr>
        <w:t>Minister's response</w:t>
      </w:r>
    </w:p>
    <w:p w:rsidR="006E00BC" w:rsidRDefault="006E00BC" w:rsidP="006E00BC">
      <w:r>
        <w:t>Mr Mark Roddam, Branch Manager of the Workers' Compensation Branch, advised:</w:t>
      </w:r>
    </w:p>
    <w:p w:rsidR="006E00BC" w:rsidRDefault="006E00BC" w:rsidP="006E00BC">
      <w:pPr>
        <w:pStyle w:val="Quote"/>
        <w:spacing w:after="120"/>
      </w:pPr>
      <w:r>
        <w:t>The Act [</w:t>
      </w:r>
      <w:r>
        <w:rPr>
          <w:i/>
        </w:rPr>
        <w:t>Legislative Instruments Act 2003</w:t>
      </w:r>
      <w:r>
        <w:t>] requires consultation during the making of a legislative instrument unless it falls under an exemption, such as an instrument that is of a minor or machinery nature and one that does not substantially alter existing arrangements.</w:t>
      </w:r>
    </w:p>
    <w:p w:rsidR="006E00BC" w:rsidRDefault="006E00BC" w:rsidP="006E00BC">
      <w:pPr>
        <w:pStyle w:val="Quote"/>
        <w:spacing w:after="120"/>
      </w:pPr>
      <w:r>
        <w:t>It also requires that the Explanatory Statement refer to any consultation undertaken, or if consultation was not undertaken, the reasons why it was not undertaken.</w:t>
      </w:r>
    </w:p>
    <w:p w:rsidR="006E00BC" w:rsidRDefault="006E00BC" w:rsidP="006E00BC">
      <w:pPr>
        <w:pStyle w:val="Quote"/>
        <w:spacing w:after="120"/>
      </w:pPr>
      <w:r>
        <w:t>However, the Act explicitly provides that the failure to consult does not affect the enforceability or validity of the instrument (section 19). Neither does the failure to lodge an Explanatory Statement (and, by extension, the failure for the Explanatory Statement to contain a description of the consultation undertaken) affect the enforceability or validity of the instrument (subsection 26(1)).</w:t>
      </w:r>
    </w:p>
    <w:p w:rsidR="006E00BC" w:rsidRDefault="006E00BC" w:rsidP="006E00BC">
      <w:pPr>
        <w:pStyle w:val="Quote"/>
        <w:spacing w:after="120"/>
      </w:pPr>
      <w:r>
        <w:t>The Department of Employment considers that the Notice is exempted from the requirement to consult as it is of a minor or machinery nature. The Notice deletes all references in the Commonwealth Employees' Rehabilitation and Compensation Act 1988 - Notice of Declarations and Specifications (Notice No. 1 of 1990) to the "Australian National Gallery", and replaces these with references to the "National Gallery of Australia" to reflect the name change of that entity.</w:t>
      </w:r>
    </w:p>
    <w:p w:rsidR="006E00BC" w:rsidRDefault="006E00BC" w:rsidP="006E00BC">
      <w:pPr>
        <w:pStyle w:val="Quote"/>
        <w:spacing w:after="120"/>
      </w:pPr>
      <w:r>
        <w:t>The Notice also corrects a typographical error in the Safety, Rehabilitation and Compensation Act 1988 - Notice of Declaration under subsection 5(6) (Notice No. VI of 1995) in a reference to the "National Museum of Australia".</w:t>
      </w:r>
    </w:p>
    <w:p w:rsidR="006E00BC" w:rsidRDefault="006E00BC" w:rsidP="006E00BC">
      <w:pPr>
        <w:pStyle w:val="Quote"/>
        <w:spacing w:after="120"/>
      </w:pPr>
      <w:r>
        <w:lastRenderedPageBreak/>
        <w:t>These</w:t>
      </w:r>
      <w:r w:rsidRPr="00A678D5">
        <w:t xml:space="preserve"> </w:t>
      </w:r>
      <w:r>
        <w:t>are the only effects of the Notice and it does not in any way alter the operation of the two declarations.</w:t>
      </w:r>
    </w:p>
    <w:p w:rsidR="006E00BC" w:rsidRDefault="006E00BC" w:rsidP="006E00BC">
      <w:pPr>
        <w:pStyle w:val="Quote"/>
        <w:spacing w:after="120"/>
      </w:pPr>
      <w:r>
        <w:t>The Notice was made at the request of the Minister for the Arts and in liaison with the Attorney-General's Department which covers the Arts portfolio.</w:t>
      </w:r>
    </w:p>
    <w:p w:rsidR="006E00BC" w:rsidRDefault="006E00BC" w:rsidP="006E00BC">
      <w:pPr>
        <w:pStyle w:val="Quote"/>
        <w:spacing w:after="120"/>
      </w:pPr>
      <w:r>
        <w:t>The Act does not require the Explanatory Statement to be updated in this instance in order for the Notice to be enforceable or valid.</w:t>
      </w:r>
    </w:p>
    <w:p w:rsidR="006E00BC" w:rsidRDefault="006E00BC" w:rsidP="006E00BC">
      <w:pPr>
        <w:pStyle w:val="Quote"/>
      </w:pPr>
      <w:r>
        <w:t>Notwithstanding this, the department will take measures to ensure all future instruments meet the relevant requirements of the Act, including that Explanatory Statements refer to any consultation undertaken or the reasons why consultation was not undertaken if that is the case.</w:t>
      </w:r>
    </w:p>
    <w:p w:rsidR="006E00BC" w:rsidRDefault="006E00BC" w:rsidP="006E00BC">
      <w:pPr>
        <w:rPr>
          <w:b/>
        </w:rPr>
      </w:pPr>
      <w:r w:rsidRPr="00A678D5">
        <w:rPr>
          <w:b/>
        </w:rPr>
        <w:t>Committee's response</w:t>
      </w:r>
    </w:p>
    <w:p w:rsidR="006E00BC" w:rsidRPr="00A678D5" w:rsidRDefault="006E00BC" w:rsidP="006E00BC">
      <w:pPr>
        <w:rPr>
          <w:b/>
        </w:rPr>
      </w:pPr>
      <w:r w:rsidRPr="00A678D5">
        <w:rPr>
          <w:b/>
        </w:rPr>
        <w:t xml:space="preserve">The committee </w:t>
      </w:r>
      <w:r>
        <w:rPr>
          <w:b/>
        </w:rPr>
        <w:t xml:space="preserve">notes that </w:t>
      </w:r>
      <w:r w:rsidRPr="00997140">
        <w:rPr>
          <w:b/>
        </w:rPr>
        <w:t>Mr Mark Roddam, Branch Manager of the Workers' Compensation Branch</w:t>
      </w:r>
      <w:r>
        <w:rPr>
          <w:b/>
        </w:rPr>
        <w:t>,</w:t>
      </w:r>
      <w:r w:rsidRPr="00997140">
        <w:rPr>
          <w:b/>
        </w:rPr>
        <w:t xml:space="preserve"> </w:t>
      </w:r>
      <w:r>
        <w:rPr>
          <w:b/>
        </w:rPr>
        <w:t>provided a response to the committee's request for the advice of the minister</w:t>
      </w:r>
      <w:r w:rsidRPr="00A678D5">
        <w:rPr>
          <w:b/>
        </w:rPr>
        <w:t>.</w:t>
      </w:r>
    </w:p>
    <w:p w:rsidR="006E00BC" w:rsidRDefault="006E00BC" w:rsidP="006E00BC">
      <w:pPr>
        <w:spacing w:after="120"/>
      </w:pPr>
      <w:r>
        <w:t xml:space="preserve">The committee notes that Mr Roddam's advice appears to rely on the flawed assumption that the committee's scrutiny function is restricted by the provisions of the </w:t>
      </w:r>
      <w:r>
        <w:rPr>
          <w:i/>
        </w:rPr>
        <w:t>Legislative Instruments Act 2003</w:t>
      </w:r>
      <w:r>
        <w:t xml:space="preserve"> (LIA).</w:t>
      </w:r>
      <w:r>
        <w:rPr>
          <w:i/>
        </w:rPr>
        <w:t xml:space="preserve"> </w:t>
      </w:r>
      <w:r>
        <w:t xml:space="preserve">However, while the committee generally seeks to conduct its scrutiny of delegated legislation to accord with, or augment, the provisions of the </w:t>
      </w:r>
      <w:r w:rsidRPr="00322914">
        <w:t>LIA</w:t>
      </w:r>
      <w:r>
        <w:t>, the fundamental principle underpinning the committee's expectations is that of ensur</w:t>
      </w:r>
      <w:r w:rsidRPr="005152F7">
        <w:t>ing that it is abl</w:t>
      </w:r>
      <w:r>
        <w:t>e to effectively scrutinise instruments with reference to the four matters outlined in Senate Standing Order 23.</w:t>
      </w:r>
    </w:p>
    <w:p w:rsidR="006E00BC" w:rsidRDefault="006E00BC" w:rsidP="006E00BC">
      <w:pPr>
        <w:spacing w:after="120"/>
      </w:pPr>
      <w:r>
        <w:t>The committee's concern with respect to consultation is to ensure that an ES is technically compliant with the descriptive requirements of the LIA,</w:t>
      </w:r>
      <w:r>
        <w:rPr>
          <w:i/>
        </w:rPr>
        <w:t xml:space="preserve"> </w:t>
      </w:r>
      <w:r>
        <w:t>and thus in accordance with statute (scrutiny principle (a)). This is because the absence of a description of consultation in an ES, notwithstanding LIA section 26(1), falls short of the committee's longstanding requirements in relation to the content of ESs. The expectation that ESs address the matter of consultation predates the enactment of the LIA, which placed a number of the committee's longstanding requirements in relation to the making of delegated legislation and ESs on a statutory basis. The committee regards the extent and nature of consultation in relation to the making of an instrument as a critical aspect of the exercise of the parliament's delegated powers and, accordingly, information regarding consultation as a critical inclusion for ESs.</w:t>
      </w:r>
    </w:p>
    <w:p w:rsidR="006E00BC" w:rsidRDefault="006E00BC" w:rsidP="006E00BC">
      <w:pPr>
        <w:spacing w:after="120"/>
      </w:pPr>
      <w:r>
        <w:t>On this basis, the committee notes also that reliance on section 19 of the LIA for any failure or neglect to comply with the requirements of section 26 is irrelevant to the committee's request that the ES be updated with the information requested.</w:t>
      </w:r>
    </w:p>
    <w:p w:rsidR="006E00BC" w:rsidRDefault="006E00BC" w:rsidP="006E00BC">
      <w:pPr>
        <w:rPr>
          <w:b/>
        </w:rPr>
      </w:pPr>
      <w:r w:rsidRPr="00034517">
        <w:rPr>
          <w:b/>
        </w:rPr>
        <w:t xml:space="preserve">The committee therefore </w:t>
      </w:r>
      <w:r>
        <w:rPr>
          <w:b/>
        </w:rPr>
        <w:t xml:space="preserve">reiterates </w:t>
      </w:r>
      <w:r w:rsidRPr="005152F7">
        <w:rPr>
          <w:b/>
        </w:rPr>
        <w:t xml:space="preserve">its request </w:t>
      </w:r>
      <w:r>
        <w:rPr>
          <w:b/>
        </w:rPr>
        <w:t>to the minister</w:t>
      </w:r>
      <w:r w:rsidRPr="005152F7">
        <w:rPr>
          <w:b/>
        </w:rPr>
        <w:t xml:space="preserve"> that the ES be updated w</w:t>
      </w:r>
      <w:r>
        <w:rPr>
          <w:b/>
        </w:rPr>
        <w:t xml:space="preserve">ith the information provided in relation to consultation, </w:t>
      </w:r>
      <w:r w:rsidRPr="008C6D4A">
        <w:rPr>
          <w:b/>
        </w:rPr>
        <w:t xml:space="preserve">in accordance with the requirements of the </w:t>
      </w:r>
      <w:r w:rsidRPr="008C6D4A">
        <w:rPr>
          <w:b/>
          <w:i/>
        </w:rPr>
        <w:t>Legislative Instruments Act 2003</w:t>
      </w:r>
      <w:r w:rsidRPr="008C6D4A">
        <w:rPr>
          <w:b/>
        </w:rPr>
        <w:t>.</w:t>
      </w:r>
    </w:p>
    <w:p w:rsidR="006E00BC" w:rsidRDefault="006E00BC" w:rsidP="006E00BC">
      <w:r>
        <w:br w:type="page"/>
      </w:r>
    </w:p>
    <w:p w:rsidR="006E00BC" w:rsidRPr="00647493" w:rsidRDefault="006E00BC" w:rsidP="006E00BC">
      <w:pPr>
        <w:pStyle w:val="Heading2"/>
        <w:spacing w:before="240"/>
        <w:rPr>
          <w:sz w:val="32"/>
          <w:szCs w:val="32"/>
        </w:rPr>
      </w:pPr>
      <w:r>
        <w:rPr>
          <w:sz w:val="32"/>
          <w:szCs w:val="32"/>
        </w:rPr>
        <w:lastRenderedPageBreak/>
        <w:t xml:space="preserve">Advice </w:t>
      </w:r>
      <w:r w:rsidRPr="00647493">
        <w:rPr>
          <w:sz w:val="32"/>
          <w:szCs w:val="32"/>
        </w:rPr>
        <w:t>only</w:t>
      </w:r>
    </w:p>
    <w:p w:rsidR="006E00BC" w:rsidRDefault="006E00BC" w:rsidP="006E00BC">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6E00BC" w:rsidRDefault="006E00BC" w:rsidP="006E00BC">
      <w:pPr>
        <w:pStyle w:val="Heading3"/>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6E00BC" w:rsidRPr="002C1F31" w:rsidTr="006E00BC">
        <w:tc>
          <w:tcPr>
            <w:tcW w:w="2694" w:type="dxa"/>
            <w:tcBorders>
              <w:top w:val="single" w:sz="12" w:space="0" w:color="auto"/>
              <w:left w:val="nil"/>
              <w:bottom w:val="nil"/>
              <w:right w:val="single" w:sz="12" w:space="0" w:color="auto"/>
            </w:tcBorders>
          </w:tcPr>
          <w:p w:rsidR="006E00BC" w:rsidRPr="002C1F31" w:rsidRDefault="006E00BC" w:rsidP="006E00BC">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vAlign w:val="center"/>
          </w:tcPr>
          <w:p w:rsidR="006E00BC" w:rsidRPr="002C1F31" w:rsidRDefault="006E00BC" w:rsidP="006E00BC">
            <w:pPr>
              <w:spacing w:before="240" w:after="120"/>
              <w:rPr>
                <w:sz w:val="22"/>
                <w:szCs w:val="22"/>
              </w:rPr>
            </w:pPr>
            <w:r>
              <w:rPr>
                <w:color w:val="000000"/>
                <w:sz w:val="22"/>
                <w:szCs w:val="22"/>
              </w:rPr>
              <w:t>ASIC Corporations (Repeal) Instrument 2015/1031 [F2015L01770]</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Bass Strait Central Zone Scallop Fishery Total Allowable Catch Determination (No. 2) 2015 [F2015L01788]</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Private Health Insurance (Complaints Levy) Amendment Rules 2015 [F2015L01789]</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Private Health Insurance (Prostheses) Amendment Rules 2015 (No.  3) [F2015L01764]</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240" w:after="120"/>
              <w:rPr>
                <w:sz w:val="22"/>
                <w:szCs w:val="22"/>
              </w:rPr>
            </w:pPr>
            <w:r>
              <w:rPr>
                <w:color w:val="000000"/>
                <w:sz w:val="22"/>
                <w:szCs w:val="22"/>
              </w:rPr>
              <w:t>Private Health Insurance (Prostheses) Amendment Rules 2015 No. 4 [F2015L01803]</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Safety, Rehabilitation and Compensation Act 1988 – Section 34S - Approval of Form of Application for Approval as a Workplace Rehabilitation Provider (05/11/2015) [F2015L01774]</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Safety, Rehabilitation and Compensation Act 1988 – Section 34S - Approval of Form of Renewal Application for Approval as a Workplace Rehabilitation Provider (05/11/2015) [F2015L01783]</w:t>
            </w:r>
          </w:p>
        </w:tc>
      </w:tr>
      <w:tr w:rsidR="006E00BC" w:rsidRPr="002C1F31" w:rsidTr="006E00BC">
        <w:tc>
          <w:tcPr>
            <w:tcW w:w="2694" w:type="dxa"/>
            <w:tcBorders>
              <w:top w:val="nil"/>
              <w:left w:val="nil"/>
              <w:bottom w:val="nil"/>
              <w:right w:val="single" w:sz="12" w:space="0" w:color="auto"/>
            </w:tcBorders>
          </w:tcPr>
          <w:p w:rsidR="006E00BC" w:rsidRPr="002C1F31"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2C1F31" w:rsidRDefault="006E00BC" w:rsidP="006E00BC">
            <w:pPr>
              <w:spacing w:before="120" w:after="120"/>
              <w:rPr>
                <w:sz w:val="22"/>
                <w:szCs w:val="22"/>
              </w:rPr>
            </w:pPr>
            <w:r>
              <w:rPr>
                <w:color w:val="000000"/>
                <w:sz w:val="22"/>
                <w:szCs w:val="22"/>
              </w:rPr>
              <w:t>Safety, Rehabilitation and Compensation Act 1988 – Sections 34D and 34E - Criteria and Operational Standards for Workplace Rehabilitation Providers 2015 [F2015L01777]]</w:t>
            </w:r>
          </w:p>
        </w:tc>
      </w:tr>
      <w:tr w:rsidR="006E00BC" w:rsidRPr="002C1F31" w:rsidTr="006E00BC">
        <w:tc>
          <w:tcPr>
            <w:tcW w:w="2694" w:type="dxa"/>
            <w:tcBorders>
              <w:top w:val="nil"/>
              <w:left w:val="nil"/>
              <w:bottom w:val="nil"/>
              <w:right w:val="single" w:sz="12" w:space="0" w:color="auto"/>
            </w:tcBorders>
          </w:tcPr>
          <w:p w:rsidR="006E00BC" w:rsidRPr="007F5A00" w:rsidRDefault="006E00BC" w:rsidP="006E00BC">
            <w:pPr>
              <w:spacing w:before="120" w:after="120"/>
              <w:rPr>
                <w:sz w:val="22"/>
                <w:szCs w:val="22"/>
              </w:rPr>
            </w:pPr>
          </w:p>
        </w:tc>
        <w:tc>
          <w:tcPr>
            <w:tcW w:w="6378" w:type="dxa"/>
            <w:tcBorders>
              <w:top w:val="nil"/>
              <w:left w:val="single" w:sz="12" w:space="0" w:color="auto"/>
              <w:bottom w:val="nil"/>
              <w:right w:val="nil"/>
            </w:tcBorders>
            <w:vAlign w:val="center"/>
          </w:tcPr>
          <w:p w:rsidR="006E00BC" w:rsidRPr="007F5A00" w:rsidRDefault="006E00BC" w:rsidP="006E00BC">
            <w:pPr>
              <w:spacing w:before="120" w:after="120"/>
              <w:rPr>
                <w:sz w:val="22"/>
                <w:szCs w:val="22"/>
              </w:rPr>
            </w:pPr>
            <w:r>
              <w:rPr>
                <w:color w:val="000000"/>
                <w:sz w:val="22"/>
                <w:szCs w:val="22"/>
              </w:rPr>
              <w:t>Woomera Prohibited Area Rule 2014 Determination of Exclusion Periods for Amber Zone 1 and Amber Zone 2 for Financial Year 2015 – 2016 Amendment No. 3 [F2015L01784]</w:t>
            </w:r>
          </w:p>
        </w:tc>
      </w:tr>
      <w:tr w:rsidR="006E00BC" w:rsidRPr="002C1F31" w:rsidTr="006E00BC">
        <w:tc>
          <w:tcPr>
            <w:tcW w:w="2694" w:type="dxa"/>
            <w:tcBorders>
              <w:top w:val="nil"/>
              <w:left w:val="nil"/>
              <w:bottom w:val="single" w:sz="12" w:space="0" w:color="auto"/>
              <w:right w:val="single" w:sz="12" w:space="0" w:color="auto"/>
            </w:tcBorders>
          </w:tcPr>
          <w:p w:rsidR="006E00BC" w:rsidRPr="002C1F31" w:rsidRDefault="006E00BC" w:rsidP="006E00BC">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6E00BC" w:rsidRPr="002C1F31" w:rsidRDefault="006E00BC" w:rsidP="006E00BC">
            <w:pPr>
              <w:spacing w:before="120"/>
              <w:rPr>
                <w:sz w:val="22"/>
                <w:szCs w:val="22"/>
              </w:rPr>
            </w:pPr>
            <w:r>
              <w:rPr>
                <w:noProof/>
                <w:sz w:val="24"/>
                <w:szCs w:val="24"/>
              </w:rPr>
              <w:t>Standing Order 23(3)(a)</w:t>
            </w:r>
          </w:p>
        </w:tc>
      </w:tr>
    </w:tbl>
    <w:p w:rsidR="006E00BC" w:rsidRDefault="006E00BC" w:rsidP="006E00BC">
      <w:pPr>
        <w:spacing w:after="0"/>
      </w:pPr>
    </w:p>
    <w:p w:rsidR="006E00BC" w:rsidRPr="006F66FE" w:rsidRDefault="006E00BC" w:rsidP="006E00BC">
      <w:pPr>
        <w:rPr>
          <w:b/>
          <w:i/>
        </w:rPr>
      </w:pPr>
      <w:r w:rsidRPr="00751A21">
        <w:rPr>
          <w:b/>
        </w:rPr>
        <w:t>Drafting</w:t>
      </w:r>
    </w:p>
    <w:p w:rsidR="006E00BC" w:rsidRPr="00E35D4F" w:rsidRDefault="006E00BC" w:rsidP="006E00BC">
      <w:r>
        <w:t>The</w:t>
      </w:r>
      <w:r w:rsidRPr="00E35D4F">
        <w:t xml:space="preserve"> instruments</w:t>
      </w:r>
      <w:r>
        <w:t xml:space="preserve"> identified above </w:t>
      </w:r>
      <w:r w:rsidRPr="00E35D4F">
        <w:t>appear to rely on subsection</w:t>
      </w:r>
      <w:r>
        <w:t> </w:t>
      </w:r>
      <w:r w:rsidRPr="00E35D4F">
        <w:t xml:space="preserve">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w:t>
      </w:r>
      <w:r w:rsidRPr="00E35D4F">
        <w:rPr>
          <w:b/>
        </w:rPr>
        <w:lastRenderedPageBreak/>
        <w:t>following example of a form of words which may be included in an ES where subsection</w:t>
      </w:r>
      <w:r>
        <w:rPr>
          <w:b/>
        </w:rPr>
        <w:t> </w:t>
      </w:r>
      <w:r w:rsidRPr="00E35D4F">
        <w:rPr>
          <w:b/>
        </w:rPr>
        <w:t xml:space="preserve">33(3) of the </w:t>
      </w:r>
      <w:r w:rsidRPr="00EC040A">
        <w:rPr>
          <w:b/>
          <w:i/>
        </w:rPr>
        <w:t>Acts Interpretation Act 1901</w:t>
      </w:r>
      <w:r w:rsidRPr="00E35D4F">
        <w:rPr>
          <w:b/>
        </w:rPr>
        <w:t xml:space="preserve"> is relevant:</w:t>
      </w:r>
    </w:p>
    <w:p w:rsidR="006E00BC" w:rsidRPr="00117C8E" w:rsidRDefault="006E00BC" w:rsidP="006E00BC">
      <w:pPr>
        <w:pStyle w:val="Quote"/>
      </w:pPr>
      <w:r>
        <w:t>Under subsection 33</w:t>
      </w:r>
      <w:r w:rsidRPr="00E35D4F">
        <w:t xml:space="preserve">(3)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8"/>
      </w:r>
    </w:p>
    <w:p w:rsidR="006E00BC" w:rsidRDefault="006E00BC" w:rsidP="00325264">
      <w:pPr>
        <w:sectPr w:rsidR="006E00BC" w:rsidSect="006E00BC">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6E00BC" w:rsidRDefault="006E00BC" w:rsidP="00325264">
      <w:pPr>
        <w:sectPr w:rsidR="006E00BC" w:rsidSect="006E00BC">
          <w:headerReference w:type="first" r:id="rId37"/>
          <w:footerReference w:type="first" r:id="rId38"/>
          <w:pgSz w:w="11906" w:h="16838" w:code="9"/>
          <w:pgMar w:top="1440" w:right="1440" w:bottom="1202" w:left="1440" w:header="1134" w:footer="720" w:gutter="0"/>
          <w:pgNumType w:start="1"/>
          <w:cols w:space="720"/>
          <w:titlePg/>
        </w:sectPr>
      </w:pPr>
    </w:p>
    <w:p w:rsidR="006E00BC" w:rsidRPr="0076670E" w:rsidRDefault="006E00BC" w:rsidP="006E00BC">
      <w:pPr>
        <w:pStyle w:val="Heading1"/>
      </w:pPr>
      <w:r w:rsidRPr="0076670E">
        <w:lastRenderedPageBreak/>
        <w:t>Chapter 2</w:t>
      </w:r>
    </w:p>
    <w:p w:rsidR="006E00BC" w:rsidRPr="0076670E" w:rsidRDefault="006E00BC" w:rsidP="006E00BC">
      <w:pPr>
        <w:pStyle w:val="Heading2"/>
      </w:pPr>
      <w:r w:rsidRPr="0076670E">
        <w:t>Concluded matters</w:t>
      </w:r>
    </w:p>
    <w:p w:rsidR="006E00BC" w:rsidRPr="0076670E" w:rsidRDefault="006E00BC" w:rsidP="006E00BC">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6E00BC" w:rsidRDefault="006E00BC" w:rsidP="006E00BC">
      <w:pPr>
        <w:pStyle w:val="Level1"/>
        <w:numPr>
          <w:ilvl w:val="0"/>
          <w:numId w:val="0"/>
        </w:numPr>
      </w:pPr>
      <w:r>
        <w:t>C</w:t>
      </w:r>
      <w:r w:rsidRPr="0076670E">
        <w:t xml:space="preserve">orrespondence relating to these matters is included at Appendix </w:t>
      </w:r>
      <w:r>
        <w:t>1</w:t>
      </w:r>
      <w:r w:rsidRPr="0076670E">
        <w:t>.</w:t>
      </w:r>
    </w:p>
    <w:p w:rsidR="006E00BC" w:rsidRDefault="006E00BC" w:rsidP="006E00BC">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A46DB0">
              <w:rPr>
                <w:noProof/>
                <w:sz w:val="24"/>
                <w:szCs w:val="24"/>
              </w:rPr>
              <w:t>Australian Passports (Application Fees) Amendment Determination 2015 (No. 1) [F2015L01629]</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Provides for an application fee for the issue of a replacement passport in ‘exceptional circumstances’</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A46DB0">
              <w:rPr>
                <w:i/>
                <w:noProof/>
                <w:sz w:val="24"/>
                <w:szCs w:val="24"/>
              </w:rPr>
              <w:t>Australian Passports (Application Fees) Act 2005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Foreign Affairs and Trade</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sz w:val="24"/>
                <w:szCs w:val="24"/>
              </w:rPr>
            </w:pPr>
            <w:r>
              <w:rPr>
                <w:sz w:val="24"/>
                <w:szCs w:val="24"/>
              </w:rPr>
              <w:t>Standing Order 23(3)(</w:t>
            </w:r>
            <w:r w:rsidRPr="00A46DB0">
              <w:rPr>
                <w:noProof/>
                <w:sz w:val="24"/>
                <w:szCs w:val="24"/>
              </w:rPr>
              <w:t>a</w:t>
            </w:r>
            <w:r>
              <w:rPr>
                <w:noProof/>
                <w:sz w:val="24"/>
                <w:szCs w:val="24"/>
              </w:rPr>
              <w:t>)</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DA6BA4">
              <w:rPr>
                <w:noProof/>
                <w:sz w:val="24"/>
                <w:szCs w:val="24"/>
              </w:rPr>
              <w:t>No. 14 of 2015</w:t>
            </w:r>
          </w:p>
        </w:tc>
      </w:tr>
    </w:tbl>
    <w:p w:rsidR="006E00BC" w:rsidRDefault="006E00BC" w:rsidP="006E00BC"/>
    <w:p w:rsidR="006E00BC" w:rsidRDefault="006E00BC" w:rsidP="006E00BC">
      <w:pPr>
        <w:rPr>
          <w:b/>
          <w:noProof/>
        </w:rPr>
      </w:pPr>
      <w:r w:rsidRPr="00A46DB0">
        <w:rPr>
          <w:b/>
          <w:noProof/>
        </w:rPr>
        <w:t>Unclear basis for determining fees</w:t>
      </w:r>
    </w:p>
    <w:p w:rsidR="006E00BC" w:rsidRDefault="006E00BC" w:rsidP="006E00BC">
      <w:pPr>
        <w:spacing w:after="0"/>
        <w:rPr>
          <w:szCs w:val="26"/>
        </w:rPr>
      </w:pPr>
      <w:r>
        <w:rPr>
          <w:szCs w:val="26"/>
        </w:rPr>
        <w:t>The committee commented as follows:</w:t>
      </w:r>
    </w:p>
    <w:p w:rsidR="006E00BC" w:rsidRDefault="006E00BC" w:rsidP="006E00BC">
      <w:pPr>
        <w:spacing w:after="180"/>
      </w:pPr>
      <w:r>
        <w:t xml:space="preserve">The instrument amends the </w:t>
      </w:r>
      <w:r w:rsidRPr="007C3E7A">
        <w:t>Australian Passports (Appli</w:t>
      </w:r>
      <w:r>
        <w:t>cation Fees) Determination 2015</w:t>
      </w:r>
      <w:r w:rsidRPr="00500C49">
        <w:t xml:space="preserve"> </w:t>
      </w:r>
      <w:r>
        <w:t>to provide</w:t>
      </w:r>
      <w:r w:rsidRPr="00500C49">
        <w:t xml:space="preserve"> for an application fee for the issue of a replacement passport in ‘exceptional circumstances’.</w:t>
      </w:r>
      <w:r>
        <w:t xml:space="preserve"> The committee notes that the fee will be $151, in line with the current fee that applies to applications for replacement passports in a range of circumstances. However, the explanatory statement (ES) does not explicitly state the basis on which the fee has been calculated for this new category of circumstances.</w:t>
      </w:r>
    </w:p>
    <w:p w:rsidR="006E00BC" w:rsidRDefault="006E00BC" w:rsidP="006E00BC">
      <w:r w:rsidRPr="00500C49">
        <w:t>The committee's usual expectation in cases where an instrument of delegated</w:t>
      </w:r>
      <w:r>
        <w:t xml:space="preserve"> </w:t>
      </w:r>
      <w:r w:rsidRPr="00500C49">
        <w:t>legislation carries financial implications via the imposition of a change to a charge,</w:t>
      </w:r>
      <w:r>
        <w:t xml:space="preserve"> </w:t>
      </w:r>
      <w:r w:rsidRPr="00500C49">
        <w:t>fee, levy, scale or rate of costs or payment is that the relevant ES makes clear the</w:t>
      </w:r>
      <w:r>
        <w:t xml:space="preserve"> </w:t>
      </w:r>
      <w:r w:rsidRPr="00500C49">
        <w:t>specific basis on which an individual imposition or change has been calculated.</w:t>
      </w:r>
    </w:p>
    <w:p w:rsidR="006E00BC" w:rsidRDefault="006E00BC" w:rsidP="006E00BC">
      <w:pPr>
        <w:tabs>
          <w:tab w:val="right" w:pos="9026"/>
        </w:tabs>
        <w:spacing w:after="0"/>
        <w:rPr>
          <w:b/>
          <w:bCs/>
          <w:szCs w:val="26"/>
        </w:rPr>
      </w:pPr>
      <w:r>
        <w:rPr>
          <w:b/>
          <w:bCs/>
          <w:szCs w:val="26"/>
        </w:rPr>
        <w:t>The committee requests the advice of the minister in relation to this matter.</w:t>
      </w:r>
      <w:r>
        <w:rPr>
          <w:b/>
          <w:bCs/>
          <w:szCs w:val="26"/>
        </w:rPr>
        <w:tab/>
      </w:r>
    </w:p>
    <w:p w:rsidR="006E00BC" w:rsidRDefault="006E00BC" w:rsidP="006E00BC">
      <w:pPr>
        <w:spacing w:after="0"/>
        <w:jc w:val="left"/>
        <w:rPr>
          <w:b/>
          <w:szCs w:val="26"/>
        </w:rPr>
      </w:pPr>
      <w:r>
        <w:rPr>
          <w:b/>
          <w:szCs w:val="26"/>
        </w:rPr>
        <w:br w:type="page"/>
      </w:r>
    </w:p>
    <w:p w:rsidR="006E00BC" w:rsidRDefault="006E00BC" w:rsidP="006E00BC">
      <w:pPr>
        <w:spacing w:after="0"/>
        <w:rPr>
          <w:b/>
          <w:szCs w:val="26"/>
        </w:rPr>
      </w:pPr>
      <w:r>
        <w:rPr>
          <w:b/>
          <w:szCs w:val="26"/>
        </w:rPr>
        <w:lastRenderedPageBreak/>
        <w:t>Minister's response</w:t>
      </w:r>
    </w:p>
    <w:p w:rsidR="006E00BC" w:rsidRDefault="006E00BC" w:rsidP="006E00BC">
      <w:pPr>
        <w:spacing w:after="0"/>
        <w:rPr>
          <w:szCs w:val="26"/>
        </w:rPr>
      </w:pPr>
      <w:r>
        <w:rPr>
          <w:szCs w:val="26"/>
        </w:rPr>
        <w:t>The Minister for Foreign Affairs advised:</w:t>
      </w:r>
    </w:p>
    <w:p w:rsidR="006E00BC" w:rsidRDefault="006E00BC" w:rsidP="006E00BC">
      <w:pPr>
        <w:pStyle w:val="Quote"/>
      </w:pPr>
    </w:p>
    <w:p w:rsidR="006E00BC" w:rsidRPr="00DA6BA4" w:rsidRDefault="006E00BC" w:rsidP="006E00BC">
      <w:pPr>
        <w:pStyle w:val="Quote"/>
      </w:pPr>
      <w:r w:rsidRPr="00DA6BA4">
        <w:t>This instrument, jointly with the Passports Legislation Amendment (2015</w:t>
      </w:r>
      <w:r>
        <w:t xml:space="preserve"> </w:t>
      </w:r>
      <w:r w:rsidRPr="00DA6BA4">
        <w:t>Measures No. 1) Determination 2015, provides for an additional circumstance in</w:t>
      </w:r>
      <w:r>
        <w:t xml:space="preserve"> </w:t>
      </w:r>
      <w:r w:rsidRPr="00DA6BA4">
        <w:t xml:space="preserve">which a replacement passport may be </w:t>
      </w:r>
      <w:r w:rsidRPr="0068640B">
        <w:t>issued</w:t>
      </w:r>
      <w:r>
        <w:t>—</w:t>
      </w:r>
      <w:r w:rsidRPr="0068640B">
        <w:t>in</w:t>
      </w:r>
      <w:r w:rsidRPr="00DA6BA4">
        <w:t xml:space="preserve"> 'exceptional circumstances'.</w:t>
      </w:r>
      <w:r>
        <w:t xml:space="preserve"> </w:t>
      </w:r>
      <w:r w:rsidRPr="00DA6BA4">
        <w:t>The existing replacement passport application fee applies, unless the fee is</w:t>
      </w:r>
      <w:r>
        <w:t xml:space="preserve"> </w:t>
      </w:r>
      <w:r w:rsidRPr="00DA6BA4">
        <w:t>waived.</w:t>
      </w:r>
    </w:p>
    <w:p w:rsidR="006E00BC" w:rsidRPr="00DA6BA4" w:rsidRDefault="006E00BC" w:rsidP="006E00BC">
      <w:pPr>
        <w:pStyle w:val="Quote"/>
      </w:pPr>
      <w:r w:rsidRPr="00DA6BA4">
        <w:t>A replacement passport is a reprint of an existing passport with a new passport</w:t>
      </w:r>
      <w:r>
        <w:t xml:space="preserve"> </w:t>
      </w:r>
      <w:r w:rsidRPr="00DA6BA4">
        <w:t>number and in some cases a slight amendment. For example, the replacement</w:t>
      </w:r>
      <w:r>
        <w:t xml:space="preserve"> </w:t>
      </w:r>
      <w:r w:rsidRPr="00DA6BA4">
        <w:t>passport may change the surname following marriage. In most circumstances</w:t>
      </w:r>
      <w:r>
        <w:t xml:space="preserve"> </w:t>
      </w:r>
      <w:r w:rsidRPr="00DA6BA4">
        <w:t>the expiry date of the replacement passport is the same as that of the existing</w:t>
      </w:r>
      <w:r>
        <w:t xml:space="preserve"> </w:t>
      </w:r>
      <w:r w:rsidRPr="00DA6BA4">
        <w:t xml:space="preserve">passport. Replacement </w:t>
      </w:r>
      <w:r>
        <w:t>p</w:t>
      </w:r>
      <w:r w:rsidRPr="00DA6BA4">
        <w:t>assports are designed to provide a cheaper and simpler</w:t>
      </w:r>
      <w:r>
        <w:t xml:space="preserve"> </w:t>
      </w:r>
      <w:r w:rsidRPr="00DA6BA4">
        <w:t>alternative to applying for a new full validity passport, depending on the</w:t>
      </w:r>
      <w:r>
        <w:t xml:space="preserve"> </w:t>
      </w:r>
      <w:r w:rsidRPr="00DA6BA4">
        <w:t>remaining validity of the existing passport. The replacement passport</w:t>
      </w:r>
      <w:r>
        <w:t xml:space="preserve"> </w:t>
      </w:r>
      <w:r w:rsidRPr="00DA6BA4">
        <w:t>application fee is $151 and the standard passport application fee is $250.</w:t>
      </w:r>
    </w:p>
    <w:p w:rsidR="006E00BC" w:rsidRDefault="006E00BC" w:rsidP="006E00BC">
      <w:pPr>
        <w:pStyle w:val="Quote"/>
      </w:pPr>
      <w:r w:rsidRPr="00DA6BA4">
        <w:t>The Australian Passports (Application Fees) Act 2005 (the Act) provides that all</w:t>
      </w:r>
      <w:r>
        <w:t xml:space="preserve"> </w:t>
      </w:r>
      <w:r w:rsidRPr="00DA6BA4">
        <w:t xml:space="preserve">passport fees are taxes (subsection 4(5)). </w:t>
      </w:r>
      <w:r>
        <w:t>Subsection 4(1) provides that a M</w:t>
      </w:r>
      <w:r w:rsidRPr="00DA6BA4">
        <w:t>inister's determination may specify passport fees. Subsection 5(3) states that</w:t>
      </w:r>
      <w:r>
        <w:t xml:space="preserve"> </w:t>
      </w:r>
      <w:r w:rsidRPr="00DA6BA4">
        <w:t>'An application fee need not bear any relationship to the cost of issuing an</w:t>
      </w:r>
      <w:r>
        <w:t xml:space="preserve"> </w:t>
      </w:r>
      <w:r w:rsidRPr="00DA6BA4">
        <w:t>Australian travel document...'</w:t>
      </w:r>
    </w:p>
    <w:p w:rsidR="006E00BC" w:rsidRDefault="006E00BC" w:rsidP="006E00BC">
      <w:pPr>
        <w:pStyle w:val="Quote"/>
      </w:pPr>
      <w:r w:rsidRPr="00DA6BA4">
        <w:t>The replacement passport application fee was determined on the basis of the</w:t>
      </w:r>
      <w:r>
        <w:t xml:space="preserve"> </w:t>
      </w:r>
      <w:r w:rsidRPr="00DA6BA4">
        <w:t>following considerations:</w:t>
      </w:r>
    </w:p>
    <w:p w:rsidR="006E00BC" w:rsidRPr="0068640B" w:rsidRDefault="006E00BC" w:rsidP="006E00BC">
      <w:pPr>
        <w:pStyle w:val="Bullet2"/>
        <w:spacing w:after="120"/>
        <w:rPr>
          <w:sz w:val="24"/>
        </w:rPr>
      </w:pPr>
      <w:r w:rsidRPr="0068640B">
        <w:rPr>
          <w:sz w:val="24"/>
        </w:rPr>
        <w:t>to streamline and simplify the passport fee schedule by aligning the replacement passport application fee with the application fees for emergency passports, convention travel documents and certificates of identity;</w:t>
      </w:r>
    </w:p>
    <w:p w:rsidR="006E00BC" w:rsidRPr="0068640B" w:rsidRDefault="006E00BC" w:rsidP="006E00BC">
      <w:pPr>
        <w:pStyle w:val="Bullet2"/>
        <w:spacing w:after="120"/>
        <w:rPr>
          <w:sz w:val="24"/>
        </w:rPr>
      </w:pPr>
      <w:r w:rsidRPr="0068640B">
        <w:rPr>
          <w:sz w:val="24"/>
        </w:rPr>
        <w:t>to reflect the simpler requirements for processing a replacement passport application; and</w:t>
      </w:r>
    </w:p>
    <w:p w:rsidR="006E00BC" w:rsidRPr="0068640B" w:rsidRDefault="006E00BC" w:rsidP="006E00BC">
      <w:pPr>
        <w:pStyle w:val="Bullet2"/>
        <w:spacing w:after="120"/>
        <w:rPr>
          <w:sz w:val="24"/>
        </w:rPr>
      </w:pPr>
      <w:r w:rsidRPr="0068640B">
        <w:rPr>
          <w:sz w:val="24"/>
        </w:rPr>
        <w:t>to reflect the reduced validity of a replacement passport in most circumstances.</w:t>
      </w:r>
    </w:p>
    <w:p w:rsidR="006E00BC" w:rsidRDefault="006E00BC" w:rsidP="006E00BC">
      <w:pPr>
        <w:spacing w:after="0"/>
        <w:rPr>
          <w:b/>
          <w:szCs w:val="26"/>
        </w:rPr>
      </w:pPr>
      <w:r>
        <w:rPr>
          <w:b/>
          <w:szCs w:val="26"/>
        </w:rPr>
        <w:t>Committee response</w:t>
      </w:r>
    </w:p>
    <w:p w:rsidR="006E00BC" w:rsidRPr="007C40F9" w:rsidRDefault="006E00BC" w:rsidP="006E00BC">
      <w:pPr>
        <w:rPr>
          <w:b/>
          <w:noProof/>
        </w:rPr>
      </w:pPr>
      <w:r w:rsidRPr="007C40F9">
        <w:rPr>
          <w:b/>
          <w:noProof/>
        </w:rPr>
        <w:t>The comm</w:t>
      </w:r>
      <w:r>
        <w:rPr>
          <w:b/>
          <w:noProof/>
        </w:rPr>
        <w:t>ittee thanks the minister for her</w:t>
      </w:r>
      <w:r w:rsidRPr="007C40F9">
        <w:rPr>
          <w:b/>
          <w:noProof/>
        </w:rPr>
        <w:t xml:space="preserve"> response</w:t>
      </w:r>
      <w:r>
        <w:rPr>
          <w:b/>
          <w:noProof/>
        </w:rPr>
        <w:t xml:space="preserve"> </w:t>
      </w:r>
      <w:r w:rsidRPr="00E96379">
        <w:rPr>
          <w:b/>
          <w:noProof/>
        </w:rPr>
        <w:t>and has concluded its examination of the instrument.</w:t>
      </w:r>
    </w:p>
    <w:p w:rsidR="006E00BC" w:rsidRDefault="006E00BC" w:rsidP="006E00BC">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6E00BC" w:rsidRPr="007C40F9" w:rsidTr="006E00BC">
        <w:tc>
          <w:tcPr>
            <w:tcW w:w="2694" w:type="dxa"/>
            <w:tcBorders>
              <w:top w:val="single" w:sz="12" w:space="0" w:color="auto"/>
              <w:right w:val="single" w:sz="12" w:space="0" w:color="auto"/>
            </w:tcBorders>
          </w:tcPr>
          <w:p w:rsidR="006E00BC" w:rsidRPr="00D27EFA" w:rsidRDefault="006E00BC" w:rsidP="006E00BC">
            <w:pPr>
              <w:rPr>
                <w:b/>
                <w:sz w:val="24"/>
                <w:szCs w:val="24"/>
              </w:rPr>
            </w:pPr>
            <w:r w:rsidRPr="00D27EFA">
              <w:rPr>
                <w:b/>
                <w:sz w:val="24"/>
                <w:szCs w:val="24"/>
              </w:rPr>
              <w:lastRenderedPageBreak/>
              <w:t>Instrument</w:t>
            </w:r>
          </w:p>
        </w:tc>
        <w:tc>
          <w:tcPr>
            <w:tcW w:w="6378" w:type="dxa"/>
            <w:tcBorders>
              <w:top w:val="single" w:sz="12" w:space="0" w:color="auto"/>
              <w:left w:val="single" w:sz="12" w:space="0" w:color="auto"/>
            </w:tcBorders>
          </w:tcPr>
          <w:p w:rsidR="006E00BC" w:rsidRPr="00D27EFA" w:rsidRDefault="006E00BC" w:rsidP="006E00BC">
            <w:pPr>
              <w:keepNext/>
              <w:outlineLvl w:val="2"/>
              <w:rPr>
                <w:b/>
                <w:sz w:val="24"/>
                <w:szCs w:val="24"/>
              </w:rPr>
            </w:pPr>
            <w:r w:rsidRPr="00D27EFA">
              <w:rPr>
                <w:b/>
                <w:noProof/>
                <w:sz w:val="24"/>
                <w:szCs w:val="24"/>
              </w:rPr>
              <w:t>Carbon Credits (Carbon Farming Initiative—Facilities) Methodology Determination 2015 [F2015L01346]</w:t>
            </w:r>
          </w:p>
        </w:tc>
      </w:tr>
      <w:tr w:rsidR="006E00BC" w:rsidRPr="007C40F9" w:rsidTr="006E00BC">
        <w:tc>
          <w:tcPr>
            <w:tcW w:w="2694" w:type="dxa"/>
            <w:tcBorders>
              <w:right w:val="single" w:sz="12" w:space="0" w:color="auto"/>
            </w:tcBorders>
          </w:tcPr>
          <w:p w:rsidR="006E00BC" w:rsidRPr="007C40F9" w:rsidRDefault="006E00BC" w:rsidP="006E00BC">
            <w:pPr>
              <w:rPr>
                <w:b/>
                <w:sz w:val="24"/>
                <w:szCs w:val="24"/>
              </w:rPr>
            </w:pPr>
            <w:r w:rsidRPr="007C40F9">
              <w:rPr>
                <w:b/>
                <w:sz w:val="24"/>
                <w:szCs w:val="24"/>
              </w:rPr>
              <w:t>Purpose</w:t>
            </w:r>
          </w:p>
        </w:tc>
        <w:tc>
          <w:tcPr>
            <w:tcW w:w="6378" w:type="dxa"/>
            <w:tcBorders>
              <w:left w:val="single" w:sz="12" w:space="0" w:color="auto"/>
            </w:tcBorders>
          </w:tcPr>
          <w:p w:rsidR="006E00BC" w:rsidRPr="007C40F9" w:rsidRDefault="006E00BC" w:rsidP="006E00BC">
            <w:pPr>
              <w:rPr>
                <w:sz w:val="24"/>
                <w:szCs w:val="24"/>
              </w:rPr>
            </w:pPr>
            <w:r w:rsidRPr="007C40F9">
              <w:rPr>
                <w:noProof/>
                <w:sz w:val="24"/>
                <w:szCs w:val="24"/>
              </w:rPr>
              <w:t>Supports Emissions Reduction Fund (ERF) projects through crediting verified emissions reductions achieved through a reduction in emissions per unit of output at facilities that report emissions under the National Greenhouse and Energy Reporting Scheme and produce a saleable product</w:t>
            </w:r>
          </w:p>
        </w:tc>
      </w:tr>
      <w:tr w:rsidR="006E00BC" w:rsidRPr="007C40F9" w:rsidTr="006E00BC">
        <w:tc>
          <w:tcPr>
            <w:tcW w:w="2694" w:type="dxa"/>
            <w:tcBorders>
              <w:right w:val="single" w:sz="12" w:space="0" w:color="auto"/>
            </w:tcBorders>
          </w:tcPr>
          <w:p w:rsidR="006E00BC" w:rsidRPr="007C40F9" w:rsidRDefault="006E00BC" w:rsidP="006E00BC">
            <w:pPr>
              <w:rPr>
                <w:b/>
                <w:sz w:val="24"/>
                <w:szCs w:val="24"/>
              </w:rPr>
            </w:pPr>
            <w:r w:rsidRPr="007C40F9">
              <w:rPr>
                <w:b/>
                <w:sz w:val="24"/>
                <w:szCs w:val="24"/>
              </w:rPr>
              <w:t>Last day to disallow</w:t>
            </w:r>
          </w:p>
        </w:tc>
        <w:tc>
          <w:tcPr>
            <w:tcW w:w="6378" w:type="dxa"/>
            <w:tcBorders>
              <w:left w:val="single" w:sz="12" w:space="0" w:color="auto"/>
            </w:tcBorders>
          </w:tcPr>
          <w:p w:rsidR="006E00BC" w:rsidRPr="007C40F9" w:rsidRDefault="006E00BC" w:rsidP="006E00BC">
            <w:pPr>
              <w:rPr>
                <w:sz w:val="24"/>
                <w:szCs w:val="24"/>
              </w:rPr>
            </w:pPr>
            <w:r w:rsidRPr="007C40F9">
              <w:rPr>
                <w:noProof/>
                <w:sz w:val="24"/>
                <w:szCs w:val="24"/>
              </w:rPr>
              <w:t>12 November 2015</w:t>
            </w:r>
          </w:p>
        </w:tc>
      </w:tr>
      <w:tr w:rsidR="006E00BC" w:rsidRPr="007C40F9" w:rsidTr="006E00BC">
        <w:tc>
          <w:tcPr>
            <w:tcW w:w="2694" w:type="dxa"/>
            <w:tcBorders>
              <w:right w:val="single" w:sz="12" w:space="0" w:color="auto"/>
            </w:tcBorders>
          </w:tcPr>
          <w:p w:rsidR="006E00BC" w:rsidRPr="007C40F9" w:rsidRDefault="006E00BC" w:rsidP="006E00BC">
            <w:pPr>
              <w:rPr>
                <w:b/>
                <w:sz w:val="24"/>
                <w:szCs w:val="24"/>
              </w:rPr>
            </w:pPr>
            <w:r w:rsidRPr="007C40F9">
              <w:rPr>
                <w:b/>
                <w:sz w:val="24"/>
                <w:szCs w:val="24"/>
              </w:rPr>
              <w:t>Authorising legislation</w:t>
            </w:r>
          </w:p>
        </w:tc>
        <w:tc>
          <w:tcPr>
            <w:tcW w:w="6378" w:type="dxa"/>
            <w:tcBorders>
              <w:left w:val="single" w:sz="12" w:space="0" w:color="auto"/>
            </w:tcBorders>
          </w:tcPr>
          <w:p w:rsidR="006E00BC" w:rsidRPr="007C40F9" w:rsidRDefault="006E00BC" w:rsidP="006E00BC">
            <w:pPr>
              <w:rPr>
                <w:i/>
                <w:sz w:val="24"/>
                <w:szCs w:val="24"/>
              </w:rPr>
            </w:pPr>
            <w:r w:rsidRPr="007C40F9">
              <w:rPr>
                <w:i/>
                <w:noProof/>
                <w:sz w:val="24"/>
                <w:szCs w:val="24"/>
              </w:rPr>
              <w:t>Carbon Credits (Carbon Farming Initiative) Act 2011</w:t>
            </w:r>
          </w:p>
        </w:tc>
      </w:tr>
      <w:tr w:rsidR="006E00BC" w:rsidRPr="007C40F9" w:rsidTr="006E00BC">
        <w:tc>
          <w:tcPr>
            <w:tcW w:w="2694" w:type="dxa"/>
            <w:tcBorders>
              <w:right w:val="single" w:sz="12" w:space="0" w:color="auto"/>
            </w:tcBorders>
          </w:tcPr>
          <w:p w:rsidR="006E00BC" w:rsidRPr="007C40F9" w:rsidRDefault="006E00BC" w:rsidP="006E00BC">
            <w:pPr>
              <w:rPr>
                <w:b/>
                <w:sz w:val="24"/>
                <w:szCs w:val="24"/>
              </w:rPr>
            </w:pPr>
            <w:r w:rsidRPr="007C40F9">
              <w:rPr>
                <w:b/>
                <w:sz w:val="24"/>
                <w:szCs w:val="24"/>
              </w:rPr>
              <w:t>Department</w:t>
            </w:r>
          </w:p>
        </w:tc>
        <w:tc>
          <w:tcPr>
            <w:tcW w:w="6378" w:type="dxa"/>
            <w:tcBorders>
              <w:left w:val="single" w:sz="12" w:space="0" w:color="auto"/>
            </w:tcBorders>
          </w:tcPr>
          <w:p w:rsidR="006E00BC" w:rsidRPr="007C40F9" w:rsidRDefault="006E00BC" w:rsidP="006E00BC">
            <w:pPr>
              <w:rPr>
                <w:sz w:val="24"/>
                <w:szCs w:val="24"/>
              </w:rPr>
            </w:pPr>
            <w:r w:rsidRPr="007C40F9">
              <w:rPr>
                <w:noProof/>
                <w:sz w:val="24"/>
                <w:szCs w:val="24"/>
              </w:rPr>
              <w:t>Environment</w:t>
            </w:r>
          </w:p>
        </w:tc>
      </w:tr>
      <w:tr w:rsidR="006E00BC" w:rsidRPr="007C40F9" w:rsidTr="006E00BC">
        <w:tc>
          <w:tcPr>
            <w:tcW w:w="2694" w:type="dxa"/>
            <w:tcBorders>
              <w:right w:val="single" w:sz="12" w:space="0" w:color="auto"/>
            </w:tcBorders>
          </w:tcPr>
          <w:p w:rsidR="006E00BC" w:rsidRPr="007C40F9" w:rsidRDefault="006E00BC" w:rsidP="006E00BC">
            <w:pPr>
              <w:rPr>
                <w:b/>
                <w:sz w:val="24"/>
                <w:szCs w:val="24"/>
              </w:rPr>
            </w:pPr>
            <w:r w:rsidRPr="007C40F9">
              <w:rPr>
                <w:b/>
                <w:sz w:val="24"/>
                <w:szCs w:val="24"/>
              </w:rPr>
              <w:t>Scrutiny principle</w:t>
            </w:r>
          </w:p>
        </w:tc>
        <w:tc>
          <w:tcPr>
            <w:tcW w:w="6378" w:type="dxa"/>
            <w:tcBorders>
              <w:left w:val="single" w:sz="12" w:space="0" w:color="auto"/>
            </w:tcBorders>
          </w:tcPr>
          <w:p w:rsidR="006E00BC" w:rsidRPr="007C40F9" w:rsidRDefault="006E00BC" w:rsidP="006E00BC">
            <w:pPr>
              <w:rPr>
                <w:sz w:val="24"/>
                <w:szCs w:val="24"/>
              </w:rPr>
            </w:pPr>
            <w:r w:rsidRPr="007C40F9">
              <w:rPr>
                <w:sz w:val="24"/>
                <w:szCs w:val="24"/>
              </w:rPr>
              <w:t>Standing Order 23(3)(</w:t>
            </w:r>
            <w:r w:rsidRPr="007C40F9">
              <w:rPr>
                <w:noProof/>
                <w:sz w:val="24"/>
                <w:szCs w:val="24"/>
              </w:rPr>
              <w:t>a)</w:t>
            </w:r>
          </w:p>
        </w:tc>
      </w:tr>
      <w:tr w:rsidR="006E00BC" w:rsidRPr="007C40F9" w:rsidTr="006E00BC">
        <w:tc>
          <w:tcPr>
            <w:tcW w:w="2694" w:type="dxa"/>
            <w:tcBorders>
              <w:bottom w:val="single" w:sz="12" w:space="0" w:color="auto"/>
              <w:right w:val="single" w:sz="12" w:space="0" w:color="auto"/>
            </w:tcBorders>
          </w:tcPr>
          <w:p w:rsidR="006E00BC" w:rsidRPr="007C40F9" w:rsidRDefault="006E00BC" w:rsidP="006E00BC">
            <w:pPr>
              <w:rPr>
                <w:b/>
                <w:sz w:val="24"/>
                <w:szCs w:val="24"/>
              </w:rPr>
            </w:pPr>
            <w:r w:rsidRPr="007C40F9">
              <w:rPr>
                <w:b/>
                <w:sz w:val="24"/>
                <w:szCs w:val="24"/>
              </w:rPr>
              <w:t>Previously reported in</w:t>
            </w:r>
          </w:p>
        </w:tc>
        <w:tc>
          <w:tcPr>
            <w:tcW w:w="6378" w:type="dxa"/>
            <w:tcBorders>
              <w:left w:val="single" w:sz="12" w:space="0" w:color="auto"/>
              <w:bottom w:val="single" w:sz="12" w:space="0" w:color="auto"/>
            </w:tcBorders>
          </w:tcPr>
          <w:p w:rsidR="006E00BC" w:rsidRPr="007C40F9" w:rsidRDefault="006E00BC" w:rsidP="006E00BC">
            <w:pPr>
              <w:rPr>
                <w:sz w:val="24"/>
                <w:szCs w:val="24"/>
              </w:rPr>
            </w:pPr>
            <w:r w:rsidRPr="007C40F9">
              <w:rPr>
                <w:i/>
                <w:noProof/>
                <w:sz w:val="24"/>
                <w:szCs w:val="24"/>
              </w:rPr>
              <w:t xml:space="preserve">Delegated legislation monitor </w:t>
            </w:r>
            <w:r w:rsidRPr="007C40F9">
              <w:rPr>
                <w:noProof/>
                <w:sz w:val="24"/>
                <w:szCs w:val="24"/>
              </w:rPr>
              <w:t>No. 11 of 2015</w:t>
            </w:r>
          </w:p>
        </w:tc>
      </w:tr>
    </w:tbl>
    <w:p w:rsidR="006E00BC" w:rsidRPr="007C40F9" w:rsidRDefault="006E00BC" w:rsidP="006E00BC"/>
    <w:p w:rsidR="006E00BC" w:rsidRPr="007C40F9" w:rsidRDefault="006E00BC" w:rsidP="006E00BC">
      <w:pPr>
        <w:rPr>
          <w:b/>
          <w:noProof/>
        </w:rPr>
      </w:pPr>
      <w:r w:rsidRPr="007C40F9">
        <w:rPr>
          <w:b/>
          <w:noProof/>
        </w:rPr>
        <w:t>Incorporation of extrinsic material</w:t>
      </w:r>
    </w:p>
    <w:p w:rsidR="006E00BC" w:rsidRDefault="006E00BC" w:rsidP="006E00BC">
      <w:pPr>
        <w:rPr>
          <w:noProof/>
        </w:rPr>
      </w:pPr>
      <w:r w:rsidRPr="007C40F9">
        <w:rPr>
          <w:noProof/>
        </w:rPr>
        <w:t xml:space="preserve">The </w:t>
      </w:r>
      <w:r>
        <w:rPr>
          <w:noProof/>
        </w:rPr>
        <w:t>committee commented as follows:</w:t>
      </w:r>
    </w:p>
    <w:p w:rsidR="006E00BC" w:rsidRPr="007C40F9" w:rsidRDefault="006E00BC" w:rsidP="006E00BC">
      <w:r w:rsidRPr="007C40F9">
        <w:t xml:space="preserve">This instrument provides for procedures for estimating greenhouse gas abatement for offsets projects under the </w:t>
      </w:r>
      <w:r w:rsidRPr="007C40F9">
        <w:rPr>
          <w:i/>
        </w:rPr>
        <w:t xml:space="preserve">Carbon Credits (Carbon Farming Initiative) Act </w:t>
      </w:r>
      <w:r w:rsidRPr="007C40F9">
        <w:t>2</w:t>
      </w:r>
      <w:r w:rsidRPr="007C40F9">
        <w:rPr>
          <w:i/>
        </w:rPr>
        <w:t>011</w:t>
      </w:r>
      <w:r w:rsidRPr="007C40F9">
        <w:t>.</w:t>
      </w:r>
    </w:p>
    <w:p w:rsidR="006E00BC" w:rsidRPr="007C40F9" w:rsidRDefault="006E00BC" w:rsidP="006E00BC">
      <w:r w:rsidRPr="007C40F9">
        <w:t xml:space="preserve">Section 14 of the </w:t>
      </w:r>
      <w:r w:rsidRPr="007C40F9">
        <w:rPr>
          <w:i/>
        </w:rPr>
        <w:t xml:space="preserve">Legislative Instruments Act 2003 </w:t>
      </w:r>
      <w:r w:rsidRPr="007C40F9">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6E00BC" w:rsidRPr="007C40F9" w:rsidRDefault="006E00BC" w:rsidP="006E00BC">
      <w:r w:rsidRPr="007C40F9">
        <w:t xml:space="preserve">Subsection 106(8) of the authorising legislation for the instrument (the </w:t>
      </w:r>
      <w:r w:rsidRPr="007C40F9">
        <w:rPr>
          <w:i/>
        </w:rPr>
        <w:t>Carbon Credits (Carbon Farming Initiative) Act 2011</w:t>
      </w:r>
      <w:r w:rsidRPr="007C40F9">
        <w:t xml:space="preserve">) provides that instruments may apply, adopt or incorporate (with or without modifications) matter contained in any other instrument or writing 'as in force or existing at a particular time' or 'as in force or existing from time to time' (thereby altering the effect of section 14 of the </w:t>
      </w:r>
      <w:r w:rsidRPr="007C40F9">
        <w:rPr>
          <w:i/>
        </w:rPr>
        <w:t>Legislative Instruments Act 2003</w:t>
      </w:r>
      <w:r w:rsidRPr="007C40F9">
        <w:t>).</w:t>
      </w:r>
    </w:p>
    <w:p w:rsidR="006E00BC" w:rsidRPr="007C40F9" w:rsidRDefault="006E00BC" w:rsidP="006E00BC">
      <w:r w:rsidRPr="007C40F9">
        <w:t>With reference to the above, the committee notes that various provisions of the instrument refer to the ‘NGER (Measurement) Determination’ which is defined in section 5 of the instrument as the National Greenhouse and Energy Reporting (Measurement) Determination 2008. However, neither the instrument nor the explanatory statement (ES) expressly states the manner in which the determination in question is incorporated.</w:t>
      </w:r>
    </w:p>
    <w:p w:rsidR="006E00BC" w:rsidRPr="007C40F9" w:rsidRDefault="006E00BC" w:rsidP="006E00BC">
      <w:pPr>
        <w:rPr>
          <w:i/>
        </w:rPr>
      </w:pPr>
      <w:r w:rsidRPr="007C40F9">
        <w:t xml:space="preserve">The committee's usual expectation where an instrument incorporates extrinsic material by reference is that the manner of incorporation is clearly specified in the instrument </w:t>
      </w:r>
      <w:r w:rsidRPr="007C40F9">
        <w:lastRenderedPageBreak/>
        <w:t>and, ideally, in the ES. The committee regards this as a best-practice approach that enables anticipated users or persons affected by any such instrument to understand its operation without the need to rely on specialist legal knowledge or advice, or consult extrinsic material</w:t>
      </w:r>
      <w:r w:rsidRPr="007C40F9">
        <w:rPr>
          <w:i/>
        </w:rPr>
        <w:t>.</w:t>
      </w:r>
    </w:p>
    <w:p w:rsidR="006E00BC" w:rsidRPr="0068640B" w:rsidRDefault="006E00BC" w:rsidP="006E00BC">
      <w:r w:rsidRPr="0068640B">
        <w:rPr>
          <w:b/>
        </w:rPr>
        <w:t>The committee requests the advice of the minister in relation to this matter</w:t>
      </w:r>
      <w:r w:rsidRPr="0068640B">
        <w:t>.</w:t>
      </w:r>
    </w:p>
    <w:p w:rsidR="006E00BC" w:rsidRPr="007C40F9" w:rsidRDefault="006E00BC" w:rsidP="006E00BC">
      <w:pPr>
        <w:rPr>
          <w:b/>
          <w:noProof/>
        </w:rPr>
      </w:pPr>
      <w:r w:rsidRPr="007C40F9">
        <w:rPr>
          <w:b/>
          <w:noProof/>
        </w:rPr>
        <w:t>Minister's response</w:t>
      </w:r>
    </w:p>
    <w:p w:rsidR="006E00BC" w:rsidRPr="007C40F9" w:rsidRDefault="006E00BC" w:rsidP="006E00BC">
      <w:pPr>
        <w:rPr>
          <w:noProof/>
        </w:rPr>
      </w:pPr>
      <w:r>
        <w:rPr>
          <w:noProof/>
        </w:rPr>
        <w:t>The M</w:t>
      </w:r>
      <w:r w:rsidRPr="007C40F9">
        <w:rPr>
          <w:noProof/>
        </w:rPr>
        <w:t>inister for the Environment advised:</w:t>
      </w:r>
    </w:p>
    <w:p w:rsidR="006E00BC" w:rsidRPr="007C40F9" w:rsidRDefault="006E00BC" w:rsidP="006E00BC">
      <w:pPr>
        <w:ind w:left="851" w:right="851"/>
        <w:rPr>
          <w:noProof/>
          <w:sz w:val="24"/>
        </w:rPr>
      </w:pPr>
      <w:r w:rsidRPr="007C40F9">
        <w:rPr>
          <w:noProof/>
          <w:sz w:val="24"/>
        </w:rPr>
        <w:t>The Facilities Method incorporates the</w:t>
      </w:r>
      <w:r w:rsidRPr="007C40F9">
        <w:rPr>
          <w:i/>
          <w:noProof/>
          <w:sz w:val="24"/>
        </w:rPr>
        <w:t xml:space="preserve"> National Greenhouse and Energy Reporting (Measurement) Determination 2008 </w:t>
      </w:r>
      <w:r w:rsidRPr="007C40F9">
        <w:rPr>
          <w:noProof/>
          <w:sz w:val="24"/>
        </w:rPr>
        <w:t xml:space="preserve">as in force from time to time. This occurs through section 10 of the </w:t>
      </w:r>
      <w:r w:rsidRPr="007C40F9">
        <w:rPr>
          <w:i/>
          <w:noProof/>
          <w:sz w:val="24"/>
        </w:rPr>
        <w:t>Acts Interpretation Act 1901</w:t>
      </w:r>
      <w:r w:rsidRPr="007C40F9">
        <w:rPr>
          <w:noProof/>
          <w:sz w:val="24"/>
        </w:rPr>
        <w:t xml:space="preserve"> (as applied by paragraph 13(1)(a) of the </w:t>
      </w:r>
      <w:r w:rsidRPr="007C40F9">
        <w:rPr>
          <w:i/>
          <w:noProof/>
          <w:sz w:val="24"/>
        </w:rPr>
        <w:t>Legislative Instruments Act 2003</w:t>
      </w:r>
      <w:r w:rsidRPr="007C40F9">
        <w:rPr>
          <w:noProof/>
          <w:sz w:val="24"/>
        </w:rPr>
        <w:t xml:space="preserve">), which has the effect that references to external documents which are Commonwealth disallowable legislative instruments (such as the </w:t>
      </w:r>
      <w:r w:rsidRPr="007C40F9">
        <w:rPr>
          <w:i/>
          <w:noProof/>
          <w:sz w:val="24"/>
        </w:rPr>
        <w:t>National Greenhouse Emissions Reporting (Measurement) Determination 2008</w:t>
      </w:r>
      <w:r w:rsidRPr="007C40F9">
        <w:rPr>
          <w:noProof/>
          <w:sz w:val="24"/>
        </w:rPr>
        <w:t>) are taken to be references to versions of those instruments as in force from time to time.</w:t>
      </w:r>
    </w:p>
    <w:p w:rsidR="006E00BC" w:rsidRPr="007C40F9" w:rsidRDefault="006E00BC" w:rsidP="006E00BC">
      <w:pPr>
        <w:ind w:left="851" w:right="851"/>
        <w:rPr>
          <w:noProof/>
          <w:sz w:val="24"/>
        </w:rPr>
      </w:pPr>
      <w:r w:rsidRPr="007C40F9">
        <w:rPr>
          <w:noProof/>
          <w:sz w:val="24"/>
        </w:rPr>
        <w:t>It is also the standard drafting practice of the Office of Parliamentary Counsel, who drafted the Facilities Method, to not expressly state the manner of incorporation if the material being incorporated is a Commonwealth Act or a Commonwealth disallowable legislative instrument and the intention is that the material be incorporated as in force from time to time.</w:t>
      </w:r>
    </w:p>
    <w:p w:rsidR="006E00BC" w:rsidRPr="007C40F9" w:rsidRDefault="006E00BC" w:rsidP="006E00BC">
      <w:pPr>
        <w:rPr>
          <w:b/>
          <w:noProof/>
        </w:rPr>
      </w:pPr>
      <w:r w:rsidRPr="007C40F9">
        <w:rPr>
          <w:b/>
          <w:noProof/>
        </w:rPr>
        <w:t>Committee's response</w:t>
      </w:r>
    </w:p>
    <w:p w:rsidR="006E00BC" w:rsidRPr="007C40F9" w:rsidRDefault="006E00BC" w:rsidP="006E00BC">
      <w:pPr>
        <w:rPr>
          <w:b/>
          <w:noProof/>
        </w:rPr>
      </w:pPr>
      <w:r w:rsidRPr="007C40F9">
        <w:rPr>
          <w:b/>
          <w:noProof/>
        </w:rPr>
        <w:t>The committee thanks the minister for his response</w:t>
      </w:r>
      <w:r>
        <w:rPr>
          <w:b/>
          <w:noProof/>
        </w:rPr>
        <w:t xml:space="preserve"> </w:t>
      </w:r>
      <w:r w:rsidRPr="00E96379">
        <w:rPr>
          <w:b/>
          <w:noProof/>
        </w:rPr>
        <w:t>and has concluded its examination of the instrument.</w:t>
      </w:r>
    </w:p>
    <w:p w:rsidR="006E00BC" w:rsidRDefault="006E00BC" w:rsidP="006E00BC">
      <w:pPr>
        <w:rPr>
          <w:noProof/>
        </w:rPr>
      </w:pPr>
      <w:r w:rsidRPr="000D2646">
        <w:rPr>
          <w:noProof/>
        </w:rPr>
        <w:t xml:space="preserve">However, while the committee </w:t>
      </w:r>
      <w:r>
        <w:rPr>
          <w:noProof/>
        </w:rPr>
        <w:t xml:space="preserve">is grateful for the minister's clarification </w:t>
      </w:r>
      <w:r w:rsidRPr="000D2646">
        <w:rPr>
          <w:noProof/>
        </w:rPr>
        <w:t>that the National Greenhouse and Energy Reporting (Measurement) Determination 2008 is incorporated as in force from time, it reiterates its usual expectation that</w:t>
      </w:r>
      <w:r>
        <w:rPr>
          <w:noProof/>
        </w:rPr>
        <w:t>,</w:t>
      </w:r>
      <w:r w:rsidRPr="000D2646">
        <w:rPr>
          <w:noProof/>
        </w:rPr>
        <w:t xml:space="preserve"> where an instrument incorporates extrinsic material by reference, the manner of incorporation is clearly specified in the instrument and, ideally, in the </w:t>
      </w:r>
      <w:r>
        <w:rPr>
          <w:noProof/>
        </w:rPr>
        <w:t>explanatory statement (</w:t>
      </w:r>
      <w:r w:rsidRPr="000D2646">
        <w:rPr>
          <w:noProof/>
        </w:rPr>
        <w:t>ES</w:t>
      </w:r>
      <w:r>
        <w:rPr>
          <w:noProof/>
        </w:rPr>
        <w:t>)</w:t>
      </w:r>
      <w:r w:rsidRPr="000D2646">
        <w:rPr>
          <w:noProof/>
        </w:rPr>
        <w:t>. This approach enables anticipated users or persons affected by any such instrument to understand its operation without the need to rely on specialist legal knowledge or advice, or consult extrinsic material, including legislation not identified in the instrument.</w:t>
      </w:r>
    </w:p>
    <w:p w:rsidR="006E00BC" w:rsidRDefault="006E00BC" w:rsidP="006E00BC">
      <w:pPr>
        <w:spacing w:after="0"/>
        <w:jc w:val="left"/>
        <w:rPr>
          <w:noProof/>
        </w:rPr>
      </w:pPr>
      <w:r>
        <w:rPr>
          <w:noProof/>
        </w:rPr>
        <w:br w:type="page"/>
      </w:r>
    </w:p>
    <w:p w:rsidR="006E00BC" w:rsidRPr="00164622"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t>Instrument</w:t>
            </w:r>
          </w:p>
        </w:tc>
        <w:tc>
          <w:tcPr>
            <w:tcW w:w="6378" w:type="dxa"/>
            <w:tcBorders>
              <w:top w:val="single" w:sz="12" w:space="0" w:color="auto"/>
              <w:left w:val="single" w:sz="12" w:space="0" w:color="auto"/>
            </w:tcBorders>
          </w:tcPr>
          <w:p w:rsidR="006E00BC" w:rsidRPr="006308B5" w:rsidRDefault="006E00BC" w:rsidP="006E00BC">
            <w:pPr>
              <w:pStyle w:val="Heading3"/>
              <w:rPr>
                <w:noProof/>
                <w:sz w:val="24"/>
                <w:szCs w:val="24"/>
              </w:rPr>
            </w:pPr>
            <w:r w:rsidRPr="006308B5">
              <w:rPr>
                <w:noProof/>
                <w:sz w:val="24"/>
                <w:szCs w:val="24"/>
              </w:rPr>
              <w:t>Comptroller-General of Customs Instrument of Approval No. 2 of 2015 [F2015L01501]</w:t>
            </w:r>
          </w:p>
          <w:p w:rsidR="006E00BC" w:rsidRPr="006308B5" w:rsidRDefault="006E00BC" w:rsidP="006E00BC">
            <w:pPr>
              <w:pStyle w:val="Heading3"/>
              <w:rPr>
                <w:noProof/>
                <w:sz w:val="24"/>
                <w:szCs w:val="24"/>
              </w:rPr>
            </w:pPr>
            <w:r w:rsidRPr="006308B5">
              <w:rPr>
                <w:noProof/>
                <w:sz w:val="24"/>
                <w:szCs w:val="24"/>
              </w:rPr>
              <w:t>Comptroller-General of Customs Instrument of Approval No. 12 of 2015 [F2015L01541]</w:t>
            </w:r>
          </w:p>
          <w:p w:rsidR="006E00BC" w:rsidRPr="006308B5" w:rsidRDefault="006E00BC" w:rsidP="006E00BC">
            <w:pPr>
              <w:pStyle w:val="Heading3"/>
              <w:rPr>
                <w:noProof/>
                <w:sz w:val="24"/>
                <w:szCs w:val="24"/>
              </w:rPr>
            </w:pPr>
            <w:r w:rsidRPr="006308B5">
              <w:rPr>
                <w:noProof/>
                <w:sz w:val="24"/>
                <w:szCs w:val="24"/>
              </w:rPr>
              <w:t>Comptroller-General of Customs Instrument of Approval No. 14 of 2015 [F2015L01529]</w:t>
            </w:r>
          </w:p>
          <w:p w:rsidR="006E00BC" w:rsidRPr="00BA36F8" w:rsidRDefault="006E00BC" w:rsidP="006E00BC">
            <w:pPr>
              <w:pStyle w:val="Heading3"/>
              <w:rPr>
                <w:sz w:val="24"/>
                <w:szCs w:val="24"/>
              </w:rPr>
            </w:pPr>
            <w:r w:rsidRPr="006308B5">
              <w:rPr>
                <w:noProof/>
                <w:sz w:val="24"/>
                <w:szCs w:val="24"/>
              </w:rPr>
              <w:t>Comptroller-General of Customs Instrument of Approval No. 15 of 2015 [F2015L01532]</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C4226E">
              <w:rPr>
                <w:noProof/>
                <w:sz w:val="24"/>
                <w:szCs w:val="24"/>
              </w:rPr>
              <w:t xml:space="preserve">The instruments address the effect of sunsetting under section 50 of the </w:t>
            </w:r>
            <w:r w:rsidRPr="00C4226E">
              <w:rPr>
                <w:i/>
                <w:noProof/>
                <w:sz w:val="24"/>
                <w:szCs w:val="24"/>
              </w:rPr>
              <w:t>Legislative Instruments Act 2003</w:t>
            </w:r>
            <w:r w:rsidRPr="00C4226E">
              <w:rPr>
                <w:noProof/>
                <w:sz w:val="24"/>
                <w:szCs w:val="24"/>
              </w:rPr>
              <w:t xml:space="preserve"> and maintain the collection of information in accordance with a requirement under subsections 71AAAF(1) and 71L(1) of the </w:t>
            </w:r>
            <w:r w:rsidRPr="00C4226E">
              <w:rPr>
                <w:i/>
                <w:noProof/>
                <w:sz w:val="24"/>
                <w:szCs w:val="24"/>
              </w:rPr>
              <w:t>Customs Act 1901</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6308B5">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6308B5">
              <w:rPr>
                <w:i/>
                <w:noProof/>
                <w:sz w:val="24"/>
                <w:szCs w:val="24"/>
              </w:rPr>
              <w:t>Customs Act 1901</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6308B5">
              <w:rPr>
                <w:noProof/>
                <w:sz w:val="24"/>
                <w:szCs w:val="24"/>
              </w:rPr>
              <w:t>Immigration and Border Protection</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sz w:val="24"/>
                <w:szCs w:val="24"/>
              </w:rPr>
            </w:pPr>
            <w:r>
              <w:rPr>
                <w:sz w:val="24"/>
                <w:szCs w:val="24"/>
              </w:rPr>
              <w:t>Standing Order 23(3)</w:t>
            </w:r>
            <w:r w:rsidRPr="006308B5">
              <w:rPr>
                <w:noProof/>
                <w:sz w:val="24"/>
                <w:szCs w:val="24"/>
              </w:rPr>
              <w:t>(a)</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B6557D">
              <w:rPr>
                <w:noProof/>
                <w:sz w:val="24"/>
                <w:szCs w:val="24"/>
              </w:rPr>
              <w:t>No. 14 of 2015</w:t>
            </w:r>
          </w:p>
        </w:tc>
      </w:tr>
    </w:tbl>
    <w:p w:rsidR="006E00BC" w:rsidRDefault="006E00BC" w:rsidP="006E00BC"/>
    <w:p w:rsidR="006E00BC" w:rsidRDefault="006E00BC" w:rsidP="006E00BC">
      <w:pPr>
        <w:spacing w:after="120"/>
        <w:rPr>
          <w:b/>
          <w:noProof/>
        </w:rPr>
      </w:pPr>
      <w:r w:rsidRPr="006308B5">
        <w:rPr>
          <w:b/>
          <w:noProof/>
        </w:rPr>
        <w:t>Incorporation of extrinsic material</w:t>
      </w:r>
    </w:p>
    <w:p w:rsidR="006E00BC" w:rsidRDefault="006E00BC" w:rsidP="006E00BC">
      <w:pPr>
        <w:spacing w:after="120"/>
        <w:rPr>
          <w:noProof/>
        </w:rPr>
      </w:pPr>
      <w:r>
        <w:rPr>
          <w:noProof/>
        </w:rPr>
        <w:t>The committee commented as follows:</w:t>
      </w:r>
    </w:p>
    <w:p w:rsidR="006E00BC" w:rsidRDefault="006E00BC" w:rsidP="006E00BC">
      <w:pPr>
        <w:spacing w:after="120"/>
      </w:pPr>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6E00BC" w:rsidRDefault="006E00BC" w:rsidP="006E00BC">
      <w:pPr>
        <w:spacing w:after="120"/>
      </w:pPr>
      <w:r>
        <w:t>With reference to the above, the committee notes that various items of these Instruments of Approval refer to</w:t>
      </w:r>
      <w:r w:rsidRPr="00D44A52">
        <w:rPr>
          <w:i/>
        </w:rPr>
        <w:t xml:space="preserve"> 'UN/LOCODE'</w:t>
      </w:r>
      <w:r>
        <w:t xml:space="preserve"> which is defined at the conclusion of each instrument as 'the code that applies to the place as published by the United Nations Economic Commission for Europe'. Items in these instruments also refer to the '</w:t>
      </w:r>
      <w:r>
        <w:rPr>
          <w:i/>
        </w:rPr>
        <w:t>ISO Country Code</w:t>
      </w:r>
      <w:r>
        <w:t>' which is defined, in relation to a country, as '</w:t>
      </w:r>
      <w:r w:rsidRPr="007D0700">
        <w:t>the code for that country as set out in ISO 3166</w:t>
      </w:r>
      <w:r w:rsidRPr="007D0700">
        <w:rPr>
          <w:rFonts w:ascii="MS Mincho" w:eastAsia="MS Mincho" w:hAnsi="MS Mincho" w:cs="MS Mincho" w:hint="eastAsia"/>
        </w:rPr>
        <w:t>‑</w:t>
      </w:r>
      <w:r w:rsidRPr="007D0700">
        <w:t xml:space="preserve">1: 1997 </w:t>
      </w:r>
      <w:r w:rsidRPr="007D0700">
        <w:rPr>
          <w:i/>
        </w:rPr>
        <w:t>Codes for the representation of names of countries and their subdivisions</w:t>
      </w:r>
      <w:r w:rsidRPr="007D0700">
        <w:t xml:space="preserve"> </w:t>
      </w:r>
      <w:r w:rsidRPr="007D0700">
        <w:rPr>
          <w:rFonts w:ascii="MS Mincho" w:eastAsia="MS Mincho" w:hAnsi="MS Mincho" w:cs="MS Mincho" w:hint="eastAsia"/>
        </w:rPr>
        <w:t>‑</w:t>
      </w:r>
      <w:r w:rsidRPr="007D0700">
        <w:t xml:space="preserve"> Part 1: Country codes (as published by the International Organization for Standardization)</w:t>
      </w:r>
      <w:r>
        <w:t>'.</w:t>
      </w:r>
    </w:p>
    <w:p w:rsidR="006E00BC" w:rsidRDefault="006E00BC" w:rsidP="006E00BC">
      <w:pPr>
        <w:spacing w:after="120"/>
      </w:pPr>
      <w:r>
        <w:t>I</w:t>
      </w:r>
      <w:r w:rsidRPr="003D7350">
        <w:t>nstrument of Approval No. 14</w:t>
      </w:r>
      <w:r>
        <w:t xml:space="preserve"> also refers to '</w:t>
      </w:r>
      <w:r>
        <w:rPr>
          <w:i/>
        </w:rPr>
        <w:t>ISO Currency Code</w:t>
      </w:r>
      <w:r>
        <w:t xml:space="preserve">' which is defined, </w:t>
      </w:r>
      <w:r w:rsidRPr="003D7350">
        <w:t>in relation to a currency,</w:t>
      </w:r>
      <w:r>
        <w:t xml:space="preserve"> as '</w:t>
      </w:r>
      <w:r w:rsidRPr="003D7350">
        <w:t xml:space="preserve">the code for that currency as set out in </w:t>
      </w:r>
      <w:r w:rsidRPr="003D7350">
        <w:lastRenderedPageBreak/>
        <w:t>ISO 4217: 2001 </w:t>
      </w:r>
      <w:r w:rsidRPr="003D7350">
        <w:rPr>
          <w:i/>
          <w:iCs/>
        </w:rPr>
        <w:t>Codes for the representation of currencies and funds</w:t>
      </w:r>
      <w:r>
        <w:t xml:space="preserve"> </w:t>
      </w:r>
      <w:r w:rsidRPr="003D7350">
        <w:t>(as published by the International Organization for Standardization)</w:t>
      </w:r>
      <w:r>
        <w:t>'. In two of the instruments (Approval Nos. 2 and 12) the '</w:t>
      </w:r>
      <w:r>
        <w:rPr>
          <w:i/>
        </w:rPr>
        <w:t>ISO Country Code</w:t>
      </w:r>
      <w:r>
        <w:t>' is incorporated '</w:t>
      </w:r>
      <w:r w:rsidRPr="00571EC7">
        <w:t>as in force when this instrument commences</w:t>
      </w:r>
      <w:r>
        <w:t>'; however, in relation to the '</w:t>
      </w:r>
      <w:r>
        <w:rPr>
          <w:i/>
        </w:rPr>
        <w:t>UN/LOCODE</w:t>
      </w:r>
      <w:r>
        <w:t>' and the '</w:t>
      </w:r>
      <w:r w:rsidRPr="0088483B">
        <w:rPr>
          <w:i/>
        </w:rPr>
        <w:t>ISO Country Code</w:t>
      </w:r>
      <w:r>
        <w:t xml:space="preserve">' in the remaining two instruments, neither the text of the instruments nor the ESs expressly state the manner in which the codes in question are incorporated. </w:t>
      </w:r>
    </w:p>
    <w:p w:rsidR="006E00BC" w:rsidRDefault="006E00BC" w:rsidP="006E00BC">
      <w:pPr>
        <w:spacing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E00BC" w:rsidRDefault="006E00BC" w:rsidP="006E00BC">
      <w:r w:rsidRPr="00636938">
        <w:rPr>
          <w:b/>
        </w:rPr>
        <w:t xml:space="preserve">The committee requests </w:t>
      </w:r>
      <w:r>
        <w:rPr>
          <w:b/>
        </w:rPr>
        <w:t>the advice of the minister in relation to</w:t>
      </w:r>
      <w:r w:rsidRPr="00636938">
        <w:rPr>
          <w:b/>
        </w:rPr>
        <w:t xml:space="preserve"> this matter</w:t>
      </w:r>
      <w:r w:rsidRPr="00C4226E">
        <w:rPr>
          <w:b/>
        </w:rPr>
        <w:t>.</w:t>
      </w:r>
    </w:p>
    <w:p w:rsidR="006E00BC" w:rsidRPr="00C4226E" w:rsidRDefault="006E00BC" w:rsidP="006E00BC">
      <w:pPr>
        <w:rPr>
          <w:b/>
          <w:noProof/>
        </w:rPr>
      </w:pPr>
      <w:r w:rsidRPr="00C4226E">
        <w:rPr>
          <w:b/>
          <w:noProof/>
        </w:rPr>
        <w:t>Minister's response</w:t>
      </w:r>
    </w:p>
    <w:p w:rsidR="006E00BC" w:rsidRDefault="006E00BC" w:rsidP="006E00BC">
      <w:pPr>
        <w:rPr>
          <w:noProof/>
        </w:rPr>
      </w:pPr>
      <w:r>
        <w:rPr>
          <w:noProof/>
        </w:rPr>
        <w:t>The Minister for Immigration and Border Protection advised:</w:t>
      </w:r>
    </w:p>
    <w:p w:rsidR="006E00BC" w:rsidRDefault="006E00BC" w:rsidP="006E00BC">
      <w:pPr>
        <w:pStyle w:val="Quote"/>
        <w:spacing w:after="120"/>
        <w:rPr>
          <w:noProof/>
        </w:rPr>
      </w:pPr>
      <w:r>
        <w:rPr>
          <w:noProof/>
        </w:rPr>
        <w:t xml:space="preserve">The Committee's comments relate to the UN/LOCODE, the ISO Country Code and the ISO Currency Code that are referred to in the Instruments of Approval which provide for information that must be communicated to the Department electronically through the Integrated Cargo System (the ICS). The ICS is a software application that is used for all import and export reporting and processing procedures and is the only method of electronically reporting the legitimate movement of goods across Australia's borders. </w:t>
      </w:r>
    </w:p>
    <w:p w:rsidR="006E00BC" w:rsidRDefault="006E00BC" w:rsidP="006E00BC">
      <w:pPr>
        <w:pStyle w:val="Quote"/>
        <w:spacing w:after="120"/>
        <w:rPr>
          <w:noProof/>
        </w:rPr>
      </w:pPr>
      <w:r>
        <w:rPr>
          <w:noProof/>
        </w:rPr>
        <w:t xml:space="preserve">I agree with the Committee's view that the relevant codes are incorporated as extrinsic material in the relevant instruments. </w:t>
      </w:r>
    </w:p>
    <w:p w:rsidR="006E00BC" w:rsidRDefault="006E00BC" w:rsidP="006E00BC">
      <w:pPr>
        <w:pStyle w:val="Quote"/>
        <w:spacing w:after="120"/>
        <w:rPr>
          <w:noProof/>
        </w:rPr>
      </w:pPr>
      <w:r>
        <w:rPr>
          <w:noProof/>
        </w:rPr>
        <w:t xml:space="preserve">The materials are not legislative instruments and are incorporated to provide for those codes relevantly published by the United Nations Economic Commission for Europe, set out in ISO 3166-1: 1997 Codes for the representation of names of countries and their subdivisions - Part 1: Country codes (as published by the International Organization for Standardization), or set out in ISO 4217: 2001 Codes for the representation of currencies and funds (also as published by the International Organization for Standardization), at the time the instruments commence. </w:t>
      </w:r>
    </w:p>
    <w:p w:rsidR="006E00BC" w:rsidRDefault="006E00BC" w:rsidP="006E00BC">
      <w:pPr>
        <w:pStyle w:val="Quote"/>
        <w:spacing w:after="120"/>
        <w:rPr>
          <w:noProof/>
        </w:rPr>
      </w:pPr>
      <w:r>
        <w:rPr>
          <w:noProof/>
        </w:rPr>
        <w:t>For companies or individuals to become users of the ICS, certain requirements (such as holding a digital certificate) and particular technical specifications must be met. As such, one time or infrequent importers or exporters would generally engage the services of a Customs broker to conduct business on their behalf. Use of the ICS is predominantly by cargo industry professionals who are familiar with the international standard identified UN/LOCODE, ISO Country Code and ISO Currency Code. For this reason, the manner of incorporation of the codes as extrinsic material was not specified in the instruments themselves.</w:t>
      </w:r>
    </w:p>
    <w:p w:rsidR="006E00BC" w:rsidRDefault="006E00BC" w:rsidP="006E00BC">
      <w:pPr>
        <w:pStyle w:val="Quote"/>
        <w:spacing w:after="120"/>
        <w:rPr>
          <w:noProof/>
        </w:rPr>
      </w:pPr>
      <w:r>
        <w:rPr>
          <w:noProof/>
        </w:rPr>
        <w:lastRenderedPageBreak/>
        <w:t>I accept the Committee's expectations, however, that the manner of incorporation of extrinsic material is clearly specified in the instrument and the Explanatory Statement, and undertake to ensure that future instruments and Explanatory Statements are consistent with those expectations.</w:t>
      </w:r>
    </w:p>
    <w:p w:rsidR="006E00BC" w:rsidRPr="00C4226E" w:rsidRDefault="006E00BC" w:rsidP="006E00BC">
      <w:pPr>
        <w:rPr>
          <w:b/>
          <w:noProof/>
        </w:rPr>
      </w:pPr>
      <w:r w:rsidRPr="00C4226E">
        <w:rPr>
          <w:b/>
          <w:noProof/>
        </w:rPr>
        <w:t>Committee's response</w:t>
      </w:r>
    </w:p>
    <w:p w:rsidR="006E00BC" w:rsidRPr="00C4226E" w:rsidRDefault="006E00BC" w:rsidP="006E00BC">
      <w:pPr>
        <w:spacing w:after="120"/>
        <w:rPr>
          <w:b/>
          <w:noProof/>
        </w:rPr>
      </w:pPr>
      <w:r w:rsidRPr="00C4226E">
        <w:rPr>
          <w:b/>
          <w:noProof/>
        </w:rPr>
        <w:t>The committee thanks the minister for his response and has concluded its examination of the instrument.</w:t>
      </w:r>
    </w:p>
    <w:p w:rsidR="006E00BC" w:rsidRDefault="006E00BC" w:rsidP="006E00BC">
      <w:pPr>
        <w:rPr>
          <w:noProof/>
        </w:rPr>
      </w:pPr>
      <w:r>
        <w:rPr>
          <w:noProof/>
        </w:rPr>
        <w:t>T</w:t>
      </w:r>
      <w:r w:rsidRPr="00C4226E">
        <w:rPr>
          <w:noProof/>
        </w:rPr>
        <w:t xml:space="preserve">he committee thanks the Minister </w:t>
      </w:r>
      <w:r>
        <w:rPr>
          <w:noProof/>
        </w:rPr>
        <w:t>Immigration and Border Protection</w:t>
      </w:r>
      <w:r w:rsidRPr="00C4226E">
        <w:rPr>
          <w:noProof/>
        </w:rPr>
        <w:t xml:space="preserve"> for his undertaking that where future </w:t>
      </w:r>
      <w:r>
        <w:rPr>
          <w:noProof/>
        </w:rPr>
        <w:t>instruments</w:t>
      </w:r>
      <w:r w:rsidRPr="00C4226E">
        <w:rPr>
          <w:noProof/>
        </w:rPr>
        <w:t xml:space="preserve"> incorporate </w:t>
      </w:r>
      <w:r>
        <w:rPr>
          <w:noProof/>
        </w:rPr>
        <w:t>extrinsic material</w:t>
      </w:r>
      <w:r w:rsidRPr="00C4226E">
        <w:rPr>
          <w:noProof/>
        </w:rPr>
        <w:t>, the manner of incorporation will be specified to assist readers and users of the instrument</w:t>
      </w:r>
      <w:r>
        <w:rPr>
          <w:noProof/>
        </w:rPr>
        <w:t>s</w:t>
      </w:r>
      <w:r w:rsidRPr="00C4226E">
        <w:rPr>
          <w:noProof/>
        </w:rPr>
        <w:t>.</w:t>
      </w:r>
    </w:p>
    <w:p w:rsidR="006E00BC"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79007F">
              <w:rPr>
                <w:noProof/>
                <w:sz w:val="24"/>
                <w:szCs w:val="24"/>
              </w:rPr>
              <w:t>AASB 132 - Financial Instruments: Presentation - August 2015 [F2015L01605]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79007F">
              <w:rPr>
                <w:noProof/>
                <w:sz w:val="24"/>
                <w:szCs w:val="24"/>
              </w:rPr>
              <w:t>Reissues accounting standards for financial instruments and replaces previous versions of the standard</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79007F">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79007F">
              <w:rPr>
                <w:i/>
                <w:noProof/>
                <w:sz w:val="24"/>
                <w:szCs w:val="24"/>
              </w:rPr>
              <w:t>Corporations Act 2001</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79007F">
              <w:rPr>
                <w:noProof/>
                <w:sz w:val="24"/>
                <w:szCs w:val="24"/>
              </w:rPr>
              <w:t>Treasury</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sz w:val="24"/>
                <w:szCs w:val="24"/>
              </w:rPr>
            </w:pPr>
            <w:r>
              <w:rPr>
                <w:sz w:val="24"/>
                <w:szCs w:val="24"/>
              </w:rPr>
              <w:t>Standing Order 23(3)(</w:t>
            </w:r>
            <w:r w:rsidRPr="0079007F">
              <w:rPr>
                <w:noProof/>
                <w:sz w:val="24"/>
                <w:szCs w:val="24"/>
              </w:rPr>
              <w:t>a</w:t>
            </w:r>
            <w:r>
              <w:rPr>
                <w:noProof/>
                <w:sz w:val="24"/>
                <w:szCs w:val="24"/>
              </w:rPr>
              <w:t>)</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EB5BFF">
              <w:rPr>
                <w:noProof/>
                <w:sz w:val="24"/>
                <w:szCs w:val="24"/>
              </w:rPr>
              <w:t xml:space="preserve">No. </w:t>
            </w:r>
            <w:r w:rsidRPr="0079007F">
              <w:rPr>
                <w:noProof/>
                <w:sz w:val="24"/>
                <w:szCs w:val="24"/>
              </w:rPr>
              <w:t>14</w:t>
            </w:r>
            <w:r>
              <w:rPr>
                <w:noProof/>
                <w:sz w:val="24"/>
                <w:szCs w:val="24"/>
              </w:rPr>
              <w:t xml:space="preserve"> of 2015</w:t>
            </w:r>
          </w:p>
        </w:tc>
      </w:tr>
    </w:tbl>
    <w:p w:rsidR="006E00BC" w:rsidRDefault="006E00BC" w:rsidP="006E00BC">
      <w:pPr>
        <w:rPr>
          <w:b/>
          <w:noProof/>
        </w:rPr>
      </w:pPr>
    </w:p>
    <w:p w:rsidR="006E00BC" w:rsidRDefault="006E00BC" w:rsidP="00C015A1">
      <w:pPr>
        <w:spacing w:after="120"/>
        <w:rPr>
          <w:b/>
        </w:rPr>
      </w:pPr>
      <w:r w:rsidRPr="0079007F">
        <w:rPr>
          <w:b/>
          <w:noProof/>
        </w:rPr>
        <w:t>Incorporation by reference</w:t>
      </w:r>
    </w:p>
    <w:p w:rsidR="006E00BC" w:rsidRDefault="006E00BC" w:rsidP="00C015A1">
      <w:pPr>
        <w:spacing w:after="120"/>
      </w:pPr>
      <w:r>
        <w:t>The committee commented as follows:</w:t>
      </w:r>
    </w:p>
    <w:p w:rsidR="006E00BC" w:rsidRDefault="006E00BC" w:rsidP="00C015A1">
      <w:pPr>
        <w:spacing w:after="120"/>
      </w:pPr>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6E00BC" w:rsidRDefault="006E00BC" w:rsidP="00C015A1">
      <w:pPr>
        <w:spacing w:after="120"/>
      </w:pPr>
      <w:r w:rsidRPr="00CF5136">
        <w:t xml:space="preserve">With reference to the above, the committee notes that various items of this instrument refer to other </w:t>
      </w:r>
      <w:r>
        <w:t>a</w:t>
      </w:r>
      <w:r w:rsidRPr="00CF5136">
        <w:t xml:space="preserve">ccounting </w:t>
      </w:r>
      <w:r>
        <w:t>s</w:t>
      </w:r>
      <w:r w:rsidRPr="00CF5136">
        <w:t>tandards. For example, the instrument states:</w:t>
      </w:r>
    </w:p>
    <w:p w:rsidR="006E00BC" w:rsidRPr="00CF5136" w:rsidRDefault="006E00BC" w:rsidP="00C015A1">
      <w:pPr>
        <w:pStyle w:val="Quote"/>
        <w:spacing w:after="120"/>
      </w:pPr>
      <w:r w:rsidRPr="00CF5136">
        <w:t xml:space="preserve">Australian Accounting Standard AASB 132 </w:t>
      </w:r>
      <w:r w:rsidRPr="00CF5136">
        <w:rPr>
          <w:i/>
        </w:rPr>
        <w:t>Financial Instruments: Presentation</w:t>
      </w:r>
      <w:r w:rsidRPr="00CF5136">
        <w:t xml:space="preserve"> is set out in paragraphs 1 – Aus100.2 and the Appendix.  All the pa</w:t>
      </w:r>
      <w:r>
        <w:t xml:space="preserve">ragraphs have equal authority. </w:t>
      </w:r>
      <w:r w:rsidRPr="00CF5136">
        <w:t>Paragraphs in bold t</w:t>
      </w:r>
      <w:r>
        <w:t xml:space="preserve">ype state the main principles. </w:t>
      </w:r>
      <w:r w:rsidRPr="00CF5136">
        <w:t xml:space="preserve">AASB 132 is to be read in the context of other Australian Accounting Standards, including AASB 1048 </w:t>
      </w:r>
      <w:r w:rsidRPr="00CF5136">
        <w:rPr>
          <w:i/>
        </w:rPr>
        <w:t>Interpretation of Standards</w:t>
      </w:r>
      <w:r w:rsidRPr="00CF5136">
        <w:t xml:space="preserve">, which identifies the Australian Accounting Interpretations, and AASB 1057 </w:t>
      </w:r>
      <w:r w:rsidRPr="00CF5136">
        <w:rPr>
          <w:i/>
        </w:rPr>
        <w:t>Application of Australian Accounting Standards</w:t>
      </w:r>
      <w:r w:rsidRPr="00CF5136">
        <w:t xml:space="preserve">. In the absence of explicit </w:t>
      </w:r>
      <w:r w:rsidRPr="00CF5136">
        <w:lastRenderedPageBreak/>
        <w:t xml:space="preserve">guidance, AASB 108 </w:t>
      </w:r>
      <w:r w:rsidRPr="00397E66">
        <w:rPr>
          <w:i/>
        </w:rPr>
        <w:t>A</w:t>
      </w:r>
      <w:r w:rsidRPr="00CF5136">
        <w:rPr>
          <w:i/>
        </w:rPr>
        <w:t xml:space="preserve">ccounting Policies, Changes in Accounting Estimates and Errors </w:t>
      </w:r>
      <w:r w:rsidRPr="00CF5136">
        <w:t>provides a basis for selecting and applying accounting policies.</w:t>
      </w:r>
    </w:p>
    <w:p w:rsidR="006E00BC" w:rsidRDefault="006E00BC" w:rsidP="006E00BC">
      <w:pPr>
        <w:spacing w:after="120"/>
      </w:pPr>
      <w:r>
        <w:t>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a</w:t>
      </w:r>
      <w:r w:rsidRPr="00CF5136">
        <w:t xml:space="preserve">ccounting </w:t>
      </w:r>
      <w:r>
        <w:t>s</w:t>
      </w:r>
      <w:r w:rsidRPr="00CF5136">
        <w:t>tandards referred to are incorporated.</w:t>
      </w:r>
      <w:r>
        <w:t xml:space="preserve"> </w:t>
      </w:r>
    </w:p>
    <w:p w:rsidR="006E00BC" w:rsidRPr="00823B9D" w:rsidRDefault="006E00BC" w:rsidP="006E00BC">
      <w:pPr>
        <w:spacing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E00BC" w:rsidRPr="00D44A52" w:rsidRDefault="006E00BC" w:rsidP="006E00BC">
      <w:pPr>
        <w:spacing w:after="120"/>
        <w:rPr>
          <w:b/>
        </w:rPr>
      </w:pPr>
      <w:r w:rsidRPr="00212CDA">
        <w:rPr>
          <w:b/>
          <w:noProof/>
        </w:rPr>
        <w:t>The committee requests the advice of the minister in relation to this matter</w:t>
      </w:r>
      <w:r>
        <w:rPr>
          <w:b/>
          <w:noProof/>
        </w:rPr>
        <w:t>.</w:t>
      </w:r>
      <w:r>
        <w:rPr>
          <w:rStyle w:val="FootnoteReference"/>
          <w:b/>
          <w:noProof/>
        </w:rPr>
        <w:footnoteReference w:id="9"/>
      </w:r>
    </w:p>
    <w:p w:rsidR="006E00BC" w:rsidRDefault="006E00BC" w:rsidP="006E00BC">
      <w:pPr>
        <w:spacing w:after="120"/>
        <w:rPr>
          <w:b/>
        </w:rPr>
      </w:pPr>
      <w:r w:rsidRPr="001C078F">
        <w:rPr>
          <w:b/>
        </w:rPr>
        <w:t>Minister's response</w:t>
      </w:r>
    </w:p>
    <w:p w:rsidR="006E00BC" w:rsidRDefault="006E00BC" w:rsidP="006E00BC">
      <w:pPr>
        <w:spacing w:after="120"/>
      </w:pPr>
      <w:r>
        <w:lastRenderedPageBreak/>
        <w:t>The Assistant Minister to the Treasurer advised:</w:t>
      </w:r>
    </w:p>
    <w:p w:rsidR="006E00BC" w:rsidRDefault="006E00BC" w:rsidP="006E00BC">
      <w:pPr>
        <w:pStyle w:val="Quote"/>
        <w:spacing w:after="120"/>
      </w:pPr>
      <w:r>
        <w:t>In my opinion AASB 132 is consistent with the current practice adopted for the full suite of legislative instruments:</w:t>
      </w:r>
    </w:p>
    <w:p w:rsidR="006E00BC" w:rsidRPr="00397E66" w:rsidRDefault="006E00BC" w:rsidP="006E00BC">
      <w:pPr>
        <w:pStyle w:val="Bullet2"/>
        <w:spacing w:after="120"/>
        <w:rPr>
          <w:sz w:val="24"/>
          <w:szCs w:val="24"/>
        </w:rPr>
      </w:pPr>
      <w:r w:rsidRPr="00397E66">
        <w:rPr>
          <w:sz w:val="24"/>
          <w:szCs w:val="24"/>
        </w:rPr>
        <w:t xml:space="preserve">The Accounting Standards referred to in AASB 132 are all disallowable legislative instruments, made under section 334 of the </w:t>
      </w:r>
      <w:r w:rsidRPr="00397E66">
        <w:rPr>
          <w:i/>
          <w:sz w:val="24"/>
          <w:szCs w:val="24"/>
        </w:rPr>
        <w:t>Corporations Act 2001</w:t>
      </w:r>
      <w:r w:rsidRPr="00397E66">
        <w:rPr>
          <w:sz w:val="24"/>
          <w:szCs w:val="24"/>
        </w:rPr>
        <w:t>;</w:t>
      </w:r>
    </w:p>
    <w:p w:rsidR="006E00BC" w:rsidRPr="00397E66" w:rsidRDefault="006E00BC" w:rsidP="006E00BC">
      <w:pPr>
        <w:pStyle w:val="Bullet2"/>
        <w:rPr>
          <w:sz w:val="24"/>
          <w:szCs w:val="24"/>
        </w:rPr>
      </w:pPr>
      <w:r w:rsidRPr="00397E66">
        <w:rPr>
          <w:sz w:val="24"/>
          <w:szCs w:val="24"/>
        </w:rPr>
        <w:t xml:space="preserve">Under section l4(l)(a) of the </w:t>
      </w:r>
      <w:r w:rsidRPr="00397E66">
        <w:rPr>
          <w:i/>
          <w:sz w:val="24"/>
          <w:szCs w:val="24"/>
        </w:rPr>
        <w:t>Legislative Instruments Act 2003</w:t>
      </w:r>
      <w:r w:rsidRPr="00397E66">
        <w:rPr>
          <w:sz w:val="24"/>
          <w:szCs w:val="24"/>
        </w:rPr>
        <w:t xml:space="preserve"> (LIA), a legislative instrument may make provision in relation to a matter by "applying, adopting or incorporating, with or without modification, the provisions of any Act, or of any disallowable legislative instrument, as in force at a particular time or as in force from time to time".</w:t>
      </w:r>
    </w:p>
    <w:p w:rsidR="006E00BC" w:rsidRPr="00397E66" w:rsidRDefault="006E00BC" w:rsidP="006E00BC">
      <w:pPr>
        <w:pStyle w:val="Bullet2"/>
        <w:rPr>
          <w:sz w:val="24"/>
          <w:szCs w:val="24"/>
        </w:rPr>
      </w:pPr>
      <w:r w:rsidRPr="00397E66">
        <w:rPr>
          <w:sz w:val="24"/>
          <w:szCs w:val="24"/>
        </w:rPr>
        <w:t xml:space="preserve">Under section 10(a) of the </w:t>
      </w:r>
      <w:r w:rsidRPr="00397E66">
        <w:rPr>
          <w:i/>
          <w:sz w:val="24"/>
          <w:szCs w:val="24"/>
        </w:rPr>
        <w:t>Acts Interpretation Act 1901</w:t>
      </w:r>
      <w:r w:rsidRPr="00397E66">
        <w:rPr>
          <w:sz w:val="24"/>
          <w:szCs w:val="24"/>
        </w:rPr>
        <w:t xml:space="preserve"> (AIA), where an Act contains a reference to a short title for the citation of another Act as originally enacted, or of another Act as amended, then the reference is to be construed as a reference to that other Act as originally enacted and as amended from time to time;</w:t>
      </w:r>
    </w:p>
    <w:p w:rsidR="006E00BC" w:rsidRPr="00397E66" w:rsidRDefault="006E00BC" w:rsidP="006E00BC">
      <w:pPr>
        <w:pStyle w:val="Bullet2"/>
        <w:rPr>
          <w:sz w:val="24"/>
          <w:szCs w:val="24"/>
        </w:rPr>
      </w:pPr>
      <w:r w:rsidRPr="00397E66">
        <w:rPr>
          <w:sz w:val="24"/>
          <w:szCs w:val="24"/>
        </w:rPr>
        <w:t>Under section 13(1)(a) of the LIA, the AIA applies to a legislative instrument (such as AASB 132 and the incorporated Accounting Standards) as if it were an Act;</w:t>
      </w:r>
    </w:p>
    <w:p w:rsidR="006E00BC" w:rsidRPr="00397E66" w:rsidRDefault="006E00BC" w:rsidP="006E00BC">
      <w:pPr>
        <w:pStyle w:val="Bullet2"/>
        <w:rPr>
          <w:sz w:val="24"/>
          <w:szCs w:val="24"/>
        </w:rPr>
      </w:pPr>
      <w:r w:rsidRPr="00397E66">
        <w:rPr>
          <w:sz w:val="24"/>
          <w:szCs w:val="24"/>
        </w:rPr>
        <w:t xml:space="preserve">Therefore, the references in AASB 132 to the titles of Standards that are legislative instruments: </w:t>
      </w:r>
    </w:p>
    <w:p w:rsidR="006E00BC" w:rsidRPr="00397E66" w:rsidRDefault="006E00BC" w:rsidP="006E00BC">
      <w:pPr>
        <w:pStyle w:val="Bullet2"/>
        <w:ind w:left="1985"/>
        <w:rPr>
          <w:sz w:val="24"/>
          <w:szCs w:val="24"/>
        </w:rPr>
      </w:pPr>
      <w:r w:rsidRPr="00397E66">
        <w:rPr>
          <w:sz w:val="24"/>
          <w:szCs w:val="24"/>
        </w:rPr>
        <w:t>are to be construed as references to those other Standards as originally made and as amended from time to time; and</w:t>
      </w:r>
    </w:p>
    <w:p w:rsidR="006E00BC" w:rsidRPr="00397E66" w:rsidRDefault="006E00BC" w:rsidP="006E00BC">
      <w:pPr>
        <w:pStyle w:val="Bullet2"/>
        <w:ind w:left="1985"/>
        <w:rPr>
          <w:sz w:val="24"/>
          <w:szCs w:val="24"/>
        </w:rPr>
      </w:pPr>
      <w:r w:rsidRPr="00397E66">
        <w:rPr>
          <w:sz w:val="24"/>
          <w:szCs w:val="24"/>
        </w:rPr>
        <w:t>are effective in incorporating provisions of those Standards as in force from time to time, without further specification in AASB 132, for the purposes of section 14(1)(a) of the LIA.</w:t>
      </w:r>
    </w:p>
    <w:p w:rsidR="006E00BC" w:rsidRPr="00397E66" w:rsidRDefault="006E00BC" w:rsidP="006E00BC">
      <w:pPr>
        <w:pStyle w:val="Bullet2"/>
        <w:rPr>
          <w:sz w:val="24"/>
          <w:szCs w:val="24"/>
        </w:rPr>
      </w:pPr>
      <w:r w:rsidRPr="00397E66">
        <w:rPr>
          <w:sz w:val="24"/>
          <w:szCs w:val="24"/>
        </w:rPr>
        <w:t>The Australian Accounting Standards Board (AASB) staff have consulted with the Office of Parliamentary Counsel, which confirms that in not expressly stating that the "incorporated" Standards are incorporated as in force from time to time, AASB 132 is drafted consistently with the long-standing practice adopted by the Office of Parliamentary Counsel in drafting regulations and other legislative instruments that refer to other disallowable legislative instruments (including regulations).</w:t>
      </w:r>
    </w:p>
    <w:p w:rsidR="006E00BC" w:rsidRDefault="006E00BC" w:rsidP="006E00BC">
      <w:r>
        <w:t>Further, the Assistant Minister to the Treasurer provided:</w:t>
      </w:r>
    </w:p>
    <w:p w:rsidR="006E00BC" w:rsidRDefault="006E00BC" w:rsidP="006E00BC">
      <w:pPr>
        <w:pStyle w:val="Quote"/>
      </w:pPr>
      <w:r>
        <w:t xml:space="preserve">…the AASB has also indicated that in future, an explanation could be included in Explanatory Statements for Standards that other Standards were incorporated as in force from time to time to assist readers. </w:t>
      </w:r>
    </w:p>
    <w:p w:rsidR="006E00BC" w:rsidRPr="00E96379" w:rsidRDefault="006E00BC" w:rsidP="006E00BC">
      <w:pPr>
        <w:rPr>
          <w:b/>
        </w:rPr>
      </w:pPr>
      <w:r w:rsidRPr="00E96379">
        <w:rPr>
          <w:b/>
        </w:rPr>
        <w:t>Committee's response</w:t>
      </w:r>
    </w:p>
    <w:p w:rsidR="006E00BC" w:rsidRPr="007C40F9" w:rsidRDefault="006E00BC" w:rsidP="006E00BC">
      <w:pPr>
        <w:rPr>
          <w:b/>
          <w:noProof/>
        </w:rPr>
      </w:pPr>
      <w:r w:rsidRPr="007C40F9">
        <w:rPr>
          <w:b/>
          <w:noProof/>
        </w:rPr>
        <w:t>The committee thanks the</w:t>
      </w:r>
      <w:r>
        <w:rPr>
          <w:b/>
          <w:noProof/>
        </w:rPr>
        <w:t xml:space="preserve"> Assistant Minister to the Treasurer </w:t>
      </w:r>
      <w:r w:rsidRPr="007C40F9">
        <w:rPr>
          <w:b/>
          <w:noProof/>
        </w:rPr>
        <w:t>for his response</w:t>
      </w:r>
      <w:r>
        <w:rPr>
          <w:b/>
          <w:noProof/>
        </w:rPr>
        <w:t xml:space="preserve"> </w:t>
      </w:r>
      <w:r w:rsidRPr="00E96379">
        <w:rPr>
          <w:b/>
          <w:noProof/>
        </w:rPr>
        <w:t>and has concluded its examination of the instrument.</w:t>
      </w:r>
    </w:p>
    <w:p w:rsidR="006E00BC" w:rsidRDefault="006E00BC" w:rsidP="006E00BC">
      <w:pPr>
        <w:rPr>
          <w:noProof/>
        </w:rPr>
      </w:pPr>
      <w:r w:rsidRPr="000D2646">
        <w:rPr>
          <w:noProof/>
        </w:rPr>
        <w:lastRenderedPageBreak/>
        <w:t>Noting that various items of this instrument refer to other accounting standards as in force from time</w:t>
      </w:r>
      <w:r>
        <w:rPr>
          <w:noProof/>
        </w:rPr>
        <w:t xml:space="preserve"> to time</w:t>
      </w:r>
      <w:r w:rsidRPr="000D2646">
        <w:rPr>
          <w:noProof/>
        </w:rPr>
        <w:t xml:space="preserve">, the committee thanks the Assistant Minister to the Treasurer for his undertaking that where future Standards incorporate other Standards, the manner of incorporation will be specified to </w:t>
      </w:r>
      <w:r>
        <w:rPr>
          <w:noProof/>
        </w:rPr>
        <w:t>assis</w:t>
      </w:r>
      <w:r w:rsidRPr="000D2646">
        <w:rPr>
          <w:noProof/>
        </w:rPr>
        <w:t>t</w:t>
      </w:r>
      <w:r>
        <w:rPr>
          <w:noProof/>
        </w:rPr>
        <w:t xml:space="preserve"> readers and users of the instrument</w:t>
      </w:r>
      <w:r w:rsidRPr="000D2646">
        <w:rPr>
          <w:noProof/>
        </w:rPr>
        <w:t>.</w:t>
      </w:r>
    </w:p>
    <w:p w:rsidR="006E00BC" w:rsidRPr="007C40F9" w:rsidRDefault="006E00BC" w:rsidP="006E00BC">
      <w:pPr>
        <w:rPr>
          <w:noProof/>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2D0DB1">
              <w:rPr>
                <w:noProof/>
                <w:sz w:val="24"/>
                <w:szCs w:val="24"/>
              </w:rPr>
              <w:t>Legislation (Exemptions and Other Matters) Regulation</w:t>
            </w:r>
            <w:r>
              <w:rPr>
                <w:noProof/>
                <w:sz w:val="24"/>
                <w:szCs w:val="24"/>
              </w:rPr>
              <w:t> </w:t>
            </w:r>
            <w:r w:rsidRPr="002D0DB1">
              <w:rPr>
                <w:noProof/>
                <w:sz w:val="24"/>
                <w:szCs w:val="24"/>
              </w:rPr>
              <w:t>2015 [F2015L01475]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2D0DB1">
              <w:rPr>
                <w:noProof/>
                <w:sz w:val="24"/>
                <w:szCs w:val="24"/>
              </w:rPr>
              <w:t>Repeals and replaces the Legi</w:t>
            </w:r>
            <w:r>
              <w:rPr>
                <w:noProof/>
                <w:sz w:val="24"/>
                <w:szCs w:val="24"/>
              </w:rPr>
              <w:t>slative Instruments Regulations </w:t>
            </w:r>
            <w:r w:rsidRPr="002D0DB1">
              <w:rPr>
                <w:noProof/>
                <w:sz w:val="24"/>
                <w:szCs w:val="24"/>
              </w:rPr>
              <w:t xml:space="preserve">2004 to implement part of the reforms made by the </w:t>
            </w:r>
            <w:r w:rsidRPr="00A505D4">
              <w:rPr>
                <w:i/>
                <w:noProof/>
                <w:sz w:val="24"/>
                <w:szCs w:val="24"/>
              </w:rPr>
              <w:t>Acts and Instruments (Framework Reform) Act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2D0DB1">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2D0DB1">
              <w:rPr>
                <w:i/>
                <w:noProof/>
                <w:sz w:val="24"/>
                <w:szCs w:val="24"/>
              </w:rPr>
              <w:t>Legislative Instruments Act 2003</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2D0DB1">
              <w:rPr>
                <w:noProof/>
                <w:sz w:val="24"/>
                <w:szCs w:val="24"/>
              </w:rPr>
              <w:t>Attorney-General's</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sz w:val="24"/>
                <w:szCs w:val="24"/>
              </w:rPr>
            </w:pPr>
            <w:r>
              <w:rPr>
                <w:sz w:val="24"/>
                <w:szCs w:val="24"/>
              </w:rPr>
              <w:t>Standing Order 23(3)</w:t>
            </w:r>
            <w:r w:rsidRPr="002D0DB1">
              <w:rPr>
                <w:noProof/>
                <w:sz w:val="24"/>
                <w:szCs w:val="24"/>
              </w:rPr>
              <w:t>(a)</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A505D4">
              <w:rPr>
                <w:noProof/>
                <w:sz w:val="24"/>
                <w:szCs w:val="24"/>
              </w:rPr>
              <w:t>No. 14 of 2015</w:t>
            </w:r>
          </w:p>
        </w:tc>
      </w:tr>
    </w:tbl>
    <w:p w:rsidR="006E00BC" w:rsidRDefault="006E00BC" w:rsidP="006E00BC"/>
    <w:p w:rsidR="006E00BC" w:rsidRDefault="006E00BC" w:rsidP="00C015A1">
      <w:pPr>
        <w:spacing w:after="120"/>
        <w:rPr>
          <w:b/>
          <w:noProof/>
        </w:rPr>
      </w:pPr>
      <w:r w:rsidRPr="002D0DB1">
        <w:rPr>
          <w:b/>
          <w:noProof/>
        </w:rPr>
        <w:t>Exemption of instruments from disallowance</w:t>
      </w:r>
    </w:p>
    <w:p w:rsidR="006E00BC" w:rsidRDefault="006E00BC" w:rsidP="00C015A1">
      <w:pPr>
        <w:spacing w:after="120"/>
        <w:rPr>
          <w:noProof/>
        </w:rPr>
      </w:pPr>
      <w:r>
        <w:rPr>
          <w:noProof/>
        </w:rPr>
        <w:t>The committee commented as follows:</w:t>
      </w:r>
    </w:p>
    <w:p w:rsidR="006E00BC" w:rsidRDefault="006E00BC" w:rsidP="00C015A1">
      <w:pPr>
        <w:spacing w:after="120"/>
        <w:rPr>
          <w:noProof/>
          <w:szCs w:val="26"/>
        </w:rPr>
      </w:pPr>
      <w:r>
        <w:rPr>
          <w:noProof/>
          <w:szCs w:val="26"/>
        </w:rPr>
        <w:t xml:space="preserve">The regulation </w:t>
      </w:r>
      <w:r w:rsidRPr="00E7022A">
        <w:rPr>
          <w:noProof/>
          <w:szCs w:val="26"/>
        </w:rPr>
        <w:t xml:space="preserve">repeals and replaces the </w:t>
      </w:r>
      <w:r w:rsidRPr="000209A5">
        <w:rPr>
          <w:noProof/>
          <w:szCs w:val="26"/>
        </w:rPr>
        <w:t>Legislative Instruments Regulations 2004,</w:t>
      </w:r>
      <w:r w:rsidRPr="00E7022A">
        <w:rPr>
          <w:noProof/>
          <w:szCs w:val="26"/>
        </w:rPr>
        <w:t xml:space="preserve"> which currently set out exemptions from legislative instrument status, disallowance b</w:t>
      </w:r>
      <w:r>
        <w:rPr>
          <w:noProof/>
          <w:szCs w:val="26"/>
        </w:rPr>
        <w:t>y the Parliament and sunsetting</w:t>
      </w:r>
      <w:r w:rsidRPr="00E7022A">
        <w:rPr>
          <w:noProof/>
          <w:szCs w:val="26"/>
        </w:rPr>
        <w:t xml:space="preserve"> for </w:t>
      </w:r>
      <w:r>
        <w:rPr>
          <w:noProof/>
          <w:szCs w:val="26"/>
        </w:rPr>
        <w:t xml:space="preserve">particular instruments and classses of </w:t>
      </w:r>
      <w:r w:rsidRPr="00E7022A">
        <w:rPr>
          <w:noProof/>
          <w:szCs w:val="26"/>
        </w:rPr>
        <w:t xml:space="preserve">instrument. The ES explains that the remaking of the regulation is required to implement </w:t>
      </w:r>
      <w:r>
        <w:rPr>
          <w:noProof/>
          <w:szCs w:val="26"/>
        </w:rPr>
        <w:t xml:space="preserve">some </w:t>
      </w:r>
      <w:r w:rsidRPr="00E7022A">
        <w:rPr>
          <w:noProof/>
          <w:szCs w:val="26"/>
        </w:rPr>
        <w:t xml:space="preserve">of the </w:t>
      </w:r>
      <w:r>
        <w:rPr>
          <w:noProof/>
          <w:szCs w:val="26"/>
        </w:rPr>
        <w:t xml:space="preserve">changes introduced </w:t>
      </w:r>
      <w:r w:rsidRPr="00E7022A">
        <w:rPr>
          <w:noProof/>
          <w:szCs w:val="26"/>
        </w:rPr>
        <w:t xml:space="preserve">by the </w:t>
      </w:r>
      <w:r w:rsidRPr="00E80D46">
        <w:rPr>
          <w:i/>
          <w:noProof/>
          <w:szCs w:val="26"/>
        </w:rPr>
        <w:t>Acts and Instruments (Framework Reform) Act 2015</w:t>
      </w:r>
      <w:r>
        <w:rPr>
          <w:noProof/>
          <w:szCs w:val="26"/>
        </w:rPr>
        <w:t xml:space="preserve"> (to commence in 2016).</w:t>
      </w:r>
    </w:p>
    <w:p w:rsidR="006E00BC" w:rsidRDefault="006E00BC" w:rsidP="00C015A1">
      <w:pPr>
        <w:spacing w:after="120"/>
        <w:rPr>
          <w:noProof/>
          <w:szCs w:val="26"/>
        </w:rPr>
      </w:pPr>
      <w:r w:rsidRPr="00E7022A">
        <w:rPr>
          <w:noProof/>
          <w:szCs w:val="26"/>
        </w:rPr>
        <w:t xml:space="preserve">Sections 9 and 10 </w:t>
      </w:r>
      <w:r>
        <w:rPr>
          <w:noProof/>
          <w:szCs w:val="26"/>
        </w:rPr>
        <w:t xml:space="preserve">of the regulation </w:t>
      </w:r>
      <w:r w:rsidRPr="00E7022A">
        <w:rPr>
          <w:noProof/>
          <w:szCs w:val="26"/>
        </w:rPr>
        <w:t xml:space="preserve">prescribe </w:t>
      </w:r>
      <w:r>
        <w:rPr>
          <w:noProof/>
          <w:szCs w:val="26"/>
        </w:rPr>
        <w:t xml:space="preserve">particular </w:t>
      </w:r>
      <w:r w:rsidRPr="00E7022A">
        <w:rPr>
          <w:noProof/>
          <w:szCs w:val="26"/>
        </w:rPr>
        <w:t>instrument</w:t>
      </w:r>
      <w:r>
        <w:rPr>
          <w:noProof/>
          <w:szCs w:val="26"/>
        </w:rPr>
        <w:t>s and</w:t>
      </w:r>
      <w:r w:rsidRPr="00E7022A">
        <w:rPr>
          <w:noProof/>
          <w:szCs w:val="26"/>
        </w:rPr>
        <w:t xml:space="preserve"> classes </w:t>
      </w:r>
      <w:r>
        <w:rPr>
          <w:noProof/>
          <w:szCs w:val="26"/>
        </w:rPr>
        <w:t>of instrument that are not subject to disallowance. In relation to section 10, the ES states:</w:t>
      </w:r>
    </w:p>
    <w:p w:rsidR="006E00BC" w:rsidRDefault="006E00BC" w:rsidP="006E00BC">
      <w:pPr>
        <w:pStyle w:val="Quote"/>
        <w:spacing w:after="180"/>
        <w:rPr>
          <w:noProof/>
        </w:rPr>
      </w:pPr>
      <w:r w:rsidRPr="00055FA1">
        <w:rPr>
          <w:noProof/>
        </w:rPr>
        <w:t>These particular instruments were prescribed as exempt from disallowance in section 44 of the Legislative Instruments Act and Schedule 2 of the Legislative Instruments Regulations. They have been consolidated into the Legislation (Exemption and Other Matters) Regulation in order to improve the accessibility of the law by providing a consolidated list of exemptions. The amendments which have been made clarify the exemptions, modify or consolidate exemptions where there was overlap between the exemptions in the Legislative Instruments Act and the Legislative Instruments Regulations, and update exemptions to ensure they reflect existing in practice.</w:t>
      </w:r>
      <w:r>
        <w:rPr>
          <w:noProof/>
        </w:rPr>
        <w:t xml:space="preserve"> </w:t>
      </w:r>
    </w:p>
    <w:p w:rsidR="006E00BC" w:rsidRDefault="006E00BC" w:rsidP="006E00BC">
      <w:pPr>
        <w:spacing w:after="120"/>
        <w:rPr>
          <w:noProof/>
          <w:szCs w:val="26"/>
        </w:rPr>
      </w:pPr>
      <w:r>
        <w:rPr>
          <w:noProof/>
          <w:szCs w:val="26"/>
        </w:rPr>
        <w:lastRenderedPageBreak/>
        <w:t>The item-by-item description of section 10 in the ES provides justifications for the exemption of particular instruments from disallowance, explaining why the particular nature of the instruments justifies the exemption from disallowance. The exception is item 20</w:t>
      </w:r>
      <w:r w:rsidRPr="00E7022A">
        <w:rPr>
          <w:noProof/>
          <w:szCs w:val="26"/>
        </w:rPr>
        <w:t xml:space="preserve"> </w:t>
      </w:r>
      <w:r>
        <w:rPr>
          <w:noProof/>
          <w:szCs w:val="26"/>
        </w:rPr>
        <w:t xml:space="preserve">of the table in section 10, which remakes </w:t>
      </w:r>
      <w:r w:rsidRPr="00055FA1">
        <w:rPr>
          <w:noProof/>
          <w:szCs w:val="26"/>
        </w:rPr>
        <w:t>item 26 of the table in subsection</w:t>
      </w:r>
      <w:r>
        <w:rPr>
          <w:noProof/>
          <w:szCs w:val="26"/>
        </w:rPr>
        <w:t> </w:t>
      </w:r>
      <w:r w:rsidRPr="00055FA1">
        <w:rPr>
          <w:noProof/>
          <w:szCs w:val="26"/>
        </w:rPr>
        <w:t xml:space="preserve">44(2) of the </w:t>
      </w:r>
      <w:r w:rsidRPr="00764404">
        <w:rPr>
          <w:i/>
          <w:noProof/>
          <w:szCs w:val="26"/>
        </w:rPr>
        <w:t>Legislative Instruments Act 2003</w:t>
      </w:r>
      <w:r>
        <w:rPr>
          <w:noProof/>
          <w:szCs w:val="26"/>
        </w:rPr>
        <w:t>. This item exempts the following from disallowance:</w:t>
      </w:r>
    </w:p>
    <w:p w:rsidR="006E00BC" w:rsidRPr="00055FA1" w:rsidRDefault="006E00BC" w:rsidP="006E00BC">
      <w:pPr>
        <w:pStyle w:val="Bullet1"/>
        <w:spacing w:after="120"/>
        <w:rPr>
          <w:noProof/>
        </w:rPr>
      </w:pPr>
      <w:r w:rsidRPr="00055FA1">
        <w:rPr>
          <w:noProof/>
        </w:rPr>
        <w:t xml:space="preserve">an instrument (other than a regulation) made under Part 1, 2 or 9 of the </w:t>
      </w:r>
      <w:r w:rsidRPr="00E80D46">
        <w:rPr>
          <w:i/>
          <w:noProof/>
        </w:rPr>
        <w:t>Migration Act 1958</w:t>
      </w:r>
      <w:r w:rsidRPr="00055FA1">
        <w:rPr>
          <w:noProof/>
        </w:rPr>
        <w:t xml:space="preserve">, </w:t>
      </w:r>
      <w:r>
        <w:rPr>
          <w:noProof/>
        </w:rPr>
        <w:t>and</w:t>
      </w:r>
    </w:p>
    <w:p w:rsidR="006E00BC" w:rsidRPr="00055FA1" w:rsidRDefault="006E00BC" w:rsidP="006E00BC">
      <w:pPr>
        <w:pStyle w:val="Bullet1"/>
        <w:spacing w:after="120"/>
        <w:rPr>
          <w:noProof/>
        </w:rPr>
      </w:pPr>
      <w:r w:rsidRPr="00055FA1">
        <w:rPr>
          <w:noProof/>
        </w:rPr>
        <w:t xml:space="preserve">an instrument made under Part 1, 2 or 5 of, or Schedule 1, 2, 4, 5A or 8 to, the </w:t>
      </w:r>
      <w:r w:rsidRPr="00E80D46">
        <w:rPr>
          <w:i/>
          <w:noProof/>
        </w:rPr>
        <w:t>Migration Regulations 1994</w:t>
      </w:r>
      <w:r w:rsidRPr="00055FA1">
        <w:rPr>
          <w:noProof/>
        </w:rPr>
        <w:t>.</w:t>
      </w:r>
    </w:p>
    <w:p w:rsidR="006E00BC" w:rsidRDefault="006E00BC" w:rsidP="006E00BC">
      <w:pPr>
        <w:spacing w:after="120"/>
        <w:rPr>
          <w:noProof/>
          <w:szCs w:val="26"/>
        </w:rPr>
      </w:pPr>
      <w:r>
        <w:rPr>
          <w:noProof/>
          <w:szCs w:val="26"/>
        </w:rPr>
        <w:t xml:space="preserve">The committee notes that this exemption extends to a large number of instruments relating to a broad range of matters, including the conditions pertaining to the arrival, presence and departure of persons in Australia; labour market testing; and the designation of a country as a 'regional processing country'. However, </w:t>
      </w:r>
      <w:r w:rsidRPr="00E7022A">
        <w:rPr>
          <w:noProof/>
          <w:szCs w:val="26"/>
        </w:rPr>
        <w:t xml:space="preserve">the ES </w:t>
      </w:r>
      <w:r>
        <w:rPr>
          <w:noProof/>
          <w:szCs w:val="26"/>
        </w:rPr>
        <w:t>simply states that the</w:t>
      </w:r>
      <w:r w:rsidRPr="00055FA1">
        <w:rPr>
          <w:noProof/>
          <w:szCs w:val="26"/>
        </w:rPr>
        <w:t xml:space="preserve"> </w:t>
      </w:r>
      <w:r>
        <w:rPr>
          <w:noProof/>
          <w:szCs w:val="26"/>
        </w:rPr>
        <w:t>'</w:t>
      </w:r>
      <w:r w:rsidRPr="00055FA1">
        <w:rPr>
          <w:noProof/>
          <w:szCs w:val="26"/>
        </w:rPr>
        <w:t>instruments made under the Migration Act and Migration Regulations are appropriate for executive control</w:t>
      </w:r>
      <w:r>
        <w:rPr>
          <w:noProof/>
          <w:szCs w:val="26"/>
        </w:rPr>
        <w:t>', and does not provide information on:</w:t>
      </w:r>
    </w:p>
    <w:p w:rsidR="006E00BC" w:rsidRDefault="006E00BC" w:rsidP="006E00BC">
      <w:pPr>
        <w:numPr>
          <w:ilvl w:val="0"/>
          <w:numId w:val="4"/>
        </w:numPr>
        <w:tabs>
          <w:tab w:val="clear" w:pos="1134"/>
          <w:tab w:val="left" w:pos="851"/>
        </w:tabs>
        <w:spacing w:after="120"/>
        <w:ind w:left="851" w:hanging="851"/>
        <w:rPr>
          <w:noProof/>
        </w:rPr>
      </w:pPr>
      <w:r>
        <w:rPr>
          <w:noProof/>
        </w:rPr>
        <w:t>the nature of the instruments covered by the exemption;</w:t>
      </w:r>
    </w:p>
    <w:p w:rsidR="006E00BC" w:rsidRPr="00E7022A" w:rsidRDefault="006E00BC" w:rsidP="006E00BC">
      <w:pPr>
        <w:numPr>
          <w:ilvl w:val="0"/>
          <w:numId w:val="4"/>
        </w:numPr>
        <w:tabs>
          <w:tab w:val="clear" w:pos="1134"/>
          <w:tab w:val="left" w:pos="851"/>
        </w:tabs>
        <w:spacing w:after="120"/>
        <w:ind w:left="851" w:hanging="851"/>
        <w:rPr>
          <w:noProof/>
        </w:rPr>
      </w:pPr>
      <w:r w:rsidRPr="00E7022A">
        <w:rPr>
          <w:noProof/>
        </w:rPr>
        <w:t>the broader justification for the exemption of instruments made un</w:t>
      </w:r>
      <w:r>
        <w:rPr>
          <w:noProof/>
        </w:rPr>
        <w:t xml:space="preserve">der </w:t>
      </w:r>
      <w:r w:rsidRPr="00055FA1">
        <w:rPr>
          <w:noProof/>
        </w:rPr>
        <w:t>the Migration Act and Migration Regulations</w:t>
      </w:r>
      <w:r w:rsidRPr="00E7022A">
        <w:rPr>
          <w:noProof/>
        </w:rPr>
        <w:t>;</w:t>
      </w:r>
      <w:r>
        <w:rPr>
          <w:noProof/>
        </w:rPr>
        <w:t xml:space="preserve"> and</w:t>
      </w:r>
    </w:p>
    <w:p w:rsidR="006E00BC" w:rsidRPr="00E7022A" w:rsidRDefault="006E00BC" w:rsidP="006E00BC">
      <w:pPr>
        <w:numPr>
          <w:ilvl w:val="0"/>
          <w:numId w:val="4"/>
        </w:numPr>
        <w:tabs>
          <w:tab w:val="clear" w:pos="1134"/>
          <w:tab w:val="left" w:pos="851"/>
        </w:tabs>
        <w:spacing w:after="120"/>
        <w:ind w:left="851" w:hanging="851"/>
        <w:rPr>
          <w:noProof/>
        </w:rPr>
      </w:pPr>
      <w:r w:rsidRPr="00E7022A">
        <w:rPr>
          <w:noProof/>
        </w:rPr>
        <w:t xml:space="preserve">whether, taking into account the </w:t>
      </w:r>
      <w:r>
        <w:rPr>
          <w:noProof/>
        </w:rPr>
        <w:t>nature of the instruments to which the exemption applies</w:t>
      </w:r>
      <w:r w:rsidRPr="00E7022A">
        <w:rPr>
          <w:noProof/>
        </w:rPr>
        <w:t xml:space="preserve">, it is appropriate to </w:t>
      </w:r>
      <w:r>
        <w:rPr>
          <w:noProof/>
        </w:rPr>
        <w:t xml:space="preserve">include this broad </w:t>
      </w:r>
      <w:r w:rsidRPr="00E7022A">
        <w:rPr>
          <w:noProof/>
        </w:rPr>
        <w:t>exemp</w:t>
      </w:r>
      <w:r>
        <w:rPr>
          <w:noProof/>
        </w:rPr>
        <w:t>tion</w:t>
      </w:r>
      <w:r w:rsidRPr="00E7022A">
        <w:rPr>
          <w:noProof/>
        </w:rPr>
        <w:t xml:space="preserve"> from disallowance </w:t>
      </w:r>
      <w:r>
        <w:rPr>
          <w:noProof/>
        </w:rPr>
        <w:t xml:space="preserve">(thereby </w:t>
      </w:r>
      <w:r w:rsidRPr="00E7022A">
        <w:rPr>
          <w:noProof/>
        </w:rPr>
        <w:t>remov</w:t>
      </w:r>
      <w:r>
        <w:rPr>
          <w:noProof/>
        </w:rPr>
        <w:t>ing</w:t>
      </w:r>
      <w:r w:rsidRPr="00E7022A">
        <w:rPr>
          <w:noProof/>
        </w:rPr>
        <w:t xml:space="preserve"> </w:t>
      </w:r>
      <w:r>
        <w:rPr>
          <w:noProof/>
        </w:rPr>
        <w:t xml:space="preserve">them </w:t>
      </w:r>
      <w:r w:rsidRPr="00E7022A">
        <w:rPr>
          <w:noProof/>
        </w:rPr>
        <w:t>from the effective oversight of the Parliament</w:t>
      </w:r>
      <w:r>
        <w:rPr>
          <w:noProof/>
        </w:rPr>
        <w:t>)</w:t>
      </w:r>
      <w:r w:rsidRPr="00E7022A">
        <w:rPr>
          <w:noProof/>
        </w:rPr>
        <w:t>.</w:t>
      </w:r>
    </w:p>
    <w:p w:rsidR="006E00BC" w:rsidRDefault="006E00BC" w:rsidP="006E00BC">
      <w:pPr>
        <w:spacing w:after="180"/>
        <w:rPr>
          <w:b/>
          <w:noProof/>
        </w:rPr>
      </w:pPr>
      <w:r w:rsidRPr="00D44A52">
        <w:rPr>
          <w:b/>
          <w:noProof/>
        </w:rPr>
        <w:t>The committee requests the advice of the minister in relation to this matter.</w:t>
      </w:r>
    </w:p>
    <w:p w:rsidR="006E00BC" w:rsidRDefault="006E00BC" w:rsidP="006E00BC">
      <w:pPr>
        <w:spacing w:after="120"/>
        <w:rPr>
          <w:b/>
          <w:noProof/>
        </w:rPr>
      </w:pPr>
      <w:r>
        <w:rPr>
          <w:b/>
          <w:noProof/>
        </w:rPr>
        <w:t>Minister's response</w:t>
      </w:r>
    </w:p>
    <w:p w:rsidR="006E00BC" w:rsidRDefault="006E00BC" w:rsidP="006E00BC">
      <w:pPr>
        <w:spacing w:after="120"/>
        <w:rPr>
          <w:noProof/>
        </w:rPr>
      </w:pPr>
      <w:r>
        <w:rPr>
          <w:noProof/>
        </w:rPr>
        <w:t>The Attorney-General advised that item 20 under section 10:</w:t>
      </w:r>
    </w:p>
    <w:p w:rsidR="006E00BC" w:rsidRDefault="006E00BC" w:rsidP="006E00BC">
      <w:pPr>
        <w:pStyle w:val="Quote"/>
        <w:spacing w:after="120"/>
        <w:rPr>
          <w:noProof/>
        </w:rPr>
      </w:pPr>
      <w:r>
        <w:rPr>
          <w:noProof/>
        </w:rPr>
        <w:t xml:space="preserve">…provides exemptions from disallowance under the </w:t>
      </w:r>
      <w:r w:rsidRPr="00A505D4">
        <w:rPr>
          <w:i/>
          <w:noProof/>
        </w:rPr>
        <w:t>Legislation Act 2003</w:t>
      </w:r>
      <w:r>
        <w:rPr>
          <w:noProof/>
        </w:rPr>
        <w:t xml:space="preserve"> (as the </w:t>
      </w:r>
      <w:r w:rsidRPr="00A505D4">
        <w:rPr>
          <w:i/>
          <w:noProof/>
        </w:rPr>
        <w:t xml:space="preserve">Legislative Instruments Act </w:t>
      </w:r>
      <w:r w:rsidRPr="002D1E35">
        <w:rPr>
          <w:i/>
          <w:noProof/>
        </w:rPr>
        <w:t>2003</w:t>
      </w:r>
      <w:r>
        <w:rPr>
          <w:noProof/>
        </w:rPr>
        <w:t xml:space="preserve"> is soon to be renamed) for certain instruments made under the </w:t>
      </w:r>
      <w:r w:rsidRPr="00A505D4">
        <w:rPr>
          <w:i/>
          <w:noProof/>
        </w:rPr>
        <w:t>Migration Act 1958</w:t>
      </w:r>
      <w:r>
        <w:rPr>
          <w:noProof/>
        </w:rPr>
        <w:t xml:space="preserve"> and the </w:t>
      </w:r>
      <w:r w:rsidRPr="00A505D4">
        <w:rPr>
          <w:i/>
          <w:noProof/>
        </w:rPr>
        <w:t>Migration Regulations 1994</w:t>
      </w:r>
      <w:r>
        <w:rPr>
          <w:noProof/>
        </w:rPr>
        <w:t xml:space="preserve">. The Regulation would replicate the exemption currently found in item 26 of the table in subsection 44(2) of the </w:t>
      </w:r>
      <w:r w:rsidRPr="00A505D4">
        <w:rPr>
          <w:i/>
          <w:noProof/>
        </w:rPr>
        <w:t>Legislative Instruments Act</w:t>
      </w:r>
      <w:r>
        <w:rPr>
          <w:noProof/>
        </w:rPr>
        <w:t xml:space="preserve">. The current exemption will cease to have effect when the </w:t>
      </w:r>
      <w:r w:rsidRPr="00137424">
        <w:rPr>
          <w:noProof/>
        </w:rPr>
        <w:t>Act</w:t>
      </w:r>
      <w:r w:rsidRPr="002D1E35">
        <w:rPr>
          <w:noProof/>
        </w:rPr>
        <w:t>s and Instruments (Framework Reform) Act 2015</w:t>
      </w:r>
      <w:r>
        <w:rPr>
          <w:noProof/>
        </w:rPr>
        <w:t xml:space="preserve"> comes into force on 5 March 2016.</w:t>
      </w:r>
    </w:p>
    <w:p w:rsidR="006E00BC" w:rsidRDefault="006E00BC" w:rsidP="006E00BC">
      <w:pPr>
        <w:spacing w:after="120"/>
        <w:rPr>
          <w:noProof/>
        </w:rPr>
      </w:pPr>
      <w:r>
        <w:rPr>
          <w:noProof/>
        </w:rPr>
        <w:t>The Attorney-General also advised:</w:t>
      </w:r>
    </w:p>
    <w:p w:rsidR="006E00BC" w:rsidRDefault="006E00BC" w:rsidP="006E00BC">
      <w:pPr>
        <w:pStyle w:val="Quote"/>
        <w:spacing w:after="120"/>
        <w:rPr>
          <w:noProof/>
        </w:rPr>
      </w:pPr>
      <w:r>
        <w:rPr>
          <w:noProof/>
        </w:rPr>
        <w:t xml:space="preserve">It is appropriate to continue to exempt the relevant instruments from disallowance. These instruments are crucial to the operation of the migration program. Continuing to exempt such instruments from disallowance ensures certainty in operational matters, as well as certainty for the rights and obligations of individuals with regard to visa and migration status. </w:t>
      </w:r>
    </w:p>
    <w:p w:rsidR="006E00BC" w:rsidRDefault="006E00BC" w:rsidP="006E00BC">
      <w:pPr>
        <w:pStyle w:val="Quote"/>
        <w:spacing w:after="120"/>
        <w:rPr>
          <w:noProof/>
        </w:rPr>
      </w:pPr>
      <w:r>
        <w:rPr>
          <w:noProof/>
        </w:rPr>
        <w:lastRenderedPageBreak/>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p>
    <w:p w:rsidR="006E00BC" w:rsidRDefault="006E00BC" w:rsidP="006E00BC">
      <w:pPr>
        <w:pStyle w:val="Quote"/>
        <w:spacing w:after="120"/>
        <w:rPr>
          <w:noProof/>
        </w:rPr>
      </w:pPr>
      <w:r w:rsidRPr="00A505D4">
        <w:rPr>
          <w:noProof/>
        </w:rPr>
        <w:t>I am also concerned that if these instruments were subject to disallowance, the Government would be less agile in addressing issues relating to trends in global population movements.</w:t>
      </w:r>
    </w:p>
    <w:p w:rsidR="006E00BC" w:rsidRDefault="006E00BC" w:rsidP="006E00BC">
      <w:pPr>
        <w:spacing w:after="120"/>
        <w:rPr>
          <w:noProof/>
        </w:rPr>
      </w:pPr>
      <w:r>
        <w:rPr>
          <w:noProof/>
        </w:rPr>
        <w:t xml:space="preserve">The following examples of the nature of instruments made under the </w:t>
      </w:r>
      <w:r>
        <w:rPr>
          <w:i/>
          <w:noProof/>
        </w:rPr>
        <w:t>Migration Act </w:t>
      </w:r>
      <w:r w:rsidRPr="00A505D4">
        <w:rPr>
          <w:i/>
          <w:noProof/>
        </w:rPr>
        <w:t>1958</w:t>
      </w:r>
      <w:r>
        <w:rPr>
          <w:noProof/>
        </w:rPr>
        <w:t xml:space="preserve"> and Migration Regulations 1994 was also provided:</w:t>
      </w:r>
    </w:p>
    <w:p w:rsidR="006E00BC" w:rsidRDefault="006E00BC" w:rsidP="006E00BC">
      <w:pPr>
        <w:spacing w:after="180"/>
        <w:jc w:val="center"/>
        <w:rPr>
          <w:noProof/>
        </w:rPr>
      </w:pPr>
      <w:r>
        <w:rPr>
          <w:noProof/>
          <w:lang w:eastAsia="en-AU"/>
        </w:rPr>
        <w:lastRenderedPageBreak/>
        <w:drawing>
          <wp:inline distT="0" distB="0" distL="0" distR="0" wp14:anchorId="56361E39" wp14:editId="75325914">
            <wp:extent cx="4814887" cy="677703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15717" cy="6778206"/>
                    </a:xfrm>
                    <a:prstGeom prst="rect">
                      <a:avLst/>
                    </a:prstGeom>
                    <a:noFill/>
                    <a:ln>
                      <a:noFill/>
                    </a:ln>
                  </pic:spPr>
                </pic:pic>
              </a:graphicData>
            </a:graphic>
          </wp:inline>
        </w:drawing>
      </w:r>
    </w:p>
    <w:p w:rsidR="006E00BC" w:rsidRPr="00A505D4" w:rsidRDefault="006E00BC" w:rsidP="006E00BC">
      <w:pPr>
        <w:spacing w:after="180"/>
        <w:rPr>
          <w:b/>
          <w:noProof/>
        </w:rPr>
      </w:pPr>
      <w:r>
        <w:rPr>
          <w:b/>
          <w:noProof/>
        </w:rPr>
        <w:t>Committee's response</w:t>
      </w:r>
    </w:p>
    <w:p w:rsidR="006E00BC" w:rsidRDefault="006E00BC" w:rsidP="006E00BC">
      <w:pPr>
        <w:rPr>
          <w:b/>
          <w:noProof/>
        </w:rPr>
      </w:pPr>
      <w:r w:rsidRPr="00A505D4">
        <w:rPr>
          <w:b/>
          <w:noProof/>
        </w:rPr>
        <w:t xml:space="preserve">The committee thanks the Attorney-General for his response and has concluded its </w:t>
      </w:r>
      <w:r>
        <w:rPr>
          <w:b/>
          <w:noProof/>
        </w:rPr>
        <w:t>examination of this instrument.</w:t>
      </w:r>
    </w:p>
    <w:p w:rsidR="006E00BC" w:rsidRDefault="006E00BC" w:rsidP="006E00BC">
      <w:r>
        <w:rPr>
          <w:noProof/>
        </w:rPr>
        <w:t>In concluding this matter the committee notes the Attorney-General's advice that continuing to exempt the relevant instruments from disallowance ensures certainty in operational matters and provides for administrative matters to support the machinery of the migration program.</w:t>
      </w:r>
    </w:p>
    <w:p w:rsidR="006E00BC" w:rsidRPr="00164622" w:rsidRDefault="006E00BC" w:rsidP="006E00BC">
      <w:pPr>
        <w:spacing w:after="0"/>
        <w:rPr>
          <w:szCs w:val="26"/>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A46DB0">
              <w:rPr>
                <w:noProof/>
                <w:sz w:val="24"/>
                <w:szCs w:val="24"/>
              </w:rPr>
              <w:t>Migration Amendment (Conversion of Protection Visa Applications) Regulation 2015 [F2015L01461]</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Amends the Migration Regulations 1994 to confirm that the effect of section 2.08F is to provide that any application made by certain visa applicants for a Permanent Protection Visa will be converted into an application for a Temporary Protection Visa</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3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A46DB0">
              <w:rPr>
                <w:i/>
                <w:noProof/>
                <w:sz w:val="24"/>
                <w:szCs w:val="24"/>
              </w:rPr>
              <w:t>Migration Act 1958</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A46DB0">
              <w:rPr>
                <w:noProof/>
                <w:sz w:val="24"/>
                <w:szCs w:val="24"/>
              </w:rPr>
              <w:t>Immigration and Border Protection</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sz w:val="24"/>
                <w:szCs w:val="24"/>
              </w:rPr>
            </w:pPr>
            <w:r>
              <w:rPr>
                <w:sz w:val="24"/>
                <w:szCs w:val="24"/>
              </w:rPr>
              <w:t>Standing Order 23(3)</w:t>
            </w:r>
            <w:r w:rsidRPr="00A46DB0">
              <w:rPr>
                <w:noProof/>
                <w:sz w:val="24"/>
                <w:szCs w:val="24"/>
              </w:rPr>
              <w:t>(b)</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B6557D">
              <w:rPr>
                <w:noProof/>
                <w:sz w:val="24"/>
                <w:szCs w:val="24"/>
              </w:rPr>
              <w:t>No. 14 of 2015</w:t>
            </w:r>
          </w:p>
        </w:tc>
      </w:tr>
    </w:tbl>
    <w:p w:rsidR="006E00BC" w:rsidRDefault="006E00BC" w:rsidP="006E00BC"/>
    <w:p w:rsidR="006E00BC" w:rsidRDefault="006E00BC" w:rsidP="006E00BC">
      <w:pPr>
        <w:rPr>
          <w:b/>
          <w:noProof/>
        </w:rPr>
      </w:pPr>
      <w:r w:rsidRPr="00A46DB0">
        <w:rPr>
          <w:b/>
          <w:noProof/>
        </w:rPr>
        <w:t>Retrospective effect</w:t>
      </w:r>
    </w:p>
    <w:p w:rsidR="006E00BC" w:rsidRDefault="006E00BC" w:rsidP="006E00BC">
      <w:pPr>
        <w:pStyle w:val="Level1"/>
        <w:numPr>
          <w:ilvl w:val="0"/>
          <w:numId w:val="0"/>
        </w:numPr>
      </w:pPr>
      <w:r>
        <w:t>The committee commented as follows:</w:t>
      </w:r>
    </w:p>
    <w:p w:rsidR="006E00BC" w:rsidRDefault="006E00BC" w:rsidP="006E00BC">
      <w:pPr>
        <w:spacing w:before="180" w:after="180"/>
      </w:pPr>
      <w:r>
        <w:rPr>
          <w:noProof/>
        </w:rPr>
        <w:t xml:space="preserve">The regulation amends section 2.08F of the Migration Regulations 1994, and is intended to confirm that the </w:t>
      </w:r>
      <w:r w:rsidRPr="00283C4A">
        <w:rPr>
          <w:noProof/>
        </w:rPr>
        <w:t xml:space="preserve">effect of </w:t>
      </w:r>
      <w:r>
        <w:rPr>
          <w:noProof/>
        </w:rPr>
        <w:t xml:space="preserve">that section </w:t>
      </w:r>
      <w:r w:rsidRPr="00283C4A">
        <w:rPr>
          <w:noProof/>
        </w:rPr>
        <w:t xml:space="preserve">is to provide that </w:t>
      </w:r>
      <w:r>
        <w:rPr>
          <w:noProof/>
        </w:rPr>
        <w:t xml:space="preserve">an </w:t>
      </w:r>
      <w:r w:rsidRPr="00283C4A">
        <w:rPr>
          <w:noProof/>
        </w:rPr>
        <w:t>application</w:t>
      </w:r>
      <w:r>
        <w:rPr>
          <w:noProof/>
        </w:rPr>
        <w:t xml:space="preserve"> </w:t>
      </w:r>
      <w:r w:rsidRPr="00283C4A">
        <w:rPr>
          <w:noProof/>
        </w:rPr>
        <w:t xml:space="preserve">for a </w:t>
      </w:r>
      <w:r>
        <w:rPr>
          <w:noProof/>
        </w:rPr>
        <w:t>P</w:t>
      </w:r>
      <w:r w:rsidRPr="00283C4A">
        <w:rPr>
          <w:noProof/>
        </w:rPr>
        <w:t>ermanent Protection Visa</w:t>
      </w:r>
      <w:r>
        <w:rPr>
          <w:noProof/>
        </w:rPr>
        <w:t xml:space="preserve"> (PPV)</w:t>
      </w:r>
      <w:r>
        <w:t xml:space="preserve"> </w:t>
      </w:r>
      <w:r w:rsidRPr="00283C4A">
        <w:rPr>
          <w:noProof/>
        </w:rPr>
        <w:t>will be converted into an application for a Temporary Protection Visa</w:t>
      </w:r>
      <w:r>
        <w:rPr>
          <w:noProof/>
        </w:rPr>
        <w:t xml:space="preserve"> </w:t>
      </w:r>
      <w:r>
        <w:t xml:space="preserve">(TPV) if the application: </w:t>
      </w:r>
    </w:p>
    <w:p w:rsidR="006E00BC" w:rsidRDefault="006E00BC" w:rsidP="006E00BC">
      <w:pPr>
        <w:pStyle w:val="Bullet1"/>
        <w:spacing w:after="180"/>
      </w:pPr>
      <w:r>
        <w:t>has been the subject of a court order requiring the minister to reconsider the application;</w:t>
      </w:r>
    </w:p>
    <w:p w:rsidR="006E00BC" w:rsidRDefault="006E00BC" w:rsidP="006E00BC">
      <w:pPr>
        <w:pStyle w:val="Bullet1"/>
        <w:spacing w:after="180"/>
      </w:pPr>
      <w:r>
        <w:t>has been remitted to the minister for reconsideration by the Administrative Appeals Tribunal; or</w:t>
      </w:r>
    </w:p>
    <w:p w:rsidR="006E00BC" w:rsidRDefault="006E00BC" w:rsidP="006E00BC">
      <w:pPr>
        <w:pStyle w:val="Bullet1"/>
        <w:spacing w:after="180"/>
      </w:pPr>
      <w:r>
        <w:t>had not been decided by the minister before 16 December 2014.</w:t>
      </w:r>
    </w:p>
    <w:p w:rsidR="006E00BC" w:rsidRDefault="006E00BC" w:rsidP="006E00BC">
      <w:pPr>
        <w:spacing w:before="180" w:after="180"/>
      </w:pPr>
      <w:r>
        <w:t>The committee notes that, although the instrument is not strictly retrospective, it prescribes rules for the future based on antecedent facts (that is, the existence of an earlier visa application). As a consequence, it appears that a person whose application for a PPV was made on or before 16 December 2014 may now be subject to criteria for the grant of a TPV that did not apply at the time of their application.</w:t>
      </w:r>
    </w:p>
    <w:p w:rsidR="006E00BC" w:rsidRDefault="006E00BC" w:rsidP="006E00BC">
      <w:pPr>
        <w:spacing w:before="240" w:after="180"/>
      </w:pPr>
      <w:r>
        <w:t>The ES for the instrument states:</w:t>
      </w:r>
    </w:p>
    <w:p w:rsidR="006E00BC" w:rsidRDefault="006E00BC" w:rsidP="006E00BC">
      <w:pPr>
        <w:pStyle w:val="Quote"/>
      </w:pPr>
      <w:r w:rsidRPr="00252612">
        <w:t xml:space="preserve">It is noted that the Regulation does not have any retrospective effect beyond the retrospectivity expressly authorised by the Migration Act (subsection 45AA(3) and subsection 45AA(8)) and reflected in subregulation 2.08F(1) (which has not been amended). The effect of the conversion from a PPV application to a TPV application is that the visa application is taken not to </w:t>
      </w:r>
      <w:r w:rsidRPr="00252612">
        <w:lastRenderedPageBreak/>
        <w:t>be, and never to have been, a valid application for a PPV, and is taken to be, and to always have been, a valid application for a TPV.</w:t>
      </w:r>
    </w:p>
    <w:p w:rsidR="006E00BC" w:rsidRDefault="006E00BC" w:rsidP="006E00BC">
      <w:pPr>
        <w:spacing w:before="180" w:after="180"/>
      </w:pPr>
      <w:r>
        <w:t xml:space="preserve">The committee notes that subsection 45AA(3) of the </w:t>
      </w:r>
      <w:r>
        <w:rPr>
          <w:i/>
        </w:rPr>
        <w:t xml:space="preserve">Migration Act 1958 </w:t>
      </w:r>
      <w:r>
        <w:t>(the Act)</w:t>
      </w:r>
      <w:r>
        <w:rPr>
          <w:i/>
        </w:rPr>
        <w:t xml:space="preserve"> </w:t>
      </w:r>
      <w:r>
        <w:t>specifically provides that a regulation may provide that, where a visa class is changed or effectively superseded (as in this case), an earlier application for the visa is taken not to be, and never to have been, a valid application for the visa; and is taken to be, and always to have been, a valid application for the amended or new visa. The Act also provides that</w:t>
      </w:r>
      <w:r w:rsidRPr="00252612">
        <w:t>, to avoid doubt</w:t>
      </w:r>
      <w:r>
        <w:t>,</w:t>
      </w:r>
      <w:r w:rsidRPr="00252612">
        <w:t xml:space="preserve"> subsection 12(2) of the </w:t>
      </w:r>
      <w:r>
        <w:rPr>
          <w:i/>
        </w:rPr>
        <w:t>Legislative Instruments Act </w:t>
      </w:r>
      <w:r w:rsidRPr="00252612">
        <w:rPr>
          <w:i/>
        </w:rPr>
        <w:t>2003</w:t>
      </w:r>
      <w:r w:rsidRPr="00252612">
        <w:t xml:space="preserve"> and subsection 7(2) of the </w:t>
      </w:r>
      <w:r w:rsidRPr="00252612">
        <w:rPr>
          <w:i/>
        </w:rPr>
        <w:t>Acts Interpretation Act 1901</w:t>
      </w:r>
      <w:r>
        <w:t xml:space="preserve"> </w:t>
      </w:r>
      <w:r w:rsidRPr="00252612">
        <w:t xml:space="preserve">do not apply </w:t>
      </w:r>
      <w:r>
        <w:t>to any such regulation (s</w:t>
      </w:r>
      <w:r w:rsidRPr="00252612">
        <w:t>ubsection</w:t>
      </w:r>
      <w:r>
        <w:t> </w:t>
      </w:r>
      <w:r w:rsidRPr="00252612">
        <w:t>45AA(8)</w:t>
      </w:r>
      <w:r>
        <w:t>).</w:t>
      </w:r>
      <w:r>
        <w:rPr>
          <w:rStyle w:val="FootnoteReference"/>
        </w:rPr>
        <w:footnoteReference w:id="10"/>
      </w:r>
    </w:p>
    <w:p w:rsidR="006E00BC" w:rsidRPr="00252612" w:rsidRDefault="006E00BC" w:rsidP="006E00BC">
      <w:pPr>
        <w:spacing w:before="180" w:after="180"/>
        <w:rPr>
          <w:b/>
        </w:rPr>
      </w:pPr>
      <w:r>
        <w:t>However, the committee's usual approach in cases such as this, is to regard the instruments as being retrospective in effect, and to asses such cases against the requirement to ensure that instruments of delegated legislation do not unduly trespass on personal rights and liberties (scrutiny principle 23(3)(b)).</w:t>
      </w:r>
    </w:p>
    <w:p w:rsidR="006E00BC" w:rsidRPr="00252612" w:rsidRDefault="006E00BC" w:rsidP="006E00BC">
      <w:pPr>
        <w:spacing w:before="240" w:after="0"/>
        <w:rPr>
          <w:b/>
        </w:rPr>
      </w:pPr>
      <w:r w:rsidRPr="00252612">
        <w:rPr>
          <w:b/>
        </w:rPr>
        <w:t>The committee requests the advice of the minister in relation to this matter.</w:t>
      </w:r>
    </w:p>
    <w:p w:rsidR="006E00BC" w:rsidRDefault="006E00BC" w:rsidP="006E00BC">
      <w:pPr>
        <w:pStyle w:val="Level1"/>
        <w:numPr>
          <w:ilvl w:val="0"/>
          <w:numId w:val="0"/>
        </w:numPr>
        <w:rPr>
          <w:b/>
        </w:rPr>
      </w:pPr>
      <w:r w:rsidRPr="00B6557D">
        <w:rPr>
          <w:b/>
        </w:rPr>
        <w:t>Minister's response</w:t>
      </w:r>
    </w:p>
    <w:p w:rsidR="006E00BC" w:rsidRDefault="006E00BC" w:rsidP="006E00BC">
      <w:pPr>
        <w:pStyle w:val="Level1"/>
        <w:numPr>
          <w:ilvl w:val="0"/>
          <w:numId w:val="0"/>
        </w:numPr>
      </w:pPr>
      <w:r>
        <w:t>The Minister for Immigration and Border Protection advised:</w:t>
      </w:r>
    </w:p>
    <w:p w:rsidR="006E00BC" w:rsidRDefault="006E00BC" w:rsidP="006E00BC">
      <w:pPr>
        <w:pStyle w:val="Quote"/>
      </w:pPr>
      <w:r>
        <w:t xml:space="preserve">I accept the committee's view that the instrument is retrospective in its effect. However, this conclusion needs to be appreciated within the context of the legislative scheme for dealing with the asylum claims of unauthorised arrivals which was approved by the Parliament in December 2014. By passing the </w:t>
      </w:r>
      <w:r w:rsidRPr="006A70B5">
        <w:rPr>
          <w:i/>
        </w:rPr>
        <w:t>Migration and Maritime Powers (Resolving the Asylum Legacy Caseload) Act 2014</w:t>
      </w:r>
      <w:r>
        <w:t xml:space="preserve"> (the Legacy Act) the Parliament agreed to a number of measures to strengthen Australia's policy in relation to the deterrence of people-smuggling activities. Included in these measures was the reintoduction [sic] of temporary protection visas (TPVs) for unauthorised arrivals, and the removal of access by unauthorised arrivals to permanent protection visas (PPVs). A further measure in the Legacy Act was the amendment of the </w:t>
      </w:r>
      <w:r w:rsidRPr="006A70B5">
        <w:rPr>
          <w:i/>
        </w:rPr>
        <w:t>Migration Regulations 1994</w:t>
      </w:r>
      <w:r>
        <w:t xml:space="preserve"> (the Regulations) to introduce a conversion regulation (regulation 2.08F) which has the effect of converting existing PPV applications by unauthorised arrivals into TPV applications. This measure is retrospective. It covers persons meeting the definition of prescribed applicants including unauthorised arrivals, who applied for PPVs prior to the enactment of the Legacy Act, with the result that they only have access to TPVs.</w:t>
      </w:r>
    </w:p>
    <w:p w:rsidR="006E00BC" w:rsidRDefault="006E00BC" w:rsidP="006E00BC">
      <w:pPr>
        <w:pStyle w:val="Quote"/>
      </w:pPr>
      <w:r>
        <w:t xml:space="preserve">The instrument queried by the committee is intended to ensure that the conversion process operates as envisaged by the Legacy Act. As the </w:t>
      </w:r>
      <w:r>
        <w:lastRenderedPageBreak/>
        <w:t>committee notes in the Delegated legislation monitor No. 14, the legal framework inserted by the Legacy Act contemplates and specifically authorises conversion regulations which have retrospective effect.</w:t>
      </w:r>
    </w:p>
    <w:p w:rsidR="006E00BC" w:rsidRDefault="006E00BC" w:rsidP="006E00BC">
      <w:pPr>
        <w:pStyle w:val="Quote"/>
      </w:pPr>
      <w:r>
        <w:t>The instrument does not involve any change to the policy which underpins the Legacy Act and regulation 2.08F. The instrument merely removes gaps and potential gaps in the operation of regulation 2.08F. It ensures that unauthorised arrivals who might potentially benefit from these gaps are placed in the position which was always intended, and which is the same position as the majority of unauthorised arrivals. It would be anomalous if a minority of unauthorised arrivals where to be placed in a more benefical [sic] position than the majority as a result of inadvertent inadequacies or potential inadequacies in the drafting of regulation 2.08F. For that reason, I do not consider that the instrument unduly trespasses on personal rights and liberties.</w:t>
      </w:r>
    </w:p>
    <w:p w:rsidR="006E00BC" w:rsidRPr="00E96379" w:rsidRDefault="006E00BC" w:rsidP="006E00BC">
      <w:pPr>
        <w:pStyle w:val="Level1"/>
        <w:numPr>
          <w:ilvl w:val="0"/>
          <w:numId w:val="0"/>
        </w:numPr>
        <w:rPr>
          <w:b/>
        </w:rPr>
      </w:pPr>
      <w:r w:rsidRPr="00E96379">
        <w:rPr>
          <w:b/>
        </w:rPr>
        <w:t>Committee's response</w:t>
      </w:r>
    </w:p>
    <w:p w:rsidR="006E00BC" w:rsidRDefault="006E00BC" w:rsidP="006E00BC">
      <w:r w:rsidRPr="00E96379">
        <w:rPr>
          <w:b/>
        </w:rPr>
        <w:t xml:space="preserve">The committee thanks the minister for </w:t>
      </w:r>
      <w:r>
        <w:rPr>
          <w:b/>
        </w:rPr>
        <w:t>his</w:t>
      </w:r>
      <w:r w:rsidRPr="00E96379">
        <w:rPr>
          <w:b/>
        </w:rPr>
        <w:t xml:space="preserve"> response and has concluded its examination of the instrument</w:t>
      </w:r>
      <w:r>
        <w:rPr>
          <w:b/>
        </w:rPr>
        <w:t>.</w:t>
      </w:r>
    </w:p>
    <w:p w:rsidR="006E00BC" w:rsidRPr="00B6557D" w:rsidRDefault="006E00BC" w:rsidP="006E00BC">
      <w:pPr>
        <w:pStyle w:val="Level1"/>
        <w:numPr>
          <w:ilvl w:val="0"/>
          <w:numId w:val="0"/>
        </w:numPr>
        <w:rPr>
          <w:b/>
        </w:rPr>
      </w:pPr>
    </w:p>
    <w:tbl>
      <w:tblPr>
        <w:tblW w:w="0" w:type="auto"/>
        <w:tblInd w:w="108" w:type="dxa"/>
        <w:tblLook w:val="04A0" w:firstRow="1" w:lastRow="0" w:firstColumn="1" w:lastColumn="0" w:noHBand="0" w:noVBand="1"/>
      </w:tblPr>
      <w:tblGrid>
        <w:gridCol w:w="2694"/>
        <w:gridCol w:w="6378"/>
      </w:tblGrid>
      <w:tr w:rsidR="006E00BC" w:rsidRPr="00164622" w:rsidTr="006E00BC">
        <w:tc>
          <w:tcPr>
            <w:tcW w:w="2694" w:type="dxa"/>
            <w:tcBorders>
              <w:top w:val="single" w:sz="12" w:space="0" w:color="auto"/>
              <w:right w:val="single" w:sz="12" w:space="0" w:color="auto"/>
            </w:tcBorders>
          </w:tcPr>
          <w:p w:rsidR="006E00BC" w:rsidRPr="00A77228" w:rsidRDefault="006E00BC" w:rsidP="006E00BC">
            <w:pPr>
              <w:rPr>
                <w:b/>
                <w:sz w:val="24"/>
                <w:szCs w:val="24"/>
              </w:rPr>
            </w:pPr>
            <w:r>
              <w:rPr>
                <w:b/>
                <w:sz w:val="24"/>
                <w:szCs w:val="24"/>
              </w:rPr>
              <w:t>Instrument</w:t>
            </w:r>
          </w:p>
        </w:tc>
        <w:tc>
          <w:tcPr>
            <w:tcW w:w="6378" w:type="dxa"/>
            <w:tcBorders>
              <w:top w:val="single" w:sz="12" w:space="0" w:color="auto"/>
              <w:left w:val="single" w:sz="12" w:space="0" w:color="auto"/>
            </w:tcBorders>
          </w:tcPr>
          <w:p w:rsidR="006E00BC" w:rsidRPr="00BA36F8" w:rsidRDefault="006E00BC" w:rsidP="006E00BC">
            <w:pPr>
              <w:pStyle w:val="Heading3"/>
              <w:rPr>
                <w:sz w:val="24"/>
                <w:szCs w:val="24"/>
              </w:rPr>
            </w:pPr>
            <w:r w:rsidRPr="003B74C6">
              <w:rPr>
                <w:noProof/>
                <w:sz w:val="24"/>
                <w:szCs w:val="24"/>
              </w:rPr>
              <w:t>Radiocommunications Licence Conditions (Outpost Licence) Determination 2015 [F2015L01433]</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Purpose</w:t>
            </w:r>
          </w:p>
        </w:tc>
        <w:tc>
          <w:tcPr>
            <w:tcW w:w="6378" w:type="dxa"/>
            <w:tcBorders>
              <w:left w:val="single" w:sz="12" w:space="0" w:color="auto"/>
            </w:tcBorders>
          </w:tcPr>
          <w:p w:rsidR="006E00BC" w:rsidRPr="00A77228" w:rsidRDefault="006E00BC" w:rsidP="006E00BC">
            <w:pPr>
              <w:rPr>
                <w:sz w:val="24"/>
                <w:szCs w:val="24"/>
              </w:rPr>
            </w:pPr>
            <w:r w:rsidRPr="003B74C6">
              <w:rPr>
                <w:noProof/>
                <w:sz w:val="24"/>
                <w:szCs w:val="24"/>
              </w:rPr>
              <w:t>Revokes and replaces the Radiocommunications Licence Conditions (Outpost Licence) Determination 1997</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Last day to disallow</w:t>
            </w:r>
          </w:p>
        </w:tc>
        <w:tc>
          <w:tcPr>
            <w:tcW w:w="6378" w:type="dxa"/>
            <w:tcBorders>
              <w:left w:val="single" w:sz="12" w:space="0" w:color="auto"/>
            </w:tcBorders>
          </w:tcPr>
          <w:p w:rsidR="006E00BC" w:rsidRPr="00A77228" w:rsidRDefault="006E00BC" w:rsidP="006E00BC">
            <w:pPr>
              <w:rPr>
                <w:sz w:val="24"/>
                <w:szCs w:val="24"/>
              </w:rPr>
            </w:pPr>
            <w:r w:rsidRPr="003B74C6">
              <w:rPr>
                <w:noProof/>
                <w:sz w:val="24"/>
                <w:szCs w:val="24"/>
              </w:rPr>
              <w:t>2 December 2015</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Authorising legislation</w:t>
            </w:r>
          </w:p>
        </w:tc>
        <w:tc>
          <w:tcPr>
            <w:tcW w:w="6378" w:type="dxa"/>
            <w:tcBorders>
              <w:left w:val="single" w:sz="12" w:space="0" w:color="auto"/>
            </w:tcBorders>
          </w:tcPr>
          <w:p w:rsidR="006E00BC" w:rsidRPr="00932D1C" w:rsidRDefault="006E00BC" w:rsidP="006E00BC">
            <w:pPr>
              <w:rPr>
                <w:i/>
                <w:sz w:val="24"/>
                <w:szCs w:val="24"/>
              </w:rPr>
            </w:pPr>
            <w:r w:rsidRPr="003B74C6">
              <w:rPr>
                <w:i/>
                <w:noProof/>
                <w:sz w:val="24"/>
                <w:szCs w:val="24"/>
              </w:rPr>
              <w:t>Radiocommunications Act 1992</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sidRPr="00A77228">
              <w:rPr>
                <w:b/>
                <w:sz w:val="24"/>
                <w:szCs w:val="24"/>
              </w:rPr>
              <w:t>Department</w:t>
            </w:r>
          </w:p>
        </w:tc>
        <w:tc>
          <w:tcPr>
            <w:tcW w:w="6378" w:type="dxa"/>
            <w:tcBorders>
              <w:left w:val="single" w:sz="12" w:space="0" w:color="auto"/>
            </w:tcBorders>
          </w:tcPr>
          <w:p w:rsidR="006E00BC" w:rsidRPr="00A77228" w:rsidRDefault="006E00BC" w:rsidP="006E00BC">
            <w:pPr>
              <w:rPr>
                <w:sz w:val="24"/>
                <w:szCs w:val="24"/>
              </w:rPr>
            </w:pPr>
            <w:r w:rsidRPr="003B74C6">
              <w:rPr>
                <w:noProof/>
                <w:sz w:val="24"/>
                <w:szCs w:val="24"/>
              </w:rPr>
              <w:t>Communications</w:t>
            </w:r>
          </w:p>
        </w:tc>
      </w:tr>
      <w:tr w:rsidR="006E00BC" w:rsidRPr="00164622" w:rsidTr="006E00BC">
        <w:tc>
          <w:tcPr>
            <w:tcW w:w="2694" w:type="dxa"/>
            <w:tcBorders>
              <w:right w:val="single" w:sz="12" w:space="0" w:color="auto"/>
            </w:tcBorders>
          </w:tcPr>
          <w:p w:rsidR="006E00BC" w:rsidRPr="00A77228" w:rsidRDefault="006E00BC" w:rsidP="006E00BC">
            <w:pPr>
              <w:rPr>
                <w:b/>
                <w:sz w:val="24"/>
                <w:szCs w:val="24"/>
              </w:rPr>
            </w:pPr>
            <w:r>
              <w:rPr>
                <w:b/>
                <w:sz w:val="24"/>
                <w:szCs w:val="24"/>
              </w:rPr>
              <w:t>Scrutiny principle</w:t>
            </w:r>
          </w:p>
        </w:tc>
        <w:tc>
          <w:tcPr>
            <w:tcW w:w="6378" w:type="dxa"/>
            <w:tcBorders>
              <w:left w:val="single" w:sz="12" w:space="0" w:color="auto"/>
            </w:tcBorders>
          </w:tcPr>
          <w:p w:rsidR="006E00BC" w:rsidRPr="00A77228" w:rsidRDefault="006E00BC" w:rsidP="006E00BC">
            <w:pPr>
              <w:rPr>
                <w:noProof/>
                <w:sz w:val="24"/>
                <w:szCs w:val="24"/>
              </w:rPr>
            </w:pPr>
            <w:r>
              <w:rPr>
                <w:sz w:val="24"/>
                <w:szCs w:val="24"/>
              </w:rPr>
              <w:t>Standing Order 23(3)</w:t>
            </w:r>
            <w:r w:rsidRPr="003B74C6">
              <w:rPr>
                <w:noProof/>
                <w:sz w:val="24"/>
                <w:szCs w:val="24"/>
              </w:rPr>
              <w:t>(a)</w:t>
            </w:r>
          </w:p>
        </w:tc>
      </w:tr>
      <w:tr w:rsidR="006E00BC" w:rsidRPr="00164622" w:rsidTr="006E00BC">
        <w:tc>
          <w:tcPr>
            <w:tcW w:w="2694" w:type="dxa"/>
            <w:tcBorders>
              <w:bottom w:val="single" w:sz="12" w:space="0" w:color="auto"/>
              <w:right w:val="single" w:sz="12" w:space="0" w:color="auto"/>
            </w:tcBorders>
          </w:tcPr>
          <w:p w:rsidR="006E00BC" w:rsidRDefault="006E00BC" w:rsidP="006E00B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6E00BC" w:rsidRDefault="006E00BC" w:rsidP="006E00BC">
            <w:pPr>
              <w:rPr>
                <w:sz w:val="24"/>
                <w:szCs w:val="24"/>
              </w:rPr>
            </w:pPr>
            <w:r>
              <w:rPr>
                <w:i/>
                <w:noProof/>
                <w:sz w:val="24"/>
                <w:szCs w:val="24"/>
              </w:rPr>
              <w:t xml:space="preserve">Delegated legislation monitor </w:t>
            </w:r>
            <w:r w:rsidRPr="00EB5BFF">
              <w:rPr>
                <w:noProof/>
                <w:sz w:val="24"/>
                <w:szCs w:val="24"/>
              </w:rPr>
              <w:t xml:space="preserve">No. </w:t>
            </w:r>
            <w:r w:rsidRPr="0079007F">
              <w:rPr>
                <w:noProof/>
                <w:sz w:val="24"/>
                <w:szCs w:val="24"/>
              </w:rPr>
              <w:t>1</w:t>
            </w:r>
            <w:r>
              <w:rPr>
                <w:noProof/>
                <w:sz w:val="24"/>
                <w:szCs w:val="24"/>
              </w:rPr>
              <w:t>2 of 2015</w:t>
            </w:r>
          </w:p>
        </w:tc>
      </w:tr>
    </w:tbl>
    <w:p w:rsidR="006E00BC" w:rsidRDefault="006E00BC" w:rsidP="006E00BC"/>
    <w:p w:rsidR="006E00BC" w:rsidRDefault="006E00BC" w:rsidP="006E00BC">
      <w:pPr>
        <w:rPr>
          <w:b/>
          <w:noProof/>
        </w:rPr>
      </w:pPr>
      <w:r w:rsidRPr="003B74C6">
        <w:rPr>
          <w:b/>
          <w:noProof/>
        </w:rPr>
        <w:t>Incorporation of extrinsic material</w:t>
      </w:r>
    </w:p>
    <w:p w:rsidR="006E00BC" w:rsidRDefault="006E00BC" w:rsidP="006E00BC">
      <w:pPr>
        <w:rPr>
          <w:noProof/>
        </w:rPr>
      </w:pPr>
      <w:r>
        <w:rPr>
          <w:noProof/>
        </w:rPr>
        <w:t>The committee commented as follows:</w:t>
      </w:r>
    </w:p>
    <w:p w:rsidR="006E00BC" w:rsidRDefault="006E00BC" w:rsidP="006E00BC">
      <w:pPr>
        <w:rPr>
          <w:noProof/>
        </w:rPr>
      </w:pPr>
      <w:r>
        <w:rPr>
          <w:noProof/>
        </w:rPr>
        <w:t>This instrument determines the conditions applicable to outpost licences.</w:t>
      </w:r>
    </w:p>
    <w:p w:rsidR="006E00BC" w:rsidRDefault="006E00BC" w:rsidP="006E00BC">
      <w:pPr>
        <w:rPr>
          <w:noProof/>
        </w:rPr>
      </w:pPr>
      <w:r>
        <w:rPr>
          <w:noProof/>
        </w:rPr>
        <w:t xml:space="preserve">Section 14 of the </w:t>
      </w:r>
      <w:r w:rsidRPr="00A44FAA">
        <w:rPr>
          <w:i/>
          <w:noProof/>
        </w:rPr>
        <w:t>Legislative Instruments Act 2003</w:t>
      </w:r>
      <w:r>
        <w:rPr>
          <w:noProof/>
        </w:rPr>
        <w:t xml:space="preserve"> allows for the incorporation of both legislative and non-legislative extrinsic material into instruments either as, respectively, in force from time to time or as in force at a particular date (subject to </w:t>
      </w:r>
      <w:r>
        <w:rPr>
          <w:noProof/>
        </w:rPr>
        <w:lastRenderedPageBreak/>
        <w:t>any provisions in the authorising legislation which may alter the operation of section 14).</w:t>
      </w:r>
    </w:p>
    <w:p w:rsidR="006E00BC" w:rsidRDefault="006E00BC" w:rsidP="006E00BC">
      <w:pPr>
        <w:rPr>
          <w:noProof/>
        </w:rPr>
      </w:pPr>
      <w:r>
        <w:rPr>
          <w:noProof/>
        </w:rPr>
        <w:t xml:space="preserve">Subsection 314A(2) of the authorising legislation for this instrument (the </w:t>
      </w:r>
      <w:r>
        <w:rPr>
          <w:i/>
          <w:noProof/>
        </w:rPr>
        <w:t>Radiocommunications Act 1992</w:t>
      </w:r>
      <w:r>
        <w:rPr>
          <w:noProof/>
        </w:rPr>
        <w:t xml:space="preserve">) provides that instruments may apply, adopt or incorporate (with or without modifications) matter contained in any other instrument or writing 'as in force or existing at a particular time' or 'as in force or existing from time to time' (thereby altering the effect of section 14 of the </w:t>
      </w:r>
      <w:r w:rsidRPr="00A44FAA">
        <w:rPr>
          <w:i/>
          <w:noProof/>
        </w:rPr>
        <w:t>Legislative Instruments Act 2003</w:t>
      </w:r>
      <w:r>
        <w:rPr>
          <w:noProof/>
        </w:rPr>
        <w:t>).</w:t>
      </w:r>
    </w:p>
    <w:p w:rsidR="006E00BC" w:rsidRDefault="006E00BC" w:rsidP="006E00BC">
      <w:pPr>
        <w:rPr>
          <w:noProof/>
        </w:rPr>
      </w:pPr>
      <w:r>
        <w:rPr>
          <w:noProof/>
        </w:rPr>
        <w:t xml:space="preserve">With reference to the above, the committee notes that subsection 5 of the instrument refers to the </w:t>
      </w:r>
      <w:r w:rsidRPr="000734FA">
        <w:rPr>
          <w:i/>
          <w:noProof/>
        </w:rPr>
        <w:t>Radiocommunications (Interpretation) Determination 201</w:t>
      </w:r>
      <w:r w:rsidRPr="005D11C0">
        <w:rPr>
          <w:noProof/>
        </w:rPr>
        <w:t>5</w:t>
      </w:r>
      <w:r>
        <w:rPr>
          <w:noProof/>
        </w:rPr>
        <w:t>.</w:t>
      </w:r>
      <w:r w:rsidRPr="000734FA">
        <w:t xml:space="preserve"> </w:t>
      </w:r>
      <w:r w:rsidRPr="000734FA">
        <w:rPr>
          <w:noProof/>
        </w:rPr>
        <w:t xml:space="preserve">However, neither the instrument nor the ES expressly state the manner in which the specified document </w:t>
      </w:r>
      <w:r>
        <w:rPr>
          <w:noProof/>
        </w:rPr>
        <w:t>is</w:t>
      </w:r>
      <w:r w:rsidRPr="000734FA">
        <w:rPr>
          <w:noProof/>
        </w:rPr>
        <w:t xml:space="preserve"> incorporated.</w:t>
      </w:r>
    </w:p>
    <w:p w:rsidR="006E00BC" w:rsidRDefault="006E00BC" w:rsidP="006E00BC">
      <w:pPr>
        <w:rPr>
          <w:noProof/>
        </w:rPr>
      </w:pPr>
      <w:r>
        <w:rPr>
          <w:noProof/>
        </w:rP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E00BC" w:rsidRDefault="006E00BC" w:rsidP="006E00BC">
      <w:pPr>
        <w:rPr>
          <w:b/>
          <w:noProof/>
        </w:rPr>
      </w:pPr>
      <w:r w:rsidRPr="00A44FAA">
        <w:rPr>
          <w:b/>
          <w:noProof/>
        </w:rPr>
        <w:t>The committee requests the advice of the minister in relation to this matter.</w:t>
      </w:r>
    </w:p>
    <w:p w:rsidR="006E00BC" w:rsidRDefault="006E00BC" w:rsidP="006E00BC">
      <w:pPr>
        <w:rPr>
          <w:b/>
        </w:rPr>
      </w:pPr>
      <w:r w:rsidRPr="001C078F">
        <w:rPr>
          <w:b/>
        </w:rPr>
        <w:t>Minister's response</w:t>
      </w:r>
    </w:p>
    <w:p w:rsidR="006E00BC" w:rsidRDefault="006E00BC" w:rsidP="006E00BC">
      <w:r>
        <w:t>The Minister for Communications advised:</w:t>
      </w:r>
    </w:p>
    <w:p w:rsidR="006E00BC" w:rsidRDefault="006E00BC" w:rsidP="006E00BC">
      <w:pPr>
        <w:pStyle w:val="Quote"/>
      </w:pPr>
      <w:r>
        <w:t xml:space="preserve">By way of clarification, the Interpretation Determination has not been incorporated into the Outpost Licence Conditions Determination by reference, in reliance on either section 14 of the </w:t>
      </w:r>
      <w:r w:rsidRPr="003E09CE">
        <w:rPr>
          <w:i/>
        </w:rPr>
        <w:t>Legislative Instruments Act</w:t>
      </w:r>
      <w:r>
        <w:rPr>
          <w:i/>
        </w:rPr>
        <w:t> </w:t>
      </w:r>
      <w:r w:rsidRPr="003E09CE">
        <w:rPr>
          <w:i/>
        </w:rPr>
        <w:t>2003</w:t>
      </w:r>
      <w:r>
        <w:t xml:space="preserve"> or section 314A of the </w:t>
      </w:r>
      <w:r w:rsidRPr="003E09CE">
        <w:rPr>
          <w:i/>
        </w:rPr>
        <w:t>Radiocommunications Act 1992</w:t>
      </w:r>
      <w:r>
        <w:t xml:space="preserve"> (Radiocommunications Act).</w:t>
      </w:r>
    </w:p>
    <w:p w:rsidR="006E00BC" w:rsidRDefault="006E00BC" w:rsidP="006E00BC">
      <w:pPr>
        <w:pStyle w:val="Quote"/>
      </w:pPr>
      <w:r>
        <w:t xml:space="preserve">As stated in Note 2 to section 5 of the Outpost Licence Conditions Determination, the expressions listed under that note and which are used in that Determination are instead defined by the Interpretation Determination. This is in reliance on section 64 of the </w:t>
      </w:r>
      <w:r w:rsidRPr="003E09CE">
        <w:rPr>
          <w:i/>
        </w:rPr>
        <w:t>Australian Communications and Media Authority Act 2005</w:t>
      </w:r>
      <w:r>
        <w:t xml:space="preserve"> (ACMA Act). Subsection 64(1) of the ACMA Act provides that:</w:t>
      </w:r>
    </w:p>
    <w:p w:rsidR="006E00BC" w:rsidRDefault="006E00BC" w:rsidP="006E00BC">
      <w:pPr>
        <w:pStyle w:val="Quote"/>
        <w:ind w:left="1436"/>
      </w:pPr>
      <w:r w:rsidRPr="003E09CE">
        <w:t>The ACMA may make a written determination defining 1 or more expressions used in specified instruments, being instruments that are made by the ACMA under 1 or more specified laws of the Commonwealth.</w:t>
      </w:r>
    </w:p>
    <w:p w:rsidR="006E00BC" w:rsidRDefault="006E00BC" w:rsidP="006E00BC">
      <w:pPr>
        <w:pStyle w:val="Quote"/>
      </w:pPr>
      <w:r>
        <w:t xml:space="preserve">The ACMA has confirmed that the Outpost Licence Conditions Determination, made under paragraph 107(1)(f) of the Radiocommunications Act, is an instrument to which the Interpretation </w:t>
      </w:r>
      <w:r>
        <w:lastRenderedPageBreak/>
        <w:t>Determination applies (refer sections 3, 4, 5 and 7 of the Interpretation Determination).</w:t>
      </w:r>
    </w:p>
    <w:p w:rsidR="006E00BC" w:rsidRDefault="006E00BC" w:rsidP="006E00BC">
      <w:pPr>
        <w:pStyle w:val="Quote"/>
      </w:pPr>
      <w:r>
        <w:t>The explanatory memorandum for the Australian Communications and Media Authority Bill 2004 stated (at page 33):</w:t>
      </w:r>
    </w:p>
    <w:p w:rsidR="006E00BC" w:rsidRDefault="006E00BC" w:rsidP="006E00BC">
      <w:pPr>
        <w:pStyle w:val="Quote"/>
        <w:ind w:left="1436"/>
      </w:pPr>
      <w:r w:rsidRPr="003E09CE">
        <w:t>Clause 64 ... will facilitate the standardisation of terms in such instruments, and the ready amendment of te</w:t>
      </w:r>
      <w:r>
        <w:t>r</w:t>
      </w:r>
      <w:r w:rsidRPr="003E09CE">
        <w:t>ms without the need for amendment to each affected instrument.</w:t>
      </w:r>
    </w:p>
    <w:p w:rsidR="006E00BC" w:rsidRDefault="006E00BC" w:rsidP="006E00BC">
      <w:pPr>
        <w:pStyle w:val="Quote"/>
      </w:pPr>
      <w:r>
        <w:t>The ACMA has advised that the Interpretation Determination applies to the relevant specified instruments, including the Outpost Licence Conditions Determination, as in force from time to time (and not as in force at a particular time). That being the effect of the ACMA Act, and given the overall purpose and intent of subsection 64(1), which is to foster the efficient administration of a large number of legislative instruments, the ACMA does not customarily repeat that effect of the ACMA Act in each of those affected instruments.</w:t>
      </w:r>
    </w:p>
    <w:p w:rsidR="006E00BC" w:rsidRPr="00E96379" w:rsidRDefault="006E00BC" w:rsidP="006E00BC">
      <w:pPr>
        <w:rPr>
          <w:b/>
        </w:rPr>
      </w:pPr>
      <w:r w:rsidRPr="00E96379">
        <w:rPr>
          <w:b/>
        </w:rPr>
        <w:t>Committee's response</w:t>
      </w:r>
    </w:p>
    <w:p w:rsidR="006E00BC" w:rsidRDefault="006E00BC" w:rsidP="006E00BC">
      <w:r w:rsidRPr="00E96379">
        <w:rPr>
          <w:b/>
        </w:rPr>
        <w:t xml:space="preserve">The committee thanks the minister for </w:t>
      </w:r>
      <w:r>
        <w:rPr>
          <w:b/>
        </w:rPr>
        <w:t>his</w:t>
      </w:r>
      <w:r w:rsidRPr="00E96379">
        <w:rPr>
          <w:b/>
        </w:rPr>
        <w:t xml:space="preserve"> response and has concluded its examination of the instrument</w:t>
      </w:r>
      <w:r>
        <w:rPr>
          <w:b/>
        </w:rPr>
        <w:t>.</w:t>
      </w:r>
    </w:p>
    <w:p w:rsidR="00C015A1" w:rsidRDefault="00C015A1" w:rsidP="00325264">
      <w:pPr>
        <w:sectPr w:rsidR="00C015A1" w:rsidSect="006E00BC">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pgNumType w:start="21"/>
          <w:cols w:space="708"/>
          <w:titlePg/>
          <w:docGrid w:linePitch="360"/>
        </w:sectPr>
      </w:pPr>
    </w:p>
    <w:p w:rsidR="00C015A1" w:rsidRDefault="00C015A1" w:rsidP="00C015A1">
      <w:pPr>
        <w:pStyle w:val="Heading1"/>
      </w:pPr>
      <w:r>
        <w:lastRenderedPageBreak/>
        <w:t>Appendix 1</w:t>
      </w:r>
    </w:p>
    <w:p w:rsidR="00C015A1" w:rsidRPr="00520991" w:rsidRDefault="00C015A1" w:rsidP="00C015A1">
      <w:pPr>
        <w:pStyle w:val="Heading2"/>
      </w:pPr>
      <w:r>
        <w:t>Correspondence</w:t>
      </w:r>
    </w:p>
    <w:p w:rsidR="00C015A1" w:rsidRDefault="00C015A1">
      <w:pPr>
        <w:spacing w:after="0"/>
        <w:jc w:val="left"/>
      </w:pPr>
      <w:r>
        <w:br w:type="page"/>
      </w:r>
    </w:p>
    <w:p w:rsidR="00520991" w:rsidRDefault="00520991" w:rsidP="00325264"/>
    <w:p w:rsidR="00C015A1" w:rsidRDefault="00C015A1" w:rsidP="00325264">
      <w:pPr>
        <w:sectPr w:rsidR="00C015A1" w:rsidSect="00704FE3">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31"/>
          <w:cols w:space="720"/>
          <w:titlePg/>
        </w:sectPr>
      </w:pPr>
    </w:p>
    <w:p w:rsidR="00C015A1" w:rsidRDefault="00C015A1" w:rsidP="00C015A1">
      <w:pPr>
        <w:pStyle w:val="Heading1"/>
      </w:pPr>
      <w:r>
        <w:lastRenderedPageBreak/>
        <w:t>Appendix 2</w:t>
      </w:r>
    </w:p>
    <w:p w:rsidR="00C015A1" w:rsidRDefault="00C015A1" w:rsidP="00C015A1">
      <w:pPr>
        <w:pStyle w:val="Heading2"/>
      </w:pPr>
      <w:r>
        <w:t>Guideline on consultation</w:t>
      </w:r>
    </w:p>
    <w:p w:rsidR="00C015A1" w:rsidRPr="00C22E53" w:rsidRDefault="00C015A1" w:rsidP="00C015A1">
      <w:pPr>
        <w:pStyle w:val="Heading3"/>
      </w:pPr>
      <w:r>
        <w:t>Purpose</w:t>
      </w:r>
    </w:p>
    <w:p w:rsidR="00C015A1" w:rsidRPr="00C22E53" w:rsidRDefault="00C015A1" w:rsidP="00C015A1">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C015A1" w:rsidRPr="00C22E53" w:rsidRDefault="00C015A1" w:rsidP="00C015A1">
      <w:pPr>
        <w:rPr>
          <w:szCs w:val="24"/>
        </w:rPr>
      </w:pPr>
      <w:r w:rsidRPr="00C22E53">
        <w:rPr>
          <w:szCs w:val="24"/>
        </w:rPr>
        <w:t xml:space="preserve">The committee scrutinises instruments to ensure, inter alia, that they meet the technical requirements of the </w:t>
      </w:r>
      <w:hyperlink r:id="rId52"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C015A1" w:rsidRPr="00241303" w:rsidRDefault="00C015A1" w:rsidP="00C015A1">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53" w:history="1">
        <w:r w:rsidRPr="00241303">
          <w:rPr>
            <w:rStyle w:val="Hyperlink"/>
            <w:color w:val="auto"/>
            <w:szCs w:val="24"/>
            <w:u w:val="none"/>
          </w:rPr>
          <w:t>disallowance</w:t>
        </w:r>
      </w:hyperlink>
      <w:r w:rsidRPr="00241303">
        <w:rPr>
          <w:szCs w:val="24"/>
        </w:rPr>
        <w:t>.</w:t>
      </w:r>
    </w:p>
    <w:p w:rsidR="00C015A1" w:rsidRPr="00C22E53" w:rsidRDefault="00C015A1" w:rsidP="00C015A1">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C015A1" w:rsidRDefault="00C015A1" w:rsidP="00C015A1">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C015A1" w:rsidRPr="00C22E53" w:rsidRDefault="00C015A1" w:rsidP="00C015A1">
      <w:pPr>
        <w:pStyle w:val="Heading3"/>
      </w:pPr>
      <w:r w:rsidRPr="00241303">
        <w:t xml:space="preserve">Requirements of the </w:t>
      </w:r>
      <w:r w:rsidRPr="00241303">
        <w:rPr>
          <w:i/>
        </w:rPr>
        <w:t>Legislative Instruments Act 2003</w:t>
      </w:r>
    </w:p>
    <w:p w:rsidR="00C015A1" w:rsidRPr="00C22E53" w:rsidRDefault="00C015A1" w:rsidP="00C015A1">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C015A1" w:rsidRPr="00C22E53" w:rsidRDefault="00C015A1" w:rsidP="00C015A1">
      <w:pPr>
        <w:rPr>
          <w:szCs w:val="24"/>
        </w:rPr>
      </w:pPr>
      <w:r w:rsidRPr="00C22E53">
        <w:rPr>
          <w:szCs w:val="24"/>
        </w:rPr>
        <w:t>Section 18 of the Act, however, provides that in some circumstances such consultation may be 'unnecessary or inappropriate'.</w:t>
      </w:r>
    </w:p>
    <w:p w:rsidR="00C015A1" w:rsidRPr="00241303" w:rsidRDefault="00C015A1" w:rsidP="00C015A1">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C015A1" w:rsidRPr="00241303" w:rsidRDefault="00C015A1" w:rsidP="00C015A1">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C015A1" w:rsidRPr="00C22E53" w:rsidRDefault="00C015A1" w:rsidP="00C015A1">
      <w:pPr>
        <w:rPr>
          <w:szCs w:val="24"/>
        </w:rPr>
      </w:pPr>
      <w:r w:rsidRPr="00C22E53">
        <w:rPr>
          <w:szCs w:val="24"/>
        </w:rPr>
        <w:t>If a RIS or similar assessment has been prepared, it should be provided to the committee along with the ES.</w:t>
      </w:r>
    </w:p>
    <w:p w:rsidR="00C015A1" w:rsidRPr="00C22E53" w:rsidRDefault="00C015A1" w:rsidP="00C015A1">
      <w:pPr>
        <w:pStyle w:val="Heading3"/>
      </w:pPr>
      <w:r w:rsidRPr="00C22E53">
        <w:t>Describing the nature of consultation</w:t>
      </w:r>
    </w:p>
    <w:p w:rsidR="00C015A1" w:rsidRPr="00C22E53" w:rsidRDefault="00C015A1" w:rsidP="00C015A1">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C015A1" w:rsidRDefault="00C015A1" w:rsidP="00C015A1">
      <w:pPr>
        <w:rPr>
          <w:szCs w:val="24"/>
        </w:rPr>
      </w:pPr>
      <w:r w:rsidRPr="00C22E53">
        <w:rPr>
          <w:szCs w:val="24"/>
        </w:rPr>
        <w:t>Where consultation has taken place, the ES to an instrument should set out the following information:</w:t>
      </w:r>
    </w:p>
    <w:p w:rsidR="00C015A1" w:rsidRDefault="00C015A1" w:rsidP="00C015A1">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C015A1" w:rsidRDefault="00C015A1" w:rsidP="00C015A1">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C015A1" w:rsidRPr="00241303" w:rsidRDefault="00C015A1" w:rsidP="00C015A1">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C015A1" w:rsidRPr="00C22E53" w:rsidRDefault="00C015A1" w:rsidP="00C015A1">
      <w:pPr>
        <w:pStyle w:val="Heading3"/>
      </w:pPr>
      <w:r w:rsidRPr="00C22E53">
        <w:t>Explaining why consultation has not been undertaken</w:t>
      </w:r>
    </w:p>
    <w:p w:rsidR="00C015A1" w:rsidRPr="00C22E53" w:rsidRDefault="00C015A1" w:rsidP="00C015A1">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C015A1" w:rsidRDefault="00C015A1" w:rsidP="00C015A1">
      <w:pPr>
        <w:spacing w:after="0"/>
        <w:jc w:val="left"/>
        <w:rPr>
          <w:szCs w:val="24"/>
        </w:rPr>
      </w:pPr>
      <w:r>
        <w:rPr>
          <w:szCs w:val="24"/>
        </w:rPr>
        <w:br w:type="page"/>
      </w:r>
    </w:p>
    <w:p w:rsidR="00C015A1" w:rsidRPr="00C22E53" w:rsidRDefault="00C015A1" w:rsidP="00C015A1">
      <w:pPr>
        <w:rPr>
          <w:szCs w:val="24"/>
        </w:rPr>
      </w:pPr>
      <w:r w:rsidRPr="00C22E53">
        <w:rPr>
          <w:szCs w:val="24"/>
        </w:rPr>
        <w:lastRenderedPageBreak/>
        <w:t>In explaining why no consultation has taken place, it is important to note the following considerations:</w:t>
      </w:r>
    </w:p>
    <w:p w:rsidR="00C015A1" w:rsidRPr="00241303" w:rsidRDefault="00C015A1" w:rsidP="00C015A1">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C015A1" w:rsidRPr="00C22E53" w:rsidRDefault="00C015A1" w:rsidP="00C015A1">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C015A1" w:rsidRDefault="00C015A1" w:rsidP="00C015A1">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C015A1" w:rsidRPr="00C22E53" w:rsidRDefault="00C015A1" w:rsidP="00C015A1">
      <w:pPr>
        <w:pStyle w:val="Heading3"/>
      </w:pPr>
      <w:r w:rsidRPr="00C22E53">
        <w:t>Seeking further advice or information</w:t>
      </w:r>
    </w:p>
    <w:p w:rsidR="00C015A1" w:rsidRDefault="00C015A1" w:rsidP="00C015A1">
      <w:pPr>
        <w:rPr>
          <w:szCs w:val="24"/>
        </w:rPr>
      </w:pPr>
      <w:r w:rsidRPr="00C22E53">
        <w:rPr>
          <w:szCs w:val="24"/>
        </w:rPr>
        <w:t xml:space="preserve">Further information is available through the committee's website at </w:t>
      </w:r>
      <w:hyperlink r:id="rId54"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C015A1" w:rsidRDefault="00C015A1" w:rsidP="00C015A1">
      <w:pPr>
        <w:spacing w:after="0"/>
        <w:ind w:left="720"/>
        <w:rPr>
          <w:szCs w:val="24"/>
        </w:rPr>
      </w:pPr>
      <w:r w:rsidRPr="00C22E53">
        <w:rPr>
          <w:szCs w:val="24"/>
        </w:rPr>
        <w:t>Committee Secretary</w:t>
      </w:r>
    </w:p>
    <w:p w:rsidR="00C015A1" w:rsidRPr="00C22E53" w:rsidRDefault="00C015A1" w:rsidP="00C015A1">
      <w:pPr>
        <w:spacing w:after="0"/>
        <w:ind w:left="720"/>
        <w:rPr>
          <w:szCs w:val="24"/>
        </w:rPr>
      </w:pPr>
      <w:r w:rsidRPr="00C22E53">
        <w:rPr>
          <w:szCs w:val="24"/>
        </w:rPr>
        <w:t>Senate Regulations and Ordinances Committee</w:t>
      </w:r>
    </w:p>
    <w:p w:rsidR="00C015A1" w:rsidRPr="00C22E53" w:rsidRDefault="00C015A1" w:rsidP="00C015A1">
      <w:pPr>
        <w:spacing w:after="0"/>
        <w:ind w:left="720"/>
        <w:rPr>
          <w:szCs w:val="24"/>
        </w:rPr>
      </w:pPr>
      <w:r w:rsidRPr="00C22E53">
        <w:rPr>
          <w:szCs w:val="24"/>
        </w:rPr>
        <w:t>PO Box 6100</w:t>
      </w:r>
    </w:p>
    <w:p w:rsidR="00C015A1" w:rsidRPr="00C22E53" w:rsidRDefault="00C015A1" w:rsidP="00C015A1">
      <w:pPr>
        <w:spacing w:after="0"/>
        <w:ind w:left="720"/>
        <w:rPr>
          <w:szCs w:val="24"/>
        </w:rPr>
      </w:pPr>
      <w:r w:rsidRPr="00C22E53">
        <w:rPr>
          <w:szCs w:val="24"/>
        </w:rPr>
        <w:t>Parliament House</w:t>
      </w:r>
    </w:p>
    <w:p w:rsidR="00C015A1" w:rsidRDefault="00C015A1" w:rsidP="00C015A1">
      <w:pPr>
        <w:spacing w:after="0"/>
        <w:ind w:left="720"/>
        <w:rPr>
          <w:szCs w:val="24"/>
        </w:rPr>
      </w:pPr>
      <w:r w:rsidRPr="00C22E53">
        <w:rPr>
          <w:szCs w:val="24"/>
        </w:rPr>
        <w:t>Canberra ACT 2600</w:t>
      </w:r>
    </w:p>
    <w:p w:rsidR="00C015A1" w:rsidRDefault="00C015A1" w:rsidP="00C015A1">
      <w:pPr>
        <w:spacing w:after="0"/>
        <w:ind w:left="720"/>
        <w:rPr>
          <w:szCs w:val="24"/>
        </w:rPr>
      </w:pPr>
      <w:r w:rsidRPr="00C22E53">
        <w:rPr>
          <w:szCs w:val="24"/>
        </w:rPr>
        <w:t>Australia</w:t>
      </w:r>
    </w:p>
    <w:p w:rsidR="00C015A1" w:rsidRPr="00C22E53" w:rsidRDefault="00C015A1" w:rsidP="00C015A1">
      <w:pPr>
        <w:spacing w:after="60"/>
        <w:ind w:left="720"/>
        <w:rPr>
          <w:szCs w:val="24"/>
        </w:rPr>
      </w:pPr>
    </w:p>
    <w:p w:rsidR="00C015A1" w:rsidRPr="00C22E53" w:rsidRDefault="00C015A1" w:rsidP="00C015A1">
      <w:pPr>
        <w:spacing w:after="0"/>
        <w:ind w:left="720"/>
        <w:rPr>
          <w:szCs w:val="24"/>
        </w:rPr>
      </w:pPr>
      <w:r w:rsidRPr="00C22E53">
        <w:rPr>
          <w:szCs w:val="24"/>
        </w:rPr>
        <w:t xml:space="preserve">Phone: +61 2 6277 3066 </w:t>
      </w:r>
    </w:p>
    <w:p w:rsidR="00C015A1" w:rsidRPr="00C22E53" w:rsidRDefault="00C015A1" w:rsidP="00C015A1">
      <w:pPr>
        <w:spacing w:after="0"/>
        <w:ind w:left="720"/>
        <w:rPr>
          <w:szCs w:val="24"/>
        </w:rPr>
      </w:pPr>
      <w:r w:rsidRPr="00C22E53">
        <w:rPr>
          <w:szCs w:val="24"/>
        </w:rPr>
        <w:t xml:space="preserve">Fax: +61 2 6277 5881 </w:t>
      </w:r>
    </w:p>
    <w:p w:rsidR="00C015A1" w:rsidRPr="00C22E53" w:rsidRDefault="00C015A1" w:rsidP="00C015A1">
      <w:pPr>
        <w:spacing w:after="0"/>
        <w:ind w:left="720"/>
        <w:rPr>
          <w:szCs w:val="24"/>
        </w:rPr>
      </w:pPr>
      <w:r w:rsidRPr="00C22E53">
        <w:rPr>
          <w:szCs w:val="24"/>
        </w:rPr>
        <w:t xml:space="preserve">Email: </w:t>
      </w:r>
      <w:hyperlink r:id="rId55" w:history="1">
        <w:r w:rsidRPr="00C22E53">
          <w:rPr>
            <w:rStyle w:val="Hyperlink"/>
            <w:szCs w:val="24"/>
          </w:rPr>
          <w:t>RegOrds.Sen@aph.gov.au</w:t>
        </w:r>
      </w:hyperlink>
    </w:p>
    <w:p w:rsidR="00C015A1" w:rsidRPr="00520991" w:rsidRDefault="00C015A1" w:rsidP="00325264"/>
    <w:sectPr w:rsidR="00C015A1" w:rsidRPr="00520991" w:rsidSect="003854C5">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202" w:left="1440" w:header="1134" w:footer="720" w:gutter="0"/>
      <w:pgNumType w:start="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BC" w:rsidRDefault="006E00BC">
      <w:r>
        <w:separator/>
      </w:r>
    </w:p>
  </w:endnote>
  <w:endnote w:type="continuationSeparator" w:id="0">
    <w:p w:rsidR="006E00BC" w:rsidRDefault="006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6E00BC" w:rsidRDefault="006E00BC">
        <w:pPr>
          <w:pStyle w:val="Footer"/>
          <w:jc w:val="center"/>
        </w:pPr>
        <w:r>
          <w:fldChar w:fldCharType="begin"/>
        </w:r>
        <w:r>
          <w:instrText xml:space="preserve"> PAGE   \* MERGEFORMAT </w:instrText>
        </w:r>
        <w:r>
          <w:fldChar w:fldCharType="separate"/>
        </w:r>
        <w:r w:rsidR="00B9306D">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4260"/>
      <w:docPartObj>
        <w:docPartGallery w:val="Page Numbers (Bottom of Page)"/>
        <w:docPartUnique/>
      </w:docPartObj>
    </w:sdtPr>
    <w:sdtEndPr>
      <w:rPr>
        <w:noProof/>
      </w:rPr>
    </w:sdtEndPr>
    <w:sdtContent>
      <w:p w:rsidR="006E00BC" w:rsidRDefault="006E00BC">
        <w:pPr>
          <w:pStyle w:val="Footer"/>
          <w:jc w:val="center"/>
        </w:pPr>
        <w:r>
          <w:fldChar w:fldCharType="begin"/>
        </w:r>
        <w:r>
          <w:instrText xml:space="preserve"> PAGE   \* MERGEFORMAT </w:instrText>
        </w:r>
        <w:r>
          <w:fldChar w:fldCharType="separate"/>
        </w:r>
        <w:r w:rsidR="00B9306D">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6E00BC" w:rsidRDefault="006E00BC">
        <w:pPr>
          <w:pStyle w:val="Footer"/>
          <w:jc w:val="center"/>
        </w:pPr>
        <w:r>
          <w:fldChar w:fldCharType="begin"/>
        </w:r>
        <w:r>
          <w:instrText xml:space="preserve"> PAGE   \* MERGEFORMAT </w:instrText>
        </w:r>
        <w:r>
          <w:fldChar w:fldCharType="separate"/>
        </w:r>
        <w:r w:rsidR="00B9306D">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6E00BC" w:rsidRDefault="006E00BC">
        <w:pPr>
          <w:pStyle w:val="Footer"/>
          <w:jc w:val="center"/>
        </w:pPr>
        <w:r>
          <w:fldChar w:fldCharType="begin"/>
        </w:r>
        <w:r>
          <w:instrText xml:space="preserve"> PAGE   \* MERGEFORMAT </w:instrText>
        </w:r>
        <w:r>
          <w:fldChar w:fldCharType="separate"/>
        </w:r>
        <w:r w:rsidR="00B9306D">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6E00BC" w:rsidRDefault="006E00BC">
        <w:pPr>
          <w:pStyle w:val="Footer"/>
          <w:jc w:val="center"/>
        </w:pPr>
        <w:r>
          <w:fldChar w:fldCharType="begin"/>
        </w:r>
        <w:r>
          <w:instrText xml:space="preserve"> PAGE   \* MERGEFORMAT </w:instrText>
        </w:r>
        <w:r>
          <w:fldChar w:fldCharType="separate"/>
        </w:r>
        <w:r w:rsidR="00B9306D">
          <w:rPr>
            <w:noProof/>
          </w:rPr>
          <w:t>v</w:t>
        </w:r>
        <w:r>
          <w:rPr>
            <w:noProof/>
          </w:rPr>
          <w:fldChar w:fldCharType="end"/>
        </w:r>
      </w:p>
    </w:sdtContent>
  </w:sdt>
  <w:p w:rsidR="006E00BC" w:rsidRDefault="006E00BC">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BC" w:rsidRDefault="006E00BC">
      <w:r>
        <w:separator/>
      </w:r>
    </w:p>
  </w:footnote>
  <w:footnote w:type="continuationSeparator" w:id="0">
    <w:p w:rsidR="006E00BC" w:rsidRDefault="006E00BC">
      <w:r>
        <w:continuationSeparator/>
      </w:r>
    </w:p>
  </w:footnote>
  <w:footnote w:id="1">
    <w:p w:rsidR="006E00BC" w:rsidRPr="00ED4CC3" w:rsidRDefault="006E00BC" w:rsidP="006E00BC">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6E00BC" w:rsidRPr="00DB17B5" w:rsidRDefault="006E00BC" w:rsidP="006E00BC">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6E00BC" w:rsidRPr="000E553A" w:rsidRDefault="006E00BC" w:rsidP="006E00BC">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6E00BC" w:rsidRPr="00194B2F" w:rsidRDefault="006E00BC" w:rsidP="006E00BC">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6E00BC" w:rsidRPr="000274A0" w:rsidRDefault="006E00BC" w:rsidP="006E00BC">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6E00BC" w:rsidRPr="00301C2D" w:rsidRDefault="006E00BC" w:rsidP="006E00BC">
      <w:pPr>
        <w:pStyle w:val="FootnoteText"/>
        <w:spacing w:after="120"/>
      </w:pPr>
      <w:r w:rsidRPr="00301C2D">
        <w:rPr>
          <w:rStyle w:val="FootnoteReference"/>
          <w:vertAlign w:val="baseline"/>
        </w:rPr>
        <w:footnoteRef/>
      </w:r>
      <w:r w:rsidRPr="00301C2D">
        <w:t xml:space="preserve"> </w:t>
      </w:r>
      <w:r>
        <w:tab/>
      </w:r>
      <w:bookmarkStart w:id="24" w:name="OLE_LINK4"/>
      <w:r>
        <w:t>As at 1 December 2015, CHF 178 (178 Swiss Franc) converted to approximately AUD $240.</w:t>
      </w:r>
      <w:bookmarkEnd w:id="24"/>
      <w:r>
        <w:t xml:space="preserve"> </w:t>
      </w:r>
    </w:p>
  </w:footnote>
  <w:footnote w:id="7">
    <w:p w:rsidR="006E00BC" w:rsidRDefault="006E00BC" w:rsidP="006E00BC">
      <w:pPr>
        <w:pStyle w:val="FootnoteText"/>
        <w:spacing w:after="120"/>
      </w:pPr>
      <w:r>
        <w:rPr>
          <w:rStyle w:val="FootnoteReference"/>
        </w:rPr>
        <w:footnoteRef/>
      </w:r>
      <w:r>
        <w:t xml:space="preserve"> </w:t>
      </w:r>
      <w:r>
        <w:tab/>
        <w:t xml:space="preserve">See the combined effect of the Charter of the United Nations (UN Sanction Enforcement Law) Amendment Declaration 2015 (No. 2) [F2015L01673], which designates regulation 5 of the Charter of the United Nations (Sanctions—Syria) Regulation 2015 as a UN Sanction Enforcement Law under section 2B of the </w:t>
      </w:r>
      <w:r>
        <w:rPr>
          <w:i/>
        </w:rPr>
        <w:t>Charter of the United Nations Act 1945</w:t>
      </w:r>
      <w:r>
        <w:t>, read with section 27 of that Act which makes contravention of a UN sanction enforcement law a criminal offence.</w:t>
      </w:r>
    </w:p>
  </w:footnote>
  <w:footnote w:id="8">
    <w:p w:rsidR="006E00BC" w:rsidRPr="00E35D4F" w:rsidRDefault="006E00BC" w:rsidP="006E00BC">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9">
    <w:p w:rsidR="006E00BC" w:rsidRPr="001C078F" w:rsidRDefault="006E00BC" w:rsidP="006E00BC">
      <w:pPr>
        <w:pStyle w:val="FootnoteText"/>
        <w:spacing w:after="120"/>
      </w:pPr>
      <w:r w:rsidRPr="001C078F">
        <w:rPr>
          <w:rStyle w:val="FootnoteReference"/>
          <w:vertAlign w:val="baseline"/>
        </w:rPr>
        <w:footnoteRef/>
      </w:r>
      <w:r w:rsidRPr="001C078F">
        <w:t xml:space="preserve"> </w:t>
      </w:r>
      <w:r>
        <w:tab/>
      </w:r>
      <w:r w:rsidRPr="000B177A">
        <w:t xml:space="preserve">The committee notes that </w:t>
      </w:r>
      <w:r>
        <w:t>the issue raised also applies to a number of recent standards including</w:t>
      </w:r>
      <w:r w:rsidRPr="000B177A">
        <w:t>: AASB 12 - Disclosure of Interests in Other Entities - August 2015 [F2015L01536]; AASB 107 - Statement of Cash Flows - August 2015 [F2015L01538]; AASB 108 - Accounting Policies, Changes in Accounting Estimates and Errors - August 2015 [F2015L01565]; AASB 117 - Leases - August 2015 [F2015L01562]; AASB 128 - Investments in Associates and Joint Ventures - August 2015 [F2015L01543]; AASB 127 - Separate Financial Statements - August 2015 [F2015L01544]; AASB 129 - Financial Reporting in Hyperinflationary Economies - August 2015 [F2015L01550]; AASB 110 - Events after the Reporting Period - August 2015 [F2015L01553]; AASB 134 - Interim Financial Reporting - August 2015 [F2015L01557]; AASB 138 - Intangible Assets - August 2015 [F2015L01558]; AASB 116 - Property, Plant and Equipment - August 2015 [F2015L01572] ;AASB 120 - Accounting for Government Grants and Disclosure of Government Assistance - August 2015 [F2015L01576];AASB 121 - The Effects of Changes in Foreign Exchange Rates - August 2015 [F2015L01580]; AASB 123 - Borrowing Costs - August 2015 [F2015L01586]; AASB 3 - Business Combinations - August 2015 [F2015L01592]; AASB 112 - Income Taxes - August 2015 [F2015L01601]; AASB 2 - Share-based Payment - July 2015 [F2015L01603]; AASB 132 - Financial Instruments: Presentation - August 2015 [F2015L01605]; AASB 8 - Operating Segments - August 2015 [F2015L01606]; AASB 137 - Provisions, Contingent Liabilities and Contingent Assets - August 2015 [F2015L01607]; AASB 6 - Exploration for and Evaluation of Mineral Resources - August 2015 [F2015L01608]; AASB 139 - Financial Instruments: Recognition and Measurement - August 2015 [F2015L01609]; AASB 7 - Financial Instruments: Disclosures - August 2015 [F2015L01610]; AASB 140 - Investment Property - August 2015 [F2015L01611]; AASB 119 - Employee Benefits - August 2015 [F2015L01612]; AASB 13 - Fair Value Measurement - August 2015 [F2015L01613]; AASB 5 - Non-current Assets Held for Sale and Discontinued Operations - August 2015 [F2015L01614]; AASB 141 - Agriculture - August 2015 [F2015L01615]; AASB 133 - Earnings per Share - August 2015 [F2015L01616]; AASB 10 - Consolidated Financial Statements - July 2015 [F2015L01617]; AASB 124 - Related Party Disclosures - July 2015 [F2015L01621]; AASB 136 - Impairment of Assets - August 2015 [F2015L01622]; AASB 4 - Insurance Contracts - August 2015 [F2015L01623]; AASB 102 - Inventories - July 2015 [F2015L01624];</w:t>
      </w:r>
      <w:r>
        <w:t xml:space="preserve"> </w:t>
      </w:r>
      <w:r w:rsidRPr="000B177A">
        <w:t>AASB 101 - Presentation of Financial Statements - July 2015 [F2015L01626]; AASB 11 - Joint Arrangements - July 2015 [F2015L01627]; AASB 1 - First-time Adoption of Australian Accounting Standards - July 2015 [F2015L01628]; AASB 1048 - Interpretation of Standards - August 2015 [F2015L01618];</w:t>
      </w:r>
      <w:r>
        <w:t xml:space="preserve"> and </w:t>
      </w:r>
      <w:r w:rsidRPr="000B177A">
        <w:t>AASB 1057 - Application of Australian Accounting Standards - July 2015 [F2015L01620]</w:t>
      </w:r>
      <w:r>
        <w:t>.</w:t>
      </w:r>
    </w:p>
  </w:footnote>
  <w:footnote w:id="10">
    <w:p w:rsidR="006E00BC" w:rsidRPr="00BC7D16" w:rsidRDefault="006E00BC" w:rsidP="006E00BC">
      <w:pPr>
        <w:pStyle w:val="FootnoteText"/>
        <w:spacing w:after="120"/>
        <w:jc w:val="both"/>
      </w:pPr>
      <w:r w:rsidRPr="00D44A52">
        <w:rPr>
          <w:rStyle w:val="FootnoteReference"/>
          <w:vertAlign w:val="baseline"/>
        </w:rPr>
        <w:footnoteRef/>
      </w:r>
      <w:r w:rsidRPr="00BC7D16">
        <w:t xml:space="preserve"> </w:t>
      </w:r>
      <w:r>
        <w:tab/>
        <w:t>In general terms, these provisions respectively provide that an instrument may not commence retrospectively where a person other than the Commonwealth would be disadvantaged; and that the amendment of an Act or part of an Act does not affect the previous operation of those provisions (including any right, privilege, obligation or liability acquired, accrued or incurred under the affected provisions).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pPr>
      <w:pStyle w:val="Header"/>
      <w:pBdr>
        <w:bottom w:val="single" w:sz="4" w:space="1" w:color="auto"/>
      </w:pBdr>
      <w:tabs>
        <w:tab w:val="clear" w:pos="8306"/>
        <w:tab w:val="right" w:pos="9000"/>
      </w:tabs>
    </w:pPr>
    <w:r>
      <w:fldChar w:fldCharType="begin"/>
    </w:r>
    <w:r>
      <w:instrText xml:space="preserve"> PAGE </w:instrText>
    </w:r>
    <w:r>
      <w:fldChar w:fldCharType="separate"/>
    </w:r>
    <w:r w:rsidR="00B9306D">
      <w:rPr>
        <w:noProof/>
      </w:rPr>
      <w:t>4</w:t>
    </w:r>
    <w:r>
      <w:rPr>
        <w:noProof/>
      </w:rPr>
      <w:fldChar w:fldCharType="end"/>
    </w:r>
    <w:r w:rsidRPr="007E5241">
      <w:rPr>
        <w:color w:val="FF000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B9306D">
      <w:rPr>
        <w:noProof/>
      </w:rPr>
      <w:t>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r>
      <w:tab/>
    </w:r>
    <w:r>
      <w:fldChar w:fldCharType="begin"/>
    </w:r>
    <w:r>
      <w:instrText xml:space="preserve"> PAGE </w:instrText>
    </w:r>
    <w:r>
      <w:fldChar w:fldCharType="separate"/>
    </w:r>
    <w:r w:rsidR="00B9306D">
      <w:rPr>
        <w:noProof/>
      </w:rPr>
      <w:t>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r>
      <w:tab/>
    </w:r>
    <w:r>
      <w:fldChar w:fldCharType="begin"/>
    </w:r>
    <w:r>
      <w:instrText xml:space="preserve"> PAGE </w:instrText>
    </w:r>
    <w:r>
      <w:fldChar w:fldCharType="separate"/>
    </w:r>
    <w:r w:rsidR="00B9306D">
      <w:rPr>
        <w:noProof/>
      </w:rPr>
      <w:t>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pPr>
      <w:pStyle w:val="Header"/>
      <w:pBdr>
        <w:bottom w:val="single" w:sz="4" w:space="1" w:color="auto"/>
      </w:pBdr>
      <w:tabs>
        <w:tab w:val="clear" w:pos="8306"/>
        <w:tab w:val="right" w:pos="9000"/>
      </w:tabs>
    </w:pPr>
    <w:r>
      <w:fldChar w:fldCharType="begin"/>
    </w:r>
    <w:r>
      <w:instrText xml:space="preserve"> PAGE </w:instrText>
    </w:r>
    <w:r>
      <w:fldChar w:fldCharType="separate"/>
    </w:r>
    <w:r w:rsidR="00B9306D">
      <w:rPr>
        <w:noProof/>
      </w:rPr>
      <w:t>38</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B9306D">
      <w:rPr>
        <w:noProof/>
      </w:rPr>
      <w:t>37</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rsidP="006E00BC">
    <w:pPr>
      <w:pStyle w:val="Header"/>
      <w:tabs>
        <w:tab w:val="clear" w:pos="8306"/>
        <w:tab w:val="left" w:pos="8648"/>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C015A1" w:rsidRDefault="00C77954" w:rsidP="00C01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C015A1">
      <w:fldChar w:fldCharType="begin"/>
    </w:r>
    <w:r w:rsidR="00C015A1">
      <w:instrText xml:space="preserve"> PAGE </w:instrText>
    </w:r>
    <w:r w:rsidR="00C015A1">
      <w:fldChar w:fldCharType="separate"/>
    </w:r>
    <w:r>
      <w:rPr>
        <w:noProof/>
      </w:rPr>
      <w:t>3</w:t>
    </w:r>
    <w:r w:rsidR="00C015A1">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C015A1">
      <w:t>39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015A1">
    <w:pPr>
      <w:pStyle w:val="Header"/>
      <w:pBdr>
        <w:bottom w:val="single" w:sz="4" w:space="1" w:color="auto"/>
      </w:pBdr>
      <w:tabs>
        <w:tab w:val="clear" w:pos="8306"/>
        <w:tab w:val="right" w:pos="9000"/>
      </w:tabs>
    </w:pPr>
    <w:r>
      <w:fldChar w:fldCharType="begin"/>
    </w:r>
    <w:r>
      <w:instrText xml:space="preserve"> PAGE </w:instrText>
    </w:r>
    <w:r>
      <w:fldChar w:fldCharType="separate"/>
    </w:r>
    <w:r w:rsidR="00B9306D">
      <w:rPr>
        <w:noProof/>
      </w:rPr>
      <w:t>72</w:t>
    </w:r>
    <w:r>
      <w:rPr>
        <w:noProof/>
      </w:rPr>
      <w:fldChar w:fldCharType="end"/>
    </w:r>
    <w:r w:rsidR="00C77954">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C015A1">
      <w:fldChar w:fldCharType="begin"/>
    </w:r>
    <w:r w:rsidR="00C015A1">
      <w:instrText xml:space="preserve"> PAGE </w:instrText>
    </w:r>
    <w:r w:rsidR="00C015A1">
      <w:fldChar w:fldCharType="separate"/>
    </w:r>
    <w:r w:rsidR="00B9306D">
      <w:rPr>
        <w:noProof/>
      </w:rPr>
      <w:t>73</w:t>
    </w:r>
    <w:r w:rsidR="00C015A1">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C015A1">
      <w:fldChar w:fldCharType="begin"/>
    </w:r>
    <w:r w:rsidR="00C015A1">
      <w:instrText xml:space="preserve"> PAGE </w:instrText>
    </w:r>
    <w:r w:rsidR="00C015A1">
      <w:fldChar w:fldCharType="separate"/>
    </w:r>
    <w:r w:rsidR="00B9306D">
      <w:rPr>
        <w:noProof/>
      </w:rPr>
      <w:t>71</w:t>
    </w:r>
    <w:r w:rsidR="00C015A1">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rsidP="006E00BC">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B9306D">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pPr>
      <w:pStyle w:val="Header"/>
      <w:pBdr>
        <w:bottom w:val="single" w:sz="4" w:space="1" w:color="auto"/>
      </w:pBdr>
      <w:tabs>
        <w:tab w:val="clear" w:pos="8306"/>
        <w:tab w:val="right" w:pos="9000"/>
      </w:tabs>
    </w:pPr>
    <w:r>
      <w:fldChar w:fldCharType="begin"/>
    </w:r>
    <w:r>
      <w:instrText xml:space="preserve"> PAGE </w:instrText>
    </w:r>
    <w:r>
      <w:fldChar w:fldCharType="separate"/>
    </w:r>
    <w:r w:rsidR="00B9306D">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Default="006E00BC">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C" w:rsidRPr="00F710D5" w:rsidRDefault="006E00BC" w:rsidP="006E00BC">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23D61156"/>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2DBC048C"/>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37227F3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A7674"/>
    <w:rsid w:val="005B3BA3"/>
    <w:rsid w:val="005D07D1"/>
    <w:rsid w:val="005E6582"/>
    <w:rsid w:val="005E77C4"/>
    <w:rsid w:val="006007DB"/>
    <w:rsid w:val="006248BA"/>
    <w:rsid w:val="00636559"/>
    <w:rsid w:val="00640A68"/>
    <w:rsid w:val="00651B5E"/>
    <w:rsid w:val="006D3733"/>
    <w:rsid w:val="006D545C"/>
    <w:rsid w:val="006E00B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9306D"/>
    <w:rsid w:val="00BD229F"/>
    <w:rsid w:val="00C015A1"/>
    <w:rsid w:val="00C17E58"/>
    <w:rsid w:val="00C273A1"/>
    <w:rsid w:val="00C30B77"/>
    <w:rsid w:val="00C340DF"/>
    <w:rsid w:val="00C77954"/>
    <w:rsid w:val="00C82795"/>
    <w:rsid w:val="00C924AB"/>
    <w:rsid w:val="00CB2C79"/>
    <w:rsid w:val="00CC3A7E"/>
    <w:rsid w:val="00D0522E"/>
    <w:rsid w:val="00D2688E"/>
    <w:rsid w:val="00D35325"/>
    <w:rsid w:val="00D4535E"/>
    <w:rsid w:val="00D74938"/>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B9306D"/>
    <w:pPr>
      <w:keepNext/>
      <w:numPr>
        <w:ilvl w:val="3"/>
        <w:numId w:val="32"/>
      </w:numPr>
      <w:outlineLvl w:val="3"/>
    </w:pPr>
    <w:rPr>
      <w:b/>
      <w:i/>
    </w:rPr>
  </w:style>
  <w:style w:type="paragraph" w:styleId="Heading5">
    <w:name w:val="heading 5"/>
    <w:basedOn w:val="Normal"/>
    <w:next w:val="Normal"/>
    <w:qFormat/>
    <w:rsid w:val="00B9306D"/>
    <w:pPr>
      <w:keepNext/>
      <w:numPr>
        <w:ilvl w:val="4"/>
        <w:numId w:val="32"/>
      </w:numPr>
      <w:jc w:val="left"/>
      <w:outlineLvl w:val="4"/>
    </w:pPr>
    <w:rPr>
      <w:i/>
    </w:rPr>
  </w:style>
  <w:style w:type="paragraph" w:styleId="Heading6">
    <w:name w:val="heading 6"/>
    <w:basedOn w:val="Normal"/>
    <w:next w:val="Normal"/>
    <w:qFormat/>
    <w:locked/>
    <w:rsid w:val="00B9306D"/>
    <w:pPr>
      <w:numPr>
        <w:ilvl w:val="5"/>
        <w:numId w:val="32"/>
      </w:numPr>
      <w:spacing w:before="240" w:after="60"/>
      <w:outlineLvl w:val="5"/>
    </w:pPr>
    <w:rPr>
      <w:i/>
      <w:sz w:val="22"/>
    </w:rPr>
  </w:style>
  <w:style w:type="paragraph" w:styleId="Heading7">
    <w:name w:val="heading 7"/>
    <w:basedOn w:val="Normal"/>
    <w:next w:val="Normal"/>
    <w:qFormat/>
    <w:locked/>
    <w:rsid w:val="00B9306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9306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9306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9306D"/>
    <w:pPr>
      <w:numPr>
        <w:numId w:val="32"/>
      </w:numPr>
    </w:pPr>
  </w:style>
  <w:style w:type="paragraph" w:customStyle="1" w:styleId="Level2">
    <w:name w:val="Level2"/>
    <w:basedOn w:val="Normal"/>
    <w:rsid w:val="00B9306D"/>
    <w:pPr>
      <w:numPr>
        <w:ilvl w:val="1"/>
        <w:numId w:val="32"/>
      </w:numPr>
    </w:pPr>
  </w:style>
  <w:style w:type="paragraph" w:customStyle="1" w:styleId="Level3">
    <w:name w:val="Level3"/>
    <w:basedOn w:val="Normal"/>
    <w:link w:val="Level3Char"/>
    <w:rsid w:val="00B9306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9306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6E00BC"/>
    <w:rPr>
      <w:rFonts w:ascii="Times New Roman" w:hAnsi="Times New Roman"/>
      <w:b/>
      <w:kern w:val="28"/>
      <w:sz w:val="40"/>
      <w:lang w:eastAsia="en-US"/>
    </w:rPr>
  </w:style>
  <w:style w:type="character" w:customStyle="1" w:styleId="HeaderChar">
    <w:name w:val="Header Char"/>
    <w:basedOn w:val="DefaultParagraphFont"/>
    <w:link w:val="Header"/>
    <w:semiHidden/>
    <w:rsid w:val="006E00BC"/>
    <w:rPr>
      <w:rFonts w:ascii="Times New Roman" w:hAnsi="Times New Roman"/>
      <w:sz w:val="22"/>
      <w:lang w:eastAsia="en-US"/>
    </w:rPr>
  </w:style>
  <w:style w:type="paragraph" w:customStyle="1" w:styleId="JNP2">
    <w:name w:val="JNP2"/>
    <w:basedOn w:val="Normal"/>
    <w:rsid w:val="006E00BC"/>
    <w:pPr>
      <w:spacing w:after="0"/>
      <w:ind w:left="2268"/>
    </w:pPr>
    <w:rPr>
      <w:lang w:val="en-US"/>
    </w:rPr>
  </w:style>
  <w:style w:type="character" w:customStyle="1" w:styleId="FootnoteTextChar">
    <w:name w:val="Footnote Text Char"/>
    <w:basedOn w:val="DefaultParagraphFont"/>
    <w:link w:val="FootnoteText"/>
    <w:rsid w:val="006E00BC"/>
    <w:rPr>
      <w:sz w:val="22"/>
      <w:lang w:eastAsia="en-US"/>
    </w:rPr>
  </w:style>
  <w:style w:type="character" w:customStyle="1" w:styleId="QuoteChar">
    <w:name w:val="Quote Char"/>
    <w:basedOn w:val="DefaultParagraphFont"/>
    <w:link w:val="Quote"/>
    <w:rsid w:val="006E00BC"/>
    <w:rPr>
      <w:rFonts w:ascii="Times New Roman" w:hAnsi="Times New Roman"/>
      <w:sz w:val="24"/>
      <w:lang w:eastAsia="en-US"/>
    </w:rPr>
  </w:style>
  <w:style w:type="character" w:customStyle="1" w:styleId="Heading2Char">
    <w:name w:val="Heading 2 Char"/>
    <w:basedOn w:val="DefaultParagraphFont"/>
    <w:link w:val="Heading2"/>
    <w:rsid w:val="006E00BC"/>
    <w:rPr>
      <w:rFonts w:ascii="Times New Roman" w:hAnsi="Times New Roman"/>
      <w:b/>
      <w:sz w:val="36"/>
      <w:lang w:eastAsia="en-US"/>
    </w:rPr>
  </w:style>
  <w:style w:type="character" w:customStyle="1" w:styleId="Heading3Char">
    <w:name w:val="Heading 3 Char"/>
    <w:basedOn w:val="DefaultParagraphFont"/>
    <w:link w:val="Heading3"/>
    <w:rsid w:val="006E00BC"/>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B9306D"/>
    <w:pPr>
      <w:keepNext/>
      <w:numPr>
        <w:ilvl w:val="3"/>
        <w:numId w:val="32"/>
      </w:numPr>
      <w:outlineLvl w:val="3"/>
    </w:pPr>
    <w:rPr>
      <w:b/>
      <w:i/>
    </w:rPr>
  </w:style>
  <w:style w:type="paragraph" w:styleId="Heading5">
    <w:name w:val="heading 5"/>
    <w:basedOn w:val="Normal"/>
    <w:next w:val="Normal"/>
    <w:qFormat/>
    <w:rsid w:val="00B9306D"/>
    <w:pPr>
      <w:keepNext/>
      <w:numPr>
        <w:ilvl w:val="4"/>
        <w:numId w:val="32"/>
      </w:numPr>
      <w:jc w:val="left"/>
      <w:outlineLvl w:val="4"/>
    </w:pPr>
    <w:rPr>
      <w:i/>
    </w:rPr>
  </w:style>
  <w:style w:type="paragraph" w:styleId="Heading6">
    <w:name w:val="heading 6"/>
    <w:basedOn w:val="Normal"/>
    <w:next w:val="Normal"/>
    <w:qFormat/>
    <w:locked/>
    <w:rsid w:val="00B9306D"/>
    <w:pPr>
      <w:numPr>
        <w:ilvl w:val="5"/>
        <w:numId w:val="32"/>
      </w:numPr>
      <w:spacing w:before="240" w:after="60"/>
      <w:outlineLvl w:val="5"/>
    </w:pPr>
    <w:rPr>
      <w:i/>
      <w:sz w:val="22"/>
    </w:rPr>
  </w:style>
  <w:style w:type="paragraph" w:styleId="Heading7">
    <w:name w:val="heading 7"/>
    <w:basedOn w:val="Normal"/>
    <w:next w:val="Normal"/>
    <w:qFormat/>
    <w:locked/>
    <w:rsid w:val="00B9306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9306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9306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9306D"/>
    <w:pPr>
      <w:numPr>
        <w:numId w:val="32"/>
      </w:numPr>
    </w:pPr>
  </w:style>
  <w:style w:type="paragraph" w:customStyle="1" w:styleId="Level2">
    <w:name w:val="Level2"/>
    <w:basedOn w:val="Normal"/>
    <w:rsid w:val="00B9306D"/>
    <w:pPr>
      <w:numPr>
        <w:ilvl w:val="1"/>
        <w:numId w:val="32"/>
      </w:numPr>
    </w:pPr>
  </w:style>
  <w:style w:type="paragraph" w:customStyle="1" w:styleId="Level3">
    <w:name w:val="Level3"/>
    <w:basedOn w:val="Normal"/>
    <w:link w:val="Level3Char"/>
    <w:rsid w:val="00B9306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9306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6E00BC"/>
    <w:rPr>
      <w:rFonts w:ascii="Times New Roman" w:hAnsi="Times New Roman"/>
      <w:b/>
      <w:kern w:val="28"/>
      <w:sz w:val="40"/>
      <w:lang w:eastAsia="en-US"/>
    </w:rPr>
  </w:style>
  <w:style w:type="character" w:customStyle="1" w:styleId="HeaderChar">
    <w:name w:val="Header Char"/>
    <w:basedOn w:val="DefaultParagraphFont"/>
    <w:link w:val="Header"/>
    <w:semiHidden/>
    <w:rsid w:val="006E00BC"/>
    <w:rPr>
      <w:rFonts w:ascii="Times New Roman" w:hAnsi="Times New Roman"/>
      <w:sz w:val="22"/>
      <w:lang w:eastAsia="en-US"/>
    </w:rPr>
  </w:style>
  <w:style w:type="paragraph" w:customStyle="1" w:styleId="JNP2">
    <w:name w:val="JNP2"/>
    <w:basedOn w:val="Normal"/>
    <w:rsid w:val="006E00BC"/>
    <w:pPr>
      <w:spacing w:after="0"/>
      <w:ind w:left="2268"/>
    </w:pPr>
    <w:rPr>
      <w:lang w:val="en-US"/>
    </w:rPr>
  </w:style>
  <w:style w:type="character" w:customStyle="1" w:styleId="FootnoteTextChar">
    <w:name w:val="Footnote Text Char"/>
    <w:basedOn w:val="DefaultParagraphFont"/>
    <w:link w:val="FootnoteText"/>
    <w:rsid w:val="006E00BC"/>
    <w:rPr>
      <w:sz w:val="22"/>
      <w:lang w:eastAsia="en-US"/>
    </w:rPr>
  </w:style>
  <w:style w:type="character" w:customStyle="1" w:styleId="QuoteChar">
    <w:name w:val="Quote Char"/>
    <w:basedOn w:val="DefaultParagraphFont"/>
    <w:link w:val="Quote"/>
    <w:rsid w:val="006E00BC"/>
    <w:rPr>
      <w:rFonts w:ascii="Times New Roman" w:hAnsi="Times New Roman"/>
      <w:sz w:val="24"/>
      <w:lang w:eastAsia="en-US"/>
    </w:rPr>
  </w:style>
  <w:style w:type="character" w:customStyle="1" w:styleId="Heading2Char">
    <w:name w:val="Heading 2 Char"/>
    <w:basedOn w:val="DefaultParagraphFont"/>
    <w:link w:val="Heading2"/>
    <w:rsid w:val="006E00BC"/>
    <w:rPr>
      <w:rFonts w:ascii="Times New Roman" w:hAnsi="Times New Roman"/>
      <w:b/>
      <w:sz w:val="36"/>
      <w:lang w:eastAsia="en-US"/>
    </w:rPr>
  </w:style>
  <w:style w:type="character" w:customStyle="1" w:styleId="Heading3Char">
    <w:name w:val="Heading 3 Char"/>
    <w:basedOn w:val="DefaultParagraphFont"/>
    <w:link w:val="Heading3"/>
    <w:rsid w:val="006E00BC"/>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emf"/><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yperlink" Target="mailto:RegOrds.Sen@aph.gov.a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http://www.aph.gov.au/Parliamentary_Business/Committees/Senate/Regulations_and_Ordinances%2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alert2012.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3.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yperlink" Target="http://www.comlaw.gov.au/Details/C2012C00041" TargetMode="External"/><Relationship Id="rId60"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2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9.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53</Pages>
  <Words>13018</Words>
  <Characters>74206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Strout, Jessica (SEN)</cp:lastModifiedBy>
  <cp:revision>3</cp:revision>
  <dcterms:created xsi:type="dcterms:W3CDTF">2015-12-02T05:25:00Z</dcterms:created>
  <dcterms:modified xsi:type="dcterms:W3CDTF">2015-12-04T00:46:00Z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