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C452BD">
        <w:rPr>
          <w:sz w:val="24"/>
          <w:szCs w:val="24"/>
        </w:rPr>
        <w:t>4</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C452BD">
        <w:rPr>
          <w:sz w:val="28"/>
        </w:rPr>
        <w:t>25 March 2015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AB1147">
        <w:rPr>
          <w:spacing w:val="-3"/>
          <w:sz w:val="24"/>
          <w:szCs w:val="24"/>
        </w:rPr>
        <w:t>4</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2328F7" w:rsidRDefault="002328F7" w:rsidP="00325264">
      <w:pPr>
        <w:sectPr w:rsidR="002328F7"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2328F7" w:rsidRDefault="002328F7" w:rsidP="002328F7">
      <w:pPr>
        <w:pStyle w:val="Heading1"/>
      </w:pPr>
      <w:bookmarkStart w:id="1" w:name="_Toc340231481"/>
      <w:r>
        <w:lastRenderedPageBreak/>
        <w:t>Membership of the committee</w:t>
      </w:r>
      <w:bookmarkEnd w:id="1"/>
    </w:p>
    <w:p w:rsidR="002328F7" w:rsidRDefault="002328F7" w:rsidP="002328F7">
      <w:pPr>
        <w:spacing w:after="0"/>
      </w:pPr>
    </w:p>
    <w:p w:rsidR="002328F7" w:rsidRDefault="002328F7" w:rsidP="002328F7">
      <w:pPr>
        <w:spacing w:after="0"/>
      </w:pPr>
    </w:p>
    <w:p w:rsidR="002328F7" w:rsidRDefault="002328F7" w:rsidP="002328F7">
      <w:pPr>
        <w:spacing w:after="0"/>
      </w:pPr>
    </w:p>
    <w:p w:rsidR="002328F7" w:rsidRDefault="002328F7" w:rsidP="002328F7">
      <w:pPr>
        <w:spacing w:after="0"/>
      </w:pPr>
    </w:p>
    <w:p w:rsidR="002328F7" w:rsidRDefault="002328F7" w:rsidP="002328F7">
      <w:pPr>
        <w:spacing w:after="0"/>
      </w:pPr>
    </w:p>
    <w:p w:rsidR="002328F7" w:rsidRPr="008A46B0" w:rsidRDefault="002328F7" w:rsidP="002328F7">
      <w:pPr>
        <w:tabs>
          <w:tab w:val="left" w:pos="4536"/>
        </w:tabs>
        <w:outlineLvl w:val="0"/>
        <w:rPr>
          <w:b/>
        </w:rPr>
      </w:pPr>
      <w:bookmarkStart w:id="2" w:name="_Toc340231482"/>
      <w:r>
        <w:rPr>
          <w:b/>
        </w:rPr>
        <w:t>Current m</w:t>
      </w:r>
      <w:r w:rsidRPr="008A46B0">
        <w:rPr>
          <w:b/>
        </w:rPr>
        <w:t>embers</w:t>
      </w:r>
      <w:bookmarkEnd w:id="2"/>
    </w:p>
    <w:p w:rsidR="002328F7" w:rsidRPr="001F6A19" w:rsidRDefault="002328F7" w:rsidP="002328F7">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2328F7" w:rsidRPr="001F6A19" w:rsidRDefault="002328F7" w:rsidP="002328F7">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2328F7" w:rsidRPr="001F6A19" w:rsidRDefault="002328F7" w:rsidP="002328F7">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2328F7" w:rsidRPr="001F6A19" w:rsidRDefault="002328F7" w:rsidP="002328F7">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2328F7" w:rsidRDefault="002328F7" w:rsidP="002328F7">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2328F7" w:rsidRDefault="002328F7" w:rsidP="002328F7">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2328F7" w:rsidRDefault="002328F7" w:rsidP="002328F7">
      <w:pPr>
        <w:spacing w:after="0"/>
        <w:rPr>
          <w:sz w:val="24"/>
          <w:szCs w:val="24"/>
        </w:rPr>
      </w:pPr>
    </w:p>
    <w:p w:rsidR="002328F7" w:rsidRDefault="002328F7" w:rsidP="002328F7">
      <w:pPr>
        <w:spacing w:after="0"/>
        <w:rPr>
          <w:sz w:val="24"/>
          <w:szCs w:val="24"/>
        </w:rPr>
      </w:pPr>
    </w:p>
    <w:p w:rsidR="002328F7" w:rsidRDefault="002328F7" w:rsidP="002328F7">
      <w:pPr>
        <w:spacing w:after="0"/>
        <w:rPr>
          <w:sz w:val="24"/>
          <w:szCs w:val="24"/>
        </w:rPr>
      </w:pPr>
    </w:p>
    <w:p w:rsidR="002328F7" w:rsidRDefault="002328F7" w:rsidP="002328F7">
      <w:pPr>
        <w:spacing w:after="0"/>
        <w:rPr>
          <w:sz w:val="24"/>
          <w:szCs w:val="24"/>
        </w:rPr>
      </w:pPr>
    </w:p>
    <w:p w:rsidR="002328F7" w:rsidRDefault="002328F7" w:rsidP="002328F7">
      <w:pPr>
        <w:spacing w:after="0"/>
        <w:rPr>
          <w:sz w:val="24"/>
          <w:szCs w:val="24"/>
        </w:rPr>
      </w:pPr>
    </w:p>
    <w:p w:rsidR="002328F7" w:rsidRPr="00BE73BD" w:rsidRDefault="002328F7" w:rsidP="002328F7">
      <w:pPr>
        <w:rPr>
          <w:b/>
        </w:rPr>
      </w:pPr>
      <w:bookmarkStart w:id="3" w:name="_Toc340231484"/>
      <w:r w:rsidRPr="00BE73BD">
        <w:rPr>
          <w:b/>
        </w:rPr>
        <w:t>Secretariat</w:t>
      </w:r>
      <w:bookmarkEnd w:id="3"/>
    </w:p>
    <w:p w:rsidR="002328F7" w:rsidRPr="00BE73BD" w:rsidRDefault="002328F7" w:rsidP="002328F7">
      <w:pPr>
        <w:spacing w:after="0"/>
        <w:rPr>
          <w:sz w:val="24"/>
          <w:szCs w:val="24"/>
        </w:rPr>
      </w:pPr>
      <w:bookmarkStart w:id="4" w:name="_Toc340231485"/>
      <w:r w:rsidRPr="00BE73BD">
        <w:rPr>
          <w:sz w:val="24"/>
          <w:szCs w:val="24"/>
        </w:rPr>
        <w:t>Mr Ivan Powell, Secretary</w:t>
      </w:r>
      <w:bookmarkEnd w:id="4"/>
    </w:p>
    <w:p w:rsidR="002328F7" w:rsidRPr="00BE73BD" w:rsidRDefault="002328F7" w:rsidP="002328F7">
      <w:pPr>
        <w:spacing w:after="0"/>
        <w:rPr>
          <w:sz w:val="24"/>
          <w:szCs w:val="24"/>
        </w:rPr>
      </w:pPr>
      <w:r w:rsidRPr="00BE73BD">
        <w:rPr>
          <w:sz w:val="24"/>
          <w:szCs w:val="24"/>
        </w:rPr>
        <w:t>Dr Patrick Hodder, Senior Research Officer</w:t>
      </w:r>
    </w:p>
    <w:p w:rsidR="002328F7" w:rsidRDefault="002328F7" w:rsidP="002328F7">
      <w:pPr>
        <w:spacing w:after="0"/>
        <w:rPr>
          <w:sz w:val="24"/>
          <w:szCs w:val="24"/>
        </w:rPr>
      </w:pPr>
    </w:p>
    <w:p w:rsidR="002328F7" w:rsidRDefault="002328F7" w:rsidP="002328F7">
      <w:pPr>
        <w:spacing w:after="0"/>
        <w:rPr>
          <w:sz w:val="24"/>
          <w:szCs w:val="24"/>
        </w:rPr>
      </w:pPr>
    </w:p>
    <w:p w:rsidR="002328F7" w:rsidRDefault="002328F7" w:rsidP="002328F7">
      <w:pPr>
        <w:spacing w:after="0"/>
        <w:rPr>
          <w:sz w:val="24"/>
          <w:szCs w:val="24"/>
        </w:rPr>
      </w:pPr>
    </w:p>
    <w:p w:rsidR="002328F7" w:rsidRPr="007A6AAA" w:rsidRDefault="002328F7" w:rsidP="002328F7">
      <w:pPr>
        <w:spacing w:after="0"/>
        <w:rPr>
          <w:sz w:val="24"/>
          <w:szCs w:val="24"/>
        </w:rPr>
      </w:pPr>
    </w:p>
    <w:p w:rsidR="002328F7" w:rsidRPr="00BE73BD" w:rsidRDefault="002328F7" w:rsidP="002328F7">
      <w:pPr>
        <w:rPr>
          <w:b/>
        </w:rPr>
      </w:pPr>
      <w:bookmarkStart w:id="5" w:name="_Toc340231486"/>
      <w:r w:rsidRPr="00BE73BD">
        <w:rPr>
          <w:b/>
        </w:rPr>
        <w:t>Committee legal adviser</w:t>
      </w:r>
      <w:bookmarkEnd w:id="5"/>
    </w:p>
    <w:p w:rsidR="002328F7" w:rsidRPr="00BE73BD" w:rsidRDefault="002328F7" w:rsidP="002328F7">
      <w:pPr>
        <w:rPr>
          <w:sz w:val="24"/>
          <w:szCs w:val="24"/>
        </w:rPr>
      </w:pPr>
      <w:r w:rsidRPr="00BE73BD">
        <w:rPr>
          <w:sz w:val="24"/>
          <w:szCs w:val="24"/>
        </w:rPr>
        <w:t>Mr Stephen Argument</w:t>
      </w:r>
    </w:p>
    <w:p w:rsidR="002328F7" w:rsidRDefault="002328F7" w:rsidP="002328F7">
      <w:pPr>
        <w:spacing w:after="0"/>
        <w:rPr>
          <w:sz w:val="24"/>
          <w:szCs w:val="24"/>
        </w:rPr>
      </w:pPr>
    </w:p>
    <w:p w:rsidR="002328F7" w:rsidRDefault="002328F7" w:rsidP="002328F7">
      <w:pPr>
        <w:spacing w:after="0"/>
        <w:rPr>
          <w:sz w:val="24"/>
          <w:szCs w:val="24"/>
        </w:rPr>
      </w:pPr>
    </w:p>
    <w:p w:rsidR="002328F7" w:rsidRPr="001B64F3" w:rsidRDefault="002328F7" w:rsidP="002328F7">
      <w:pPr>
        <w:spacing w:after="0"/>
        <w:rPr>
          <w:sz w:val="24"/>
          <w:szCs w:val="24"/>
        </w:rPr>
      </w:pPr>
    </w:p>
    <w:p w:rsidR="002328F7" w:rsidRPr="001B64F3" w:rsidRDefault="002328F7" w:rsidP="002328F7">
      <w:pPr>
        <w:spacing w:after="0"/>
        <w:rPr>
          <w:sz w:val="24"/>
          <w:szCs w:val="24"/>
        </w:rPr>
      </w:pPr>
    </w:p>
    <w:p w:rsidR="002328F7" w:rsidRPr="00BE73BD" w:rsidRDefault="002328F7" w:rsidP="002328F7">
      <w:pPr>
        <w:rPr>
          <w:b/>
        </w:rPr>
      </w:pPr>
      <w:bookmarkStart w:id="6" w:name="_Toc340231487"/>
      <w:r w:rsidRPr="00BE73BD">
        <w:rPr>
          <w:b/>
        </w:rPr>
        <w:t>Committee contacts</w:t>
      </w:r>
      <w:bookmarkEnd w:id="6"/>
    </w:p>
    <w:p w:rsidR="002328F7" w:rsidRPr="00BE73BD" w:rsidRDefault="002328F7" w:rsidP="002328F7">
      <w:pPr>
        <w:spacing w:after="0"/>
        <w:rPr>
          <w:sz w:val="24"/>
          <w:szCs w:val="24"/>
        </w:rPr>
      </w:pPr>
      <w:bookmarkStart w:id="7" w:name="_Toc340231488"/>
      <w:r w:rsidRPr="00BE73BD">
        <w:rPr>
          <w:sz w:val="24"/>
          <w:szCs w:val="24"/>
        </w:rPr>
        <w:t>PO Box 6100</w:t>
      </w:r>
      <w:bookmarkEnd w:id="7"/>
    </w:p>
    <w:p w:rsidR="002328F7" w:rsidRPr="00BE73BD" w:rsidRDefault="002328F7" w:rsidP="002328F7">
      <w:pPr>
        <w:spacing w:after="0"/>
        <w:rPr>
          <w:sz w:val="24"/>
          <w:szCs w:val="24"/>
        </w:rPr>
      </w:pPr>
      <w:r w:rsidRPr="00BE73BD">
        <w:rPr>
          <w:sz w:val="24"/>
          <w:szCs w:val="24"/>
        </w:rPr>
        <w:t>Parliament House</w:t>
      </w:r>
    </w:p>
    <w:p w:rsidR="002328F7" w:rsidRPr="00BE73BD" w:rsidRDefault="002328F7" w:rsidP="002328F7">
      <w:pPr>
        <w:spacing w:after="0"/>
        <w:rPr>
          <w:sz w:val="24"/>
          <w:szCs w:val="24"/>
        </w:rPr>
      </w:pPr>
      <w:r w:rsidRPr="00BE73BD">
        <w:rPr>
          <w:sz w:val="24"/>
          <w:szCs w:val="24"/>
        </w:rPr>
        <w:t>Canberra ACT 2600</w:t>
      </w:r>
    </w:p>
    <w:p w:rsidR="002328F7" w:rsidRPr="00BE73BD" w:rsidRDefault="002328F7" w:rsidP="002328F7">
      <w:pPr>
        <w:spacing w:after="0"/>
        <w:rPr>
          <w:sz w:val="24"/>
          <w:szCs w:val="24"/>
        </w:rPr>
      </w:pPr>
      <w:r w:rsidRPr="00BE73BD">
        <w:rPr>
          <w:sz w:val="24"/>
          <w:szCs w:val="24"/>
        </w:rPr>
        <w:t>Ph: 02 6277 3066</w:t>
      </w:r>
    </w:p>
    <w:p w:rsidR="002328F7" w:rsidRPr="00BE73BD" w:rsidRDefault="002328F7" w:rsidP="002328F7">
      <w:pPr>
        <w:spacing w:after="0"/>
        <w:rPr>
          <w:sz w:val="24"/>
          <w:szCs w:val="24"/>
        </w:rPr>
      </w:pPr>
      <w:r w:rsidRPr="00BE73BD">
        <w:rPr>
          <w:sz w:val="24"/>
          <w:szCs w:val="24"/>
        </w:rPr>
        <w:t>Email: regords.sen@aph.gov.au</w:t>
      </w:r>
    </w:p>
    <w:p w:rsidR="002328F7" w:rsidRPr="00F72A71" w:rsidRDefault="002328F7" w:rsidP="002328F7">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2328F7" w:rsidRPr="007E04A9" w:rsidRDefault="002328F7" w:rsidP="002328F7">
      <w:pPr>
        <w:spacing w:after="0"/>
      </w:pPr>
    </w:p>
    <w:p w:rsidR="002328F7" w:rsidRDefault="002328F7" w:rsidP="002328F7">
      <w:r>
        <w:br w:type="page"/>
      </w:r>
    </w:p>
    <w:p w:rsidR="002328F7" w:rsidRPr="00520991" w:rsidRDefault="002328F7" w:rsidP="002328F7"/>
    <w:p w:rsidR="002328F7" w:rsidRDefault="002328F7" w:rsidP="00325264">
      <w:pPr>
        <w:sectPr w:rsidR="002328F7"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2328F7" w:rsidRPr="004B17F0" w:rsidRDefault="002328F7" w:rsidP="002328F7">
      <w:pPr>
        <w:pStyle w:val="Heading1"/>
      </w:pPr>
      <w:r>
        <w:lastRenderedPageBreak/>
        <w:t>Introduction</w:t>
      </w:r>
    </w:p>
    <w:p w:rsidR="002328F7" w:rsidRDefault="002328F7" w:rsidP="002328F7">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2328F7" w:rsidRDefault="002328F7" w:rsidP="002328F7">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2328F7" w:rsidRDefault="002328F7" w:rsidP="002328F7">
      <w:pPr>
        <w:pStyle w:val="Heading3"/>
      </w:pPr>
      <w:r>
        <w:t>The committee's terms of reference</w:t>
      </w:r>
    </w:p>
    <w:p w:rsidR="002328F7" w:rsidRPr="00D233E5" w:rsidRDefault="002328F7" w:rsidP="002328F7">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2328F7" w:rsidRPr="00BF47FD" w:rsidRDefault="002328F7" w:rsidP="002328F7">
      <w:pPr>
        <w:pStyle w:val="Quote"/>
        <w:ind w:left="1276" w:hanging="425"/>
      </w:pPr>
      <w:r>
        <w:t xml:space="preserve">(1) </w:t>
      </w:r>
      <w:r w:rsidRPr="00BF47FD">
        <w:t>A Standing Committee on Regulations and Ordinances shall be appointed at the commencement of each Parliament.</w:t>
      </w:r>
    </w:p>
    <w:p w:rsidR="002328F7" w:rsidRPr="00BF47FD" w:rsidRDefault="002328F7" w:rsidP="002328F7">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2328F7" w:rsidRPr="00BF47FD" w:rsidRDefault="002328F7" w:rsidP="002328F7">
      <w:pPr>
        <w:pStyle w:val="Quote"/>
        <w:ind w:left="1276"/>
      </w:pPr>
      <w:r w:rsidRPr="00BF47FD">
        <w:t>The committee shall scrutinise each instrument to ensure:</w:t>
      </w:r>
    </w:p>
    <w:p w:rsidR="002328F7" w:rsidRPr="00BF47FD" w:rsidRDefault="002328F7" w:rsidP="002328F7">
      <w:pPr>
        <w:pStyle w:val="Quote"/>
        <w:tabs>
          <w:tab w:val="left" w:pos="1701"/>
        </w:tabs>
        <w:ind w:left="1701" w:hanging="425"/>
      </w:pPr>
      <w:r>
        <w:t>(a)</w:t>
      </w:r>
      <w:r>
        <w:tab/>
      </w:r>
      <w:r w:rsidRPr="00BF47FD">
        <w:t>that it is in accordance with the statute;</w:t>
      </w:r>
    </w:p>
    <w:p w:rsidR="002328F7" w:rsidRPr="00BF47FD" w:rsidRDefault="002328F7" w:rsidP="002328F7">
      <w:pPr>
        <w:pStyle w:val="Quote"/>
        <w:tabs>
          <w:tab w:val="left" w:pos="1701"/>
        </w:tabs>
        <w:ind w:left="1701" w:hanging="425"/>
      </w:pPr>
      <w:r>
        <w:t>(b)</w:t>
      </w:r>
      <w:r>
        <w:tab/>
      </w:r>
      <w:r w:rsidRPr="00BF47FD">
        <w:t>that it does not trespass unduly on personal rights and liberties;</w:t>
      </w:r>
    </w:p>
    <w:p w:rsidR="002328F7" w:rsidRPr="00BF47FD" w:rsidRDefault="002328F7" w:rsidP="002328F7">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2328F7" w:rsidRDefault="002328F7" w:rsidP="002328F7">
      <w:pPr>
        <w:pStyle w:val="Quote"/>
        <w:tabs>
          <w:tab w:val="left" w:pos="1701"/>
        </w:tabs>
        <w:ind w:left="1701" w:hanging="425"/>
      </w:pPr>
      <w:r>
        <w:t>(d)</w:t>
      </w:r>
      <w:r>
        <w:tab/>
      </w:r>
      <w:r w:rsidRPr="00BF47FD">
        <w:t>that it does not contain matter more appropriate for parliamentary enactment.</w:t>
      </w:r>
    </w:p>
    <w:p w:rsidR="002328F7" w:rsidRDefault="002328F7" w:rsidP="002328F7">
      <w:pPr>
        <w:pStyle w:val="Heading3"/>
      </w:pPr>
      <w:r w:rsidRPr="00F063AA">
        <w:lastRenderedPageBreak/>
        <w:t>Work of the committee</w:t>
      </w:r>
    </w:p>
    <w:p w:rsidR="002328F7" w:rsidRPr="00F063AA" w:rsidRDefault="002328F7" w:rsidP="002328F7">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2328F7" w:rsidRDefault="002328F7" w:rsidP="002328F7">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2328F7" w:rsidRDefault="002328F7" w:rsidP="002328F7">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2328F7" w:rsidRDefault="002328F7" w:rsidP="002328F7">
      <w:pPr>
        <w:pStyle w:val="Heading3"/>
      </w:pPr>
      <w:r>
        <w:t>Structure of the report</w:t>
      </w:r>
    </w:p>
    <w:p w:rsidR="002328F7" w:rsidRDefault="002328F7" w:rsidP="002328F7">
      <w:pPr>
        <w:pStyle w:val="Level1"/>
        <w:numPr>
          <w:ilvl w:val="0"/>
          <w:numId w:val="0"/>
        </w:numPr>
      </w:pPr>
      <w:r>
        <w:t>The report is comprised of the following parts:</w:t>
      </w:r>
    </w:p>
    <w:p w:rsidR="002328F7" w:rsidRDefault="002328F7" w:rsidP="002328F7">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2328F7" w:rsidRDefault="002328F7" w:rsidP="002328F7">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2328F7" w:rsidRDefault="002328F7" w:rsidP="002328F7">
      <w:pPr>
        <w:pStyle w:val="Bullet1"/>
        <w:spacing w:after="120"/>
      </w:pPr>
      <w:r>
        <w:t>Appendix 1 contains correspondence relating to concluded matters.</w:t>
      </w:r>
    </w:p>
    <w:p w:rsidR="002328F7" w:rsidRDefault="002328F7" w:rsidP="002328F7">
      <w:pPr>
        <w:pStyle w:val="Bullet1"/>
        <w:spacing w:after="120"/>
      </w:pPr>
      <w:r>
        <w:t xml:space="preserve">Appendix 2 contains the committee's guideline on addressing the consultation requirements of the </w:t>
      </w:r>
      <w:r>
        <w:rPr>
          <w:i/>
        </w:rPr>
        <w:t>Legislative Instruments Act 2003</w:t>
      </w:r>
      <w:r>
        <w:t>.</w:t>
      </w:r>
    </w:p>
    <w:p w:rsidR="002328F7" w:rsidRDefault="002328F7" w:rsidP="002328F7">
      <w:pPr>
        <w:pStyle w:val="Heading3"/>
      </w:pPr>
      <w:r>
        <w:t>Acknowledgement</w:t>
      </w:r>
    </w:p>
    <w:p w:rsidR="002328F7" w:rsidRDefault="002328F7" w:rsidP="002328F7">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2328F7" w:rsidRPr="00364316" w:rsidRDefault="002328F7" w:rsidP="002328F7">
      <w:pPr>
        <w:pStyle w:val="Bullet1"/>
        <w:numPr>
          <w:ilvl w:val="0"/>
          <w:numId w:val="0"/>
        </w:numPr>
        <w:ind w:left="851" w:hanging="851"/>
        <w:rPr>
          <w:b/>
        </w:rPr>
      </w:pPr>
      <w:r w:rsidRPr="00364316">
        <w:rPr>
          <w:b/>
        </w:rPr>
        <w:t xml:space="preserve">Senator </w:t>
      </w:r>
      <w:r>
        <w:rPr>
          <w:b/>
        </w:rPr>
        <w:t>John Williams</w:t>
      </w:r>
    </w:p>
    <w:p w:rsidR="002328F7" w:rsidRPr="00364316" w:rsidRDefault="002328F7" w:rsidP="002328F7">
      <w:pPr>
        <w:pStyle w:val="Bullet1"/>
        <w:numPr>
          <w:ilvl w:val="0"/>
          <w:numId w:val="0"/>
        </w:numPr>
        <w:ind w:left="851" w:hanging="851"/>
        <w:rPr>
          <w:b/>
        </w:rPr>
      </w:pPr>
      <w:r w:rsidRPr="00364316">
        <w:rPr>
          <w:b/>
        </w:rPr>
        <w:t>Chair</w:t>
      </w:r>
    </w:p>
    <w:p w:rsidR="002328F7" w:rsidRDefault="002328F7" w:rsidP="002328F7">
      <w:pPr>
        <w:tabs>
          <w:tab w:val="left" w:pos="6225"/>
        </w:tabs>
        <w:sectPr w:rsidR="002328F7" w:rsidSect="00594676">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7"/>
          <w:cols w:space="720"/>
          <w:titlePg/>
        </w:sectPr>
      </w:pPr>
    </w:p>
    <w:p w:rsidR="002328F7" w:rsidRDefault="002328F7" w:rsidP="002328F7">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14897149"/>
      <w:r>
        <w:lastRenderedPageBreak/>
        <w:t>Contents</w:t>
      </w:r>
      <w:bookmarkEnd w:id="9"/>
      <w:bookmarkEnd w:id="10"/>
      <w:bookmarkEnd w:id="11"/>
      <w:bookmarkEnd w:id="12"/>
      <w:bookmarkEnd w:id="13"/>
      <w:bookmarkEnd w:id="14"/>
      <w:bookmarkEnd w:id="15"/>
      <w:bookmarkEnd w:id="16"/>
      <w:bookmarkEnd w:id="17"/>
      <w:bookmarkEnd w:id="18"/>
      <w:bookmarkEnd w:id="19"/>
    </w:p>
    <w:p w:rsidR="002328F7" w:rsidRPr="00635538" w:rsidRDefault="002328F7" w:rsidP="002328F7">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2328F7" w:rsidRPr="002A3DD9" w:rsidRDefault="002328F7" w:rsidP="002328F7">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2328F7" w:rsidRDefault="002328F7" w:rsidP="002328F7">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2328F7" w:rsidRDefault="002328F7" w:rsidP="002328F7">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2328F7" w:rsidRDefault="002328F7" w:rsidP="002328F7">
      <w:pPr>
        <w:pStyle w:val="TOC3"/>
        <w:tabs>
          <w:tab w:val="right" w:leader="dot" w:pos="9016"/>
        </w:tabs>
        <w:rPr>
          <w:rFonts w:asciiTheme="minorHAnsi" w:eastAsiaTheme="minorEastAsia" w:hAnsiTheme="minorHAnsi" w:cstheme="minorBidi"/>
          <w:noProof/>
          <w:sz w:val="22"/>
          <w:szCs w:val="22"/>
          <w:lang w:eastAsia="en-AU"/>
        </w:rPr>
      </w:pPr>
      <w:r w:rsidRPr="00151FE8">
        <w:rPr>
          <w:rFonts w:ascii="Times New (W1)" w:hAnsi="Times New (W1)"/>
          <w:noProof/>
        </w:rPr>
        <w:t>Defence Determination 2015/7, Deployment allowance - amendment</w:t>
      </w:r>
      <w:r>
        <w:rPr>
          <w:noProof/>
        </w:rPr>
        <w:tab/>
        <w:t>1</w:t>
      </w:r>
    </w:p>
    <w:p w:rsidR="002328F7" w:rsidRDefault="002328F7" w:rsidP="002328F7">
      <w:pPr>
        <w:pStyle w:val="TOC3"/>
        <w:tabs>
          <w:tab w:val="right" w:leader="dot" w:pos="9016"/>
        </w:tabs>
        <w:rPr>
          <w:rFonts w:asciiTheme="minorHAnsi" w:eastAsiaTheme="minorEastAsia" w:hAnsiTheme="minorHAnsi" w:cstheme="minorBidi"/>
          <w:noProof/>
          <w:sz w:val="22"/>
          <w:szCs w:val="22"/>
          <w:lang w:eastAsia="en-AU"/>
        </w:rPr>
      </w:pPr>
      <w:r w:rsidRPr="00151FE8">
        <w:rPr>
          <w:rFonts w:ascii="Times New (W1)" w:hAnsi="Times New (W1)"/>
          <w:noProof/>
        </w:rPr>
        <w:t>Defence Determination 2015/8, Post indexes amendment</w:t>
      </w:r>
      <w:r>
        <w:rPr>
          <w:noProof/>
        </w:rPr>
        <w:tab/>
        <w:t>2</w:t>
      </w:r>
    </w:p>
    <w:p w:rsidR="002328F7" w:rsidRDefault="002328F7" w:rsidP="002328F7">
      <w:pPr>
        <w:pStyle w:val="TOC2"/>
        <w:tabs>
          <w:tab w:val="right" w:leader="dot" w:pos="9016"/>
        </w:tabs>
        <w:rPr>
          <w:rFonts w:asciiTheme="minorHAnsi" w:eastAsiaTheme="minorEastAsia" w:hAnsiTheme="minorHAnsi" w:cstheme="minorBidi"/>
          <w:b w:val="0"/>
          <w:noProof/>
          <w:sz w:val="22"/>
          <w:szCs w:val="22"/>
          <w:lang w:eastAsia="en-AU"/>
        </w:rPr>
      </w:pPr>
      <w:r>
        <w:rPr>
          <w:noProof/>
        </w:rPr>
        <w:t>Continuing matters</w:t>
      </w:r>
    </w:p>
    <w:p w:rsidR="002328F7" w:rsidRDefault="002328F7" w:rsidP="002328F7">
      <w:pPr>
        <w:pStyle w:val="TOC3"/>
        <w:tabs>
          <w:tab w:val="right" w:leader="dot" w:pos="9016"/>
        </w:tabs>
        <w:rPr>
          <w:rFonts w:asciiTheme="minorHAnsi" w:eastAsiaTheme="minorEastAsia" w:hAnsiTheme="minorHAnsi" w:cstheme="minorBidi"/>
          <w:noProof/>
          <w:sz w:val="22"/>
          <w:szCs w:val="22"/>
          <w:lang w:eastAsia="en-AU"/>
        </w:rPr>
      </w:pPr>
      <w:r>
        <w:rPr>
          <w:noProof/>
        </w:rPr>
        <w:t>Staffing and Delegations Rule 2014 [F2014L01296]</w:t>
      </w:r>
      <w:r>
        <w:rPr>
          <w:noProof/>
        </w:rPr>
        <w:tab/>
        <w:t>3</w:t>
      </w:r>
    </w:p>
    <w:p w:rsidR="002328F7" w:rsidRDefault="002328F7" w:rsidP="002328F7">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151FE8">
        <w:rPr>
          <w:i/>
          <w:noProof/>
        </w:rPr>
        <w:t>Acts Interpretation Act 1901</w:t>
      </w:r>
      <w:r>
        <w:rPr>
          <w:noProof/>
        </w:rPr>
        <w:tab/>
        <w:t>7</w:t>
      </w:r>
    </w:p>
    <w:p w:rsidR="002328F7" w:rsidRDefault="002328F7" w:rsidP="002328F7">
      <w:pPr>
        <w:pStyle w:val="TOC1"/>
        <w:tabs>
          <w:tab w:val="right" w:leader="dot" w:pos="9016"/>
        </w:tabs>
        <w:rPr>
          <w:b w:val="0"/>
          <w:noProof/>
          <w:sz w:val="26"/>
          <w:szCs w:val="26"/>
        </w:rPr>
      </w:pPr>
      <w:r>
        <w:rPr>
          <w:noProof/>
        </w:rPr>
        <w:t>Chapter 2 – Concluded matters</w:t>
      </w:r>
      <w:r>
        <w:rPr>
          <w:b w:val="0"/>
          <w:noProof/>
          <w:sz w:val="26"/>
          <w:szCs w:val="26"/>
        </w:rPr>
        <w:tab/>
      </w:r>
    </w:p>
    <w:p w:rsidR="002328F7" w:rsidRDefault="002328F7" w:rsidP="002328F7">
      <w:pPr>
        <w:pStyle w:val="TOC3"/>
        <w:tabs>
          <w:tab w:val="right" w:leader="dot" w:pos="9016"/>
        </w:tabs>
        <w:jc w:val="left"/>
        <w:rPr>
          <w:rFonts w:asciiTheme="minorHAnsi" w:eastAsiaTheme="minorEastAsia" w:hAnsiTheme="minorHAnsi" w:cstheme="minorBidi"/>
          <w:noProof/>
          <w:sz w:val="22"/>
          <w:szCs w:val="22"/>
          <w:lang w:eastAsia="en-AU"/>
        </w:rPr>
      </w:pPr>
      <w:r>
        <w:rPr>
          <w:noProof/>
        </w:rPr>
        <w:t>Legislative Instruments Amendment (Exemptions) Regulation 2014 [F2014L01730]</w:t>
      </w:r>
      <w:r>
        <w:rPr>
          <w:noProof/>
        </w:rPr>
        <w:tab/>
        <w:t>9</w:t>
      </w:r>
    </w:p>
    <w:p w:rsidR="002328F7" w:rsidRDefault="002328F7" w:rsidP="002328F7">
      <w:pPr>
        <w:pStyle w:val="TOC3"/>
        <w:tabs>
          <w:tab w:val="right" w:leader="dot" w:pos="9016"/>
        </w:tabs>
        <w:jc w:val="left"/>
        <w:rPr>
          <w:rFonts w:asciiTheme="minorHAnsi" w:eastAsiaTheme="minorEastAsia" w:hAnsiTheme="minorHAnsi" w:cstheme="minorBidi"/>
          <w:noProof/>
          <w:sz w:val="22"/>
          <w:szCs w:val="22"/>
          <w:lang w:eastAsia="en-AU"/>
        </w:rPr>
      </w:pPr>
      <w:r>
        <w:rPr>
          <w:noProof/>
        </w:rPr>
        <w:t>Customs (Drug and Alcohol Testing) Amendment Regulation 2014 (No. 1) [F2014L01616]</w:t>
      </w:r>
      <w:r>
        <w:rPr>
          <w:noProof/>
        </w:rPr>
        <w:tab/>
        <w:t>10</w:t>
      </w:r>
    </w:p>
    <w:p w:rsidR="002328F7" w:rsidRDefault="002328F7" w:rsidP="002328F7">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(2014 Measures No. 2) Regulation 2014</w:t>
      </w:r>
      <w:r>
        <w:rPr>
          <w:noProof/>
        </w:rPr>
        <w:br/>
        <w:t>[F2014L01696]</w:t>
      </w:r>
      <w:r>
        <w:rPr>
          <w:noProof/>
        </w:rPr>
        <w:tab/>
        <w:t>11</w:t>
      </w:r>
    </w:p>
    <w:p w:rsidR="002328F7" w:rsidRDefault="002328F7" w:rsidP="002328F7">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Act 1958 - Determination of Protection (Class XA) and Refugee Humanitarian (Class XB) Visas 2014 - IMMI 14/117 [F2014L01819]</w:t>
      </w:r>
      <w:r>
        <w:rPr>
          <w:noProof/>
        </w:rPr>
        <w:tab/>
        <w:t>15</w:t>
      </w:r>
    </w:p>
    <w:p w:rsidR="002328F7" w:rsidRDefault="002328F7" w:rsidP="002328F7">
      <w:pPr>
        <w:pStyle w:val="TOC3"/>
        <w:tabs>
          <w:tab w:val="right" w:leader="dot" w:pos="9016"/>
        </w:tabs>
        <w:jc w:val="left"/>
        <w:rPr>
          <w:rFonts w:asciiTheme="minorHAnsi" w:eastAsiaTheme="minorEastAsia" w:hAnsiTheme="minorHAnsi" w:cstheme="minorBidi"/>
          <w:noProof/>
          <w:sz w:val="22"/>
          <w:szCs w:val="22"/>
          <w:lang w:eastAsia="en-AU"/>
        </w:rPr>
      </w:pPr>
      <w:r>
        <w:rPr>
          <w:noProof/>
        </w:rPr>
        <w:t>Banking (prudential standard) determination No. 3 of 2014 – Prudential</w:t>
      </w:r>
      <w:r>
        <w:rPr>
          <w:noProof/>
        </w:rPr>
        <w:br/>
        <w:t>Standard APS 001 – Definitions [F2014L01649]</w:t>
      </w:r>
      <w:r>
        <w:rPr>
          <w:noProof/>
        </w:rPr>
        <w:tab/>
        <w:t>17</w:t>
      </w:r>
    </w:p>
    <w:p w:rsidR="002328F7" w:rsidRDefault="002328F7" w:rsidP="002328F7">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29</w:t>
      </w:r>
    </w:p>
    <w:p w:rsidR="002328F7" w:rsidRDefault="002328F7" w:rsidP="002328F7">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45</w:t>
      </w:r>
    </w:p>
    <w:p w:rsidR="002328F7" w:rsidRDefault="002328F7" w:rsidP="002328F7">
      <w:pPr>
        <w:tabs>
          <w:tab w:val="left" w:pos="1170"/>
        </w:tabs>
        <w:jc w:val="left"/>
        <w:rPr>
          <w:sz w:val="16"/>
          <w:szCs w:val="16"/>
        </w:rPr>
      </w:pPr>
    </w:p>
    <w:p w:rsidR="002328F7" w:rsidRDefault="002328F7" w:rsidP="002328F7"/>
    <w:p w:rsidR="002328F7" w:rsidRDefault="002328F7" w:rsidP="002328F7">
      <w:pPr>
        <w:pStyle w:val="Heading1"/>
      </w:pPr>
      <w:r>
        <w:br w:type="page"/>
      </w:r>
    </w:p>
    <w:p w:rsidR="002328F7" w:rsidRDefault="002328F7" w:rsidP="002328F7">
      <w:pPr>
        <w:spacing w:after="0"/>
        <w:jc w:val="left"/>
        <w:sectPr w:rsidR="002328F7" w:rsidSect="00635538">
          <w:headerReference w:type="even" r:id="rId26"/>
          <w:footerReference w:type="even" r:id="rId27"/>
          <w:footerReference w:type="default" r:id="rId28"/>
          <w:headerReference w:type="first" r:id="rId29"/>
          <w:footerReference w:type="first" r:id="rId30"/>
          <w:pgSz w:w="11906" w:h="16838" w:code="9"/>
          <w:pgMar w:top="1440" w:right="1440" w:bottom="1202" w:left="1440" w:header="1134" w:footer="720" w:gutter="0"/>
          <w:pgNumType w:fmt="lowerRoman" w:start="5"/>
          <w:cols w:space="720"/>
          <w:docGrid w:linePitch="354"/>
        </w:sectPr>
      </w:pPr>
    </w:p>
    <w:p w:rsidR="002328F7" w:rsidRPr="00520991" w:rsidRDefault="002328F7" w:rsidP="002328F7">
      <w:pPr>
        <w:spacing w:after="0"/>
        <w:jc w:val="left"/>
      </w:pPr>
    </w:p>
    <w:p w:rsidR="002328F7" w:rsidRDefault="002328F7" w:rsidP="002328F7">
      <w:pPr>
        <w:tabs>
          <w:tab w:val="left" w:pos="6225"/>
        </w:tabs>
        <w:sectPr w:rsidR="002328F7" w:rsidSect="00676A5E">
          <w:headerReference w:type="default" r:id="rId31"/>
          <w:footerReference w:type="default" r:id="rId32"/>
          <w:pgSz w:w="11906" w:h="16838" w:code="9"/>
          <w:pgMar w:top="1440" w:right="1440" w:bottom="1202" w:left="1440" w:header="1134" w:footer="720" w:gutter="0"/>
          <w:pgNumType w:fmt="lowerRoman" w:start="3"/>
          <w:cols w:space="720"/>
          <w:docGrid w:linePitch="354"/>
        </w:sectPr>
      </w:pPr>
    </w:p>
    <w:p w:rsidR="002328F7" w:rsidRPr="001F4E38" w:rsidRDefault="002328F7" w:rsidP="002328F7">
      <w:pPr>
        <w:pStyle w:val="Heading1"/>
      </w:pPr>
      <w:r w:rsidRPr="001F4E38">
        <w:lastRenderedPageBreak/>
        <w:t>Chapter 1</w:t>
      </w:r>
    </w:p>
    <w:p w:rsidR="002328F7" w:rsidRPr="001F4E38" w:rsidRDefault="002328F7" w:rsidP="002328F7">
      <w:pPr>
        <w:pStyle w:val="Heading2"/>
      </w:pPr>
      <w:r w:rsidRPr="001F4E38">
        <w:t>New and continuing matters</w:t>
      </w:r>
    </w:p>
    <w:p w:rsidR="002328F7" w:rsidRPr="001F4E38" w:rsidRDefault="002328F7" w:rsidP="002328F7">
      <w:pPr>
        <w:pStyle w:val="Level1"/>
        <w:numPr>
          <w:ilvl w:val="0"/>
          <w:numId w:val="0"/>
        </w:numPr>
      </w:pPr>
      <w:r w:rsidRPr="001F4E38">
        <w:t xml:space="preserve">This chapter lists new matters identified by the committee at its meeting on </w:t>
      </w:r>
      <w:r w:rsidRPr="00D32A03">
        <w:rPr>
          <w:b/>
        </w:rPr>
        <w:t>25 March </w:t>
      </w:r>
      <w:r w:rsidRPr="001F4E38">
        <w:rPr>
          <w:b/>
        </w:rPr>
        <w:t>201</w:t>
      </w:r>
      <w:r>
        <w:rPr>
          <w:b/>
        </w:rPr>
        <w:t>5</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2328F7" w:rsidRDefault="002328F7" w:rsidP="002328F7">
      <w:pPr>
        <w:pStyle w:val="Level1"/>
        <w:numPr>
          <w:ilvl w:val="0"/>
          <w:numId w:val="0"/>
        </w:numPr>
      </w:pPr>
      <w:r w:rsidRPr="001F4E38">
        <w:t>Matters which the committee draws to the attention of the relevant minister or instrument maker are raised on an advice-only basis and do not require a response.</w:t>
      </w:r>
    </w:p>
    <w:p w:rsidR="002328F7" w:rsidRDefault="002328F7" w:rsidP="002328F7">
      <w:pPr>
        <w:pStyle w:val="Level1"/>
        <w:numPr>
          <w:ilvl w:val="0"/>
          <w:numId w:val="0"/>
        </w:numPr>
      </w:pPr>
      <w:r>
        <w:t>This report considers all disallowable instruments tabled between 27 February 2015 and 5 March 2015. All instruments tabled in this period are listed on the Senate Disallowable Instruments List.</w:t>
      </w:r>
      <w:r>
        <w:rPr>
          <w:rStyle w:val="FootnoteReference"/>
        </w:rPr>
        <w:footnoteReference w:id="3"/>
      </w:r>
    </w:p>
    <w:p w:rsidR="002328F7" w:rsidRDefault="002328F7" w:rsidP="002328F7">
      <w:pPr>
        <w:pStyle w:val="Heading2"/>
      </w:pPr>
      <w:r>
        <w:t>New matters</w:t>
      </w:r>
    </w:p>
    <w:p w:rsidR="002328F7" w:rsidRDefault="002328F7" w:rsidP="002328F7">
      <w:pPr>
        <w:pStyle w:val="Heading3"/>
        <w:spacing w:after="0"/>
      </w:pPr>
      <w:r w:rsidRPr="00991ADC">
        <w:rPr>
          <w:rFonts w:ascii="Times New (W1)" w:hAnsi="Times New (W1)"/>
          <w:noProof/>
        </w:rPr>
        <w:t>Defence Determination 2015/7, Deployment allowance - amendment</w:t>
      </w:r>
    </w:p>
    <w:p w:rsidR="002328F7" w:rsidRPr="001E0577" w:rsidRDefault="002328F7" w:rsidP="002328F7">
      <w:pPr>
        <w:spacing w:after="120"/>
      </w:pPr>
    </w:p>
    <w:tbl>
      <w:tblPr>
        <w:tblW w:w="0" w:type="auto"/>
        <w:tblInd w:w="108" w:type="dxa"/>
        <w:tblLook w:val="04A0" w:firstRow="1" w:lastRow="0" w:firstColumn="1" w:lastColumn="0" w:noHBand="0" w:noVBand="1"/>
      </w:tblPr>
      <w:tblGrid>
        <w:gridCol w:w="2694"/>
        <w:gridCol w:w="6378"/>
      </w:tblGrid>
      <w:tr w:rsidR="002328F7" w:rsidRPr="00164622" w:rsidTr="00836975">
        <w:tc>
          <w:tcPr>
            <w:tcW w:w="2694" w:type="dxa"/>
            <w:tcBorders>
              <w:top w:val="single" w:sz="12" w:space="0" w:color="auto"/>
              <w:right w:val="single" w:sz="12" w:space="0" w:color="auto"/>
            </w:tcBorders>
          </w:tcPr>
          <w:p w:rsidR="002328F7" w:rsidRPr="00A77228" w:rsidRDefault="002328F7" w:rsidP="00836975">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2328F7" w:rsidRPr="00A77228" w:rsidRDefault="002328F7" w:rsidP="00836975">
            <w:pPr>
              <w:spacing w:before="120" w:after="120"/>
              <w:rPr>
                <w:sz w:val="24"/>
                <w:szCs w:val="24"/>
              </w:rPr>
            </w:pPr>
            <w:r w:rsidRPr="00991ADC">
              <w:rPr>
                <w:noProof/>
                <w:sz w:val="24"/>
                <w:szCs w:val="24"/>
              </w:rPr>
              <w:t>Amends the deployment allowance and additional recreation leave provisions to clarify that when a member is on a period of leave during their deployment, the member is eligible for the payment of deployment allowance; provides a transitional provision for members on non-warlike deployment who took a period of travelling leave between 1 January 2015 and the commencement of this Determination; and amends a transitional provision for members on deployment to amend the calculation of the payment of deployment allowance or international campaign allowance for leave accrued while on deployment before 1 January 2015</w:t>
            </w:r>
          </w:p>
        </w:tc>
      </w:tr>
      <w:tr w:rsidR="002328F7" w:rsidRPr="00164622" w:rsidTr="00836975">
        <w:tc>
          <w:tcPr>
            <w:tcW w:w="2694" w:type="dxa"/>
            <w:tcBorders>
              <w:right w:val="single" w:sz="12" w:space="0" w:color="auto"/>
            </w:tcBorders>
          </w:tcPr>
          <w:p w:rsidR="002328F7" w:rsidRPr="00A77228" w:rsidRDefault="002328F7" w:rsidP="00836975">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328F7" w:rsidRPr="00A77228" w:rsidRDefault="002328F7" w:rsidP="00836975">
            <w:pPr>
              <w:spacing w:before="120" w:after="120"/>
              <w:rPr>
                <w:sz w:val="24"/>
                <w:szCs w:val="24"/>
              </w:rPr>
            </w:pPr>
            <w:r w:rsidRPr="00991ADC">
              <w:rPr>
                <w:noProof/>
                <w:sz w:val="24"/>
                <w:szCs w:val="24"/>
              </w:rPr>
              <w:t>16 June 2015</w:t>
            </w:r>
          </w:p>
        </w:tc>
      </w:tr>
      <w:tr w:rsidR="002328F7" w:rsidRPr="00164622" w:rsidTr="00836975">
        <w:tc>
          <w:tcPr>
            <w:tcW w:w="2694" w:type="dxa"/>
            <w:tcBorders>
              <w:right w:val="single" w:sz="12" w:space="0" w:color="auto"/>
            </w:tcBorders>
          </w:tcPr>
          <w:p w:rsidR="002328F7" w:rsidRPr="00A77228" w:rsidRDefault="002328F7" w:rsidP="00836975">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328F7" w:rsidRPr="00932D1C" w:rsidRDefault="002328F7" w:rsidP="00836975">
            <w:pPr>
              <w:spacing w:before="120" w:after="120"/>
              <w:rPr>
                <w:i/>
                <w:sz w:val="24"/>
                <w:szCs w:val="24"/>
              </w:rPr>
            </w:pPr>
            <w:r w:rsidRPr="00991ADC">
              <w:rPr>
                <w:i/>
                <w:noProof/>
                <w:sz w:val="24"/>
                <w:szCs w:val="24"/>
              </w:rPr>
              <w:t>Defence Act 1903</w:t>
            </w:r>
          </w:p>
        </w:tc>
      </w:tr>
      <w:tr w:rsidR="002328F7" w:rsidRPr="00164622" w:rsidTr="00836975">
        <w:tc>
          <w:tcPr>
            <w:tcW w:w="2694" w:type="dxa"/>
            <w:tcBorders>
              <w:bottom w:val="single" w:sz="12" w:space="0" w:color="auto"/>
              <w:right w:val="single" w:sz="12" w:space="0" w:color="auto"/>
            </w:tcBorders>
          </w:tcPr>
          <w:p w:rsidR="002328F7" w:rsidRPr="00A77228" w:rsidRDefault="002328F7" w:rsidP="00836975">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2328F7" w:rsidRPr="00A77228" w:rsidRDefault="002328F7" w:rsidP="00836975">
            <w:pPr>
              <w:spacing w:before="120" w:after="120"/>
              <w:rPr>
                <w:sz w:val="24"/>
                <w:szCs w:val="24"/>
              </w:rPr>
            </w:pPr>
            <w:r w:rsidRPr="00991ADC">
              <w:rPr>
                <w:noProof/>
                <w:sz w:val="24"/>
                <w:szCs w:val="24"/>
              </w:rPr>
              <w:t>Defence</w:t>
            </w:r>
          </w:p>
        </w:tc>
      </w:tr>
    </w:tbl>
    <w:p w:rsidR="002328F7" w:rsidRPr="00164622" w:rsidRDefault="002328F7" w:rsidP="002328F7">
      <w:pPr>
        <w:spacing w:after="0"/>
        <w:rPr>
          <w:szCs w:val="26"/>
        </w:rPr>
      </w:pPr>
    </w:p>
    <w:p w:rsidR="002328F7" w:rsidRDefault="002328F7" w:rsidP="002328F7">
      <w:pPr>
        <w:spacing w:after="0"/>
        <w:jc w:val="left"/>
        <w:rPr>
          <w:b/>
          <w:szCs w:val="26"/>
        </w:rPr>
      </w:pPr>
      <w:r>
        <w:rPr>
          <w:b/>
          <w:szCs w:val="26"/>
        </w:rPr>
        <w:br w:type="page"/>
      </w:r>
    </w:p>
    <w:p w:rsidR="002328F7" w:rsidRPr="00164622" w:rsidRDefault="002328F7" w:rsidP="002328F7">
      <w:pPr>
        <w:spacing w:after="120"/>
        <w:rPr>
          <w:b/>
          <w:szCs w:val="26"/>
        </w:rPr>
      </w:pPr>
      <w:r w:rsidRPr="00164622">
        <w:rPr>
          <w:b/>
          <w:szCs w:val="26"/>
        </w:rPr>
        <w:lastRenderedPageBreak/>
        <w:t>Issue:</w:t>
      </w:r>
    </w:p>
    <w:p w:rsidR="002328F7" w:rsidRPr="00164622" w:rsidRDefault="002328F7" w:rsidP="002328F7">
      <w:pPr>
        <w:spacing w:after="120"/>
        <w:rPr>
          <w:i/>
          <w:noProof/>
          <w:szCs w:val="26"/>
        </w:rPr>
      </w:pPr>
      <w:r w:rsidRPr="00991ADC">
        <w:rPr>
          <w:i/>
          <w:noProof/>
          <w:szCs w:val="26"/>
        </w:rPr>
        <w:t>Retrospectivity</w:t>
      </w:r>
    </w:p>
    <w:p w:rsidR="002328F7" w:rsidRDefault="002328F7" w:rsidP="002328F7">
      <w:pPr>
        <w:rPr>
          <w:noProof/>
          <w:szCs w:val="26"/>
        </w:rPr>
      </w:pPr>
      <w:r w:rsidRPr="00991ADC">
        <w:rPr>
          <w:noProof/>
          <w:szCs w:val="26"/>
        </w:rPr>
        <w:t>The instrument was made on 20 February 2015. Section 5 of the instrument provides that the amendments made by the instrument are back-dated to 1 January 2015. This means the instrument has a retrospective operation. While the explanatory statement (ES) indicates the retrospective operation of the amendment is beneficial t</w:t>
      </w:r>
      <w:r>
        <w:rPr>
          <w:noProof/>
          <w:szCs w:val="26"/>
        </w:rPr>
        <w:t>o members (placing members who t</w:t>
      </w:r>
      <w:r w:rsidRPr="00991ADC">
        <w:rPr>
          <w:noProof/>
          <w:szCs w:val="26"/>
        </w:rPr>
        <w:t xml:space="preserve">ook travelling leave in the period between 1 January 2015 and the commencement of the instrument in the same position as members who took leave after the commencement of the instrument), the ES does not expressly address the prohibition in subsection 12(2) of the </w:t>
      </w:r>
      <w:r w:rsidRPr="00D32A03">
        <w:rPr>
          <w:i/>
          <w:noProof/>
          <w:szCs w:val="26"/>
        </w:rPr>
        <w:t>Legislative Instruments Act 2003</w:t>
      </w:r>
      <w:r w:rsidRPr="00991ADC">
        <w:rPr>
          <w:noProof/>
          <w:szCs w:val="26"/>
        </w:rPr>
        <w:t xml:space="preserve"> against retrospectivity that is disadvantageous to the rights of persons other than the Commonwealth. The committee's usual expectation is that this matter would be specifically addressed in the ES. </w:t>
      </w:r>
      <w:r w:rsidRPr="00D32A03">
        <w:rPr>
          <w:b/>
          <w:noProof/>
          <w:szCs w:val="26"/>
        </w:rPr>
        <w:t>Noting both the apparently beneficial effect of the retrospective provisions and the generally high drafting standard of Defence instruments, the committee therefore draws this matter to the minister's attention.</w:t>
      </w:r>
    </w:p>
    <w:p w:rsidR="002328F7" w:rsidRPr="00164622" w:rsidRDefault="002328F7" w:rsidP="002328F7"/>
    <w:p w:rsidR="002328F7" w:rsidRDefault="002328F7" w:rsidP="002328F7">
      <w:pPr>
        <w:pStyle w:val="Heading3"/>
        <w:spacing w:after="0"/>
      </w:pPr>
      <w:r w:rsidRPr="00991ADC">
        <w:rPr>
          <w:rFonts w:ascii="Times New (W1)" w:hAnsi="Times New (W1)"/>
          <w:noProof/>
        </w:rPr>
        <w:t>Defence Determination 2015/8, Post indexes amendment</w:t>
      </w:r>
    </w:p>
    <w:p w:rsidR="002328F7" w:rsidRPr="001E0577" w:rsidRDefault="002328F7" w:rsidP="002328F7">
      <w:pPr>
        <w:spacing w:after="120"/>
      </w:pPr>
    </w:p>
    <w:tbl>
      <w:tblPr>
        <w:tblW w:w="0" w:type="auto"/>
        <w:tblInd w:w="108" w:type="dxa"/>
        <w:tblLook w:val="04A0" w:firstRow="1" w:lastRow="0" w:firstColumn="1" w:lastColumn="0" w:noHBand="0" w:noVBand="1"/>
      </w:tblPr>
      <w:tblGrid>
        <w:gridCol w:w="2694"/>
        <w:gridCol w:w="6378"/>
      </w:tblGrid>
      <w:tr w:rsidR="002328F7" w:rsidRPr="00164622" w:rsidTr="00836975">
        <w:tc>
          <w:tcPr>
            <w:tcW w:w="2694" w:type="dxa"/>
            <w:tcBorders>
              <w:top w:val="single" w:sz="12" w:space="0" w:color="auto"/>
              <w:right w:val="single" w:sz="12" w:space="0" w:color="auto"/>
            </w:tcBorders>
          </w:tcPr>
          <w:p w:rsidR="002328F7" w:rsidRPr="00A77228" w:rsidRDefault="002328F7" w:rsidP="00836975">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2328F7" w:rsidRPr="00A77228" w:rsidRDefault="002328F7" w:rsidP="00836975">
            <w:pPr>
              <w:spacing w:before="120" w:after="120"/>
              <w:rPr>
                <w:sz w:val="24"/>
                <w:szCs w:val="24"/>
              </w:rPr>
            </w:pPr>
            <w:r w:rsidRPr="00991ADC">
              <w:rPr>
                <w:noProof/>
                <w:sz w:val="24"/>
                <w:szCs w:val="24"/>
              </w:rPr>
              <w:t>Implements revised post indexes for ADF members at overseas posting locations; and adds Sri Lanka to the list of overseas locations with post indexes</w:t>
            </w:r>
          </w:p>
        </w:tc>
      </w:tr>
      <w:tr w:rsidR="002328F7" w:rsidRPr="00164622" w:rsidTr="00836975">
        <w:tc>
          <w:tcPr>
            <w:tcW w:w="2694" w:type="dxa"/>
            <w:tcBorders>
              <w:right w:val="single" w:sz="12" w:space="0" w:color="auto"/>
            </w:tcBorders>
          </w:tcPr>
          <w:p w:rsidR="002328F7" w:rsidRPr="00A77228" w:rsidRDefault="002328F7" w:rsidP="00836975">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328F7" w:rsidRPr="00A77228" w:rsidRDefault="002328F7" w:rsidP="00836975">
            <w:pPr>
              <w:spacing w:before="120" w:after="120"/>
              <w:rPr>
                <w:sz w:val="24"/>
                <w:szCs w:val="24"/>
              </w:rPr>
            </w:pPr>
            <w:r w:rsidRPr="00991ADC">
              <w:rPr>
                <w:noProof/>
                <w:sz w:val="24"/>
                <w:szCs w:val="24"/>
              </w:rPr>
              <w:t>16 June 2015</w:t>
            </w:r>
          </w:p>
        </w:tc>
      </w:tr>
      <w:tr w:rsidR="002328F7" w:rsidRPr="00164622" w:rsidTr="00836975">
        <w:tc>
          <w:tcPr>
            <w:tcW w:w="2694" w:type="dxa"/>
            <w:tcBorders>
              <w:right w:val="single" w:sz="12" w:space="0" w:color="auto"/>
            </w:tcBorders>
          </w:tcPr>
          <w:p w:rsidR="002328F7" w:rsidRPr="00A77228" w:rsidRDefault="002328F7" w:rsidP="00836975">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328F7" w:rsidRPr="00932D1C" w:rsidRDefault="002328F7" w:rsidP="00836975">
            <w:pPr>
              <w:spacing w:before="120" w:after="120"/>
              <w:rPr>
                <w:i/>
                <w:sz w:val="24"/>
                <w:szCs w:val="24"/>
              </w:rPr>
            </w:pPr>
            <w:r w:rsidRPr="00991ADC">
              <w:rPr>
                <w:i/>
                <w:noProof/>
                <w:sz w:val="24"/>
                <w:szCs w:val="24"/>
              </w:rPr>
              <w:t>Defence Act 1903</w:t>
            </w:r>
          </w:p>
        </w:tc>
      </w:tr>
      <w:tr w:rsidR="002328F7" w:rsidRPr="00164622" w:rsidTr="00836975">
        <w:tc>
          <w:tcPr>
            <w:tcW w:w="2694" w:type="dxa"/>
            <w:tcBorders>
              <w:bottom w:val="single" w:sz="12" w:space="0" w:color="auto"/>
              <w:right w:val="single" w:sz="12" w:space="0" w:color="auto"/>
            </w:tcBorders>
          </w:tcPr>
          <w:p w:rsidR="002328F7" w:rsidRPr="00A77228" w:rsidRDefault="002328F7" w:rsidP="00836975">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2328F7" w:rsidRPr="00A77228" w:rsidRDefault="002328F7" w:rsidP="00836975">
            <w:pPr>
              <w:spacing w:before="120" w:after="120"/>
              <w:rPr>
                <w:sz w:val="24"/>
                <w:szCs w:val="24"/>
              </w:rPr>
            </w:pPr>
            <w:r w:rsidRPr="00991ADC">
              <w:rPr>
                <w:noProof/>
                <w:sz w:val="24"/>
                <w:szCs w:val="24"/>
              </w:rPr>
              <w:t>Defence</w:t>
            </w:r>
          </w:p>
        </w:tc>
      </w:tr>
    </w:tbl>
    <w:p w:rsidR="002328F7" w:rsidRPr="00164622" w:rsidRDefault="002328F7" w:rsidP="002328F7">
      <w:pPr>
        <w:spacing w:after="0"/>
        <w:rPr>
          <w:szCs w:val="26"/>
        </w:rPr>
      </w:pPr>
    </w:p>
    <w:p w:rsidR="002328F7" w:rsidRPr="00164622" w:rsidRDefault="002328F7" w:rsidP="002328F7">
      <w:pPr>
        <w:spacing w:after="120"/>
        <w:rPr>
          <w:b/>
          <w:szCs w:val="26"/>
        </w:rPr>
      </w:pPr>
      <w:r w:rsidRPr="00164622">
        <w:rPr>
          <w:b/>
          <w:szCs w:val="26"/>
        </w:rPr>
        <w:t>Issue:</w:t>
      </w:r>
    </w:p>
    <w:p w:rsidR="002328F7" w:rsidRPr="00164622" w:rsidRDefault="002328F7" w:rsidP="002328F7">
      <w:pPr>
        <w:spacing w:after="120"/>
        <w:rPr>
          <w:i/>
          <w:noProof/>
          <w:szCs w:val="26"/>
        </w:rPr>
      </w:pPr>
      <w:r w:rsidRPr="00991ADC">
        <w:rPr>
          <w:i/>
          <w:noProof/>
          <w:szCs w:val="26"/>
        </w:rPr>
        <w:t>Retrospectivity</w:t>
      </w:r>
    </w:p>
    <w:p w:rsidR="002328F7" w:rsidRPr="00BF460E" w:rsidRDefault="002328F7" w:rsidP="002328F7">
      <w:r w:rsidRPr="00991ADC">
        <w:rPr>
          <w:noProof/>
          <w:szCs w:val="26"/>
        </w:rPr>
        <w:t xml:space="preserve">The instrument was made on 2 March 2015. Section 5.1 of the instrument provides that the amendments made by the instrument are back-dated to 10 January 2015. This means the instrument has a retrospective operation. While the ES indicates the retrospective operation of the amendment is beneficial to members (entitling a member who was on a long-term posting to Sri Lanka on or after 10 January 2015 to the same overseas benefits that they would be entitled to after the commencement of the instrument), the ES does not expressly address the prohibition in subsection 12(2) of the </w:t>
      </w:r>
      <w:r w:rsidRPr="00D32A03">
        <w:rPr>
          <w:i/>
          <w:noProof/>
          <w:szCs w:val="26"/>
        </w:rPr>
        <w:t>Legislative Instruments Act 2003</w:t>
      </w:r>
      <w:r w:rsidRPr="00991ADC">
        <w:rPr>
          <w:noProof/>
          <w:szCs w:val="26"/>
        </w:rPr>
        <w:t xml:space="preserve"> against retrospectivity that is disadvantageous to the rights of persons other than the Commonwealth. The committee's usual expectation is that this matter would be specifically addressed in the ES. </w:t>
      </w:r>
      <w:r w:rsidRPr="00D32A03">
        <w:rPr>
          <w:b/>
          <w:noProof/>
          <w:szCs w:val="26"/>
        </w:rPr>
        <w:t xml:space="preserve">Noting both the apparently beneficial effect of the retrospective provisions and the generally </w:t>
      </w:r>
      <w:r w:rsidRPr="00D32A03">
        <w:rPr>
          <w:b/>
          <w:noProof/>
          <w:szCs w:val="26"/>
        </w:rPr>
        <w:lastRenderedPageBreak/>
        <w:t>high drafting standard of Defence instruments, the committee therefore draws this matter to the minister's attention.</w:t>
      </w:r>
    </w:p>
    <w:p w:rsidR="002328F7" w:rsidRDefault="002328F7" w:rsidP="002328F7">
      <w:pPr>
        <w:pStyle w:val="Heading2"/>
      </w:pPr>
      <w:r w:rsidRPr="009E27EC">
        <w:t>Continuing matters</w:t>
      </w:r>
    </w:p>
    <w:p w:rsidR="002328F7" w:rsidRDefault="002328F7" w:rsidP="002328F7"/>
    <w:p w:rsidR="002328F7" w:rsidRPr="007E05EE" w:rsidRDefault="002328F7" w:rsidP="002328F7">
      <w:pPr>
        <w:pStyle w:val="Heading3"/>
      </w:pPr>
      <w:r w:rsidRPr="007E05EE">
        <w:t>Staffing and Delegations Rule 2014</w:t>
      </w:r>
      <w:r>
        <w:t xml:space="preserve"> [</w:t>
      </w:r>
      <w:r w:rsidRPr="007E05EE">
        <w:t>F2014L01296</w:t>
      </w:r>
      <w:r>
        <w:t>]</w:t>
      </w:r>
    </w:p>
    <w:tbl>
      <w:tblPr>
        <w:tblW w:w="0" w:type="auto"/>
        <w:tblInd w:w="108" w:type="dxa"/>
        <w:tblLook w:val="04A0" w:firstRow="1" w:lastRow="0" w:firstColumn="1" w:lastColumn="0" w:noHBand="0" w:noVBand="1"/>
      </w:tblPr>
      <w:tblGrid>
        <w:gridCol w:w="2694"/>
        <w:gridCol w:w="6378"/>
      </w:tblGrid>
      <w:tr w:rsidR="002328F7" w:rsidTr="00836975">
        <w:tc>
          <w:tcPr>
            <w:tcW w:w="2694" w:type="dxa"/>
            <w:tcBorders>
              <w:top w:val="single" w:sz="12" w:space="0" w:color="auto"/>
              <w:left w:val="nil"/>
              <w:bottom w:val="nil"/>
              <w:right w:val="single" w:sz="12" w:space="0" w:color="auto"/>
            </w:tcBorders>
            <w:hideMark/>
          </w:tcPr>
          <w:p w:rsidR="002328F7" w:rsidRDefault="002328F7" w:rsidP="00836975">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2328F7" w:rsidRPr="00D563BD" w:rsidRDefault="002328F7" w:rsidP="00836975">
            <w:pPr>
              <w:rPr>
                <w:i/>
                <w:sz w:val="24"/>
                <w:szCs w:val="24"/>
              </w:rPr>
            </w:pPr>
            <w:r>
              <w:rPr>
                <w:sz w:val="24"/>
                <w:szCs w:val="24"/>
              </w:rPr>
              <w:t>P</w:t>
            </w:r>
            <w:r w:rsidRPr="00534FFE">
              <w:rPr>
                <w:sz w:val="24"/>
                <w:szCs w:val="24"/>
              </w:rPr>
              <w:t xml:space="preserve">rovides </w:t>
            </w:r>
            <w:r w:rsidRPr="007E05EE">
              <w:rPr>
                <w:sz w:val="24"/>
                <w:szCs w:val="24"/>
              </w:rPr>
              <w:t>for the National Capital Authority (NCA) Chief Executive to delegate functions and powers under the Ordinance to officers and employees of the NCA and any person whose services have been made available fo</w:t>
            </w:r>
            <w:r>
              <w:rPr>
                <w:sz w:val="24"/>
                <w:szCs w:val="24"/>
              </w:rPr>
              <w:t>r the purposes of the Ordinance</w:t>
            </w:r>
          </w:p>
        </w:tc>
      </w:tr>
      <w:tr w:rsidR="002328F7" w:rsidTr="00836975">
        <w:tc>
          <w:tcPr>
            <w:tcW w:w="2694" w:type="dxa"/>
            <w:tcBorders>
              <w:top w:val="nil"/>
              <w:left w:val="nil"/>
              <w:bottom w:val="nil"/>
              <w:right w:val="single" w:sz="12" w:space="0" w:color="auto"/>
            </w:tcBorders>
            <w:hideMark/>
          </w:tcPr>
          <w:p w:rsidR="002328F7" w:rsidRDefault="002328F7" w:rsidP="00836975">
            <w:pPr>
              <w:rPr>
                <w:b/>
                <w:sz w:val="24"/>
                <w:szCs w:val="24"/>
              </w:rPr>
            </w:pPr>
            <w:r w:rsidRPr="00A77228">
              <w:rPr>
                <w:b/>
                <w:sz w:val="24"/>
                <w:szCs w:val="24"/>
              </w:rPr>
              <w:t>Last day to disallow</w:t>
            </w:r>
            <w:r>
              <w:rPr>
                <w:rStyle w:val="FootnoteReference"/>
                <w:b/>
                <w:sz w:val="24"/>
                <w:szCs w:val="24"/>
              </w:rPr>
              <w:footnoteReference w:id="4"/>
            </w:r>
          </w:p>
        </w:tc>
        <w:tc>
          <w:tcPr>
            <w:tcW w:w="6378" w:type="dxa"/>
            <w:tcBorders>
              <w:top w:val="nil"/>
              <w:left w:val="single" w:sz="12" w:space="0" w:color="auto"/>
              <w:bottom w:val="nil"/>
              <w:right w:val="nil"/>
            </w:tcBorders>
            <w:hideMark/>
          </w:tcPr>
          <w:p w:rsidR="002328F7" w:rsidRDefault="002328F7" w:rsidP="00836975">
            <w:pPr>
              <w:rPr>
                <w:sz w:val="24"/>
                <w:szCs w:val="24"/>
              </w:rPr>
            </w:pPr>
            <w:r>
              <w:rPr>
                <w:noProof/>
                <w:sz w:val="24"/>
                <w:szCs w:val="24"/>
              </w:rPr>
              <w:t>4 December 2014</w:t>
            </w:r>
          </w:p>
        </w:tc>
      </w:tr>
      <w:tr w:rsidR="002328F7" w:rsidTr="00836975">
        <w:tc>
          <w:tcPr>
            <w:tcW w:w="2694" w:type="dxa"/>
            <w:tcBorders>
              <w:top w:val="nil"/>
              <w:left w:val="nil"/>
              <w:bottom w:val="nil"/>
              <w:right w:val="single" w:sz="12" w:space="0" w:color="auto"/>
            </w:tcBorders>
            <w:hideMark/>
          </w:tcPr>
          <w:p w:rsidR="002328F7" w:rsidRDefault="002328F7" w:rsidP="00836975">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2328F7" w:rsidRPr="007E05EE" w:rsidRDefault="002328F7" w:rsidP="00836975">
            <w:pPr>
              <w:rPr>
                <w:noProof/>
                <w:sz w:val="24"/>
                <w:szCs w:val="24"/>
              </w:rPr>
            </w:pPr>
            <w:r w:rsidRPr="007E05EE">
              <w:rPr>
                <w:noProof/>
                <w:sz w:val="24"/>
                <w:szCs w:val="24"/>
              </w:rPr>
              <w:t>National Land (Road Transport) Ordinance 2014</w:t>
            </w:r>
          </w:p>
        </w:tc>
      </w:tr>
      <w:tr w:rsidR="002328F7" w:rsidTr="00836975">
        <w:tc>
          <w:tcPr>
            <w:tcW w:w="2694" w:type="dxa"/>
            <w:tcBorders>
              <w:top w:val="nil"/>
              <w:left w:val="nil"/>
              <w:bottom w:val="single" w:sz="12" w:space="0" w:color="auto"/>
              <w:right w:val="single" w:sz="12" w:space="0" w:color="auto"/>
            </w:tcBorders>
            <w:hideMark/>
          </w:tcPr>
          <w:p w:rsidR="002328F7" w:rsidRDefault="002328F7" w:rsidP="00836975">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2328F7" w:rsidRDefault="002328F7" w:rsidP="00836975">
            <w:pPr>
              <w:rPr>
                <w:sz w:val="24"/>
                <w:szCs w:val="24"/>
              </w:rPr>
            </w:pPr>
            <w:r w:rsidRPr="007E05EE">
              <w:rPr>
                <w:noProof/>
                <w:sz w:val="24"/>
                <w:szCs w:val="24"/>
              </w:rPr>
              <w:t>Infrastructure and Regional Development</w:t>
            </w:r>
          </w:p>
        </w:tc>
      </w:tr>
    </w:tbl>
    <w:p w:rsidR="002328F7" w:rsidRPr="00384616" w:rsidRDefault="002328F7" w:rsidP="002328F7">
      <w:pPr>
        <w:spacing w:before="120" w:after="0"/>
        <w:rPr>
          <w:rFonts w:ascii="Times New (W1)" w:hAnsi="Times New (W1)"/>
          <w:szCs w:val="26"/>
        </w:rPr>
      </w:pPr>
      <w:r w:rsidRPr="00384616">
        <w:rPr>
          <w:rFonts w:ascii="Times New (W1)" w:hAnsi="Times New (W1)"/>
          <w:b/>
        </w:rPr>
        <w:t xml:space="preserve">[The committee first reported on this instrument in </w:t>
      </w:r>
      <w:r w:rsidRPr="00384616">
        <w:rPr>
          <w:rFonts w:ascii="Times New (W1)" w:hAnsi="Times New (W1)"/>
          <w:b/>
          <w:i/>
        </w:rPr>
        <w:t xml:space="preserve">Delegated legislation monitor </w:t>
      </w:r>
      <w:r>
        <w:rPr>
          <w:b/>
        </w:rPr>
        <w:t xml:space="preserve">No. 14 of 2014; and subsequently in </w:t>
      </w:r>
      <w:r>
        <w:rPr>
          <w:b/>
          <w:i/>
        </w:rPr>
        <w:t xml:space="preserve">Delegated legislation monitor </w:t>
      </w:r>
      <w:r>
        <w:rPr>
          <w:b/>
        </w:rPr>
        <w:t>No. 1 of 2015</w:t>
      </w:r>
      <w:r w:rsidRPr="00384616">
        <w:rPr>
          <w:rFonts w:ascii="Times New (W1)" w:hAnsi="Times New (W1)"/>
          <w:b/>
        </w:rPr>
        <w:t>]</w:t>
      </w:r>
    </w:p>
    <w:p w:rsidR="002328F7" w:rsidRPr="00384616" w:rsidRDefault="002328F7" w:rsidP="002328F7">
      <w:pPr>
        <w:spacing w:before="120" w:after="120"/>
        <w:rPr>
          <w:rFonts w:ascii="Times New (W1)" w:hAnsi="Times New (W1)"/>
          <w:b/>
          <w:szCs w:val="26"/>
        </w:rPr>
      </w:pPr>
      <w:r w:rsidRPr="00384616">
        <w:rPr>
          <w:rFonts w:ascii="Times New (W1)" w:hAnsi="Times New (W1)"/>
          <w:b/>
          <w:szCs w:val="26"/>
        </w:rPr>
        <w:t>Issue:</w:t>
      </w:r>
    </w:p>
    <w:p w:rsidR="002328F7" w:rsidRDefault="002328F7" w:rsidP="002328F7">
      <w:pPr>
        <w:rPr>
          <w:i/>
          <w:noProof/>
        </w:rPr>
      </w:pPr>
      <w:r>
        <w:rPr>
          <w:i/>
          <w:noProof/>
        </w:rPr>
        <w:t>Delegation of power to a 'person'</w:t>
      </w:r>
    </w:p>
    <w:p w:rsidR="002328F7" w:rsidRDefault="002328F7" w:rsidP="002328F7">
      <w:r w:rsidRPr="00C21F7C">
        <w:t xml:space="preserve">Section </w:t>
      </w:r>
      <w:r>
        <w:t>3</w:t>
      </w:r>
      <w:r w:rsidRPr="00C21F7C">
        <w:t xml:space="preserve"> of th</w:t>
      </w:r>
      <w:r>
        <w:t>e rule provides:</w:t>
      </w:r>
    </w:p>
    <w:p w:rsidR="002328F7" w:rsidRPr="00615618" w:rsidRDefault="002328F7" w:rsidP="002328F7">
      <w:pPr>
        <w:pStyle w:val="Quote"/>
      </w:pPr>
      <w:r w:rsidRPr="00615618">
        <w:t>The National Capital Authority (NCA) Chief Executive may arrange with a person for the services of officers or employees of the person to be made available for the purposes of the Ordinance.</w:t>
      </w:r>
    </w:p>
    <w:p w:rsidR="002328F7" w:rsidRDefault="002328F7" w:rsidP="002328F7">
      <w:r w:rsidRPr="00C21F7C">
        <w:t>Section 4 of th</w:t>
      </w:r>
      <w:r>
        <w:t>e rule</w:t>
      </w:r>
      <w:r w:rsidRPr="00C21F7C">
        <w:t xml:space="preserve"> </w:t>
      </w:r>
      <w:r>
        <w:t>provides:</w:t>
      </w:r>
    </w:p>
    <w:p w:rsidR="002328F7" w:rsidRPr="00615618" w:rsidRDefault="002328F7" w:rsidP="002328F7">
      <w:pPr>
        <w:pStyle w:val="Quote"/>
      </w:pPr>
      <w:r w:rsidRPr="00615618">
        <w:t>The NCA Chief Executive may delegate all or any functions and powers under the Ordinance to:</w:t>
      </w:r>
    </w:p>
    <w:p w:rsidR="002328F7" w:rsidRPr="00C21F7C" w:rsidRDefault="002328F7" w:rsidP="002328F7">
      <w:pPr>
        <w:pStyle w:val="Quote"/>
        <w:ind w:left="1276" w:hanging="425"/>
      </w:pPr>
      <w:r>
        <w:t>(a)</w:t>
      </w:r>
      <w:r>
        <w:tab/>
      </w:r>
      <w:r w:rsidRPr="00C21F7C">
        <w:t xml:space="preserve">an officer or employee of the NCA established under the Australian Capital Territory (Planning and Land Management) Act 1988 (Cth); or </w:t>
      </w:r>
    </w:p>
    <w:p w:rsidR="002328F7" w:rsidRDefault="002328F7" w:rsidP="002328F7">
      <w:pPr>
        <w:pStyle w:val="Quote"/>
        <w:ind w:left="1276" w:hanging="425"/>
      </w:pPr>
      <w:r>
        <w:t>(b)</w:t>
      </w:r>
      <w:r>
        <w:tab/>
      </w:r>
      <w:r w:rsidRPr="00C21F7C">
        <w:t>a person whose services have been made available under section 3 of this rule.</w:t>
      </w:r>
    </w:p>
    <w:p w:rsidR="002328F7" w:rsidRDefault="002328F7" w:rsidP="002328F7">
      <w:r>
        <w:t>The ES notes:</w:t>
      </w:r>
    </w:p>
    <w:p w:rsidR="002328F7" w:rsidRPr="00C84BA7" w:rsidRDefault="002328F7" w:rsidP="002328F7">
      <w:pPr>
        <w:pStyle w:val="Quote"/>
      </w:pPr>
      <w:r w:rsidRPr="00C84BA7">
        <w:lastRenderedPageBreak/>
        <w:t xml:space="preserve">The Staffing and Delegations Rule 2014 makes provision for the NCA Chief Executive to make arrangements with a person to be made available for </w:t>
      </w:r>
      <w:r>
        <w:t xml:space="preserve">the purposes of the Ordinance. </w:t>
      </w:r>
      <w:r w:rsidRPr="00C84BA7">
        <w:t>The Rule also provides for the NCA Chief Executive to delegate functions and powers under the Ordinance to officers and employees of the NCA and any person whose services have been made available for the purposes of the Ordinance.</w:t>
      </w:r>
    </w:p>
    <w:p w:rsidR="002328F7" w:rsidRDefault="002328F7" w:rsidP="002328F7">
      <w:r>
        <w:t xml:space="preserve">The committee notes that neither the rule nor the ES specify limitations on </w:t>
      </w:r>
      <w:r w:rsidRPr="00C84BA7">
        <w:t>either the powers that can be delegated or the persons to who</w:t>
      </w:r>
      <w:r>
        <w:t xml:space="preserve">m the powers can be delegated. In this regard, the committee also notes that </w:t>
      </w:r>
      <w:r w:rsidRPr="00C84BA7">
        <w:t xml:space="preserve">the Senate Standing Committee for the Scrutiny of Bills (Scrutiny of Bills committee) has consistently drawn attention to legislation that allows delegations to a relatively large class of persons, with little or no specificity as to their qualifications or attributes. Generally, the </w:t>
      </w:r>
      <w:r>
        <w:t>s</w:t>
      </w:r>
      <w:r w:rsidRPr="00C84BA7">
        <w:t>crutiny committee</w:t>
      </w:r>
      <w:r>
        <w:t>s</w:t>
      </w:r>
      <w:r w:rsidRPr="00C84BA7">
        <w:t xml:space="preserve"> prefer to see a limit set either on the sorts of powers that might be delegated or on the categories of people to whom those powers may be delegated. The </w:t>
      </w:r>
      <w:r>
        <w:t>committee</w:t>
      </w:r>
      <w:r w:rsidRPr="00C84BA7">
        <w:t>s</w:t>
      </w:r>
      <w:r>
        <w:t>'</w:t>
      </w:r>
      <w:r w:rsidRPr="00C84BA7">
        <w:t xml:space="preserve"> preference is that delegates be confined to the holders of nominated offices or to members of the senior executive service</w:t>
      </w:r>
      <w:r>
        <w:t xml:space="preserve">. </w:t>
      </w:r>
    </w:p>
    <w:p w:rsidR="002328F7" w:rsidRDefault="002328F7" w:rsidP="002328F7">
      <w:pPr>
        <w:rPr>
          <w:b/>
        </w:rPr>
      </w:pPr>
      <w:r>
        <w:rPr>
          <w:b/>
        </w:rPr>
        <w:t>[Th</w:t>
      </w:r>
      <w:r w:rsidRPr="00EB147C">
        <w:rPr>
          <w:b/>
        </w:rPr>
        <w:t>e committee therefore request</w:t>
      </w:r>
      <w:r>
        <w:rPr>
          <w:b/>
        </w:rPr>
        <w:t>ed</w:t>
      </w:r>
      <w:r w:rsidRPr="00EB147C">
        <w:rPr>
          <w:b/>
        </w:rPr>
        <w:t xml:space="preserve"> the </w:t>
      </w:r>
      <w:r>
        <w:rPr>
          <w:b/>
        </w:rPr>
        <w:t xml:space="preserve">assistant </w:t>
      </w:r>
      <w:r w:rsidRPr="00EB147C">
        <w:rPr>
          <w:b/>
        </w:rPr>
        <w:t>minister's advice on this matter</w:t>
      </w:r>
      <w:r>
        <w:rPr>
          <w:b/>
        </w:rPr>
        <w:t>]</w:t>
      </w:r>
      <w:r w:rsidRPr="00EB147C">
        <w:rPr>
          <w:b/>
        </w:rPr>
        <w:t>.</w:t>
      </w:r>
    </w:p>
    <w:p w:rsidR="002328F7" w:rsidRPr="007107BE" w:rsidRDefault="002328F7" w:rsidP="002328F7">
      <w:pPr>
        <w:rPr>
          <w:b/>
        </w:rPr>
      </w:pPr>
      <w:r w:rsidRPr="007107BE">
        <w:rPr>
          <w:b/>
        </w:rPr>
        <w:t>MINISTER'S RESPONSE:</w:t>
      </w:r>
    </w:p>
    <w:p w:rsidR="002328F7" w:rsidRDefault="002328F7" w:rsidP="002328F7">
      <w:pPr>
        <w:pStyle w:val="Level1"/>
        <w:numPr>
          <w:ilvl w:val="0"/>
          <w:numId w:val="0"/>
        </w:numPr>
      </w:pPr>
      <w:r>
        <w:t>The Assistant Minister for Infrastructure and Regional Development advised:</w:t>
      </w:r>
    </w:p>
    <w:p w:rsidR="002328F7" w:rsidRDefault="002328F7" w:rsidP="002328F7">
      <w:pPr>
        <w:pStyle w:val="Quote"/>
      </w:pPr>
      <w:r w:rsidRPr="00DE0457">
        <w:t>The Rule was established to permit the Chief Executive of the National Capital Authority</w:t>
      </w:r>
      <w:r>
        <w:t xml:space="preserve"> </w:t>
      </w:r>
      <w:r w:rsidRPr="00DE0457">
        <w:t>(NCA), acting in their capacity as an Administering Authority of the ACT road transport</w:t>
      </w:r>
      <w:r>
        <w:t xml:space="preserve"> </w:t>
      </w:r>
      <w:r w:rsidRPr="00DE0457">
        <w:t>legislation, as modified by the Ordinance, to delegate administrative and decision making</w:t>
      </w:r>
      <w:r>
        <w:t xml:space="preserve"> </w:t>
      </w:r>
      <w:r w:rsidRPr="00DE0457">
        <w:t>powers to a person made available for the purposes of the Ordinance. This includes NCA</w:t>
      </w:r>
      <w:r>
        <w:t xml:space="preserve"> </w:t>
      </w:r>
      <w:r w:rsidRPr="00DE0457">
        <w:t>contractors providing services to support pay parking on National Land.</w:t>
      </w:r>
    </w:p>
    <w:p w:rsidR="002328F7" w:rsidRDefault="002328F7" w:rsidP="002328F7">
      <w:pPr>
        <w:pStyle w:val="Quote"/>
      </w:pPr>
      <w:r w:rsidRPr="00DE0457">
        <w:t>The intention of the Rule is to provide a mechanism for the Chief Executive to delegate</w:t>
      </w:r>
      <w:r>
        <w:t xml:space="preserve"> </w:t>
      </w:r>
      <w:r w:rsidRPr="00DE0457">
        <w:t>specific powers to provide for effective administration of infringement notices issued by</w:t>
      </w:r>
      <w:r>
        <w:t xml:space="preserve"> </w:t>
      </w:r>
      <w:r w:rsidRPr="00DE0457">
        <w:t>the Australian Government. The Rule is self limiting and only applies to powers available</w:t>
      </w:r>
      <w:r>
        <w:t xml:space="preserve"> </w:t>
      </w:r>
      <w:r w:rsidRPr="00DE0457">
        <w:t>for the purposes of the Ordinance. The Ordinance only applies to sections of the ACT</w:t>
      </w:r>
      <w:r>
        <w:t xml:space="preserve"> </w:t>
      </w:r>
      <w:r w:rsidRPr="00DE0457">
        <w:t>road transport legislation, specifically relevant to the operation of a pay parking scheme.</w:t>
      </w:r>
    </w:p>
    <w:p w:rsidR="002328F7" w:rsidRDefault="002328F7" w:rsidP="002328F7">
      <w:pPr>
        <w:pStyle w:val="Quote"/>
      </w:pPr>
      <w:r w:rsidRPr="00DE0457">
        <w:t>Powers are only delegated to persons that have a direct requirement to make</w:t>
      </w:r>
      <w:r>
        <w:t xml:space="preserve"> </w:t>
      </w:r>
      <w:r w:rsidRPr="00DE0457">
        <w:t>administrative decisions related to pay parking. These powers are detailed in an</w:t>
      </w:r>
      <w:r>
        <w:t xml:space="preserve"> </w:t>
      </w:r>
      <w:r w:rsidRPr="00DE0457">
        <w:t>Instrument of Delegation signed by the Chief Executive of the NCA and is applied to a</w:t>
      </w:r>
      <w:r>
        <w:t xml:space="preserve"> </w:t>
      </w:r>
      <w:r w:rsidRPr="00DE0457">
        <w:t>specific position title, or position number.</w:t>
      </w:r>
    </w:p>
    <w:p w:rsidR="002328F7" w:rsidRDefault="002328F7" w:rsidP="002328F7">
      <w:pPr>
        <w:pStyle w:val="Quote"/>
      </w:pPr>
      <w:r w:rsidRPr="00DE0457">
        <w:t>There are strict processes for staff that have been delegated responsibilities by the Rule.</w:t>
      </w:r>
      <w:r>
        <w:t xml:space="preserve"> </w:t>
      </w:r>
      <w:r w:rsidRPr="00DE0457">
        <w:t>They are comprehensively vetted, are required to exercise their delegated power in</w:t>
      </w:r>
      <w:r>
        <w:t xml:space="preserve"> </w:t>
      </w:r>
      <w:r w:rsidRPr="00DE0457">
        <w:t xml:space="preserve">accordance with the ACT road transport legislation, and </w:t>
      </w:r>
      <w:r w:rsidRPr="00DE0457">
        <w:lastRenderedPageBreak/>
        <w:t>only operate in</w:t>
      </w:r>
      <w:r>
        <w:t xml:space="preserve"> </w:t>
      </w:r>
      <w:r w:rsidRPr="00DE0457">
        <w:t>line with decision</w:t>
      </w:r>
      <w:r>
        <w:t xml:space="preserve"> </w:t>
      </w:r>
      <w:r w:rsidRPr="00DE0457">
        <w:t>making guidelines approved by the Chief Executive of the NCA.</w:t>
      </w:r>
    </w:p>
    <w:p w:rsidR="002328F7" w:rsidRPr="0076670E" w:rsidRDefault="002328F7" w:rsidP="002328F7">
      <w:pPr>
        <w:pStyle w:val="Level1"/>
        <w:numPr>
          <w:ilvl w:val="0"/>
          <w:numId w:val="0"/>
        </w:numPr>
        <w:rPr>
          <w:b/>
        </w:rPr>
      </w:pPr>
      <w:r w:rsidRPr="0076670E">
        <w:rPr>
          <w:b/>
        </w:rPr>
        <w:t>COMMITTEE RESPONSE:</w:t>
      </w:r>
    </w:p>
    <w:p w:rsidR="002328F7" w:rsidRDefault="002328F7" w:rsidP="002328F7">
      <w:pPr>
        <w:pStyle w:val="Level1"/>
        <w:numPr>
          <w:ilvl w:val="0"/>
          <w:numId w:val="0"/>
        </w:numPr>
        <w:rPr>
          <w:b/>
        </w:rPr>
      </w:pPr>
      <w:r>
        <w:rPr>
          <w:b/>
        </w:rPr>
        <w:t>[</w:t>
      </w:r>
      <w:r w:rsidRPr="001065DB">
        <w:rPr>
          <w:b/>
        </w:rPr>
        <w:t>The committee thank</w:t>
      </w:r>
      <w:r>
        <w:rPr>
          <w:b/>
        </w:rPr>
        <w:t>ed</w:t>
      </w:r>
      <w:r w:rsidRPr="001065DB">
        <w:rPr>
          <w:b/>
        </w:rPr>
        <w:t xml:space="preserve"> the</w:t>
      </w:r>
      <w:r w:rsidRPr="00E9141B">
        <w:rPr>
          <w:b/>
        </w:rPr>
        <w:t xml:space="preserve"> </w:t>
      </w:r>
      <w:r>
        <w:rPr>
          <w:b/>
        </w:rPr>
        <w:t>assistant</w:t>
      </w:r>
      <w:r w:rsidRPr="001065DB">
        <w:rPr>
          <w:b/>
        </w:rPr>
        <w:t xml:space="preserve"> minister</w:t>
      </w:r>
      <w:r>
        <w:rPr>
          <w:b/>
        </w:rPr>
        <w:t xml:space="preserve"> for his response and </w:t>
      </w:r>
      <w:r w:rsidRPr="00814C84">
        <w:rPr>
          <w:b/>
        </w:rPr>
        <w:t>concluded its examination of th</w:t>
      </w:r>
      <w:r>
        <w:rPr>
          <w:b/>
        </w:rPr>
        <w:t>is</w:t>
      </w:r>
      <w:r w:rsidRPr="00814C84">
        <w:rPr>
          <w:b/>
        </w:rPr>
        <w:t xml:space="preserve"> </w:t>
      </w:r>
      <w:r>
        <w:rPr>
          <w:b/>
        </w:rPr>
        <w:t xml:space="preserve">matter in </w:t>
      </w:r>
      <w:r>
        <w:rPr>
          <w:b/>
          <w:i/>
        </w:rPr>
        <w:t xml:space="preserve">Delegated legislation monitor </w:t>
      </w:r>
      <w:r>
        <w:rPr>
          <w:b/>
        </w:rPr>
        <w:t>No. 1 of 2015].</w:t>
      </w:r>
    </w:p>
    <w:p w:rsidR="002328F7" w:rsidRDefault="002328F7" w:rsidP="002328F7">
      <w:pPr>
        <w:rPr>
          <w:b/>
          <w:szCs w:val="26"/>
        </w:rPr>
      </w:pPr>
      <w:r>
        <w:rPr>
          <w:b/>
          <w:szCs w:val="26"/>
        </w:rPr>
        <w:t>Issue:</w:t>
      </w:r>
    </w:p>
    <w:p w:rsidR="002328F7" w:rsidRDefault="002328F7" w:rsidP="002328F7">
      <w:pPr>
        <w:rPr>
          <w:i/>
        </w:rPr>
      </w:pPr>
      <w:r>
        <w:rPr>
          <w:i/>
        </w:rPr>
        <w:t>Limb of the rule-making power being relied on</w:t>
      </w:r>
    </w:p>
    <w:p w:rsidR="002328F7" w:rsidRPr="008572A2" w:rsidRDefault="002328F7" w:rsidP="002328F7">
      <w:r>
        <w:t xml:space="preserve">The rule is made under section 11 of the </w:t>
      </w:r>
      <w:r w:rsidRPr="00C21F7C">
        <w:t>National Land (Road Transport) Ordinance 2014</w:t>
      </w:r>
      <w:r>
        <w:t xml:space="preserve"> which provides:</w:t>
      </w:r>
    </w:p>
    <w:p w:rsidR="002328F7" w:rsidRPr="008572A2" w:rsidRDefault="002328F7" w:rsidP="002328F7">
      <w:pPr>
        <w:pStyle w:val="Quote"/>
      </w:pPr>
      <w:r w:rsidRPr="008572A2">
        <w:t>The Minister may make rules prescribing matters:</w:t>
      </w:r>
    </w:p>
    <w:p w:rsidR="002328F7" w:rsidRPr="008572A2" w:rsidRDefault="002328F7" w:rsidP="002328F7">
      <w:pPr>
        <w:pStyle w:val="Quote"/>
        <w:ind w:left="1276" w:hanging="425"/>
      </w:pPr>
      <w:r>
        <w:t>(a)</w:t>
      </w:r>
      <w:r>
        <w:tab/>
      </w:r>
      <w:r w:rsidRPr="008572A2">
        <w:t>required or permitted by this Ordinance to be prescribed by rule; or</w:t>
      </w:r>
    </w:p>
    <w:p w:rsidR="002328F7" w:rsidRDefault="002328F7" w:rsidP="002328F7">
      <w:pPr>
        <w:pStyle w:val="Quote"/>
        <w:ind w:left="1276" w:hanging="425"/>
      </w:pPr>
      <w:r>
        <w:t>(b)</w:t>
      </w:r>
      <w:r>
        <w:tab/>
      </w:r>
      <w:r w:rsidRPr="008572A2">
        <w:t>necessary or convenient to be prescribed for carrying out or giving effect to this Ordinance.</w:t>
      </w:r>
    </w:p>
    <w:p w:rsidR="002328F7" w:rsidRDefault="002328F7" w:rsidP="002328F7">
      <w:r>
        <w:t>With regard to the delegation of power to a person (referred to above), a question arises as to whether the rule relies on the 'required or permitted' or the 'necessary or convenient' limb of the power.</w:t>
      </w:r>
    </w:p>
    <w:p w:rsidR="002328F7" w:rsidRDefault="002328F7" w:rsidP="002328F7">
      <w:pPr>
        <w:rPr>
          <w:b/>
        </w:rPr>
      </w:pPr>
      <w:r>
        <w:rPr>
          <w:b/>
        </w:rPr>
        <w:t>[T</w:t>
      </w:r>
      <w:r w:rsidRPr="00EB147C">
        <w:rPr>
          <w:b/>
        </w:rPr>
        <w:t>he committee therefore request</w:t>
      </w:r>
      <w:r>
        <w:rPr>
          <w:b/>
        </w:rPr>
        <w:t>ed</w:t>
      </w:r>
      <w:r w:rsidRPr="00EB147C">
        <w:rPr>
          <w:b/>
        </w:rPr>
        <w:t xml:space="preserve"> the minister's advice on this matter</w:t>
      </w:r>
      <w:r>
        <w:rPr>
          <w:b/>
        </w:rPr>
        <w:t>]</w:t>
      </w:r>
      <w:r w:rsidRPr="00EB147C">
        <w:rPr>
          <w:b/>
        </w:rPr>
        <w:t>.</w:t>
      </w:r>
    </w:p>
    <w:p w:rsidR="002328F7" w:rsidRPr="0076670E" w:rsidRDefault="002328F7" w:rsidP="002328F7">
      <w:pPr>
        <w:pStyle w:val="Level1"/>
        <w:numPr>
          <w:ilvl w:val="0"/>
          <w:numId w:val="0"/>
        </w:numPr>
        <w:rPr>
          <w:b/>
        </w:rPr>
      </w:pPr>
      <w:r w:rsidRPr="0076670E">
        <w:rPr>
          <w:b/>
        </w:rPr>
        <w:t>COMMITTEE RESPONSE:</w:t>
      </w:r>
    </w:p>
    <w:p w:rsidR="002328F7" w:rsidRDefault="002328F7" w:rsidP="002328F7">
      <w:pPr>
        <w:rPr>
          <w:b/>
        </w:rPr>
      </w:pPr>
      <w:r>
        <w:rPr>
          <w:b/>
        </w:rPr>
        <w:t xml:space="preserve">[The committee noted this issue was not specifically addressed in the minister's response and therefore requested </w:t>
      </w:r>
      <w:r w:rsidRPr="00EB147C">
        <w:rPr>
          <w:b/>
        </w:rPr>
        <w:t>the minister's advice on this matter</w:t>
      </w:r>
      <w:r>
        <w:rPr>
          <w:b/>
        </w:rPr>
        <w:t>].</w:t>
      </w:r>
    </w:p>
    <w:p w:rsidR="002328F7" w:rsidRPr="007107BE" w:rsidRDefault="002328F7" w:rsidP="002328F7">
      <w:pPr>
        <w:rPr>
          <w:b/>
        </w:rPr>
      </w:pPr>
      <w:r w:rsidRPr="007107BE">
        <w:rPr>
          <w:b/>
        </w:rPr>
        <w:t>MINISTER'S RESPONSE:</w:t>
      </w:r>
    </w:p>
    <w:p w:rsidR="002328F7" w:rsidRDefault="002328F7" w:rsidP="002328F7">
      <w:r>
        <w:t>The Assistant Minister for Infrastructure and Regional Development advised:</w:t>
      </w:r>
    </w:p>
    <w:p w:rsidR="002328F7" w:rsidRPr="00BD32D7" w:rsidRDefault="002328F7" w:rsidP="002328F7">
      <w:pPr>
        <w:pStyle w:val="Quote"/>
      </w:pPr>
      <w:r w:rsidRPr="00BD32D7">
        <w:t>I can delegate general power to make Rules authorised by provisions of the National</w:t>
      </w:r>
      <w:r>
        <w:t xml:space="preserve"> </w:t>
      </w:r>
      <w:r w:rsidRPr="00BD32D7">
        <w:t>Land (Road Transport) Ordinance 2014 (the Ordinance). The Chief Executive of the</w:t>
      </w:r>
      <w:r>
        <w:t xml:space="preserve"> </w:t>
      </w:r>
      <w:r w:rsidRPr="00BD32D7">
        <w:t>National Capital Authority (NCA) may only authorise people in accordance with the</w:t>
      </w:r>
      <w:r>
        <w:t xml:space="preserve"> </w:t>
      </w:r>
      <w:r w:rsidRPr="00BD32D7">
        <w:t>Ordinance.</w:t>
      </w:r>
    </w:p>
    <w:p w:rsidR="002328F7" w:rsidRPr="00BD32D7" w:rsidRDefault="002328F7" w:rsidP="002328F7">
      <w:pPr>
        <w:pStyle w:val="Quote"/>
      </w:pPr>
      <w:r w:rsidRPr="00BD32D7">
        <w:t>The Rules I can create must be in respect to Section 11 - Rule making power of the</w:t>
      </w:r>
      <w:r>
        <w:t xml:space="preserve"> </w:t>
      </w:r>
      <w:r w:rsidRPr="00BD32D7">
        <w:t>Ordinance. The Chief Executive is only permitted to authorise people in accordance</w:t>
      </w:r>
      <w:r>
        <w:t xml:space="preserve"> </w:t>
      </w:r>
      <w:r w:rsidRPr="00BD32D7">
        <w:t>with Section 10 - Authorised people of the Ordinance.</w:t>
      </w:r>
    </w:p>
    <w:p w:rsidR="002328F7" w:rsidRPr="00BD32D7" w:rsidRDefault="002328F7" w:rsidP="002328F7">
      <w:pPr>
        <w:pStyle w:val="Quote"/>
      </w:pPr>
      <w:r w:rsidRPr="00BD32D7">
        <w:t>Staffing and Delegations Rule 2014 [F2014L01269] relies upon section 11 (a), which</w:t>
      </w:r>
      <w:r>
        <w:t xml:space="preserve"> </w:t>
      </w:r>
      <w:r w:rsidRPr="00BD32D7">
        <w:t>provides that the Minister may make rules prescribing matters 'required or permitted'</w:t>
      </w:r>
      <w:r>
        <w:t xml:space="preserve"> </w:t>
      </w:r>
      <w:r w:rsidRPr="00BD32D7">
        <w:t>by the Ordinance.</w:t>
      </w:r>
    </w:p>
    <w:p w:rsidR="002328F7" w:rsidRPr="00BD32D7" w:rsidRDefault="002328F7" w:rsidP="002328F7">
      <w:pPr>
        <w:pStyle w:val="Quote"/>
      </w:pPr>
      <w:r w:rsidRPr="00BD32D7">
        <w:lastRenderedPageBreak/>
        <w:t>The 'required or permitted' instrument-making power gives me no power to make Rules</w:t>
      </w:r>
      <w:r>
        <w:t xml:space="preserve"> </w:t>
      </w:r>
      <w:r w:rsidRPr="00BD32D7">
        <w:t>beyond that authorised by the other provisions of the Ordinance. It provides an</w:t>
      </w:r>
      <w:r>
        <w:t xml:space="preserve"> </w:t>
      </w:r>
      <w:r w:rsidRPr="00BD32D7">
        <w:t>administrative efficiency for exercising powers under the Ordinance.</w:t>
      </w:r>
    </w:p>
    <w:p w:rsidR="002328F7" w:rsidRPr="0076670E" w:rsidRDefault="002328F7" w:rsidP="002328F7">
      <w:pPr>
        <w:pStyle w:val="Level1"/>
        <w:numPr>
          <w:ilvl w:val="0"/>
          <w:numId w:val="0"/>
        </w:numPr>
        <w:rPr>
          <w:b/>
        </w:rPr>
      </w:pPr>
      <w:r w:rsidRPr="0076670E">
        <w:rPr>
          <w:b/>
        </w:rPr>
        <w:t>COMMITTEE RESPONSE:</w:t>
      </w:r>
    </w:p>
    <w:p w:rsidR="002328F7" w:rsidRDefault="002328F7" w:rsidP="002328F7">
      <w:pPr>
        <w:rPr>
          <w:b/>
        </w:rPr>
      </w:pPr>
      <w:r>
        <w:rPr>
          <w:b/>
        </w:rPr>
        <w:t xml:space="preserve">The committee </w:t>
      </w:r>
      <w:r w:rsidRPr="00A71444">
        <w:rPr>
          <w:b/>
        </w:rPr>
        <w:t>thanks the assistant minister for his response</w:t>
      </w:r>
      <w:r>
        <w:rPr>
          <w:b/>
        </w:rPr>
        <w:t>.</w:t>
      </w:r>
    </w:p>
    <w:p w:rsidR="002328F7" w:rsidRPr="00F42641" w:rsidRDefault="002328F7" w:rsidP="002328F7">
      <w:pPr>
        <w:rPr>
          <w:b/>
        </w:rPr>
      </w:pPr>
      <w:r>
        <w:t>However, the committee's understanding is that the 'required or permitted' limb of the general power operates in conjunction with certain provisions in the enabling Act or, in this case, the Ordinance. The committee therefore requests the minister's advice as to the specific provision(s) in the Ordinance that operate in conjunction with the 'required or permitted' limb of the general power</w:t>
      </w:r>
      <w:r w:rsidRPr="002E30FF">
        <w:t xml:space="preserve"> </w:t>
      </w:r>
      <w:r>
        <w:t xml:space="preserve">to provide for the matters prescribed by the rule. </w:t>
      </w:r>
      <w:r>
        <w:rPr>
          <w:b/>
        </w:rPr>
        <w:t>The committee therefore requests the minister's further advice on this matter.</w:t>
      </w:r>
    </w:p>
    <w:p w:rsidR="002328F7" w:rsidRDefault="002328F7" w:rsidP="002328F7">
      <w:pPr>
        <w:rPr>
          <w:b/>
          <w:szCs w:val="26"/>
        </w:rPr>
      </w:pPr>
      <w:r>
        <w:rPr>
          <w:b/>
          <w:szCs w:val="26"/>
        </w:rPr>
        <w:t>Issue:</w:t>
      </w:r>
    </w:p>
    <w:p w:rsidR="002328F7" w:rsidRDefault="002328F7" w:rsidP="002328F7">
      <w:pPr>
        <w:rPr>
          <w:i/>
        </w:rPr>
      </w:pPr>
      <w:r>
        <w:rPr>
          <w:i/>
        </w:rPr>
        <w:t>Potential delegation of general rule-making power</w:t>
      </w:r>
    </w:p>
    <w:p w:rsidR="002328F7" w:rsidRDefault="002328F7" w:rsidP="002328F7">
      <w:r>
        <w:t>As noted above, the rule</w:t>
      </w:r>
      <w:r w:rsidRPr="00C21F7C">
        <w:t xml:space="preserve"> </w:t>
      </w:r>
      <w:r>
        <w:t>provides for the</w:t>
      </w:r>
      <w:r w:rsidRPr="00C21F7C">
        <w:t xml:space="preserve"> Chief Executive of the NCA </w:t>
      </w:r>
      <w:r>
        <w:t>to 'delegate</w:t>
      </w:r>
      <w:r w:rsidRPr="00C21F7C">
        <w:t xml:space="preserve"> </w:t>
      </w:r>
      <w:r>
        <w:t xml:space="preserve">all or any functions and powers </w:t>
      </w:r>
      <w:r w:rsidRPr="00C21F7C">
        <w:t>under the</w:t>
      </w:r>
      <w:r>
        <w:t xml:space="preserve"> Ordinance' (rather than, for example, all or any of the Chief Executive's functions and powers under the ordinance). It is therefore unclear on the face of the rule whether there is any limit on the </w:t>
      </w:r>
      <w:r w:rsidRPr="00C21F7C">
        <w:t>Chief Executive</w:t>
      </w:r>
      <w:r>
        <w:t>'s power to delegate</w:t>
      </w:r>
      <w:r w:rsidRPr="00C21F7C">
        <w:t xml:space="preserve"> under the</w:t>
      </w:r>
      <w:r>
        <w:t xml:space="preserve"> ordinance. One of the powers under the ordinance is the general rule-making power in section 11 (attached to the minister). Noting the committee's previous inquiries regarding the implications of the new general rule-making power for executive exercise and oversight of Parliament's delegated legislative powers (</w:t>
      </w:r>
      <w:r w:rsidRPr="00651B7E">
        <w:t xml:space="preserve">see comments on </w:t>
      </w:r>
      <w:r>
        <w:t xml:space="preserve">the </w:t>
      </w:r>
      <w:r w:rsidRPr="00651B7E">
        <w:t>Australian Jobs (Australian Industry Participation) Rule 2014 [F2014L00125]</w:t>
      </w:r>
      <w:r>
        <w:t xml:space="preserve"> and the </w:t>
      </w:r>
      <w:r w:rsidRPr="00EB05F1">
        <w:t>Farm Household Support Secretary's Rule 2014 [F2014L00614]</w:t>
      </w:r>
      <w:r>
        <w:t xml:space="preserve">), a question arises as to whether the </w:t>
      </w:r>
      <w:r w:rsidRPr="00C21F7C">
        <w:t>Chief Executive of the NCA</w:t>
      </w:r>
      <w:r>
        <w:t xml:space="preserve"> is able to delegate the general rule-making power, and, if so, what considerations might apply in that case.</w:t>
      </w:r>
    </w:p>
    <w:p w:rsidR="002328F7" w:rsidRDefault="002328F7" w:rsidP="002328F7">
      <w:pPr>
        <w:rPr>
          <w:b/>
        </w:rPr>
      </w:pPr>
      <w:r>
        <w:rPr>
          <w:b/>
        </w:rPr>
        <w:t>[T</w:t>
      </w:r>
      <w:r w:rsidRPr="00EB147C">
        <w:rPr>
          <w:b/>
        </w:rPr>
        <w:t>he committee therefore request</w:t>
      </w:r>
      <w:r>
        <w:rPr>
          <w:b/>
        </w:rPr>
        <w:t>ed</w:t>
      </w:r>
      <w:r w:rsidRPr="00EB147C">
        <w:rPr>
          <w:b/>
        </w:rPr>
        <w:t xml:space="preserve"> the minister's advice on this matter</w:t>
      </w:r>
      <w:r>
        <w:rPr>
          <w:b/>
        </w:rPr>
        <w:t>]</w:t>
      </w:r>
      <w:r w:rsidRPr="00EB147C">
        <w:rPr>
          <w:b/>
        </w:rPr>
        <w:t>.</w:t>
      </w:r>
    </w:p>
    <w:p w:rsidR="002328F7" w:rsidRPr="007107BE" w:rsidRDefault="002328F7" w:rsidP="002328F7">
      <w:pPr>
        <w:rPr>
          <w:b/>
        </w:rPr>
      </w:pPr>
      <w:r w:rsidRPr="007107BE">
        <w:rPr>
          <w:b/>
        </w:rPr>
        <w:t>MINISTER'S RESPONSE:</w:t>
      </w:r>
    </w:p>
    <w:p w:rsidR="002328F7" w:rsidRDefault="002328F7" w:rsidP="002328F7">
      <w:pPr>
        <w:pStyle w:val="Level1"/>
        <w:numPr>
          <w:ilvl w:val="0"/>
          <w:numId w:val="0"/>
        </w:numPr>
      </w:pPr>
      <w:r>
        <w:t>The Assistant Minister for Infrastructure and Regional Development advised that '</w:t>
      </w:r>
      <w:r w:rsidRPr="00A85114">
        <w:t>the rule making powers are only able to be exercised</w:t>
      </w:r>
      <w:r>
        <w:t xml:space="preserve"> </w:t>
      </w:r>
      <w:r w:rsidRPr="00A85114">
        <w:t>by the Responsible Minister. The Rule cannot be used to delegate Ministerial</w:t>
      </w:r>
      <w:r>
        <w:t xml:space="preserve"> </w:t>
      </w:r>
      <w:r w:rsidRPr="00A85114">
        <w:t>responsibility</w:t>
      </w:r>
      <w:r>
        <w:t>'</w:t>
      </w:r>
      <w:r w:rsidRPr="00A85114">
        <w:t>.</w:t>
      </w:r>
    </w:p>
    <w:p w:rsidR="002328F7" w:rsidRPr="0076670E" w:rsidRDefault="002328F7" w:rsidP="002328F7">
      <w:pPr>
        <w:pStyle w:val="Level1"/>
        <w:numPr>
          <w:ilvl w:val="0"/>
          <w:numId w:val="0"/>
        </w:numPr>
        <w:rPr>
          <w:b/>
        </w:rPr>
      </w:pPr>
      <w:r w:rsidRPr="0076670E">
        <w:rPr>
          <w:b/>
        </w:rPr>
        <w:t>COMMITTEE RESPONSE:</w:t>
      </w:r>
    </w:p>
    <w:p w:rsidR="002328F7" w:rsidRDefault="002328F7" w:rsidP="002328F7">
      <w:pPr>
        <w:pStyle w:val="Level1"/>
        <w:numPr>
          <w:ilvl w:val="0"/>
          <w:numId w:val="0"/>
        </w:numPr>
        <w:rPr>
          <w:b/>
        </w:rPr>
      </w:pPr>
      <w:bookmarkStart w:id="20" w:name="OLE_LINK2"/>
      <w:r>
        <w:rPr>
          <w:b/>
        </w:rPr>
        <w:t>[</w:t>
      </w:r>
      <w:r w:rsidRPr="001065DB">
        <w:rPr>
          <w:b/>
        </w:rPr>
        <w:t>The committee thank</w:t>
      </w:r>
      <w:r>
        <w:rPr>
          <w:b/>
        </w:rPr>
        <w:t>ed</w:t>
      </w:r>
      <w:r w:rsidRPr="001065DB">
        <w:rPr>
          <w:b/>
        </w:rPr>
        <w:t xml:space="preserve"> the</w:t>
      </w:r>
      <w:r w:rsidRPr="00E9141B">
        <w:rPr>
          <w:b/>
        </w:rPr>
        <w:t xml:space="preserve"> </w:t>
      </w:r>
      <w:r>
        <w:rPr>
          <w:b/>
        </w:rPr>
        <w:t>assistant</w:t>
      </w:r>
      <w:r w:rsidRPr="001065DB">
        <w:rPr>
          <w:b/>
        </w:rPr>
        <w:t xml:space="preserve"> minister</w:t>
      </w:r>
      <w:r>
        <w:rPr>
          <w:b/>
        </w:rPr>
        <w:t xml:space="preserve"> for his response and </w:t>
      </w:r>
      <w:r w:rsidRPr="00814C84">
        <w:rPr>
          <w:b/>
        </w:rPr>
        <w:t>concluded its examination of th</w:t>
      </w:r>
      <w:r>
        <w:rPr>
          <w:b/>
        </w:rPr>
        <w:t>is</w:t>
      </w:r>
      <w:r w:rsidRPr="00814C84">
        <w:rPr>
          <w:b/>
        </w:rPr>
        <w:t xml:space="preserve"> </w:t>
      </w:r>
      <w:r>
        <w:rPr>
          <w:b/>
        </w:rPr>
        <w:t xml:space="preserve">matter </w:t>
      </w:r>
      <w:bookmarkEnd w:id="20"/>
      <w:r>
        <w:rPr>
          <w:b/>
        </w:rPr>
        <w:t xml:space="preserve">in </w:t>
      </w:r>
      <w:r>
        <w:rPr>
          <w:b/>
          <w:i/>
        </w:rPr>
        <w:t xml:space="preserve">Delegated legislation monitor </w:t>
      </w:r>
      <w:r>
        <w:rPr>
          <w:b/>
        </w:rPr>
        <w:t>No. 1 of 2015].</w:t>
      </w:r>
    </w:p>
    <w:p w:rsidR="002328F7" w:rsidRDefault="002328F7" w:rsidP="002328F7">
      <w:r>
        <w:lastRenderedPageBreak/>
        <w:t>However, the committee considers that the assistant minister's advice that he '</w:t>
      </w:r>
      <w:r w:rsidRPr="007B7194">
        <w:t xml:space="preserve">can delegate </w:t>
      </w:r>
      <w:r>
        <w:t xml:space="preserve">[the] </w:t>
      </w:r>
      <w:r w:rsidRPr="000C243F">
        <w:t>general power</w:t>
      </w:r>
      <w:r w:rsidRPr="007B7194">
        <w:t xml:space="preserve"> to make Rules authorised by provisions of the National Land (Road Transport) Ordinance 2014</w:t>
      </w:r>
      <w:r>
        <w:t>' (see response above in relation to the issue '</w:t>
      </w:r>
      <w:r w:rsidRPr="00384616">
        <w:t>Limb of the rule-making power being relied on</w:t>
      </w:r>
      <w:r>
        <w:t xml:space="preserve">') casts doubt on his previous advice that </w:t>
      </w:r>
      <w:r w:rsidRPr="00B72E9C">
        <w:t>'the rule making powers are only able to be exercised by the Responsible Minister. The Rule cannot be used to delegate Ministerial responsibility'.</w:t>
      </w:r>
    </w:p>
    <w:p w:rsidR="002328F7" w:rsidRDefault="002328F7" w:rsidP="002328F7">
      <w:pPr>
        <w:rPr>
          <w:b/>
        </w:rPr>
      </w:pPr>
      <w:r>
        <w:t>With reference to the most recent response, the extent to which the minister can delegate the general power to make rules is unclear. The committee notes its previous inquiries regarding the implications of the new general rule-making power for executive exercise and oversight of Parliament's delegated legislative powers (</w:t>
      </w:r>
      <w:r w:rsidRPr="00651B7E">
        <w:t xml:space="preserve">see comments on </w:t>
      </w:r>
      <w:r>
        <w:t xml:space="preserve">the Implementation of a general instrument-making power in </w:t>
      </w:r>
      <w:r>
        <w:rPr>
          <w:i/>
        </w:rPr>
        <w:t>Delegated legislation monitor</w:t>
      </w:r>
      <w:r>
        <w:t xml:space="preserve"> No. 17 of 2014).</w:t>
      </w:r>
      <w:r>
        <w:rPr>
          <w:rStyle w:val="FootnoteReference"/>
        </w:rPr>
        <w:footnoteReference w:id="5"/>
      </w:r>
      <w:r>
        <w:t xml:space="preserve"> The committee also notes that Drafting Direction 3.8 states that 'a</w:t>
      </w:r>
      <w:r w:rsidRPr="00FC4141">
        <w:t>s a general rule, a general instrument-making power of a person should not be able to be delegated</w:t>
      </w:r>
      <w:r>
        <w:t>'.</w:t>
      </w:r>
      <w:r>
        <w:rPr>
          <w:rStyle w:val="FootnoteReference"/>
        </w:rPr>
        <w:footnoteReference w:id="6"/>
      </w:r>
      <w:r>
        <w:t xml:space="preserve"> A question therefore arises about the extent to which the minister is able to delegate the general power to make rules and the extent to which that power is consistent with Drafting Direction 3.8. </w:t>
      </w:r>
      <w:r>
        <w:rPr>
          <w:b/>
        </w:rPr>
        <w:t>The committee therefore requests the minister's further advice on this matter.</w:t>
      </w:r>
    </w:p>
    <w:p w:rsidR="002328F7" w:rsidRPr="00F42641" w:rsidRDefault="002328F7" w:rsidP="002328F7">
      <w:pPr>
        <w:rPr>
          <w:b/>
        </w:rPr>
      </w:pPr>
    </w:p>
    <w:p w:rsidR="002328F7" w:rsidRPr="00BC0AE8" w:rsidRDefault="002328F7" w:rsidP="002328F7">
      <w:pPr>
        <w:pStyle w:val="Heading3"/>
      </w:pPr>
      <w:r w:rsidRPr="00075F16">
        <w:t xml:space="preserve">Multiple instruments </w:t>
      </w:r>
      <w:r w:rsidRPr="00E35D4F">
        <w:t xml:space="preserve">that appear to rely on subsection 33(3) of the </w:t>
      </w:r>
      <w:r w:rsidRPr="00D66E0A">
        <w:rPr>
          <w:i/>
        </w:rPr>
        <w:t>Acts Interpretation Act 1901</w:t>
      </w:r>
    </w:p>
    <w:p w:rsidR="002328F7" w:rsidRPr="00E35D4F" w:rsidRDefault="002328F7" w:rsidP="002328F7">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2328F7" w:rsidRDefault="002328F7" w:rsidP="002328F7">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7"/>
      </w:r>
    </w:p>
    <w:p w:rsidR="002328F7" w:rsidRDefault="002328F7" w:rsidP="002328F7">
      <w:pPr>
        <w:rPr>
          <w:b/>
        </w:rPr>
      </w:pPr>
      <w:r w:rsidRPr="00E35D4F">
        <w:rPr>
          <w:b/>
        </w:rPr>
        <w:lastRenderedPageBreak/>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2328F7" w:rsidRPr="004B6804" w:rsidTr="00836975">
        <w:tc>
          <w:tcPr>
            <w:tcW w:w="8505" w:type="dxa"/>
            <w:tcBorders>
              <w:top w:val="nil"/>
              <w:left w:val="nil"/>
              <w:bottom w:val="nil"/>
              <w:right w:val="nil"/>
            </w:tcBorders>
          </w:tcPr>
          <w:p w:rsidR="002328F7" w:rsidRPr="00043D76" w:rsidRDefault="002328F7" w:rsidP="00836975">
            <w:pPr>
              <w:rPr>
                <w:color w:val="000000"/>
                <w:sz w:val="22"/>
                <w:szCs w:val="22"/>
              </w:rPr>
            </w:pPr>
            <w:r w:rsidRPr="00FC5A4A">
              <w:rPr>
                <w:color w:val="000000"/>
                <w:sz w:val="22"/>
                <w:szCs w:val="22"/>
              </w:rPr>
              <w:t>Civil Aviation Order 82.0 Amendment Instrument 2015 (No. 1) [F2015L00226</w:t>
            </w:r>
            <w:r>
              <w:rPr>
                <w:color w:val="000000"/>
                <w:sz w:val="22"/>
                <w:szCs w:val="22"/>
              </w:rPr>
              <w:t>]</w:t>
            </w:r>
          </w:p>
        </w:tc>
      </w:tr>
      <w:tr w:rsidR="002328F7" w:rsidRPr="004B6804" w:rsidTr="00836975">
        <w:tc>
          <w:tcPr>
            <w:tcW w:w="8505" w:type="dxa"/>
            <w:tcBorders>
              <w:top w:val="nil"/>
              <w:left w:val="nil"/>
              <w:bottom w:val="nil"/>
              <w:right w:val="nil"/>
            </w:tcBorders>
          </w:tcPr>
          <w:p w:rsidR="002328F7" w:rsidRPr="00043D76" w:rsidRDefault="002328F7" w:rsidP="00836975">
            <w:pPr>
              <w:rPr>
                <w:color w:val="000000"/>
                <w:sz w:val="22"/>
                <w:szCs w:val="22"/>
              </w:rPr>
            </w:pPr>
            <w:r w:rsidRPr="00FC5A4A">
              <w:rPr>
                <w:color w:val="000000"/>
                <w:sz w:val="22"/>
                <w:szCs w:val="22"/>
              </w:rPr>
              <w:t>Health Insurance (MRI Crohn's disease) Amendment Determination 2015 [F2015L00219]</w:t>
            </w:r>
          </w:p>
        </w:tc>
      </w:tr>
      <w:tr w:rsidR="002328F7" w:rsidRPr="004B6804" w:rsidTr="00836975">
        <w:tc>
          <w:tcPr>
            <w:tcW w:w="8505" w:type="dxa"/>
            <w:tcBorders>
              <w:top w:val="nil"/>
              <w:left w:val="nil"/>
              <w:bottom w:val="nil"/>
              <w:right w:val="nil"/>
            </w:tcBorders>
          </w:tcPr>
          <w:p w:rsidR="002328F7" w:rsidRPr="00BC29E5" w:rsidRDefault="002328F7" w:rsidP="00836975">
            <w:pPr>
              <w:rPr>
                <w:color w:val="000000"/>
                <w:sz w:val="22"/>
                <w:szCs w:val="22"/>
              </w:rPr>
            </w:pPr>
            <w:r w:rsidRPr="00FC5A4A">
              <w:rPr>
                <w:color w:val="000000"/>
                <w:sz w:val="22"/>
                <w:szCs w:val="22"/>
              </w:rPr>
              <w:t>Privacy (Tax File Number) Rule 2015 [F2015L00249]</w:t>
            </w:r>
          </w:p>
        </w:tc>
      </w:tr>
      <w:tr w:rsidR="002328F7" w:rsidRPr="004B6804" w:rsidTr="00836975">
        <w:tc>
          <w:tcPr>
            <w:tcW w:w="8505" w:type="dxa"/>
            <w:tcBorders>
              <w:top w:val="nil"/>
              <w:left w:val="nil"/>
              <w:bottom w:val="nil"/>
              <w:right w:val="nil"/>
            </w:tcBorders>
          </w:tcPr>
          <w:p w:rsidR="002328F7" w:rsidRPr="00043D76" w:rsidRDefault="002328F7" w:rsidP="00836975">
            <w:pPr>
              <w:rPr>
                <w:color w:val="000000"/>
                <w:sz w:val="22"/>
                <w:szCs w:val="22"/>
              </w:rPr>
            </w:pPr>
            <w:r w:rsidRPr="00FC5A4A">
              <w:rPr>
                <w:color w:val="000000"/>
                <w:sz w:val="22"/>
                <w:szCs w:val="22"/>
              </w:rPr>
              <w:t>Private Health Insurance (Prostheses) Rules 2015 (No. 1) [F2015L00241]</w:t>
            </w:r>
          </w:p>
        </w:tc>
      </w:tr>
    </w:tbl>
    <w:p w:rsidR="002328F7" w:rsidRPr="00117C8E" w:rsidRDefault="002328F7" w:rsidP="002328F7"/>
    <w:p w:rsidR="002328F7" w:rsidRDefault="002328F7" w:rsidP="002328F7">
      <w:pPr>
        <w:tabs>
          <w:tab w:val="left" w:pos="6225"/>
        </w:tabs>
        <w:sectPr w:rsidR="002328F7" w:rsidSect="00B66643">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202" w:left="1440" w:header="1134" w:footer="720" w:gutter="0"/>
          <w:pgNumType w:start="1"/>
          <w:cols w:space="720"/>
          <w:titlePg/>
        </w:sectPr>
      </w:pPr>
    </w:p>
    <w:p w:rsidR="002328F7" w:rsidRPr="0076670E" w:rsidRDefault="002328F7" w:rsidP="002328F7">
      <w:pPr>
        <w:pStyle w:val="Heading1"/>
      </w:pPr>
      <w:r w:rsidRPr="0076670E">
        <w:lastRenderedPageBreak/>
        <w:t>Chapter 2</w:t>
      </w:r>
    </w:p>
    <w:p w:rsidR="002328F7" w:rsidRPr="0076670E" w:rsidRDefault="002328F7" w:rsidP="002328F7">
      <w:pPr>
        <w:pStyle w:val="Heading2"/>
      </w:pPr>
      <w:r w:rsidRPr="0076670E">
        <w:t>Concluded matters</w:t>
      </w:r>
    </w:p>
    <w:p w:rsidR="002328F7" w:rsidRDefault="002328F7" w:rsidP="002328F7">
      <w:pPr>
        <w:pStyle w:val="Level1"/>
        <w:numPr>
          <w:ilvl w:val="0"/>
          <w:numId w:val="0"/>
        </w:numPr>
      </w:pPr>
    </w:p>
    <w:p w:rsidR="002328F7" w:rsidRPr="0076670E" w:rsidRDefault="002328F7" w:rsidP="002328F7">
      <w:pPr>
        <w:pStyle w:val="Level1"/>
        <w:numPr>
          <w:ilvl w:val="0"/>
          <w:numId w:val="0"/>
        </w:numPr>
      </w:pPr>
      <w:r w:rsidRPr="0076670E">
        <w:t>This chapter lists matters previously raised by the committee and considered at its meeting on</w:t>
      </w:r>
      <w:r>
        <w:t xml:space="preserve"> </w:t>
      </w:r>
      <w:r w:rsidRPr="009A07BE">
        <w:rPr>
          <w:b/>
        </w:rPr>
        <w:t>25 March</w:t>
      </w:r>
      <w:r>
        <w:rPr>
          <w:b/>
        </w:rPr>
        <w:t xml:space="preserve"> 2015</w:t>
      </w:r>
      <w:r w:rsidRPr="0076670E">
        <w:t>. The committee has concluded its interest in these matters on the basis of responses received from ministers or relevant instrument-makers.</w:t>
      </w:r>
    </w:p>
    <w:p w:rsidR="002328F7" w:rsidRDefault="002328F7" w:rsidP="002328F7">
      <w:pPr>
        <w:pStyle w:val="Level1"/>
        <w:numPr>
          <w:ilvl w:val="0"/>
          <w:numId w:val="0"/>
        </w:numPr>
      </w:pPr>
      <w:r w:rsidRPr="0076670E">
        <w:t xml:space="preserve">Correspondence relating to these matters is included at Appendix </w:t>
      </w:r>
      <w:r>
        <w:t>1</w:t>
      </w:r>
      <w:r w:rsidRPr="0076670E">
        <w:t>.</w:t>
      </w:r>
    </w:p>
    <w:p w:rsidR="002328F7" w:rsidRDefault="002328F7" w:rsidP="002328F7">
      <w:pPr>
        <w:pStyle w:val="Level1"/>
        <w:numPr>
          <w:ilvl w:val="0"/>
          <w:numId w:val="0"/>
        </w:numPr>
      </w:pPr>
    </w:p>
    <w:p w:rsidR="002328F7" w:rsidRDefault="002328F7" w:rsidP="002328F7">
      <w:pPr>
        <w:pStyle w:val="Heading3"/>
      </w:pPr>
      <w:r w:rsidRPr="005038EF">
        <w:rPr>
          <w:noProof/>
        </w:rPr>
        <w:t>Legislative Instruments Amendment (Exemptions) Regulation 2014 [F2014L01730]</w:t>
      </w:r>
    </w:p>
    <w:tbl>
      <w:tblPr>
        <w:tblW w:w="0" w:type="auto"/>
        <w:tblInd w:w="108" w:type="dxa"/>
        <w:tblLook w:val="04A0" w:firstRow="1" w:lastRow="0" w:firstColumn="1" w:lastColumn="0" w:noHBand="0" w:noVBand="1"/>
      </w:tblPr>
      <w:tblGrid>
        <w:gridCol w:w="2694"/>
        <w:gridCol w:w="6378"/>
      </w:tblGrid>
      <w:tr w:rsidR="002328F7" w:rsidRPr="00164622" w:rsidTr="00836975">
        <w:tc>
          <w:tcPr>
            <w:tcW w:w="2694" w:type="dxa"/>
            <w:tcBorders>
              <w:top w:val="single" w:sz="12" w:space="0" w:color="auto"/>
              <w:right w:val="single" w:sz="12" w:space="0" w:color="auto"/>
            </w:tcBorders>
          </w:tcPr>
          <w:p w:rsidR="002328F7" w:rsidRPr="00A77228" w:rsidRDefault="002328F7" w:rsidP="00836975">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2328F7" w:rsidRPr="00A77228" w:rsidRDefault="002328F7" w:rsidP="00836975">
            <w:pPr>
              <w:rPr>
                <w:sz w:val="24"/>
                <w:szCs w:val="24"/>
              </w:rPr>
            </w:pPr>
            <w:r w:rsidRPr="005038EF">
              <w:rPr>
                <w:noProof/>
                <w:sz w:val="24"/>
                <w:szCs w:val="24"/>
              </w:rPr>
              <w:t xml:space="preserve">Amends the Legislative Instruments Regulations 2004 to exempt certain legislative instruments from the sunsetting provisions of the </w:t>
            </w:r>
            <w:r w:rsidRPr="00194607">
              <w:rPr>
                <w:i/>
                <w:noProof/>
                <w:sz w:val="24"/>
                <w:szCs w:val="24"/>
              </w:rPr>
              <w:t>Legislative Instruments Act 2003</w:t>
            </w:r>
            <w:r w:rsidRPr="005038EF">
              <w:rPr>
                <w:noProof/>
                <w:sz w:val="24"/>
                <w:szCs w:val="24"/>
              </w:rPr>
              <w:t xml:space="preserve"> and other matters</w:t>
            </w:r>
          </w:p>
        </w:tc>
      </w:tr>
      <w:tr w:rsidR="002328F7" w:rsidRPr="00164622" w:rsidTr="00836975">
        <w:tc>
          <w:tcPr>
            <w:tcW w:w="2694" w:type="dxa"/>
            <w:tcBorders>
              <w:right w:val="single" w:sz="12" w:space="0" w:color="auto"/>
            </w:tcBorders>
          </w:tcPr>
          <w:p w:rsidR="002328F7" w:rsidRPr="00A77228" w:rsidRDefault="002328F7" w:rsidP="00836975">
            <w:pPr>
              <w:rPr>
                <w:b/>
                <w:sz w:val="24"/>
                <w:szCs w:val="24"/>
              </w:rPr>
            </w:pPr>
            <w:r w:rsidRPr="00A77228">
              <w:rPr>
                <w:b/>
                <w:sz w:val="24"/>
                <w:szCs w:val="24"/>
              </w:rPr>
              <w:t>Last day to disallow</w:t>
            </w:r>
          </w:p>
        </w:tc>
        <w:tc>
          <w:tcPr>
            <w:tcW w:w="6378" w:type="dxa"/>
            <w:tcBorders>
              <w:left w:val="single" w:sz="12" w:space="0" w:color="auto"/>
            </w:tcBorders>
          </w:tcPr>
          <w:p w:rsidR="002328F7" w:rsidRPr="00A77228" w:rsidRDefault="002328F7" w:rsidP="00836975">
            <w:pPr>
              <w:rPr>
                <w:sz w:val="24"/>
                <w:szCs w:val="24"/>
              </w:rPr>
            </w:pPr>
            <w:r w:rsidRPr="005038EF">
              <w:rPr>
                <w:noProof/>
                <w:sz w:val="24"/>
                <w:szCs w:val="24"/>
              </w:rPr>
              <w:t>26 March 2015</w:t>
            </w:r>
          </w:p>
        </w:tc>
      </w:tr>
      <w:tr w:rsidR="002328F7" w:rsidRPr="00164622" w:rsidTr="00836975">
        <w:tc>
          <w:tcPr>
            <w:tcW w:w="2694" w:type="dxa"/>
            <w:tcBorders>
              <w:right w:val="single" w:sz="12" w:space="0" w:color="auto"/>
            </w:tcBorders>
          </w:tcPr>
          <w:p w:rsidR="002328F7" w:rsidRPr="00A77228" w:rsidRDefault="002328F7" w:rsidP="00836975">
            <w:pPr>
              <w:rPr>
                <w:b/>
                <w:sz w:val="24"/>
                <w:szCs w:val="24"/>
              </w:rPr>
            </w:pPr>
            <w:r w:rsidRPr="00A77228">
              <w:rPr>
                <w:b/>
                <w:sz w:val="24"/>
                <w:szCs w:val="24"/>
              </w:rPr>
              <w:t>Authorising legislation</w:t>
            </w:r>
          </w:p>
        </w:tc>
        <w:tc>
          <w:tcPr>
            <w:tcW w:w="6378" w:type="dxa"/>
            <w:tcBorders>
              <w:left w:val="single" w:sz="12" w:space="0" w:color="auto"/>
            </w:tcBorders>
          </w:tcPr>
          <w:p w:rsidR="002328F7" w:rsidRPr="00932D1C" w:rsidRDefault="002328F7" w:rsidP="00836975">
            <w:pPr>
              <w:rPr>
                <w:i/>
                <w:sz w:val="24"/>
                <w:szCs w:val="24"/>
              </w:rPr>
            </w:pPr>
            <w:r w:rsidRPr="005038EF">
              <w:rPr>
                <w:i/>
                <w:noProof/>
                <w:sz w:val="24"/>
                <w:szCs w:val="24"/>
              </w:rPr>
              <w:t>Legislative Instruments Act 2003</w:t>
            </w:r>
          </w:p>
        </w:tc>
      </w:tr>
      <w:tr w:rsidR="002328F7" w:rsidRPr="00164622" w:rsidTr="00836975">
        <w:tc>
          <w:tcPr>
            <w:tcW w:w="2694" w:type="dxa"/>
            <w:tcBorders>
              <w:bottom w:val="single" w:sz="12" w:space="0" w:color="auto"/>
              <w:right w:val="single" w:sz="12" w:space="0" w:color="auto"/>
            </w:tcBorders>
          </w:tcPr>
          <w:p w:rsidR="002328F7" w:rsidRPr="00A77228" w:rsidRDefault="002328F7" w:rsidP="00836975">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2328F7" w:rsidRPr="00A77228" w:rsidRDefault="002328F7" w:rsidP="00836975">
            <w:pPr>
              <w:rPr>
                <w:sz w:val="24"/>
                <w:szCs w:val="24"/>
              </w:rPr>
            </w:pPr>
            <w:r w:rsidRPr="005038EF">
              <w:rPr>
                <w:noProof/>
                <w:sz w:val="24"/>
                <w:szCs w:val="24"/>
              </w:rPr>
              <w:t>Attorney-General's</w:t>
            </w:r>
          </w:p>
        </w:tc>
      </w:tr>
    </w:tbl>
    <w:p w:rsidR="002328F7" w:rsidRPr="00164622" w:rsidRDefault="002328F7" w:rsidP="002328F7">
      <w:pPr>
        <w:spacing w:after="0"/>
        <w:rPr>
          <w:szCs w:val="26"/>
        </w:rPr>
      </w:pPr>
      <w:r>
        <w:rPr>
          <w:b/>
        </w:rPr>
        <w:t xml:space="preserve">[The committee first reported on this instrument in </w:t>
      </w:r>
      <w:r>
        <w:rPr>
          <w:b/>
          <w:i/>
        </w:rPr>
        <w:t xml:space="preserve">Delegated legislation monitor </w:t>
      </w:r>
      <w:r>
        <w:rPr>
          <w:b/>
        </w:rPr>
        <w:t>No. 1 of 2015]</w:t>
      </w:r>
    </w:p>
    <w:p w:rsidR="002328F7" w:rsidRPr="00164622" w:rsidRDefault="002328F7" w:rsidP="002328F7">
      <w:pPr>
        <w:rPr>
          <w:b/>
          <w:szCs w:val="26"/>
        </w:rPr>
      </w:pPr>
      <w:r w:rsidRPr="00164622">
        <w:rPr>
          <w:b/>
          <w:szCs w:val="26"/>
        </w:rPr>
        <w:t>Issue:</w:t>
      </w:r>
    </w:p>
    <w:p w:rsidR="002328F7" w:rsidRPr="00164622" w:rsidRDefault="002328F7" w:rsidP="002328F7">
      <w:pPr>
        <w:rPr>
          <w:i/>
          <w:noProof/>
          <w:szCs w:val="26"/>
        </w:rPr>
      </w:pPr>
      <w:r w:rsidRPr="005038EF">
        <w:rPr>
          <w:i/>
          <w:noProof/>
          <w:szCs w:val="26"/>
        </w:rPr>
        <w:t>Classes of instruments to be exempt from sunsetting not identified by reference to established criteria</w:t>
      </w:r>
    </w:p>
    <w:p w:rsidR="002328F7" w:rsidRDefault="002328F7" w:rsidP="002328F7">
      <w:pPr>
        <w:pStyle w:val="Level1"/>
        <w:numPr>
          <w:ilvl w:val="0"/>
          <w:numId w:val="0"/>
        </w:numPr>
        <w:rPr>
          <w:noProof/>
          <w:szCs w:val="26"/>
        </w:rPr>
      </w:pPr>
      <w:r w:rsidRPr="005038EF">
        <w:rPr>
          <w:noProof/>
          <w:szCs w:val="26"/>
        </w:rPr>
        <w:t xml:space="preserve">The instrument adds seven new items to Schedule 3 of the </w:t>
      </w:r>
      <w:r>
        <w:rPr>
          <w:noProof/>
          <w:szCs w:val="26"/>
        </w:rPr>
        <w:t>p</w:t>
      </w:r>
      <w:r w:rsidRPr="005038EF">
        <w:rPr>
          <w:noProof/>
          <w:szCs w:val="26"/>
        </w:rPr>
        <w:t xml:space="preserve">rincipal </w:t>
      </w:r>
      <w:r>
        <w:rPr>
          <w:noProof/>
          <w:szCs w:val="26"/>
        </w:rPr>
        <w:t>r</w:t>
      </w:r>
      <w:r w:rsidRPr="005038EF">
        <w:rPr>
          <w:noProof/>
          <w:szCs w:val="26"/>
        </w:rPr>
        <w:t xml:space="preserve">egulations. The </w:t>
      </w:r>
      <w:r>
        <w:rPr>
          <w:noProof/>
          <w:szCs w:val="26"/>
        </w:rPr>
        <w:t>classes of instruments added to Schedule 3 will be exempt from sunsetting. The explanatory statement (</w:t>
      </w:r>
      <w:r w:rsidRPr="005038EF">
        <w:rPr>
          <w:noProof/>
          <w:szCs w:val="26"/>
        </w:rPr>
        <w:t>ES</w:t>
      </w:r>
      <w:r>
        <w:rPr>
          <w:noProof/>
          <w:szCs w:val="26"/>
        </w:rPr>
        <w:t>)</w:t>
      </w:r>
      <w:r w:rsidRPr="005038EF">
        <w:rPr>
          <w:noProof/>
          <w:szCs w:val="26"/>
        </w:rPr>
        <w:t xml:space="preserve"> states that the instruments to be </w:t>
      </w:r>
      <w:r>
        <w:rPr>
          <w:noProof/>
          <w:szCs w:val="26"/>
        </w:rPr>
        <w:t xml:space="preserve">exempt from sunsetting </w:t>
      </w:r>
      <w:r w:rsidRPr="005038EF">
        <w:rPr>
          <w:noProof/>
          <w:szCs w:val="26"/>
        </w:rPr>
        <w:t xml:space="preserve">have each been assessed as not suitable for regular review under Part 6 of the Act. The ES sets out the five established criteria used to determine whether an instrument is suitable to be exempt from sunsetting. To be considered suitable, an instrument must satisfy at least one of the critieria. However, the ES does not identify one or more of the established criteria in relation to each class of instrument that is to be exempt from sunsetting. The committee considers that it would be of benefit </w:t>
      </w:r>
      <w:r w:rsidRPr="00290627">
        <w:rPr>
          <w:noProof/>
          <w:szCs w:val="26"/>
        </w:rPr>
        <w:t>to anticipated users</w:t>
      </w:r>
      <w:r w:rsidRPr="005038EF">
        <w:rPr>
          <w:noProof/>
          <w:szCs w:val="26"/>
        </w:rPr>
        <w:t xml:space="preserve"> </w:t>
      </w:r>
      <w:r>
        <w:rPr>
          <w:noProof/>
          <w:szCs w:val="26"/>
        </w:rPr>
        <w:t xml:space="preserve">of the </w:t>
      </w:r>
      <w:r w:rsidRPr="005038EF">
        <w:rPr>
          <w:noProof/>
          <w:szCs w:val="26"/>
        </w:rPr>
        <w:t xml:space="preserve">ES to identify which of the established criteria was determined to apply in each case. </w:t>
      </w:r>
    </w:p>
    <w:p w:rsidR="002328F7" w:rsidRDefault="002328F7" w:rsidP="002328F7">
      <w:pPr>
        <w:pStyle w:val="Level1"/>
        <w:numPr>
          <w:ilvl w:val="0"/>
          <w:numId w:val="0"/>
        </w:numPr>
        <w:rPr>
          <w:b/>
          <w:noProof/>
          <w:szCs w:val="26"/>
        </w:rPr>
      </w:pPr>
      <w:r>
        <w:rPr>
          <w:b/>
          <w:noProof/>
          <w:szCs w:val="26"/>
        </w:rPr>
        <w:lastRenderedPageBreak/>
        <w:t>[</w:t>
      </w:r>
      <w:r w:rsidRPr="00194607">
        <w:rPr>
          <w:b/>
          <w:noProof/>
          <w:szCs w:val="26"/>
        </w:rPr>
        <w:t>The committee therefore request</w:t>
      </w:r>
      <w:r>
        <w:rPr>
          <w:b/>
          <w:noProof/>
          <w:szCs w:val="26"/>
        </w:rPr>
        <w:t>ed</w:t>
      </w:r>
      <w:r w:rsidRPr="00194607">
        <w:rPr>
          <w:b/>
          <w:noProof/>
          <w:szCs w:val="26"/>
        </w:rPr>
        <w:t xml:space="preserve"> further information from the </w:t>
      </w:r>
      <w:r>
        <w:rPr>
          <w:b/>
          <w:noProof/>
          <w:szCs w:val="26"/>
        </w:rPr>
        <w:t>Attorney-General]</w:t>
      </w:r>
      <w:r w:rsidRPr="00194607">
        <w:rPr>
          <w:b/>
          <w:noProof/>
          <w:szCs w:val="26"/>
        </w:rPr>
        <w:t>.</w:t>
      </w:r>
    </w:p>
    <w:p w:rsidR="002328F7" w:rsidRDefault="002328F7" w:rsidP="002328F7">
      <w:pPr>
        <w:rPr>
          <w:noProof/>
        </w:rPr>
      </w:pPr>
    </w:p>
    <w:p w:rsidR="002328F7" w:rsidRDefault="002328F7" w:rsidP="002328F7">
      <w:pPr>
        <w:pStyle w:val="Level1"/>
        <w:numPr>
          <w:ilvl w:val="0"/>
          <w:numId w:val="0"/>
        </w:numPr>
        <w:rPr>
          <w:b/>
          <w:noProof/>
          <w:szCs w:val="26"/>
        </w:rPr>
      </w:pPr>
      <w:r>
        <w:rPr>
          <w:b/>
          <w:noProof/>
          <w:szCs w:val="26"/>
        </w:rPr>
        <w:t>ATTORNEY-GENERAL'S RESPONSE:</w:t>
      </w:r>
    </w:p>
    <w:p w:rsidR="002328F7" w:rsidRPr="00260E54" w:rsidRDefault="002328F7" w:rsidP="002328F7">
      <w:pPr>
        <w:pStyle w:val="Level1"/>
        <w:numPr>
          <w:ilvl w:val="0"/>
          <w:numId w:val="0"/>
        </w:numPr>
      </w:pPr>
      <w:r w:rsidRPr="00020E7E">
        <w:rPr>
          <w:noProof/>
          <w:szCs w:val="26"/>
        </w:rPr>
        <w:t>The Attorney-General</w:t>
      </w:r>
      <w:r>
        <w:rPr>
          <w:noProof/>
          <w:szCs w:val="26"/>
        </w:rPr>
        <w:t xml:space="preserve"> advised that Attachment A to the ES (as originally supplied) contained most of the further information requested by the committee. The </w:t>
      </w:r>
      <w:r w:rsidRPr="00020E7E">
        <w:rPr>
          <w:noProof/>
          <w:szCs w:val="26"/>
        </w:rPr>
        <w:t>Attorney-General</w:t>
      </w:r>
      <w:r>
        <w:rPr>
          <w:noProof/>
          <w:szCs w:val="26"/>
        </w:rPr>
        <w:t xml:space="preserve"> further advised that </w:t>
      </w:r>
      <w:r w:rsidRPr="00260E54">
        <w:t>regulations made under the</w:t>
      </w:r>
      <w:r>
        <w:t xml:space="preserve"> </w:t>
      </w:r>
      <w:r w:rsidRPr="00260E54">
        <w:rPr>
          <w:i/>
        </w:rPr>
        <w:t>Mutual Assistance in Business Regulation Act 1992</w:t>
      </w:r>
      <w:r w:rsidRPr="00260E54">
        <w:t xml:space="preserve"> were exempted from sunsetting to ensure commercial certainty would not be</w:t>
      </w:r>
      <w:r>
        <w:t xml:space="preserve"> </w:t>
      </w:r>
      <w:r w:rsidRPr="00260E54">
        <w:t>undermined.</w:t>
      </w:r>
    </w:p>
    <w:p w:rsidR="002328F7" w:rsidRPr="0076670E" w:rsidRDefault="002328F7" w:rsidP="002328F7">
      <w:pPr>
        <w:pStyle w:val="Level1"/>
        <w:numPr>
          <w:ilvl w:val="0"/>
          <w:numId w:val="0"/>
        </w:numPr>
        <w:rPr>
          <w:b/>
        </w:rPr>
      </w:pPr>
      <w:r w:rsidRPr="0076670E">
        <w:rPr>
          <w:b/>
        </w:rPr>
        <w:t>COMMITTEE RESPONSE:</w:t>
      </w:r>
    </w:p>
    <w:p w:rsidR="002328F7" w:rsidRDefault="002328F7" w:rsidP="002328F7">
      <w:pPr>
        <w:pStyle w:val="Level1"/>
        <w:numPr>
          <w:ilvl w:val="0"/>
          <w:numId w:val="0"/>
        </w:numPr>
        <w:rPr>
          <w:b/>
        </w:rPr>
      </w:pPr>
      <w:r w:rsidRPr="001065DB">
        <w:rPr>
          <w:b/>
        </w:rPr>
        <w:t>The committee thanks the</w:t>
      </w:r>
      <w:r>
        <w:rPr>
          <w:b/>
        </w:rPr>
        <w:t xml:space="preserve"> Attorney-General for his response.</w:t>
      </w:r>
    </w:p>
    <w:p w:rsidR="002328F7" w:rsidRDefault="002328F7" w:rsidP="002328F7">
      <w:pPr>
        <w:pStyle w:val="Level1"/>
        <w:numPr>
          <w:ilvl w:val="0"/>
          <w:numId w:val="0"/>
        </w:numPr>
      </w:pPr>
      <w:r>
        <w:t xml:space="preserve">The committee apologises for having overlooked the information contained in Attachment A and thanks the Attorney-General for the further information regarding regulations made under the </w:t>
      </w:r>
      <w:r w:rsidRPr="00260E54">
        <w:rPr>
          <w:i/>
        </w:rPr>
        <w:t>Mutual Assistance in Business Regulation Act 1992</w:t>
      </w:r>
      <w:r>
        <w:t>.</w:t>
      </w:r>
    </w:p>
    <w:p w:rsidR="002328F7" w:rsidRDefault="002328F7" w:rsidP="002328F7">
      <w:pPr>
        <w:pStyle w:val="Level1"/>
        <w:numPr>
          <w:ilvl w:val="0"/>
          <w:numId w:val="0"/>
        </w:numPr>
        <w:rPr>
          <w:b/>
        </w:rPr>
      </w:pPr>
      <w:r>
        <w:rPr>
          <w:b/>
        </w:rPr>
        <w:t>The committee has therefore concluded its examination of the instrument.</w:t>
      </w:r>
    </w:p>
    <w:p w:rsidR="002328F7" w:rsidRPr="00260E54" w:rsidRDefault="002328F7" w:rsidP="002328F7">
      <w:pPr>
        <w:pStyle w:val="Level1"/>
        <w:numPr>
          <w:ilvl w:val="0"/>
          <w:numId w:val="0"/>
        </w:numPr>
        <w:rPr>
          <w:b/>
          <w:noProof/>
          <w:szCs w:val="26"/>
        </w:rPr>
      </w:pPr>
    </w:p>
    <w:p w:rsidR="002328F7" w:rsidRDefault="002328F7" w:rsidP="002328F7">
      <w:pPr>
        <w:pStyle w:val="Heading3"/>
        <w:spacing w:after="0"/>
      </w:pPr>
      <w:r w:rsidRPr="007A722E">
        <w:rPr>
          <w:noProof/>
        </w:rPr>
        <w:t>Customs (Drug and Alcohol Testing) Amendment Regulation 2014 (No. 1) [F2014L01616]</w:t>
      </w:r>
    </w:p>
    <w:p w:rsidR="002328F7" w:rsidRPr="001E0577" w:rsidRDefault="002328F7" w:rsidP="002328F7"/>
    <w:tbl>
      <w:tblPr>
        <w:tblW w:w="0" w:type="auto"/>
        <w:tblInd w:w="108" w:type="dxa"/>
        <w:tblLook w:val="04A0" w:firstRow="1" w:lastRow="0" w:firstColumn="1" w:lastColumn="0" w:noHBand="0" w:noVBand="1"/>
      </w:tblPr>
      <w:tblGrid>
        <w:gridCol w:w="2694"/>
        <w:gridCol w:w="6378"/>
      </w:tblGrid>
      <w:tr w:rsidR="002328F7" w:rsidRPr="00164622" w:rsidTr="00836975">
        <w:tc>
          <w:tcPr>
            <w:tcW w:w="2694" w:type="dxa"/>
            <w:tcBorders>
              <w:top w:val="single" w:sz="12" w:space="0" w:color="auto"/>
              <w:right w:val="single" w:sz="12" w:space="0" w:color="auto"/>
            </w:tcBorders>
          </w:tcPr>
          <w:p w:rsidR="002328F7" w:rsidRPr="00A77228" w:rsidRDefault="002328F7" w:rsidP="00836975">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2328F7" w:rsidRPr="00A77228" w:rsidRDefault="002328F7" w:rsidP="00836975">
            <w:pPr>
              <w:rPr>
                <w:sz w:val="24"/>
                <w:szCs w:val="24"/>
              </w:rPr>
            </w:pPr>
            <w:r w:rsidRPr="007A722E">
              <w:rPr>
                <w:noProof/>
                <w:sz w:val="24"/>
                <w:szCs w:val="24"/>
              </w:rPr>
              <w:t>Amends the Customs (Drug and Alcohol Testing) Regulation 2013 to enable a sufficient amount of hair to be taken for the conduct of a prohibited drug test, provide more certainty as to where on the body a sample of hair can be taken from for the conduct of a prohibited drug test, and subject to existing subsections 8(4) and 8(5) of the Drug and Alcohol Testing Regulation, require the destruction of records, other than body samples, relevant to a breath test, blood test or prohibited drug test conducted under the Act, as soon as practicable after the Customs worker to whom the record relates ceases, for any reason, to be a Customs worker</w:t>
            </w:r>
          </w:p>
        </w:tc>
      </w:tr>
      <w:tr w:rsidR="002328F7" w:rsidRPr="00164622" w:rsidTr="00836975">
        <w:tc>
          <w:tcPr>
            <w:tcW w:w="2694" w:type="dxa"/>
            <w:tcBorders>
              <w:right w:val="single" w:sz="12" w:space="0" w:color="auto"/>
            </w:tcBorders>
          </w:tcPr>
          <w:p w:rsidR="002328F7" w:rsidRPr="00A77228" w:rsidRDefault="002328F7" w:rsidP="00836975">
            <w:pPr>
              <w:rPr>
                <w:b/>
                <w:sz w:val="24"/>
                <w:szCs w:val="24"/>
              </w:rPr>
            </w:pPr>
            <w:r w:rsidRPr="00A77228">
              <w:rPr>
                <w:b/>
                <w:sz w:val="24"/>
                <w:szCs w:val="24"/>
              </w:rPr>
              <w:t>Last day to disallow</w:t>
            </w:r>
          </w:p>
        </w:tc>
        <w:tc>
          <w:tcPr>
            <w:tcW w:w="6378" w:type="dxa"/>
            <w:tcBorders>
              <w:left w:val="single" w:sz="12" w:space="0" w:color="auto"/>
            </w:tcBorders>
          </w:tcPr>
          <w:p w:rsidR="002328F7" w:rsidRPr="00A77228" w:rsidRDefault="002328F7" w:rsidP="00836975">
            <w:pPr>
              <w:rPr>
                <w:sz w:val="24"/>
                <w:szCs w:val="24"/>
              </w:rPr>
            </w:pPr>
            <w:r w:rsidRPr="007A722E">
              <w:rPr>
                <w:noProof/>
                <w:sz w:val="24"/>
                <w:szCs w:val="24"/>
              </w:rPr>
              <w:t>25 March 2015</w:t>
            </w:r>
          </w:p>
        </w:tc>
      </w:tr>
      <w:tr w:rsidR="002328F7" w:rsidRPr="00164622" w:rsidTr="00836975">
        <w:tc>
          <w:tcPr>
            <w:tcW w:w="2694" w:type="dxa"/>
            <w:tcBorders>
              <w:right w:val="single" w:sz="12" w:space="0" w:color="auto"/>
            </w:tcBorders>
          </w:tcPr>
          <w:p w:rsidR="002328F7" w:rsidRPr="00A77228" w:rsidRDefault="002328F7" w:rsidP="00836975">
            <w:pPr>
              <w:rPr>
                <w:b/>
                <w:sz w:val="24"/>
                <w:szCs w:val="24"/>
              </w:rPr>
            </w:pPr>
            <w:r w:rsidRPr="00A77228">
              <w:rPr>
                <w:b/>
                <w:sz w:val="24"/>
                <w:szCs w:val="24"/>
              </w:rPr>
              <w:t>Authorising legislation</w:t>
            </w:r>
          </w:p>
        </w:tc>
        <w:tc>
          <w:tcPr>
            <w:tcW w:w="6378" w:type="dxa"/>
            <w:tcBorders>
              <w:left w:val="single" w:sz="12" w:space="0" w:color="auto"/>
            </w:tcBorders>
          </w:tcPr>
          <w:p w:rsidR="002328F7" w:rsidRPr="00932D1C" w:rsidRDefault="002328F7" w:rsidP="00836975">
            <w:pPr>
              <w:rPr>
                <w:i/>
                <w:sz w:val="24"/>
                <w:szCs w:val="24"/>
              </w:rPr>
            </w:pPr>
            <w:r w:rsidRPr="007A722E">
              <w:rPr>
                <w:i/>
                <w:noProof/>
                <w:sz w:val="24"/>
                <w:szCs w:val="24"/>
              </w:rPr>
              <w:t>Customs Administration Act 1985</w:t>
            </w:r>
          </w:p>
        </w:tc>
      </w:tr>
      <w:tr w:rsidR="002328F7" w:rsidRPr="00164622" w:rsidTr="00836975">
        <w:tc>
          <w:tcPr>
            <w:tcW w:w="2694" w:type="dxa"/>
            <w:tcBorders>
              <w:bottom w:val="single" w:sz="12" w:space="0" w:color="auto"/>
              <w:right w:val="single" w:sz="12" w:space="0" w:color="auto"/>
            </w:tcBorders>
          </w:tcPr>
          <w:p w:rsidR="002328F7" w:rsidRPr="00A77228" w:rsidRDefault="002328F7" w:rsidP="00836975">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2328F7" w:rsidRPr="00A77228" w:rsidRDefault="002328F7" w:rsidP="00836975">
            <w:pPr>
              <w:rPr>
                <w:sz w:val="24"/>
                <w:szCs w:val="24"/>
              </w:rPr>
            </w:pPr>
            <w:r w:rsidRPr="007A722E">
              <w:rPr>
                <w:noProof/>
                <w:sz w:val="24"/>
                <w:szCs w:val="24"/>
              </w:rPr>
              <w:t>Immigration and Border Protection</w:t>
            </w:r>
          </w:p>
        </w:tc>
      </w:tr>
    </w:tbl>
    <w:p w:rsidR="002328F7" w:rsidRPr="00164622" w:rsidRDefault="002328F7" w:rsidP="002328F7">
      <w:pPr>
        <w:spacing w:after="0"/>
        <w:rPr>
          <w:szCs w:val="26"/>
        </w:rPr>
      </w:pPr>
      <w:r>
        <w:rPr>
          <w:b/>
        </w:rPr>
        <w:t xml:space="preserve">[The committee first reported on this instrument in </w:t>
      </w:r>
      <w:r>
        <w:rPr>
          <w:b/>
          <w:i/>
        </w:rPr>
        <w:t xml:space="preserve">Delegated legislation monitor </w:t>
      </w:r>
      <w:r>
        <w:rPr>
          <w:b/>
        </w:rPr>
        <w:t>No. 1 of 2015]</w:t>
      </w:r>
    </w:p>
    <w:p w:rsidR="002328F7" w:rsidRPr="00164622" w:rsidRDefault="002328F7" w:rsidP="002328F7">
      <w:pPr>
        <w:rPr>
          <w:b/>
          <w:szCs w:val="26"/>
        </w:rPr>
      </w:pPr>
      <w:r w:rsidRPr="00164622">
        <w:rPr>
          <w:b/>
          <w:szCs w:val="26"/>
        </w:rPr>
        <w:t>Issue:</w:t>
      </w:r>
    </w:p>
    <w:p w:rsidR="002328F7" w:rsidRDefault="002328F7" w:rsidP="002328F7">
      <w:pPr>
        <w:rPr>
          <w:i/>
          <w:noProof/>
          <w:szCs w:val="26"/>
        </w:rPr>
      </w:pPr>
      <w:r w:rsidRPr="007A722E">
        <w:rPr>
          <w:i/>
          <w:noProof/>
          <w:szCs w:val="26"/>
        </w:rPr>
        <w:lastRenderedPageBreak/>
        <w:t>No description regarding consultation</w:t>
      </w:r>
    </w:p>
    <w:p w:rsidR="002328F7" w:rsidRDefault="002328F7" w:rsidP="002328F7">
      <w:pPr>
        <w:rPr>
          <w:noProof/>
          <w:szCs w:val="26"/>
        </w:rPr>
      </w:pPr>
      <w:r w:rsidRPr="007A722E">
        <w:rPr>
          <w:noProof/>
          <w:szCs w:val="26"/>
        </w:rPr>
        <w:t xml:space="preserve">Section 17 of the </w:t>
      </w:r>
      <w:r w:rsidRPr="00E5730F">
        <w:rPr>
          <w:i/>
          <w:noProof/>
          <w:szCs w:val="26"/>
        </w:rPr>
        <w:t>Legislative Instruments Act 2003</w:t>
      </w:r>
      <w:r w:rsidRPr="007A722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7A722E">
        <w:rPr>
          <w:noProof/>
          <w:szCs w:val="26"/>
        </w:rPr>
        <w:t xml:space="preserve">26). With reference to these requirements, the committee notes that the ES for this instrument provides no description of the nature of the consultation undertaken. </w:t>
      </w:r>
      <w:r w:rsidRPr="005038EF">
        <w:rPr>
          <w:noProof/>
          <w:szCs w:val="26"/>
        </w:rPr>
        <w:t xml:space="preserve">The committee's expectations in this regard are set out in the 'Guideline on consultation' in Appendix </w:t>
      </w:r>
      <w:r>
        <w:rPr>
          <w:noProof/>
          <w:szCs w:val="26"/>
        </w:rPr>
        <w:t>2</w:t>
      </w:r>
      <w:r w:rsidRPr="005038EF">
        <w:rPr>
          <w:noProof/>
          <w:szCs w:val="26"/>
        </w:rPr>
        <w:t xml:space="preserve"> of this report.</w:t>
      </w:r>
    </w:p>
    <w:p w:rsidR="002328F7" w:rsidRPr="00E5730F" w:rsidRDefault="002328F7" w:rsidP="002328F7">
      <w:pPr>
        <w:rPr>
          <w:b/>
          <w:noProof/>
          <w:szCs w:val="26"/>
        </w:rPr>
      </w:pPr>
      <w:r>
        <w:rPr>
          <w:b/>
          <w:noProof/>
          <w:szCs w:val="26"/>
        </w:rPr>
        <w:t>[</w:t>
      </w:r>
      <w:r w:rsidRPr="00E5730F">
        <w:rPr>
          <w:b/>
          <w:noProof/>
          <w:szCs w:val="26"/>
        </w:rPr>
        <w:t>The committee therefore request</w:t>
      </w:r>
      <w:r>
        <w:rPr>
          <w:b/>
          <w:noProof/>
          <w:szCs w:val="26"/>
        </w:rPr>
        <w:t>ed</w:t>
      </w:r>
      <w:r w:rsidRPr="00E5730F">
        <w:rPr>
          <w:b/>
          <w:noProof/>
          <w:szCs w:val="26"/>
        </w:rPr>
        <w:t xml:space="preserve"> further information from the minister; and request</w:t>
      </w:r>
      <w:r>
        <w:rPr>
          <w:b/>
          <w:noProof/>
          <w:szCs w:val="26"/>
        </w:rPr>
        <w:t>ed</w:t>
      </w:r>
      <w:r w:rsidRPr="00E5730F">
        <w:rPr>
          <w:b/>
          <w:noProof/>
          <w:szCs w:val="26"/>
        </w:rPr>
        <w:t xml:space="preserve"> that the ES be updated in accordance with the requirements of the </w:t>
      </w:r>
      <w:r w:rsidRPr="00E5730F">
        <w:rPr>
          <w:b/>
          <w:i/>
          <w:noProof/>
          <w:szCs w:val="26"/>
        </w:rPr>
        <w:t>Legislative Instruments Act 2003</w:t>
      </w:r>
      <w:r>
        <w:rPr>
          <w:b/>
          <w:noProof/>
          <w:szCs w:val="26"/>
        </w:rPr>
        <w:t>].</w:t>
      </w:r>
    </w:p>
    <w:p w:rsidR="002328F7" w:rsidRPr="007107BE" w:rsidRDefault="002328F7" w:rsidP="002328F7">
      <w:pPr>
        <w:rPr>
          <w:b/>
        </w:rPr>
      </w:pPr>
      <w:r w:rsidRPr="007107BE">
        <w:rPr>
          <w:b/>
        </w:rPr>
        <w:t>MINISTER'S RESPONSE:</w:t>
      </w:r>
    </w:p>
    <w:p w:rsidR="002328F7" w:rsidRDefault="002328F7" w:rsidP="002328F7">
      <w:pPr>
        <w:pStyle w:val="Level1"/>
        <w:numPr>
          <w:ilvl w:val="0"/>
          <w:numId w:val="0"/>
        </w:numPr>
      </w:pPr>
      <w:r>
        <w:t>The Minister for Immigration and Border Protection advised:</w:t>
      </w:r>
    </w:p>
    <w:p w:rsidR="002328F7" w:rsidRDefault="002328F7" w:rsidP="002328F7">
      <w:pPr>
        <w:pStyle w:val="Quote"/>
      </w:pPr>
      <w:r>
        <w:t xml:space="preserve">… </w:t>
      </w:r>
      <w:r w:rsidRPr="007F5700">
        <w:t>no consultation was undertaken in relation to the Regulation as the</w:t>
      </w:r>
      <w:r>
        <w:t xml:space="preserve"> </w:t>
      </w:r>
      <w:r w:rsidRPr="007F5700">
        <w:t>amendments are minor and machinery in nature and do not substantially alter existing</w:t>
      </w:r>
      <w:r>
        <w:t xml:space="preserve"> </w:t>
      </w:r>
      <w:r w:rsidRPr="007F5700">
        <w:t>arrangements to the Drug and Alcohol Management Program (DAMP). The amendments</w:t>
      </w:r>
      <w:r>
        <w:t xml:space="preserve"> </w:t>
      </w:r>
      <w:r w:rsidRPr="007F5700">
        <w:t>were prepared to enhance the governance and accountability of the DAMP to enable a</w:t>
      </w:r>
      <w:r>
        <w:t xml:space="preserve"> </w:t>
      </w:r>
      <w:r w:rsidRPr="007F5700">
        <w:t>sufficient amount of hair to be taken for the conduct of a prohibited drug test and provide</w:t>
      </w:r>
      <w:r>
        <w:t xml:space="preserve"> </w:t>
      </w:r>
      <w:r w:rsidRPr="007F5700">
        <w:t>more certainty as to where on the body samples can be taken from. The record keeping</w:t>
      </w:r>
      <w:r>
        <w:t xml:space="preserve"> </w:t>
      </w:r>
      <w:r w:rsidRPr="007F5700">
        <w:t>requirements were also amended to enable the DAMP to maintain more accurate records of</w:t>
      </w:r>
      <w:r>
        <w:t xml:space="preserve"> </w:t>
      </w:r>
      <w:r w:rsidRPr="007F5700">
        <w:t>testing for auditing and reporting purposes</w:t>
      </w:r>
      <w:r>
        <w:t>.</w:t>
      </w:r>
    </w:p>
    <w:p w:rsidR="002328F7" w:rsidRDefault="002328F7" w:rsidP="002328F7">
      <w:r>
        <w:t>The minister further advised that the ES had been amended in accordance with the committee's request.</w:t>
      </w:r>
    </w:p>
    <w:p w:rsidR="002328F7" w:rsidRPr="0076670E" w:rsidRDefault="002328F7" w:rsidP="002328F7">
      <w:pPr>
        <w:pStyle w:val="Level1"/>
        <w:numPr>
          <w:ilvl w:val="0"/>
          <w:numId w:val="0"/>
        </w:numPr>
        <w:rPr>
          <w:b/>
        </w:rPr>
      </w:pPr>
      <w:r w:rsidRPr="0076670E">
        <w:rPr>
          <w:b/>
        </w:rPr>
        <w:t>COMMITTEE RESPONSE:</w:t>
      </w:r>
    </w:p>
    <w:p w:rsidR="002328F7" w:rsidRDefault="002328F7" w:rsidP="002328F7">
      <w:pPr>
        <w:pStyle w:val="Level1"/>
        <w:numPr>
          <w:ilvl w:val="0"/>
          <w:numId w:val="0"/>
        </w:numPr>
        <w:rPr>
          <w:b/>
        </w:rPr>
      </w:pPr>
      <w:r w:rsidRPr="001065DB">
        <w:rPr>
          <w:b/>
        </w:rPr>
        <w:t xml:space="preserve">The committee thanks the </w:t>
      </w:r>
      <w:r>
        <w:rPr>
          <w:b/>
        </w:rPr>
        <w:t>minister</w:t>
      </w:r>
      <w:r w:rsidRPr="001065DB">
        <w:rPr>
          <w:b/>
        </w:rPr>
        <w:t xml:space="preserve"> for his response</w:t>
      </w:r>
      <w:r>
        <w:rPr>
          <w:b/>
        </w:rPr>
        <w:t xml:space="preserve"> and has concluded its examination of the instrument.</w:t>
      </w:r>
    </w:p>
    <w:p w:rsidR="002328F7" w:rsidRPr="007F5700" w:rsidRDefault="002328F7" w:rsidP="002328F7"/>
    <w:p w:rsidR="002328F7" w:rsidRDefault="002328F7" w:rsidP="002328F7">
      <w:pPr>
        <w:pStyle w:val="Heading3"/>
        <w:spacing w:after="0"/>
      </w:pPr>
      <w:r w:rsidRPr="00EF4E65">
        <w:rPr>
          <w:noProof/>
        </w:rPr>
        <w:t>Migration Amendment (2014 Measures No. 2) Regulation 2014 [F2014L01696]</w:t>
      </w:r>
    </w:p>
    <w:p w:rsidR="002328F7" w:rsidRPr="001E0577" w:rsidRDefault="002328F7" w:rsidP="002328F7"/>
    <w:tbl>
      <w:tblPr>
        <w:tblW w:w="0" w:type="auto"/>
        <w:tblInd w:w="108" w:type="dxa"/>
        <w:tblLook w:val="04A0" w:firstRow="1" w:lastRow="0" w:firstColumn="1" w:lastColumn="0" w:noHBand="0" w:noVBand="1"/>
      </w:tblPr>
      <w:tblGrid>
        <w:gridCol w:w="2694"/>
        <w:gridCol w:w="6378"/>
      </w:tblGrid>
      <w:tr w:rsidR="002328F7" w:rsidRPr="00164622" w:rsidTr="00836975">
        <w:tc>
          <w:tcPr>
            <w:tcW w:w="2694" w:type="dxa"/>
            <w:tcBorders>
              <w:top w:val="single" w:sz="12" w:space="0" w:color="auto"/>
              <w:right w:val="single" w:sz="12" w:space="0" w:color="auto"/>
            </w:tcBorders>
          </w:tcPr>
          <w:p w:rsidR="002328F7" w:rsidRPr="00A77228" w:rsidRDefault="002328F7" w:rsidP="00836975">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2328F7" w:rsidRPr="00A77228" w:rsidRDefault="002328F7" w:rsidP="00836975">
            <w:pPr>
              <w:rPr>
                <w:sz w:val="24"/>
                <w:szCs w:val="24"/>
              </w:rPr>
            </w:pPr>
            <w:r>
              <w:rPr>
                <w:noProof/>
                <w:sz w:val="24"/>
                <w:szCs w:val="24"/>
              </w:rPr>
              <w:t>Makes a</w:t>
            </w:r>
            <w:r w:rsidRPr="00EF4E65">
              <w:rPr>
                <w:noProof/>
                <w:sz w:val="24"/>
                <w:szCs w:val="24"/>
              </w:rPr>
              <w:t>mend</w:t>
            </w:r>
            <w:r>
              <w:rPr>
                <w:noProof/>
                <w:sz w:val="24"/>
                <w:szCs w:val="24"/>
              </w:rPr>
              <w:t>ments to</w:t>
            </w:r>
            <w:r w:rsidRPr="00EF4E65">
              <w:rPr>
                <w:noProof/>
                <w:sz w:val="24"/>
                <w:szCs w:val="24"/>
              </w:rPr>
              <w:t xml:space="preserve"> the Migration Regulations 1994</w:t>
            </w:r>
            <w:r>
              <w:rPr>
                <w:noProof/>
                <w:sz w:val="24"/>
                <w:szCs w:val="24"/>
              </w:rPr>
              <w:t xml:space="preserve"> to</w:t>
            </w:r>
            <w:r w:rsidRPr="00EF4E65">
              <w:rPr>
                <w:noProof/>
                <w:sz w:val="24"/>
                <w:szCs w:val="24"/>
              </w:rPr>
              <w:t xml:space="preserve">, in particular, remove the lengthy prescribed periods that an applicant outside Australia must be given to respond to a </w:t>
            </w:r>
            <w:r w:rsidRPr="00EF4E65">
              <w:rPr>
                <w:noProof/>
                <w:sz w:val="24"/>
                <w:szCs w:val="24"/>
              </w:rPr>
              <w:lastRenderedPageBreak/>
              <w:t xml:space="preserve">request for information or to an invitation to comment, broaden the definition of 'managed fund' to include both statutory funds and benefit funds operated by friendly societies registered under the </w:t>
            </w:r>
            <w:r w:rsidRPr="00753533">
              <w:rPr>
                <w:i/>
                <w:noProof/>
                <w:sz w:val="24"/>
                <w:szCs w:val="24"/>
              </w:rPr>
              <w:t>Life Insurance Act 1995</w:t>
            </w:r>
            <w:r w:rsidRPr="00EF4E65">
              <w:rPr>
                <w:noProof/>
                <w:sz w:val="24"/>
                <w:szCs w:val="24"/>
              </w:rPr>
              <w:t>, provide that it is a criterion for the grant of a visa that, if requested, a statement from an appro</w:t>
            </w:r>
            <w:r>
              <w:rPr>
                <w:noProof/>
                <w:sz w:val="24"/>
                <w:szCs w:val="24"/>
              </w:rPr>
              <w:t>priate authority about a person'</w:t>
            </w:r>
            <w:r w:rsidRPr="00EF4E65">
              <w:rPr>
                <w:noProof/>
                <w:sz w:val="24"/>
                <w:szCs w:val="24"/>
              </w:rPr>
              <w:t>s criminal history and a completed Form 80 (Personal particulars for assessment including character assessment) must be provided, provide that where a person has had a visa cancelled under section 501 of the Migration Act (character grounds), they cannot be granted a further visa (except in certain circumstances), provide that where a person has had a visa cancelled under new subsections 116(1AA) (identity) or 116(1AB) (providing</w:t>
            </w:r>
            <w:r>
              <w:rPr>
                <w:noProof/>
                <w:sz w:val="24"/>
                <w:szCs w:val="24"/>
              </w:rPr>
              <w:t xml:space="preserve"> incorrect information) or the minister’s new '</w:t>
            </w:r>
            <w:r w:rsidRPr="00EF4E65">
              <w:rPr>
                <w:noProof/>
                <w:sz w:val="24"/>
                <w:szCs w:val="24"/>
              </w:rPr>
              <w:t>set-aside and cancel</w:t>
            </w:r>
            <w:r>
              <w:rPr>
                <w:noProof/>
                <w:sz w:val="24"/>
                <w:szCs w:val="24"/>
              </w:rPr>
              <w:t>'</w:t>
            </w:r>
            <w:r w:rsidRPr="00EF4E65">
              <w:rPr>
                <w:noProof/>
                <w:sz w:val="24"/>
                <w:szCs w:val="24"/>
              </w:rPr>
              <w:t xml:space="preserve"> powers in sections 133A or 133C of the Migration Act, they cannot be granted a further visa for three years (except in certain circumstances), and harmonise the manner and time periods in which a person can make representations in relation to visa cancellation decisions</w:t>
            </w:r>
          </w:p>
        </w:tc>
      </w:tr>
      <w:tr w:rsidR="002328F7" w:rsidRPr="00164622" w:rsidTr="00836975">
        <w:tc>
          <w:tcPr>
            <w:tcW w:w="2694" w:type="dxa"/>
            <w:tcBorders>
              <w:right w:val="single" w:sz="12" w:space="0" w:color="auto"/>
            </w:tcBorders>
          </w:tcPr>
          <w:p w:rsidR="002328F7" w:rsidRPr="00A77228" w:rsidRDefault="002328F7" w:rsidP="00836975">
            <w:pPr>
              <w:rPr>
                <w:b/>
                <w:sz w:val="24"/>
                <w:szCs w:val="24"/>
              </w:rPr>
            </w:pPr>
            <w:r w:rsidRPr="00A77228">
              <w:rPr>
                <w:b/>
                <w:sz w:val="24"/>
                <w:szCs w:val="24"/>
              </w:rPr>
              <w:lastRenderedPageBreak/>
              <w:t>Last day to disallow</w:t>
            </w:r>
          </w:p>
        </w:tc>
        <w:tc>
          <w:tcPr>
            <w:tcW w:w="6378" w:type="dxa"/>
            <w:tcBorders>
              <w:left w:val="single" w:sz="12" w:space="0" w:color="auto"/>
            </w:tcBorders>
          </w:tcPr>
          <w:p w:rsidR="002328F7" w:rsidRPr="00A77228" w:rsidRDefault="002328F7" w:rsidP="00836975">
            <w:pPr>
              <w:rPr>
                <w:sz w:val="24"/>
                <w:szCs w:val="24"/>
              </w:rPr>
            </w:pPr>
            <w:r w:rsidRPr="00EF4E65">
              <w:rPr>
                <w:noProof/>
                <w:sz w:val="24"/>
                <w:szCs w:val="24"/>
              </w:rPr>
              <w:t>26 March 2015</w:t>
            </w:r>
          </w:p>
        </w:tc>
      </w:tr>
      <w:tr w:rsidR="002328F7" w:rsidRPr="00164622" w:rsidTr="00836975">
        <w:tc>
          <w:tcPr>
            <w:tcW w:w="2694" w:type="dxa"/>
            <w:tcBorders>
              <w:right w:val="single" w:sz="12" w:space="0" w:color="auto"/>
            </w:tcBorders>
          </w:tcPr>
          <w:p w:rsidR="002328F7" w:rsidRPr="00A77228" w:rsidRDefault="002328F7" w:rsidP="00836975">
            <w:pPr>
              <w:rPr>
                <w:b/>
                <w:sz w:val="24"/>
                <w:szCs w:val="24"/>
              </w:rPr>
            </w:pPr>
            <w:r w:rsidRPr="00A77228">
              <w:rPr>
                <w:b/>
                <w:sz w:val="24"/>
                <w:szCs w:val="24"/>
              </w:rPr>
              <w:t>Authorising legislation</w:t>
            </w:r>
          </w:p>
        </w:tc>
        <w:tc>
          <w:tcPr>
            <w:tcW w:w="6378" w:type="dxa"/>
            <w:tcBorders>
              <w:left w:val="single" w:sz="12" w:space="0" w:color="auto"/>
            </w:tcBorders>
          </w:tcPr>
          <w:p w:rsidR="002328F7" w:rsidRPr="00932D1C" w:rsidRDefault="002328F7" w:rsidP="00836975">
            <w:pPr>
              <w:rPr>
                <w:i/>
                <w:sz w:val="24"/>
                <w:szCs w:val="24"/>
              </w:rPr>
            </w:pPr>
            <w:r w:rsidRPr="00EF4E65">
              <w:rPr>
                <w:i/>
                <w:noProof/>
                <w:sz w:val="24"/>
                <w:szCs w:val="24"/>
              </w:rPr>
              <w:t>Migration Act 1958</w:t>
            </w:r>
          </w:p>
        </w:tc>
      </w:tr>
      <w:tr w:rsidR="002328F7" w:rsidRPr="00164622" w:rsidTr="00836975">
        <w:tc>
          <w:tcPr>
            <w:tcW w:w="2694" w:type="dxa"/>
            <w:tcBorders>
              <w:bottom w:val="single" w:sz="12" w:space="0" w:color="auto"/>
              <w:right w:val="single" w:sz="12" w:space="0" w:color="auto"/>
            </w:tcBorders>
          </w:tcPr>
          <w:p w:rsidR="002328F7" w:rsidRPr="00A77228" w:rsidRDefault="002328F7" w:rsidP="00836975">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2328F7" w:rsidRPr="00A77228" w:rsidRDefault="002328F7" w:rsidP="00836975">
            <w:pPr>
              <w:rPr>
                <w:sz w:val="24"/>
                <w:szCs w:val="24"/>
              </w:rPr>
            </w:pPr>
            <w:r w:rsidRPr="00EF4E65">
              <w:rPr>
                <w:noProof/>
                <w:sz w:val="24"/>
                <w:szCs w:val="24"/>
              </w:rPr>
              <w:t>Immigration and Border Protection</w:t>
            </w:r>
          </w:p>
        </w:tc>
      </w:tr>
    </w:tbl>
    <w:p w:rsidR="002328F7" w:rsidRPr="00164622" w:rsidRDefault="002328F7" w:rsidP="002328F7">
      <w:pPr>
        <w:spacing w:after="0"/>
        <w:rPr>
          <w:szCs w:val="26"/>
        </w:rPr>
      </w:pPr>
      <w:r>
        <w:rPr>
          <w:b/>
        </w:rPr>
        <w:t xml:space="preserve">[The committee first reported on this instrument in </w:t>
      </w:r>
      <w:r>
        <w:rPr>
          <w:b/>
          <w:i/>
        </w:rPr>
        <w:t xml:space="preserve">Delegated legislation monitor </w:t>
      </w:r>
      <w:r>
        <w:rPr>
          <w:b/>
        </w:rPr>
        <w:t>No. 1 of 2015]</w:t>
      </w:r>
    </w:p>
    <w:p w:rsidR="002328F7" w:rsidRPr="00164622" w:rsidRDefault="002328F7" w:rsidP="002328F7">
      <w:pPr>
        <w:rPr>
          <w:b/>
          <w:szCs w:val="26"/>
        </w:rPr>
      </w:pPr>
      <w:r w:rsidRPr="00164622">
        <w:rPr>
          <w:b/>
          <w:szCs w:val="26"/>
        </w:rPr>
        <w:t>Issue:</w:t>
      </w:r>
    </w:p>
    <w:p w:rsidR="002328F7" w:rsidRPr="00164622" w:rsidRDefault="002328F7" w:rsidP="002328F7">
      <w:pPr>
        <w:rPr>
          <w:i/>
          <w:noProof/>
          <w:szCs w:val="26"/>
        </w:rPr>
      </w:pPr>
      <w:r w:rsidRPr="00EF4E65">
        <w:rPr>
          <w:i/>
          <w:noProof/>
          <w:szCs w:val="26"/>
        </w:rPr>
        <w:t>Retrospective effect of instrument</w:t>
      </w:r>
    </w:p>
    <w:p w:rsidR="002328F7" w:rsidRPr="00EF4E65" w:rsidRDefault="002328F7" w:rsidP="002328F7">
      <w:pPr>
        <w:rPr>
          <w:noProof/>
          <w:szCs w:val="26"/>
        </w:rPr>
      </w:pPr>
      <w:r w:rsidRPr="00EF4E65">
        <w:rPr>
          <w:noProof/>
          <w:szCs w:val="26"/>
        </w:rPr>
        <w:t xml:space="preserve">Schedule 2 to this instrument amends the Migration Regulations 1994 (Migration Regulations) to broaden the definition of 'managed fund' to include funds operated by friendly societies registered under the </w:t>
      </w:r>
      <w:r w:rsidRPr="00FC532D">
        <w:rPr>
          <w:i/>
          <w:noProof/>
          <w:szCs w:val="26"/>
        </w:rPr>
        <w:t>Life Insurance Act 1995</w:t>
      </w:r>
      <w:r w:rsidRPr="00EF4E65">
        <w:rPr>
          <w:noProof/>
          <w:szCs w:val="26"/>
        </w:rPr>
        <w:t>. The effect of the amendment is to enlarge the category of 'eligible investments' that can be made by applicants for certain subclasses of business visas.</w:t>
      </w:r>
    </w:p>
    <w:p w:rsidR="002328F7" w:rsidRPr="00EF4E65" w:rsidRDefault="002328F7" w:rsidP="002328F7">
      <w:pPr>
        <w:rPr>
          <w:noProof/>
          <w:szCs w:val="26"/>
        </w:rPr>
      </w:pPr>
      <w:r w:rsidRPr="00EF4E65">
        <w:rPr>
          <w:noProof/>
          <w:szCs w:val="26"/>
        </w:rPr>
        <w:t xml:space="preserve">Schedule </w:t>
      </w:r>
      <w:r>
        <w:rPr>
          <w:noProof/>
          <w:szCs w:val="26"/>
        </w:rPr>
        <w:t>3 to the instrument amends the m</w:t>
      </w:r>
      <w:r w:rsidRPr="00EF4E65">
        <w:rPr>
          <w:noProof/>
          <w:szCs w:val="26"/>
        </w:rPr>
        <w:t xml:space="preserve">igration </w:t>
      </w:r>
      <w:r>
        <w:rPr>
          <w:noProof/>
          <w:szCs w:val="26"/>
        </w:rPr>
        <w:t>r</w:t>
      </w:r>
      <w:r w:rsidRPr="00EF4E65">
        <w:rPr>
          <w:noProof/>
          <w:szCs w:val="26"/>
        </w:rPr>
        <w:t xml:space="preserve">egulations to </w:t>
      </w:r>
      <w:r>
        <w:rPr>
          <w:noProof/>
          <w:szCs w:val="26"/>
        </w:rPr>
        <w:t xml:space="preserve">increase </w:t>
      </w:r>
      <w:r w:rsidRPr="00EF4E65">
        <w:rPr>
          <w:noProof/>
          <w:szCs w:val="26"/>
        </w:rPr>
        <w:t xml:space="preserve">the powers </w:t>
      </w:r>
      <w:r>
        <w:rPr>
          <w:noProof/>
          <w:szCs w:val="26"/>
        </w:rPr>
        <w:t xml:space="preserve">(including around the character test and visa cancellation) </w:t>
      </w:r>
      <w:r w:rsidRPr="00EF4E65">
        <w:rPr>
          <w:noProof/>
          <w:szCs w:val="26"/>
        </w:rPr>
        <w:t>in relation to the identification of non-citizens who have engaged in criminal or fraudulent behaviour.</w:t>
      </w:r>
    </w:p>
    <w:p w:rsidR="002328F7" w:rsidRPr="00EF4E65" w:rsidRDefault="002328F7" w:rsidP="002328F7">
      <w:pPr>
        <w:rPr>
          <w:noProof/>
          <w:szCs w:val="26"/>
        </w:rPr>
      </w:pPr>
      <w:r w:rsidRPr="00EF4E65">
        <w:rPr>
          <w:noProof/>
          <w:szCs w:val="26"/>
        </w:rPr>
        <w:t xml:space="preserve">Schedule 4 to this instrument (and, specifically, new </w:t>
      </w:r>
      <w:r>
        <w:rPr>
          <w:noProof/>
          <w:szCs w:val="26"/>
        </w:rPr>
        <w:t>clauses</w:t>
      </w:r>
      <w:r w:rsidRPr="00EF4E65">
        <w:rPr>
          <w:noProof/>
          <w:szCs w:val="26"/>
        </w:rPr>
        <w:t xml:space="preserve"> 3802 and 3803) provide that the amendments made by Schedules 2 and 3 apply to applications for the relevant visas made, but not finally determined, before the commencement of the instrument (1</w:t>
      </w:r>
      <w:r>
        <w:rPr>
          <w:noProof/>
          <w:szCs w:val="26"/>
        </w:rPr>
        <w:t>2</w:t>
      </w:r>
      <w:r w:rsidRPr="00EF4E65">
        <w:rPr>
          <w:noProof/>
          <w:szCs w:val="26"/>
        </w:rPr>
        <w:t xml:space="preserve"> December 2014), as well as applicat</w:t>
      </w:r>
      <w:r>
        <w:rPr>
          <w:noProof/>
          <w:szCs w:val="26"/>
        </w:rPr>
        <w:t>ions made on or after that day.</w:t>
      </w:r>
    </w:p>
    <w:p w:rsidR="002328F7" w:rsidRDefault="002328F7" w:rsidP="002328F7">
      <w:pPr>
        <w:pStyle w:val="Level1"/>
        <w:numPr>
          <w:ilvl w:val="0"/>
          <w:numId w:val="0"/>
        </w:numPr>
        <w:rPr>
          <w:noProof/>
          <w:szCs w:val="26"/>
        </w:rPr>
      </w:pPr>
      <w:r w:rsidRPr="00EF4E65">
        <w:rPr>
          <w:noProof/>
          <w:szCs w:val="26"/>
        </w:rPr>
        <w:t xml:space="preserve">Although the instrument is not strictly retrospective, the new criteria prescribe rules for the future based on antecedent facts (that is, the existence of an earlier visa </w:t>
      </w:r>
      <w:r w:rsidRPr="00EF4E65">
        <w:rPr>
          <w:noProof/>
          <w:szCs w:val="26"/>
        </w:rPr>
        <w:lastRenderedPageBreak/>
        <w:t>application). As a consequence, it appears that an otherwise valid application not determined at</w:t>
      </w:r>
      <w:r>
        <w:rPr>
          <w:noProof/>
          <w:szCs w:val="26"/>
        </w:rPr>
        <w:t xml:space="preserve"> </w:t>
      </w:r>
      <w:r w:rsidRPr="00EF4E65">
        <w:rPr>
          <w:noProof/>
          <w:szCs w:val="26"/>
        </w:rPr>
        <w:t>1</w:t>
      </w:r>
      <w:r>
        <w:rPr>
          <w:noProof/>
          <w:szCs w:val="26"/>
        </w:rPr>
        <w:t>2</w:t>
      </w:r>
      <w:r w:rsidRPr="00EF4E65">
        <w:rPr>
          <w:noProof/>
          <w:szCs w:val="26"/>
        </w:rPr>
        <w:t xml:space="preserve"> December 2014 may now be subject to one or more new criteria at the time of the visa decision. The committee's usual approach to such cases is to regard them as being retrospective in effect, and to assess such cases against the requirement to ensure that instruments of delegated legislation do not unduly trespass on personal rights and libe</w:t>
      </w:r>
      <w:r>
        <w:rPr>
          <w:noProof/>
          <w:szCs w:val="26"/>
        </w:rPr>
        <w:t>rties (scrutiny principle (b)).</w:t>
      </w:r>
    </w:p>
    <w:p w:rsidR="002328F7" w:rsidRDefault="002328F7" w:rsidP="002328F7">
      <w:pPr>
        <w:pStyle w:val="Level1"/>
        <w:numPr>
          <w:ilvl w:val="0"/>
          <w:numId w:val="0"/>
        </w:numPr>
        <w:rPr>
          <w:b/>
          <w:noProof/>
          <w:szCs w:val="26"/>
        </w:rPr>
      </w:pPr>
      <w:r>
        <w:rPr>
          <w:b/>
          <w:noProof/>
          <w:szCs w:val="26"/>
        </w:rPr>
        <w:t>[</w:t>
      </w:r>
      <w:r w:rsidRPr="00FC532D">
        <w:rPr>
          <w:b/>
          <w:noProof/>
          <w:szCs w:val="26"/>
        </w:rPr>
        <w:t>The committee therefore request</w:t>
      </w:r>
      <w:r>
        <w:rPr>
          <w:b/>
          <w:noProof/>
          <w:szCs w:val="26"/>
        </w:rPr>
        <w:t>ed</w:t>
      </w:r>
      <w:r w:rsidRPr="00FC532D">
        <w:rPr>
          <w:b/>
          <w:noProof/>
          <w:szCs w:val="26"/>
        </w:rPr>
        <w:t xml:space="preserve"> further information from the minister (as to the justification for this approach)</w:t>
      </w:r>
      <w:r>
        <w:rPr>
          <w:b/>
          <w:noProof/>
          <w:szCs w:val="26"/>
        </w:rPr>
        <w:t>]</w:t>
      </w:r>
      <w:r w:rsidRPr="00FC532D">
        <w:rPr>
          <w:b/>
          <w:noProof/>
          <w:szCs w:val="26"/>
        </w:rPr>
        <w:t>.</w:t>
      </w:r>
    </w:p>
    <w:p w:rsidR="002328F7" w:rsidRDefault="002328F7" w:rsidP="002328F7">
      <w:pPr>
        <w:spacing w:after="0"/>
        <w:jc w:val="left"/>
        <w:rPr>
          <w:b/>
        </w:rPr>
      </w:pPr>
    </w:p>
    <w:p w:rsidR="002328F7" w:rsidRPr="007107BE" w:rsidRDefault="002328F7" w:rsidP="002328F7">
      <w:pPr>
        <w:rPr>
          <w:b/>
        </w:rPr>
      </w:pPr>
      <w:r w:rsidRPr="007107BE">
        <w:rPr>
          <w:b/>
        </w:rPr>
        <w:t>MINISTER'S RESPONSE:</w:t>
      </w:r>
    </w:p>
    <w:p w:rsidR="002328F7" w:rsidRPr="007F2638" w:rsidRDefault="002328F7" w:rsidP="002328F7">
      <w:pPr>
        <w:pStyle w:val="Level1"/>
        <w:numPr>
          <w:ilvl w:val="0"/>
          <w:numId w:val="0"/>
        </w:numPr>
      </w:pPr>
      <w:r>
        <w:t>The Minister for Immigration and Border Protection advised that broadening the definition of eligible investments is 'entirely beneficial' because</w:t>
      </w:r>
      <w:r w:rsidRPr="007F2638">
        <w:t xml:space="preserve"> </w:t>
      </w:r>
      <w:r>
        <w:t>'</w:t>
      </w:r>
      <w:r w:rsidRPr="007F2638">
        <w:t>the affected applicants would have</w:t>
      </w:r>
      <w:r>
        <w:t xml:space="preserve"> </w:t>
      </w:r>
      <w:r w:rsidRPr="007F2638">
        <w:t>more investment options to choose from to satisfy the requirements of their business visa</w:t>
      </w:r>
      <w:r>
        <w:t>'.</w:t>
      </w:r>
    </w:p>
    <w:p w:rsidR="002328F7" w:rsidRDefault="002328F7" w:rsidP="002328F7">
      <w:pPr>
        <w:pStyle w:val="Level1"/>
        <w:numPr>
          <w:ilvl w:val="0"/>
          <w:numId w:val="0"/>
        </w:numPr>
      </w:pPr>
      <w:r>
        <w:t>The minister further advised that regulation 2.03AA did not impose additional burdens, but rather added a legal requirement to the existing policy with regard to the requirement for visa applicants to satisfy public interest criteria:</w:t>
      </w:r>
    </w:p>
    <w:p w:rsidR="002328F7" w:rsidRDefault="002328F7" w:rsidP="002328F7">
      <w:pPr>
        <w:pStyle w:val="Quote"/>
      </w:pPr>
      <w:r w:rsidRPr="00B1366D">
        <w:t>Schedule 3 to the instrument amends the Migration Regulations to increase the powers</w:t>
      </w:r>
      <w:r>
        <w:t xml:space="preserve"> </w:t>
      </w:r>
      <w:r w:rsidRPr="00B1366D">
        <w:t>(including around the character test and visa cancellation) in relation to the identification of</w:t>
      </w:r>
      <w:r>
        <w:t xml:space="preserve"> </w:t>
      </w:r>
      <w:r w:rsidRPr="00B1366D">
        <w:t>non-citizens who have engaged in criminal or fraudulent behaviour and makes changes</w:t>
      </w:r>
      <w:r>
        <w:t xml:space="preserve"> </w:t>
      </w:r>
      <w:r w:rsidRPr="00B1366D">
        <w:t>consequential to the Migration Amendment (Character and General Visa Cancellation)</w:t>
      </w:r>
      <w:r>
        <w:t xml:space="preserve"> </w:t>
      </w:r>
      <w:r w:rsidRPr="00B1366D">
        <w:t>Act 2014, in order to give full effect to the legislative amendments. New subclause 3803(1)</w:t>
      </w:r>
      <w:r>
        <w:t xml:space="preserve"> </w:t>
      </w:r>
      <w:r w:rsidRPr="00B1366D">
        <w:t>in Schedule 4 to this instrument provides that amendments made by Items 1, 2 and 3 of</w:t>
      </w:r>
      <w:r>
        <w:t xml:space="preserve"> </w:t>
      </w:r>
      <w:r w:rsidRPr="00B1366D">
        <w:t>Schedule 3 apply to applications for the relevant visas made, but not finally determined,</w:t>
      </w:r>
      <w:r>
        <w:t xml:space="preserve"> </w:t>
      </w:r>
      <w:r w:rsidRPr="00B1366D">
        <w:t>before the commencement of the instrument (12 December 2014), as well as applications</w:t>
      </w:r>
      <w:r>
        <w:t xml:space="preserve"> </w:t>
      </w:r>
      <w:r w:rsidRPr="00B1366D">
        <w:t>made on or after that day.</w:t>
      </w:r>
    </w:p>
    <w:p w:rsidR="002328F7" w:rsidRDefault="002328F7" w:rsidP="002328F7">
      <w:pPr>
        <w:pStyle w:val="Quote"/>
      </w:pPr>
      <w:r w:rsidRPr="00B1366D">
        <w:t>Public interest criteria (PICs) are set out in Part 1 of Schedule 4 to the</w:t>
      </w:r>
      <w:r>
        <w:t xml:space="preserve"> </w:t>
      </w:r>
      <w:r w:rsidRPr="00B1366D">
        <w:t>Migration Regulations. PIC 4001 (satisfying the character test) and PIC 4002 (risk to</w:t>
      </w:r>
      <w:r>
        <w:t xml:space="preserve"> </w:t>
      </w:r>
      <w:r w:rsidRPr="00B1366D">
        <w:t>security) are imposed on certain visa subclasses in Schedule 2 of the Migration Regulations.</w:t>
      </w:r>
      <w:r>
        <w:t xml:space="preserve"> </w:t>
      </w:r>
      <w:r w:rsidRPr="00B1366D">
        <w:t>Applicants for those visa subclasses are required to satisfy these PICS, which relate to an</w:t>
      </w:r>
      <w:r>
        <w:t xml:space="preserve"> </w:t>
      </w:r>
      <w:r w:rsidRPr="00B1366D">
        <w:t>applicant satisfying the Minister that there are no character-related reasons why they</w:t>
      </w:r>
      <w:r>
        <w:t xml:space="preserve"> </w:t>
      </w:r>
      <w:r w:rsidRPr="00B1366D">
        <w:t>should not be granted the visa, and to an assessment by the Australian Security Intelligence</w:t>
      </w:r>
      <w:r>
        <w:t xml:space="preserve"> </w:t>
      </w:r>
      <w:r w:rsidRPr="00B1366D">
        <w:t>Organisation in relation to being a risk to security.</w:t>
      </w:r>
    </w:p>
    <w:p w:rsidR="002328F7" w:rsidRDefault="002328F7" w:rsidP="002328F7">
      <w:pPr>
        <w:pStyle w:val="Quote"/>
      </w:pPr>
      <w:r w:rsidRPr="00B1366D">
        <w:t>Regulation 2.03AA provides that, where a person is required to satisfy PIC 4001 or PIC 4002</w:t>
      </w:r>
      <w:r>
        <w:t xml:space="preserve"> </w:t>
      </w:r>
      <w:r w:rsidRPr="00B1366D">
        <w:t>for grant of a visa that, the person must provide a statement from an appropriate authority</w:t>
      </w:r>
      <w:r>
        <w:t xml:space="preserve"> </w:t>
      </w:r>
      <w:r w:rsidRPr="00B1366D">
        <w:t>about a person’s criminal history and a completed Form 80 (personal particulars for</w:t>
      </w:r>
      <w:r>
        <w:t xml:space="preserve"> </w:t>
      </w:r>
      <w:r w:rsidRPr="00B1366D">
        <w:t>assessment including character assessment), if requested by the Minister. A waiver of the</w:t>
      </w:r>
      <w:r>
        <w:t xml:space="preserve"> </w:t>
      </w:r>
      <w:r w:rsidRPr="00B1366D">
        <w:t>requirement to provide the criminal history statement is available where the Minister is</w:t>
      </w:r>
      <w:r>
        <w:t xml:space="preserve"> </w:t>
      </w:r>
      <w:r w:rsidRPr="00B1366D">
        <w:t>satisfied that it is not reasonable for the applicant to provide it.</w:t>
      </w:r>
    </w:p>
    <w:p w:rsidR="002328F7" w:rsidRDefault="002328F7" w:rsidP="002328F7">
      <w:pPr>
        <w:pStyle w:val="Quote"/>
      </w:pPr>
      <w:r w:rsidRPr="00B1366D">
        <w:lastRenderedPageBreak/>
        <w:t>Regulation 2.03AA made no change to the requirement for existing visa applicants to be</w:t>
      </w:r>
      <w:r>
        <w:t xml:space="preserve"> </w:t>
      </w:r>
      <w:r w:rsidRPr="00B1366D">
        <w:t>assessed against PIC 4001 and PIC 4002. Historically however, there have been numbers</w:t>
      </w:r>
      <w:r>
        <w:t xml:space="preserve"> </w:t>
      </w:r>
      <w:r w:rsidRPr="00B1366D">
        <w:t>of visa applicants who have not completed the Form 80, or have not provided requested</w:t>
      </w:r>
      <w:r>
        <w:t xml:space="preserve"> </w:t>
      </w:r>
      <w:r w:rsidRPr="00B1366D">
        <w:t>information about their criminal history. Within the previous regulatory framework, there was</w:t>
      </w:r>
      <w:r>
        <w:t xml:space="preserve"> </w:t>
      </w:r>
      <w:r w:rsidRPr="00B1366D">
        <w:t>no mechanism by which an applicant could be compelled to provide the requested</w:t>
      </w:r>
      <w:r>
        <w:t xml:space="preserve"> </w:t>
      </w:r>
      <w:r w:rsidRPr="00B1366D">
        <w:t>information, thus limiting the ability of the department to comprehensively assess whether</w:t>
      </w:r>
      <w:r>
        <w:t xml:space="preserve"> </w:t>
      </w:r>
      <w:r w:rsidRPr="00B1366D">
        <w:t>a visa applicant presented a character or security risk. The amendment ensures that the</w:t>
      </w:r>
      <w:r>
        <w:t xml:space="preserve"> </w:t>
      </w:r>
      <w:r w:rsidRPr="00B1366D">
        <w:t>applicant is required by law to provide the documentation required to assess these PICS,</w:t>
      </w:r>
      <w:r>
        <w:t xml:space="preserve"> </w:t>
      </w:r>
      <w:r w:rsidRPr="00B1366D">
        <w:t>rather than under policy only, with a waiver available in certain circumstances.</w:t>
      </w:r>
    </w:p>
    <w:p w:rsidR="002328F7" w:rsidRDefault="002328F7" w:rsidP="002328F7">
      <w:pPr>
        <w:pStyle w:val="Quote"/>
      </w:pPr>
      <w:r w:rsidRPr="00B1366D">
        <w:t>Visa applicants will be provided natural justice and given the opportunity to provide</w:t>
      </w:r>
      <w:r>
        <w:t xml:space="preserve"> </w:t>
      </w:r>
      <w:r w:rsidRPr="00B1366D">
        <w:t>requested documents relating to character or security within a reasonable timeframe, or</w:t>
      </w:r>
      <w:r>
        <w:t xml:space="preserve"> </w:t>
      </w:r>
      <w:r w:rsidRPr="00B1366D">
        <w:t>provide reasons as to why they cannot provide said documents.</w:t>
      </w:r>
      <w:r>
        <w:t xml:space="preserve"> </w:t>
      </w:r>
      <w:r w:rsidRPr="00B1366D">
        <w:t>It is appropriate that these requirements be applied to all undecided applications as they</w:t>
      </w:r>
      <w:r>
        <w:t xml:space="preserve"> </w:t>
      </w:r>
      <w:r w:rsidRPr="00B1366D">
        <w:t>relate to an assessment of character and security risks before a visa is granted.</w:t>
      </w:r>
      <w:r>
        <w:t xml:space="preserve"> </w:t>
      </w:r>
      <w:r w:rsidRPr="00B1366D">
        <w:t>Regulation 2.03AA does not place any additional burden on a visa applicant to meet</w:t>
      </w:r>
      <w:r>
        <w:t xml:space="preserve"> </w:t>
      </w:r>
      <w:r w:rsidRPr="00B1366D">
        <w:t>requirements different to what was in place under policy at time of application. It is entirely</w:t>
      </w:r>
      <w:r>
        <w:t xml:space="preserve"> </w:t>
      </w:r>
      <w:r w:rsidRPr="00B1366D">
        <w:t>appropriate that persons seeking a visa are required to provide information necessary for the</w:t>
      </w:r>
      <w:r>
        <w:t xml:space="preserve"> </w:t>
      </w:r>
      <w:r w:rsidRPr="00B1366D">
        <w:t>assessment of character and security before a visa is granted and that the department is</w:t>
      </w:r>
      <w:r>
        <w:t xml:space="preserve"> </w:t>
      </w:r>
      <w:r w:rsidRPr="00B1366D">
        <w:t>able to refuse a visa application in circumstances where an applicant does not provide the</w:t>
      </w:r>
      <w:r>
        <w:t xml:space="preserve"> </w:t>
      </w:r>
      <w:r w:rsidRPr="00B1366D">
        <w:t>necessary information relevant to assessing character or security risks.</w:t>
      </w:r>
    </w:p>
    <w:p w:rsidR="002328F7" w:rsidRPr="00E04F44" w:rsidRDefault="002328F7" w:rsidP="002328F7">
      <w:pPr>
        <w:pStyle w:val="Quote"/>
      </w:pPr>
      <w:r w:rsidRPr="00E04F44">
        <w:t>The amendments do not offend subsection 12(2) of the Legislative Instruments Act 2003 as</w:t>
      </w:r>
      <w:r>
        <w:t xml:space="preserve"> </w:t>
      </w:r>
      <w:r w:rsidRPr="00E04F44">
        <w:t>they do not take effect before the date of registration. Further, section 504 of the</w:t>
      </w:r>
      <w:r>
        <w:t xml:space="preserve"> </w:t>
      </w:r>
      <w:r w:rsidRPr="00E04F44">
        <w:t>Migration Act authorises the amendments as it authorises the making of regulations that are</w:t>
      </w:r>
      <w:r>
        <w:t xml:space="preserve"> </w:t>
      </w:r>
      <w:r w:rsidRPr="00E04F44">
        <w:t>necessary or convenient to be prescribed to carry out or give effect to the objectives of the</w:t>
      </w:r>
      <w:r>
        <w:t xml:space="preserve"> </w:t>
      </w:r>
      <w:r w:rsidRPr="00E04F44">
        <w:t>Migration Act, which include regulating the entry and stay of non-citizens in Australia in the</w:t>
      </w:r>
      <w:r>
        <w:t xml:space="preserve"> </w:t>
      </w:r>
      <w:r w:rsidRPr="00E04F44">
        <w:t>national interest. Accordingly, these amendments apply to all relevant applications decided</w:t>
      </w:r>
      <w:r>
        <w:t xml:space="preserve"> </w:t>
      </w:r>
      <w:r w:rsidRPr="00E04F44">
        <w:t>on or after the commencement of the Instrument.</w:t>
      </w:r>
    </w:p>
    <w:p w:rsidR="002328F7" w:rsidRPr="0076670E" w:rsidRDefault="002328F7" w:rsidP="002328F7">
      <w:pPr>
        <w:pStyle w:val="Level1"/>
        <w:numPr>
          <w:ilvl w:val="0"/>
          <w:numId w:val="0"/>
        </w:numPr>
        <w:rPr>
          <w:b/>
        </w:rPr>
      </w:pPr>
      <w:r w:rsidRPr="0076670E">
        <w:rPr>
          <w:b/>
        </w:rPr>
        <w:t>COMMITTEE RESPONSE:</w:t>
      </w:r>
    </w:p>
    <w:p w:rsidR="002328F7" w:rsidRDefault="002328F7" w:rsidP="002328F7">
      <w:pPr>
        <w:pStyle w:val="Level1"/>
        <w:numPr>
          <w:ilvl w:val="0"/>
          <w:numId w:val="0"/>
        </w:numPr>
        <w:rPr>
          <w:b/>
        </w:rPr>
      </w:pPr>
      <w:r w:rsidRPr="001065DB">
        <w:rPr>
          <w:b/>
        </w:rPr>
        <w:t xml:space="preserve">The committee thanks the </w:t>
      </w:r>
      <w:r>
        <w:rPr>
          <w:b/>
        </w:rPr>
        <w:t>minister</w:t>
      </w:r>
      <w:r w:rsidRPr="001065DB">
        <w:rPr>
          <w:b/>
        </w:rPr>
        <w:t xml:space="preserve"> for his response</w:t>
      </w:r>
      <w:r>
        <w:rPr>
          <w:b/>
        </w:rPr>
        <w:t>.</w:t>
      </w:r>
    </w:p>
    <w:p w:rsidR="002328F7" w:rsidRDefault="002328F7" w:rsidP="002328F7">
      <w:pPr>
        <w:pStyle w:val="Level1"/>
        <w:numPr>
          <w:ilvl w:val="0"/>
          <w:numId w:val="0"/>
        </w:numPr>
        <w:jc w:val="left"/>
      </w:pPr>
      <w:r>
        <w:t>The committee notes that its inquiry related to retrospective effect, requiring the committee</w:t>
      </w:r>
      <w:r w:rsidRPr="00EF4E65">
        <w:rPr>
          <w:noProof/>
          <w:szCs w:val="26"/>
        </w:rPr>
        <w:t xml:space="preserve"> to ensure th</w:t>
      </w:r>
      <w:r>
        <w:rPr>
          <w:noProof/>
          <w:szCs w:val="26"/>
        </w:rPr>
        <w:t xml:space="preserve">e </w:t>
      </w:r>
      <w:r w:rsidRPr="00EF4E65">
        <w:rPr>
          <w:noProof/>
          <w:szCs w:val="26"/>
        </w:rPr>
        <w:t>instrument</w:t>
      </w:r>
      <w:r>
        <w:rPr>
          <w:noProof/>
          <w:szCs w:val="26"/>
        </w:rPr>
        <w:t xml:space="preserve"> does</w:t>
      </w:r>
      <w:r w:rsidRPr="00EF4E65">
        <w:rPr>
          <w:noProof/>
          <w:szCs w:val="26"/>
        </w:rPr>
        <w:t xml:space="preserve"> not unduly trespass on personal rights and libe</w:t>
      </w:r>
      <w:r>
        <w:rPr>
          <w:noProof/>
          <w:szCs w:val="26"/>
        </w:rPr>
        <w:t xml:space="preserve">rties (scrutiny principle (b)), </w:t>
      </w:r>
      <w:r>
        <w:t xml:space="preserve">rather than to a strict case of retrospectivity with reference to subsection 12(2) of the </w:t>
      </w:r>
      <w:r>
        <w:rPr>
          <w:i/>
        </w:rPr>
        <w:t>Legislative Instruments Act 2003</w:t>
      </w:r>
      <w:r>
        <w:t>.</w:t>
      </w:r>
    </w:p>
    <w:p w:rsidR="002328F7" w:rsidRPr="00F66E5E" w:rsidRDefault="002328F7" w:rsidP="002328F7">
      <w:pPr>
        <w:pStyle w:val="Level1"/>
        <w:numPr>
          <w:ilvl w:val="0"/>
          <w:numId w:val="0"/>
        </w:numPr>
        <w:jc w:val="left"/>
      </w:pPr>
      <w:r>
        <w:t xml:space="preserve">However, the committee also notes the minister's advice that regulation 2.03AA </w:t>
      </w:r>
      <w:r w:rsidRPr="00F66E5E">
        <w:t>does not place an additional burden on a visa applicant to meet</w:t>
      </w:r>
      <w:r>
        <w:t xml:space="preserve"> </w:t>
      </w:r>
      <w:r w:rsidRPr="00F66E5E">
        <w:t xml:space="preserve">requirements </w:t>
      </w:r>
      <w:r>
        <w:t xml:space="preserve">(the provision of documents relating to character and security) that are </w:t>
      </w:r>
      <w:r w:rsidRPr="00F66E5E">
        <w:t xml:space="preserve">different to </w:t>
      </w:r>
      <w:r>
        <w:t>those</w:t>
      </w:r>
      <w:r w:rsidRPr="00F66E5E">
        <w:t xml:space="preserve"> </w:t>
      </w:r>
      <w:r>
        <w:t xml:space="preserve">that were </w:t>
      </w:r>
      <w:r w:rsidRPr="00F66E5E">
        <w:t xml:space="preserve">in place under policy at </w:t>
      </w:r>
      <w:r>
        <w:t xml:space="preserve">the </w:t>
      </w:r>
      <w:r w:rsidRPr="00F66E5E">
        <w:t>time of application</w:t>
      </w:r>
      <w:r>
        <w:t xml:space="preserve">. The committee further notes the </w:t>
      </w:r>
      <w:r>
        <w:lastRenderedPageBreak/>
        <w:t>minister's advice that v</w:t>
      </w:r>
      <w:r w:rsidRPr="00F66E5E">
        <w:t xml:space="preserve">isa applicants will be provided natural justice </w:t>
      </w:r>
      <w:r>
        <w:t xml:space="preserve">with regard to the provision of </w:t>
      </w:r>
      <w:r w:rsidRPr="00F66E5E">
        <w:t>requested documents relating to character or security</w:t>
      </w:r>
      <w:r>
        <w:t>.</w:t>
      </w:r>
    </w:p>
    <w:p w:rsidR="002328F7" w:rsidRDefault="002328F7" w:rsidP="002328F7">
      <w:pPr>
        <w:pStyle w:val="Level1"/>
        <w:numPr>
          <w:ilvl w:val="0"/>
          <w:numId w:val="0"/>
        </w:numPr>
        <w:rPr>
          <w:b/>
        </w:rPr>
      </w:pPr>
      <w:r>
        <w:rPr>
          <w:b/>
        </w:rPr>
        <w:t>The committee has therefore concluded its examination of the instrument.</w:t>
      </w:r>
    </w:p>
    <w:p w:rsidR="002328F7" w:rsidRDefault="002328F7" w:rsidP="002328F7">
      <w:pPr>
        <w:spacing w:after="0"/>
        <w:jc w:val="left"/>
        <w:rPr>
          <w:b/>
          <w:noProof/>
          <w:szCs w:val="26"/>
        </w:rPr>
      </w:pPr>
    </w:p>
    <w:p w:rsidR="002328F7" w:rsidRDefault="002328F7" w:rsidP="002328F7">
      <w:pPr>
        <w:pStyle w:val="Heading3"/>
        <w:spacing w:after="0"/>
      </w:pPr>
      <w:r w:rsidRPr="00DB758F">
        <w:rPr>
          <w:noProof/>
        </w:rPr>
        <w:t>Migration Act 1958 - Determination of Protection (Class XA) and Refugee Humanitarian (Class XB) Visas 2014 - IMMI 14/117 [F2014L01819]</w:t>
      </w:r>
    </w:p>
    <w:p w:rsidR="002328F7" w:rsidRPr="001E0577" w:rsidRDefault="002328F7" w:rsidP="002328F7"/>
    <w:tbl>
      <w:tblPr>
        <w:tblW w:w="0" w:type="auto"/>
        <w:tblInd w:w="108" w:type="dxa"/>
        <w:tblLook w:val="04A0" w:firstRow="1" w:lastRow="0" w:firstColumn="1" w:lastColumn="0" w:noHBand="0" w:noVBand="1"/>
      </w:tblPr>
      <w:tblGrid>
        <w:gridCol w:w="2694"/>
        <w:gridCol w:w="6378"/>
      </w:tblGrid>
      <w:tr w:rsidR="002328F7" w:rsidRPr="00164622" w:rsidTr="00836975">
        <w:tc>
          <w:tcPr>
            <w:tcW w:w="2694" w:type="dxa"/>
            <w:tcBorders>
              <w:top w:val="single" w:sz="12" w:space="0" w:color="auto"/>
              <w:right w:val="single" w:sz="12" w:space="0" w:color="auto"/>
            </w:tcBorders>
          </w:tcPr>
          <w:p w:rsidR="002328F7" w:rsidRPr="00A77228" w:rsidRDefault="002328F7" w:rsidP="00836975">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2328F7" w:rsidRPr="00A77228" w:rsidRDefault="002328F7" w:rsidP="00836975">
            <w:pPr>
              <w:rPr>
                <w:sz w:val="24"/>
                <w:szCs w:val="24"/>
              </w:rPr>
            </w:pPr>
            <w:r w:rsidRPr="00DB758F">
              <w:rPr>
                <w:noProof/>
                <w:sz w:val="24"/>
                <w:szCs w:val="24"/>
              </w:rPr>
              <w:t>Operates to specify the Minister’s determination of at least the minimum total combined number of Protection (Class XA) visas and Refugee and Humanitarian (Class XB) visas that the Minister must take all reasonable practicable measures to ensure are granted for, the financial years commencing 2015, 2016, 2017 and 2018</w:t>
            </w:r>
          </w:p>
        </w:tc>
      </w:tr>
      <w:tr w:rsidR="002328F7" w:rsidRPr="00164622" w:rsidTr="00836975">
        <w:tc>
          <w:tcPr>
            <w:tcW w:w="2694" w:type="dxa"/>
            <w:tcBorders>
              <w:right w:val="single" w:sz="12" w:space="0" w:color="auto"/>
            </w:tcBorders>
          </w:tcPr>
          <w:p w:rsidR="002328F7" w:rsidRPr="00A77228" w:rsidRDefault="002328F7" w:rsidP="00836975">
            <w:pPr>
              <w:rPr>
                <w:b/>
                <w:sz w:val="24"/>
                <w:szCs w:val="24"/>
              </w:rPr>
            </w:pPr>
            <w:r w:rsidRPr="00A77228">
              <w:rPr>
                <w:b/>
                <w:sz w:val="24"/>
                <w:szCs w:val="24"/>
              </w:rPr>
              <w:t>Last day to disallow</w:t>
            </w:r>
          </w:p>
        </w:tc>
        <w:tc>
          <w:tcPr>
            <w:tcW w:w="6378" w:type="dxa"/>
            <w:tcBorders>
              <w:left w:val="single" w:sz="12" w:space="0" w:color="auto"/>
            </w:tcBorders>
          </w:tcPr>
          <w:p w:rsidR="002328F7" w:rsidRPr="00A77228" w:rsidRDefault="002328F7" w:rsidP="00836975">
            <w:pPr>
              <w:rPr>
                <w:sz w:val="24"/>
                <w:szCs w:val="24"/>
              </w:rPr>
            </w:pPr>
            <w:r w:rsidRPr="00DB758F">
              <w:rPr>
                <w:noProof/>
                <w:sz w:val="24"/>
                <w:szCs w:val="24"/>
              </w:rPr>
              <w:t>26 March 2015</w:t>
            </w:r>
          </w:p>
        </w:tc>
      </w:tr>
      <w:tr w:rsidR="002328F7" w:rsidRPr="00164622" w:rsidTr="00836975">
        <w:tc>
          <w:tcPr>
            <w:tcW w:w="2694" w:type="dxa"/>
            <w:tcBorders>
              <w:right w:val="single" w:sz="12" w:space="0" w:color="auto"/>
            </w:tcBorders>
          </w:tcPr>
          <w:p w:rsidR="002328F7" w:rsidRPr="00A77228" w:rsidRDefault="002328F7" w:rsidP="00836975">
            <w:pPr>
              <w:rPr>
                <w:b/>
                <w:sz w:val="24"/>
                <w:szCs w:val="24"/>
              </w:rPr>
            </w:pPr>
            <w:r w:rsidRPr="00A77228">
              <w:rPr>
                <w:b/>
                <w:sz w:val="24"/>
                <w:szCs w:val="24"/>
              </w:rPr>
              <w:t>Authorising legislation</w:t>
            </w:r>
          </w:p>
        </w:tc>
        <w:tc>
          <w:tcPr>
            <w:tcW w:w="6378" w:type="dxa"/>
            <w:tcBorders>
              <w:left w:val="single" w:sz="12" w:space="0" w:color="auto"/>
            </w:tcBorders>
          </w:tcPr>
          <w:p w:rsidR="002328F7" w:rsidRPr="00932D1C" w:rsidRDefault="002328F7" w:rsidP="00836975">
            <w:pPr>
              <w:rPr>
                <w:i/>
                <w:sz w:val="24"/>
                <w:szCs w:val="24"/>
              </w:rPr>
            </w:pPr>
            <w:r w:rsidRPr="00DB758F">
              <w:rPr>
                <w:i/>
                <w:noProof/>
                <w:sz w:val="24"/>
                <w:szCs w:val="24"/>
              </w:rPr>
              <w:t>Migration Act 1958</w:t>
            </w:r>
          </w:p>
        </w:tc>
      </w:tr>
      <w:tr w:rsidR="002328F7" w:rsidRPr="00164622" w:rsidTr="00836975">
        <w:tc>
          <w:tcPr>
            <w:tcW w:w="2694" w:type="dxa"/>
            <w:tcBorders>
              <w:bottom w:val="single" w:sz="12" w:space="0" w:color="auto"/>
              <w:right w:val="single" w:sz="12" w:space="0" w:color="auto"/>
            </w:tcBorders>
          </w:tcPr>
          <w:p w:rsidR="002328F7" w:rsidRPr="00A77228" w:rsidRDefault="002328F7" w:rsidP="00836975">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2328F7" w:rsidRPr="00A77228" w:rsidRDefault="002328F7" w:rsidP="00836975">
            <w:pPr>
              <w:rPr>
                <w:sz w:val="24"/>
                <w:szCs w:val="24"/>
              </w:rPr>
            </w:pPr>
            <w:r w:rsidRPr="00DB758F">
              <w:rPr>
                <w:noProof/>
                <w:sz w:val="24"/>
                <w:szCs w:val="24"/>
              </w:rPr>
              <w:t>Immigration and Border Protection</w:t>
            </w:r>
          </w:p>
        </w:tc>
      </w:tr>
    </w:tbl>
    <w:p w:rsidR="002328F7" w:rsidRPr="00164622" w:rsidRDefault="002328F7" w:rsidP="002328F7">
      <w:pPr>
        <w:spacing w:after="0"/>
        <w:rPr>
          <w:szCs w:val="26"/>
        </w:rPr>
      </w:pPr>
      <w:r>
        <w:rPr>
          <w:b/>
        </w:rPr>
        <w:t xml:space="preserve">[The committee first reported on this instrument in </w:t>
      </w:r>
      <w:r>
        <w:rPr>
          <w:b/>
          <w:i/>
        </w:rPr>
        <w:t xml:space="preserve">Delegated legislation monitor </w:t>
      </w:r>
      <w:r>
        <w:rPr>
          <w:b/>
        </w:rPr>
        <w:t>No. 1 of 2015]</w:t>
      </w:r>
    </w:p>
    <w:p w:rsidR="002328F7" w:rsidRPr="00164622" w:rsidRDefault="002328F7" w:rsidP="002328F7">
      <w:pPr>
        <w:rPr>
          <w:b/>
          <w:szCs w:val="26"/>
        </w:rPr>
      </w:pPr>
      <w:r w:rsidRPr="00164622">
        <w:rPr>
          <w:b/>
          <w:szCs w:val="26"/>
        </w:rPr>
        <w:t>Issue:</w:t>
      </w:r>
    </w:p>
    <w:p w:rsidR="002328F7" w:rsidRPr="00164622" w:rsidRDefault="002328F7" w:rsidP="002328F7">
      <w:pPr>
        <w:rPr>
          <w:i/>
          <w:noProof/>
          <w:szCs w:val="26"/>
        </w:rPr>
      </w:pPr>
      <w:r w:rsidRPr="00DB758F">
        <w:rPr>
          <w:i/>
          <w:noProof/>
          <w:szCs w:val="26"/>
        </w:rPr>
        <w:t>Insufficient information regarding consultation</w:t>
      </w:r>
    </w:p>
    <w:p w:rsidR="002328F7" w:rsidRPr="00DB758F" w:rsidRDefault="002328F7" w:rsidP="002328F7">
      <w:pPr>
        <w:rPr>
          <w:noProof/>
          <w:szCs w:val="26"/>
        </w:rPr>
      </w:pPr>
      <w:r w:rsidRPr="00DB758F">
        <w:rPr>
          <w:noProof/>
          <w:szCs w:val="26"/>
        </w:rPr>
        <w:t xml:space="preserve">Section 17 of the </w:t>
      </w:r>
      <w:r w:rsidRPr="005F4399">
        <w:rPr>
          <w:i/>
          <w:noProof/>
          <w:szCs w:val="26"/>
        </w:rPr>
        <w:t>Legislative Instruments Act 2003</w:t>
      </w:r>
      <w:r w:rsidRPr="00DB758F">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w:t>
      </w:r>
      <w:r>
        <w:rPr>
          <w:noProof/>
          <w:szCs w:val="26"/>
        </w:rPr>
        <w:t xml:space="preserve">ate. The </w:t>
      </w:r>
      <w:r w:rsidRPr="00DB758F">
        <w:rPr>
          <w:noProof/>
          <w:szCs w:val="26"/>
        </w:rPr>
        <w:t>ES which must accompany an instrument is required to describe the nature of any consultation that has been carried out or, if there has been no consultation, to explain why none was undertaken (section 26). With reference to these requirements, the committee notes the ES for the instrument states:</w:t>
      </w:r>
    </w:p>
    <w:p w:rsidR="002328F7" w:rsidRPr="00DB758F" w:rsidRDefault="002328F7" w:rsidP="002328F7">
      <w:pPr>
        <w:pStyle w:val="Quote"/>
        <w:rPr>
          <w:noProof/>
        </w:rPr>
      </w:pPr>
      <w:r w:rsidRPr="00DB758F">
        <w:rPr>
          <w:noProof/>
        </w:rPr>
        <w:t xml:space="preserve">Under section 18(2)(b) of the </w:t>
      </w:r>
      <w:r w:rsidRPr="005F4399">
        <w:rPr>
          <w:i/>
          <w:noProof/>
        </w:rPr>
        <w:t>Legislative Instruments Act 2003</w:t>
      </w:r>
      <w:r w:rsidRPr="00DB758F">
        <w:rPr>
          <w:noProof/>
        </w:rPr>
        <w:t>, consultation was considered inappropriate due to the Instrument being required as a matter of urgency.</w:t>
      </w:r>
    </w:p>
    <w:p w:rsidR="002328F7" w:rsidRDefault="002328F7" w:rsidP="002328F7">
      <w:pPr>
        <w:rPr>
          <w:noProof/>
          <w:szCs w:val="26"/>
        </w:rPr>
      </w:pPr>
      <w:r w:rsidRPr="00DB758F">
        <w:rPr>
          <w:noProof/>
          <w:szCs w:val="26"/>
        </w:rPr>
        <w:t>The committee also notes the instrument will have a beneficial impact by</w:t>
      </w:r>
      <w:r>
        <w:rPr>
          <w:noProof/>
          <w:szCs w:val="26"/>
        </w:rPr>
        <w:t>:</w:t>
      </w:r>
    </w:p>
    <w:p w:rsidR="002328F7" w:rsidRDefault="002328F7" w:rsidP="002328F7">
      <w:pPr>
        <w:pStyle w:val="Quote"/>
        <w:rPr>
          <w:noProof/>
        </w:rPr>
      </w:pPr>
      <w:r>
        <w:rPr>
          <w:noProof/>
        </w:rPr>
        <w:t xml:space="preserve">…[raising] </w:t>
      </w:r>
      <w:r w:rsidRPr="00DB758F">
        <w:rPr>
          <w:noProof/>
        </w:rPr>
        <w:t>the minimum combined total number of Protection (Class XA) and Refugee and Humanitarian (Class XB) visas that the Minister must take all reasonably practicable measures to ensure are granted.</w:t>
      </w:r>
    </w:p>
    <w:p w:rsidR="002328F7" w:rsidRDefault="002328F7" w:rsidP="002328F7">
      <w:pPr>
        <w:rPr>
          <w:noProof/>
          <w:szCs w:val="26"/>
        </w:rPr>
      </w:pPr>
      <w:r w:rsidRPr="00DB758F">
        <w:rPr>
          <w:noProof/>
          <w:szCs w:val="26"/>
        </w:rPr>
        <w:lastRenderedPageBreak/>
        <w:t xml:space="preserve">However, the increase commences in the financial year starting 1 July 2017. There is no change from the existing visa numbers for the financial years starting 1 July 2015 and 1 July 2016. It is not immediately apparent, therefore, why the instrument was required as a matter of urgency. The committee's expectations regarding </w:t>
      </w:r>
      <w:r>
        <w:rPr>
          <w:noProof/>
          <w:szCs w:val="26"/>
        </w:rPr>
        <w:t>the provision of reasoning in cases where</w:t>
      </w:r>
      <w:r w:rsidRPr="00DB758F">
        <w:rPr>
          <w:noProof/>
          <w:szCs w:val="26"/>
        </w:rPr>
        <w:t xml:space="preserve"> consultation has not been undertaken are set out in the 'Guideline on consultation' in Appendix </w:t>
      </w:r>
      <w:r>
        <w:rPr>
          <w:noProof/>
          <w:szCs w:val="26"/>
        </w:rPr>
        <w:t>2</w:t>
      </w:r>
      <w:r w:rsidRPr="00DB758F">
        <w:rPr>
          <w:noProof/>
          <w:szCs w:val="26"/>
        </w:rPr>
        <w:t xml:space="preserve"> of this report. In particular, the committee would generally expect the ES to explain the reasoning as to why the instrument was considered urgent (as opposed to, for example, it being convenient or preferable not to undertake consultation). </w:t>
      </w:r>
    </w:p>
    <w:p w:rsidR="002328F7" w:rsidRPr="00E5730F" w:rsidRDefault="002328F7" w:rsidP="002328F7">
      <w:pPr>
        <w:rPr>
          <w:b/>
          <w:noProof/>
          <w:szCs w:val="26"/>
        </w:rPr>
      </w:pPr>
      <w:r>
        <w:rPr>
          <w:b/>
          <w:noProof/>
          <w:szCs w:val="26"/>
        </w:rPr>
        <w:t>[</w:t>
      </w:r>
      <w:r w:rsidRPr="00E5730F">
        <w:rPr>
          <w:b/>
          <w:noProof/>
          <w:szCs w:val="26"/>
        </w:rPr>
        <w:t>The committee therefore request</w:t>
      </w:r>
      <w:r>
        <w:rPr>
          <w:b/>
          <w:noProof/>
          <w:szCs w:val="26"/>
        </w:rPr>
        <w:t>ed</w:t>
      </w:r>
      <w:r w:rsidRPr="00E5730F">
        <w:rPr>
          <w:b/>
          <w:noProof/>
          <w:szCs w:val="26"/>
        </w:rPr>
        <w:t xml:space="preserve"> further information from the minister; and request</w:t>
      </w:r>
      <w:r>
        <w:rPr>
          <w:b/>
          <w:noProof/>
          <w:szCs w:val="26"/>
        </w:rPr>
        <w:t>ed</w:t>
      </w:r>
      <w:r w:rsidRPr="00E5730F">
        <w:rPr>
          <w:b/>
          <w:noProof/>
          <w:szCs w:val="26"/>
        </w:rPr>
        <w:t xml:space="preserve"> that the ES be updated in accordance with the requirements of the </w:t>
      </w:r>
      <w:r w:rsidRPr="00E5730F">
        <w:rPr>
          <w:b/>
          <w:i/>
          <w:noProof/>
          <w:szCs w:val="26"/>
        </w:rPr>
        <w:t>Legislative Instruments Act 2003</w:t>
      </w:r>
      <w:r>
        <w:rPr>
          <w:b/>
          <w:noProof/>
          <w:szCs w:val="26"/>
        </w:rPr>
        <w:t>].</w:t>
      </w:r>
    </w:p>
    <w:p w:rsidR="002328F7" w:rsidRPr="007107BE" w:rsidRDefault="002328F7" w:rsidP="002328F7">
      <w:pPr>
        <w:rPr>
          <w:b/>
        </w:rPr>
      </w:pPr>
      <w:r w:rsidRPr="007107BE">
        <w:rPr>
          <w:b/>
        </w:rPr>
        <w:t>MINISTER'S RESPONSE:</w:t>
      </w:r>
    </w:p>
    <w:p w:rsidR="002328F7" w:rsidRDefault="002328F7" w:rsidP="002328F7">
      <w:pPr>
        <w:pStyle w:val="Level1"/>
        <w:numPr>
          <w:ilvl w:val="0"/>
          <w:numId w:val="0"/>
        </w:numPr>
      </w:pPr>
      <w:r>
        <w:t>The Minister for Immigration and Border Protection advised that, as</w:t>
      </w:r>
      <w:r w:rsidRPr="00043B23">
        <w:t xml:space="preserve"> part</w:t>
      </w:r>
      <w:r>
        <w:t xml:space="preserve"> of the government'</w:t>
      </w:r>
      <w:r w:rsidRPr="00043B23">
        <w:t>s border protection reform agenda</w:t>
      </w:r>
      <w:r>
        <w:t>:</w:t>
      </w:r>
    </w:p>
    <w:p w:rsidR="002328F7" w:rsidRPr="00043B23" w:rsidRDefault="002328F7" w:rsidP="002328F7">
      <w:pPr>
        <w:pStyle w:val="Quote"/>
      </w:pPr>
      <w:r w:rsidRPr="00043B23">
        <w:t>The Instrument was required as a matter of urgency because the debating of the Resolving</w:t>
      </w:r>
      <w:r>
        <w:t xml:space="preserve"> </w:t>
      </w:r>
      <w:r w:rsidRPr="00043B23">
        <w:t>the Legacy Caseload Bill presented an opportunity to complete portfolio legislative priorities</w:t>
      </w:r>
      <w:r>
        <w:t xml:space="preserve"> </w:t>
      </w:r>
      <w:r w:rsidRPr="00043B23">
        <w:t>by the end of the parliamentary year. The timing of the instrument had the benefit of giving</w:t>
      </w:r>
      <w:r>
        <w:t xml:space="preserve"> </w:t>
      </w:r>
      <w:r w:rsidRPr="00043B23">
        <w:t>Senators an overview of related legislation, without which they may not have appreciated the</w:t>
      </w:r>
      <w:r>
        <w:t xml:space="preserve"> </w:t>
      </w:r>
      <w:r w:rsidRPr="00043B23">
        <w:t>interdependencies of the measures.</w:t>
      </w:r>
    </w:p>
    <w:p w:rsidR="002328F7" w:rsidRDefault="002328F7" w:rsidP="002328F7">
      <w:r>
        <w:t>The minister further advised:</w:t>
      </w:r>
    </w:p>
    <w:p w:rsidR="002328F7" w:rsidRPr="00043B23" w:rsidRDefault="002328F7" w:rsidP="002328F7">
      <w:pPr>
        <w:pStyle w:val="Quote"/>
      </w:pPr>
      <w:r w:rsidRPr="00043B23">
        <w:t>Consultation for the Instrument specifically was considered unnecessary because there is</w:t>
      </w:r>
      <w:r>
        <w:t xml:space="preserve"> </w:t>
      </w:r>
      <w:r w:rsidRPr="00043B23">
        <w:t>a long-established annual consultation process that allows individuals, business,</w:t>
      </w:r>
      <w:r>
        <w:t xml:space="preserve"> </w:t>
      </w:r>
      <w:r w:rsidRPr="00043B23">
        <w:t>organisations, states and territories, government departments and senior ministers to</w:t>
      </w:r>
      <w:r>
        <w:t xml:space="preserve"> </w:t>
      </w:r>
      <w:r w:rsidRPr="00043B23">
        <w:t>express their views on the size and composition of the Humanitarian Programme.</w:t>
      </w:r>
      <w:r>
        <w:t xml:space="preserve"> </w:t>
      </w:r>
      <w:r w:rsidRPr="00043B23">
        <w:t>Every year, the department publishes a discussion paper and invites the public to make</w:t>
      </w:r>
      <w:r>
        <w:t xml:space="preserve"> </w:t>
      </w:r>
      <w:r w:rsidRPr="00043B23">
        <w:t>submissions on the Humanitarian Programme. The department consults state and territory</w:t>
      </w:r>
      <w:r>
        <w:t xml:space="preserve"> </w:t>
      </w:r>
      <w:r w:rsidRPr="00043B23">
        <w:t>governments and other government agencies, as well as peak refugee and humanitarian</w:t>
      </w:r>
      <w:r>
        <w:t xml:space="preserve"> </w:t>
      </w:r>
      <w:r w:rsidRPr="00043B23">
        <w:t>bodies. It also considers the advice of the United Nations High Commissioner for Refugees</w:t>
      </w:r>
      <w:r>
        <w:t xml:space="preserve"> </w:t>
      </w:r>
      <w:r w:rsidRPr="00043B23">
        <w:t>on global resettlement needs and priorities. These cons</w:t>
      </w:r>
      <w:r>
        <w:t>ultations inform the government'</w:t>
      </w:r>
      <w:r w:rsidRPr="00043B23">
        <w:t>s</w:t>
      </w:r>
      <w:r>
        <w:t xml:space="preserve"> </w:t>
      </w:r>
      <w:r w:rsidRPr="00043B23">
        <w:t>decisions on the size and composition of the Humanitarian Programme in the year ahead.</w:t>
      </w:r>
    </w:p>
    <w:p w:rsidR="002328F7" w:rsidRPr="0076670E" w:rsidRDefault="002328F7" w:rsidP="002328F7">
      <w:pPr>
        <w:pStyle w:val="Level1"/>
        <w:numPr>
          <w:ilvl w:val="0"/>
          <w:numId w:val="0"/>
        </w:numPr>
        <w:rPr>
          <w:b/>
        </w:rPr>
      </w:pPr>
      <w:r w:rsidRPr="0076670E">
        <w:rPr>
          <w:b/>
        </w:rPr>
        <w:t>COMMITTEE RESPONSE:</w:t>
      </w:r>
    </w:p>
    <w:p w:rsidR="002328F7" w:rsidRDefault="002328F7" w:rsidP="002328F7">
      <w:pPr>
        <w:pStyle w:val="Level1"/>
        <w:numPr>
          <w:ilvl w:val="0"/>
          <w:numId w:val="0"/>
        </w:numPr>
        <w:rPr>
          <w:b/>
        </w:rPr>
      </w:pPr>
      <w:r w:rsidRPr="001065DB">
        <w:rPr>
          <w:b/>
        </w:rPr>
        <w:t xml:space="preserve">The committee thanks the </w:t>
      </w:r>
      <w:r>
        <w:rPr>
          <w:b/>
        </w:rPr>
        <w:t>minister</w:t>
      </w:r>
      <w:r w:rsidRPr="001065DB">
        <w:rPr>
          <w:b/>
        </w:rPr>
        <w:t xml:space="preserve"> for his response</w:t>
      </w:r>
      <w:r>
        <w:rPr>
          <w:b/>
        </w:rPr>
        <w:t>.</w:t>
      </w:r>
    </w:p>
    <w:p w:rsidR="002328F7" w:rsidRPr="003970C0" w:rsidRDefault="002328F7" w:rsidP="002328F7">
      <w:pPr>
        <w:pStyle w:val="Level1"/>
        <w:numPr>
          <w:ilvl w:val="0"/>
          <w:numId w:val="0"/>
        </w:numPr>
      </w:pPr>
      <w:r>
        <w:t xml:space="preserve">The committee notes the minister's response could be taken as an indication that the instrument was required as a matter of convenience at the time the </w:t>
      </w:r>
      <w:r w:rsidRPr="001525B4">
        <w:t>Resolving the Legacy Caseload Bill</w:t>
      </w:r>
      <w:r>
        <w:t xml:space="preserve"> was being debated (rather than necessarily being considered a matter of urgency). However, the committee also notes the minister's advice that </w:t>
      </w:r>
      <w:r>
        <w:lastRenderedPageBreak/>
        <w:t>specific consultation on the instrument was considered unnecessary because of the wider annual consultation undertaken on the Humanitarian Program.</w:t>
      </w:r>
    </w:p>
    <w:p w:rsidR="002328F7" w:rsidRDefault="002328F7" w:rsidP="002328F7">
      <w:pPr>
        <w:pStyle w:val="Level1"/>
        <w:numPr>
          <w:ilvl w:val="0"/>
          <w:numId w:val="0"/>
        </w:numPr>
        <w:rPr>
          <w:b/>
        </w:rPr>
      </w:pPr>
      <w:r>
        <w:rPr>
          <w:b/>
        </w:rPr>
        <w:t>The committee has therefore concluded its examination of the instrument.</w:t>
      </w:r>
    </w:p>
    <w:p w:rsidR="002328F7" w:rsidRDefault="002328F7" w:rsidP="002328F7">
      <w:pPr>
        <w:spacing w:after="0"/>
        <w:jc w:val="left"/>
      </w:pPr>
    </w:p>
    <w:p w:rsidR="002328F7" w:rsidRDefault="002328F7" w:rsidP="002328F7">
      <w:pPr>
        <w:pStyle w:val="Heading3"/>
        <w:spacing w:after="0"/>
      </w:pPr>
      <w:r w:rsidRPr="005038EF">
        <w:rPr>
          <w:noProof/>
        </w:rPr>
        <w:t>Banking (prudential standard) determination No. 3 of 2014 - Prudential Standard APS 001 – Definitions [F2014L01649]</w:t>
      </w:r>
    </w:p>
    <w:p w:rsidR="002328F7" w:rsidRPr="001E0577" w:rsidRDefault="002328F7" w:rsidP="002328F7"/>
    <w:tbl>
      <w:tblPr>
        <w:tblW w:w="0" w:type="auto"/>
        <w:tblInd w:w="108" w:type="dxa"/>
        <w:tblLook w:val="04A0" w:firstRow="1" w:lastRow="0" w:firstColumn="1" w:lastColumn="0" w:noHBand="0" w:noVBand="1"/>
      </w:tblPr>
      <w:tblGrid>
        <w:gridCol w:w="2694"/>
        <w:gridCol w:w="6378"/>
      </w:tblGrid>
      <w:tr w:rsidR="002328F7" w:rsidRPr="00164622" w:rsidTr="00836975">
        <w:tc>
          <w:tcPr>
            <w:tcW w:w="2694" w:type="dxa"/>
            <w:tcBorders>
              <w:top w:val="single" w:sz="12" w:space="0" w:color="auto"/>
              <w:right w:val="single" w:sz="12" w:space="0" w:color="auto"/>
            </w:tcBorders>
          </w:tcPr>
          <w:p w:rsidR="002328F7" w:rsidRPr="00A77228" w:rsidRDefault="002328F7" w:rsidP="00836975">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2328F7" w:rsidRPr="00A77228" w:rsidRDefault="002328F7" w:rsidP="00836975">
            <w:pPr>
              <w:rPr>
                <w:sz w:val="24"/>
                <w:szCs w:val="24"/>
              </w:rPr>
            </w:pPr>
            <w:r w:rsidRPr="005038EF">
              <w:rPr>
                <w:noProof/>
                <w:sz w:val="24"/>
                <w:szCs w:val="24"/>
              </w:rPr>
              <w:t>Determin</w:t>
            </w:r>
            <w:r>
              <w:rPr>
                <w:noProof/>
                <w:sz w:val="24"/>
                <w:szCs w:val="24"/>
              </w:rPr>
              <w:t>es Prudential Standard APS 001 d</w:t>
            </w:r>
            <w:r w:rsidRPr="005038EF">
              <w:rPr>
                <w:noProof/>
                <w:sz w:val="24"/>
                <w:szCs w:val="24"/>
              </w:rPr>
              <w:t>efinitions</w:t>
            </w:r>
          </w:p>
        </w:tc>
      </w:tr>
      <w:tr w:rsidR="002328F7" w:rsidRPr="00164622" w:rsidTr="00836975">
        <w:tc>
          <w:tcPr>
            <w:tcW w:w="2694" w:type="dxa"/>
            <w:tcBorders>
              <w:right w:val="single" w:sz="12" w:space="0" w:color="auto"/>
            </w:tcBorders>
          </w:tcPr>
          <w:p w:rsidR="002328F7" w:rsidRPr="00A77228" w:rsidRDefault="002328F7" w:rsidP="00836975">
            <w:pPr>
              <w:rPr>
                <w:b/>
                <w:sz w:val="24"/>
                <w:szCs w:val="24"/>
              </w:rPr>
            </w:pPr>
            <w:r w:rsidRPr="00A77228">
              <w:rPr>
                <w:b/>
                <w:sz w:val="24"/>
                <w:szCs w:val="24"/>
              </w:rPr>
              <w:t>Last day to disallow</w:t>
            </w:r>
          </w:p>
        </w:tc>
        <w:tc>
          <w:tcPr>
            <w:tcW w:w="6378" w:type="dxa"/>
            <w:tcBorders>
              <w:left w:val="single" w:sz="12" w:space="0" w:color="auto"/>
            </w:tcBorders>
          </w:tcPr>
          <w:p w:rsidR="002328F7" w:rsidRPr="00A77228" w:rsidRDefault="002328F7" w:rsidP="00836975">
            <w:pPr>
              <w:rPr>
                <w:sz w:val="24"/>
                <w:szCs w:val="24"/>
              </w:rPr>
            </w:pPr>
            <w:r w:rsidRPr="005038EF">
              <w:rPr>
                <w:noProof/>
                <w:sz w:val="24"/>
                <w:szCs w:val="24"/>
              </w:rPr>
              <w:t>26 March 2015</w:t>
            </w:r>
          </w:p>
        </w:tc>
      </w:tr>
      <w:tr w:rsidR="002328F7" w:rsidRPr="00164622" w:rsidTr="00836975">
        <w:tc>
          <w:tcPr>
            <w:tcW w:w="2694" w:type="dxa"/>
            <w:tcBorders>
              <w:right w:val="single" w:sz="12" w:space="0" w:color="auto"/>
            </w:tcBorders>
          </w:tcPr>
          <w:p w:rsidR="002328F7" w:rsidRPr="00A77228" w:rsidRDefault="002328F7" w:rsidP="00836975">
            <w:pPr>
              <w:rPr>
                <w:b/>
                <w:sz w:val="24"/>
                <w:szCs w:val="24"/>
              </w:rPr>
            </w:pPr>
            <w:r w:rsidRPr="00A77228">
              <w:rPr>
                <w:b/>
                <w:sz w:val="24"/>
                <w:szCs w:val="24"/>
              </w:rPr>
              <w:t>Authorising legislation</w:t>
            </w:r>
          </w:p>
        </w:tc>
        <w:tc>
          <w:tcPr>
            <w:tcW w:w="6378" w:type="dxa"/>
            <w:tcBorders>
              <w:left w:val="single" w:sz="12" w:space="0" w:color="auto"/>
            </w:tcBorders>
          </w:tcPr>
          <w:p w:rsidR="002328F7" w:rsidRPr="00932D1C" w:rsidRDefault="002328F7" w:rsidP="00836975">
            <w:pPr>
              <w:rPr>
                <w:i/>
                <w:sz w:val="24"/>
                <w:szCs w:val="24"/>
              </w:rPr>
            </w:pPr>
            <w:r w:rsidRPr="005038EF">
              <w:rPr>
                <w:i/>
                <w:noProof/>
                <w:sz w:val="24"/>
                <w:szCs w:val="24"/>
              </w:rPr>
              <w:t>Banking Act 1959</w:t>
            </w:r>
          </w:p>
        </w:tc>
      </w:tr>
      <w:tr w:rsidR="002328F7" w:rsidRPr="00164622" w:rsidTr="00836975">
        <w:tc>
          <w:tcPr>
            <w:tcW w:w="2694" w:type="dxa"/>
            <w:tcBorders>
              <w:bottom w:val="single" w:sz="12" w:space="0" w:color="auto"/>
              <w:right w:val="single" w:sz="12" w:space="0" w:color="auto"/>
            </w:tcBorders>
          </w:tcPr>
          <w:p w:rsidR="002328F7" w:rsidRPr="00A77228" w:rsidRDefault="002328F7" w:rsidP="00836975">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2328F7" w:rsidRPr="00A77228" w:rsidRDefault="002328F7" w:rsidP="00836975">
            <w:pPr>
              <w:rPr>
                <w:sz w:val="24"/>
                <w:szCs w:val="24"/>
              </w:rPr>
            </w:pPr>
            <w:r w:rsidRPr="005038EF">
              <w:rPr>
                <w:noProof/>
                <w:sz w:val="24"/>
                <w:szCs w:val="24"/>
              </w:rPr>
              <w:t>Treasury</w:t>
            </w:r>
          </w:p>
        </w:tc>
      </w:tr>
    </w:tbl>
    <w:p w:rsidR="002328F7" w:rsidRPr="00164622" w:rsidRDefault="002328F7" w:rsidP="002328F7">
      <w:pPr>
        <w:spacing w:after="0"/>
        <w:rPr>
          <w:szCs w:val="26"/>
        </w:rPr>
      </w:pPr>
      <w:r>
        <w:rPr>
          <w:b/>
        </w:rPr>
        <w:t xml:space="preserve">[The committee first reported on this instrument in </w:t>
      </w:r>
      <w:r>
        <w:rPr>
          <w:b/>
          <w:i/>
        </w:rPr>
        <w:t xml:space="preserve">Delegated legislation monitor </w:t>
      </w:r>
      <w:r>
        <w:rPr>
          <w:b/>
        </w:rPr>
        <w:t>No. 1 of 2015]</w:t>
      </w:r>
    </w:p>
    <w:p w:rsidR="002328F7" w:rsidRPr="00164622" w:rsidRDefault="002328F7" w:rsidP="002328F7">
      <w:pPr>
        <w:rPr>
          <w:b/>
          <w:szCs w:val="26"/>
        </w:rPr>
      </w:pPr>
      <w:r w:rsidRPr="00164622">
        <w:rPr>
          <w:b/>
          <w:szCs w:val="26"/>
        </w:rPr>
        <w:t>Issue:</w:t>
      </w:r>
    </w:p>
    <w:p w:rsidR="002328F7" w:rsidRPr="00164622" w:rsidRDefault="002328F7" w:rsidP="002328F7">
      <w:pPr>
        <w:rPr>
          <w:i/>
          <w:noProof/>
          <w:szCs w:val="26"/>
        </w:rPr>
      </w:pPr>
      <w:r w:rsidRPr="005038EF">
        <w:rPr>
          <w:i/>
          <w:noProof/>
          <w:szCs w:val="26"/>
        </w:rPr>
        <w:t>Insufficient information regarding consultation</w:t>
      </w:r>
    </w:p>
    <w:p w:rsidR="002328F7" w:rsidRDefault="002328F7" w:rsidP="002328F7">
      <w:pPr>
        <w:rPr>
          <w:noProof/>
          <w:szCs w:val="26"/>
        </w:rPr>
      </w:pPr>
      <w:r w:rsidRPr="005038EF">
        <w:rPr>
          <w:noProof/>
          <w:szCs w:val="26"/>
        </w:rPr>
        <w:t xml:space="preserve">Section 17 of the </w:t>
      </w:r>
      <w:r w:rsidRPr="00AD6445">
        <w:rPr>
          <w:i/>
          <w:noProof/>
          <w:szCs w:val="26"/>
        </w:rPr>
        <w:t>Legislative Instruments Act 2003</w:t>
      </w:r>
      <w:r w:rsidRPr="005038EF">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w:t>
      </w:r>
      <w:r>
        <w:rPr>
          <w:noProof/>
          <w:szCs w:val="26"/>
        </w:rPr>
        <w:t> </w:t>
      </w:r>
      <w:r w:rsidRPr="005038EF">
        <w:rPr>
          <w:noProof/>
          <w:szCs w:val="26"/>
        </w:rPr>
        <w:t xml:space="preserve">26). With reference to these requirements, the committee notes that the ES states that 'APRA undertook a seven week consultation on the proposed consequential changes from August 2014'. 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sidRPr="00AD6445">
        <w:rPr>
          <w:i/>
          <w:noProof/>
          <w:szCs w:val="26"/>
        </w:rPr>
        <w:t>Legislative Instruments Act 2003</w:t>
      </w:r>
      <w:r w:rsidRPr="005038EF">
        <w:rPr>
          <w:noProof/>
          <w:szCs w:val="26"/>
        </w:rPr>
        <w:t xml:space="preserve">. The committee's expectations in this regard are set out in the 'Guideline on consultation' in Appendix </w:t>
      </w:r>
      <w:r>
        <w:rPr>
          <w:noProof/>
          <w:szCs w:val="26"/>
        </w:rPr>
        <w:t>2</w:t>
      </w:r>
      <w:r w:rsidRPr="005038EF">
        <w:rPr>
          <w:noProof/>
          <w:szCs w:val="26"/>
        </w:rPr>
        <w:t xml:space="preserve"> of this report. </w:t>
      </w:r>
    </w:p>
    <w:p w:rsidR="002328F7" w:rsidRDefault="002328F7" w:rsidP="002328F7">
      <w:pPr>
        <w:rPr>
          <w:b/>
          <w:noProof/>
          <w:szCs w:val="26"/>
        </w:rPr>
      </w:pPr>
      <w:r>
        <w:rPr>
          <w:b/>
          <w:noProof/>
          <w:szCs w:val="26"/>
        </w:rPr>
        <w:t>[</w:t>
      </w:r>
      <w:r w:rsidRPr="00AD6445">
        <w:rPr>
          <w:b/>
          <w:noProof/>
          <w:szCs w:val="26"/>
        </w:rPr>
        <w:t>The committee therefore request</w:t>
      </w:r>
      <w:r>
        <w:rPr>
          <w:b/>
          <w:noProof/>
          <w:szCs w:val="26"/>
        </w:rPr>
        <w:t>ed</w:t>
      </w:r>
      <w:r w:rsidRPr="00AD6445">
        <w:rPr>
          <w:b/>
          <w:noProof/>
          <w:szCs w:val="26"/>
        </w:rPr>
        <w:t xml:space="preserve"> further information from the minister; and request</w:t>
      </w:r>
      <w:r>
        <w:rPr>
          <w:b/>
          <w:noProof/>
          <w:szCs w:val="26"/>
        </w:rPr>
        <w:t>ed</w:t>
      </w:r>
      <w:r w:rsidRPr="00AD6445">
        <w:rPr>
          <w:b/>
          <w:noProof/>
          <w:szCs w:val="26"/>
        </w:rPr>
        <w:t xml:space="preserve"> that the ES be updated in accordance with the requirements of the </w:t>
      </w:r>
      <w:r w:rsidRPr="003F166C">
        <w:rPr>
          <w:b/>
          <w:i/>
          <w:noProof/>
          <w:szCs w:val="26"/>
        </w:rPr>
        <w:t>Legislative Instruments Act 2003</w:t>
      </w:r>
      <w:r>
        <w:rPr>
          <w:b/>
          <w:noProof/>
          <w:szCs w:val="26"/>
        </w:rPr>
        <w:t>]</w:t>
      </w:r>
      <w:r w:rsidRPr="00AD6445">
        <w:rPr>
          <w:b/>
          <w:noProof/>
          <w:szCs w:val="26"/>
        </w:rPr>
        <w:t>.</w:t>
      </w:r>
    </w:p>
    <w:p w:rsidR="002328F7" w:rsidRPr="007107BE" w:rsidRDefault="002328F7" w:rsidP="002328F7">
      <w:pPr>
        <w:rPr>
          <w:b/>
        </w:rPr>
      </w:pPr>
      <w:bookmarkStart w:id="21" w:name="OLE_LINK1"/>
      <w:r w:rsidRPr="007107BE">
        <w:rPr>
          <w:b/>
        </w:rPr>
        <w:t>MINISTER'S RESPONSE:</w:t>
      </w:r>
    </w:p>
    <w:p w:rsidR="002328F7" w:rsidRDefault="002328F7" w:rsidP="002328F7">
      <w:pPr>
        <w:pStyle w:val="Level1"/>
        <w:numPr>
          <w:ilvl w:val="0"/>
          <w:numId w:val="0"/>
        </w:numPr>
      </w:pPr>
      <w:r>
        <w:t>The</w:t>
      </w:r>
      <w:bookmarkEnd w:id="21"/>
      <w:r>
        <w:t xml:space="preserve"> Assistant Treasurer advised that the Australian Prudential Regulation Authority (APRA) had consulted widely in relation to a </w:t>
      </w:r>
      <w:r w:rsidRPr="00AB0616">
        <w:t>new cross-industry Prudential</w:t>
      </w:r>
      <w:r>
        <w:t xml:space="preserve"> </w:t>
      </w:r>
      <w:r w:rsidRPr="00AB0616">
        <w:t>Standard CPS 220 Risk Management (CPS 220) that applie</w:t>
      </w:r>
      <w:r>
        <w:t>d</w:t>
      </w:r>
      <w:r w:rsidRPr="00AB0616">
        <w:t xml:space="preserve"> to </w:t>
      </w:r>
      <w:r>
        <w:t xml:space="preserve">Australian Deposit-taking </w:t>
      </w:r>
      <w:r>
        <w:lastRenderedPageBreak/>
        <w:t>Institutions (ADIs)</w:t>
      </w:r>
      <w:r w:rsidRPr="00AB0616">
        <w:t>, general</w:t>
      </w:r>
      <w:r>
        <w:t xml:space="preserve"> </w:t>
      </w:r>
      <w:r w:rsidRPr="00AB0616">
        <w:t xml:space="preserve">insurers and life insurers, and Level 2 and Level 3 </w:t>
      </w:r>
      <w:r>
        <w:t>–</w:t>
      </w:r>
      <w:r w:rsidRPr="00AB0616">
        <w:t>groups</w:t>
      </w:r>
      <w:r>
        <w:t xml:space="preserve">, and that APRA had subsequently consulted more narrowly on the minor and machinery </w:t>
      </w:r>
      <w:r w:rsidRPr="00AB0616">
        <w:t>consequential amendments to</w:t>
      </w:r>
      <w:r>
        <w:t xml:space="preserve"> </w:t>
      </w:r>
      <w:r w:rsidRPr="00AB0616">
        <w:t>existing industry-specific and cross-industry prudential standards</w:t>
      </w:r>
      <w:r>
        <w:t xml:space="preserve"> (including this instrument):</w:t>
      </w:r>
    </w:p>
    <w:p w:rsidR="002328F7" w:rsidRDefault="002328F7" w:rsidP="002328F7"/>
    <w:p w:rsidR="002328F7" w:rsidRPr="00AB0616" w:rsidRDefault="002328F7" w:rsidP="002328F7">
      <w:pPr>
        <w:pStyle w:val="Quote"/>
      </w:pPr>
      <w:r w:rsidRPr="00AB0616">
        <w:t>In May 2013, APRA commenced consultation on CPS 220 and CPS 510 with the</w:t>
      </w:r>
      <w:r>
        <w:t xml:space="preserve"> </w:t>
      </w:r>
      <w:r w:rsidRPr="00AB0616">
        <w:t xml:space="preserve">release of the discussion paper </w:t>
      </w:r>
      <w:r w:rsidRPr="00B91161">
        <w:rPr>
          <w:i/>
        </w:rPr>
        <w:t>Harmonising cross-industry risk management requirements</w:t>
      </w:r>
      <w:r w:rsidRPr="00AB0616">
        <w:t xml:space="preserve"> and accompanying draft versions of the two standards. These set out</w:t>
      </w:r>
      <w:r>
        <w:t xml:space="preserve"> </w:t>
      </w:r>
      <w:r w:rsidRPr="00AB0616">
        <w:t>APRA's approach to harmonising risk management requirements across the banking</w:t>
      </w:r>
      <w:r>
        <w:t xml:space="preserve"> </w:t>
      </w:r>
      <w:r w:rsidRPr="00AB0616">
        <w:t>and insurance industries, including the adoption of standard definitions of key</w:t>
      </w:r>
      <w:r>
        <w:t xml:space="preserve"> </w:t>
      </w:r>
      <w:r w:rsidRPr="00AB0616">
        <w:t>concepts such as 'risk management framework', 'risk management strategy' and 'risk</w:t>
      </w:r>
      <w:r>
        <w:t xml:space="preserve"> </w:t>
      </w:r>
      <w:r w:rsidRPr="00AB0616">
        <w:t>management declaration'. APRA also consulted separately on specific aspects of its</w:t>
      </w:r>
      <w:r>
        <w:t xml:space="preserve"> </w:t>
      </w:r>
      <w:r w:rsidRPr="00AB0616">
        <w:t>proposals. APRA received a number of formal an</w:t>
      </w:r>
      <w:r>
        <w:t>d infor</w:t>
      </w:r>
      <w:r w:rsidRPr="00AB0616">
        <w:t>mal responses to which it</w:t>
      </w:r>
      <w:r>
        <w:t xml:space="preserve"> </w:t>
      </w:r>
      <w:r w:rsidRPr="00AB0616">
        <w:t>responded with the release in January 2014 of the response to submissions paper,</w:t>
      </w:r>
      <w:r>
        <w:t xml:space="preserve"> </w:t>
      </w:r>
      <w:r w:rsidRPr="00B91161">
        <w:rPr>
          <w:i/>
        </w:rPr>
        <w:t>Harmonising cross-industry risk management requirements</w:t>
      </w:r>
      <w:r w:rsidRPr="00AB0616">
        <w:t>, which was accompanied</w:t>
      </w:r>
      <w:r>
        <w:t xml:space="preserve"> </w:t>
      </w:r>
      <w:r w:rsidRPr="00AB0616">
        <w:t>by final versions of CPS 220 and CPS 510.</w:t>
      </w:r>
    </w:p>
    <w:p w:rsidR="002328F7" w:rsidRDefault="002328F7" w:rsidP="002328F7">
      <w:pPr>
        <w:pStyle w:val="Quote"/>
      </w:pPr>
      <w:r w:rsidRPr="00AB0616">
        <w:t>On 24 August 2014, APRA released a letter seeking submissions on its proposed</w:t>
      </w:r>
      <w:r>
        <w:t xml:space="preserve"> </w:t>
      </w:r>
      <w:r w:rsidRPr="00AB0616">
        <w:t>implementation of changes to a number of pruden</w:t>
      </w:r>
      <w:r>
        <w:t xml:space="preserve">tial standards applying to ADIs, </w:t>
      </w:r>
      <w:r w:rsidRPr="00AB0616">
        <w:t>general insurers, life insurers and cross-industry arising from its proposals regarding</w:t>
      </w:r>
      <w:r>
        <w:t xml:space="preserve"> </w:t>
      </w:r>
      <w:r w:rsidRPr="00AB0616">
        <w:t>CPS 220 and CPS 510. Accompanying this letter was a draft of the relevant prudential</w:t>
      </w:r>
      <w:r>
        <w:t xml:space="preserve"> </w:t>
      </w:r>
      <w:r w:rsidRPr="00AB0616">
        <w:t>standards, including the n</w:t>
      </w:r>
      <w:r>
        <w:t>ine applying specifically to ADI</w:t>
      </w:r>
      <w:r w:rsidRPr="00AB0616">
        <w:t>s that have now been</w:t>
      </w:r>
      <w:r>
        <w:t xml:space="preserve"> </w:t>
      </w:r>
      <w:r w:rsidRPr="00AB0616">
        <w:t>determined. The amendments in these standards were either minor or machinery</w:t>
      </w:r>
      <w:r>
        <w:t xml:space="preserve"> </w:t>
      </w:r>
      <w:r w:rsidRPr="00AB0616">
        <w:t>changes or included provisions that had been addressed through the CPS 220 and CPS</w:t>
      </w:r>
      <w:r>
        <w:t xml:space="preserve"> </w:t>
      </w:r>
      <w:r w:rsidRPr="00AB0616">
        <w:t>510 consultation process (such as the standard definitions to be incorporated into APS</w:t>
      </w:r>
      <w:r>
        <w:t xml:space="preserve"> </w:t>
      </w:r>
      <w:r w:rsidRPr="00AB0616">
        <w:t>001). The letter therefore sought feedback only on errors or omissions in the draft</w:t>
      </w:r>
      <w:r>
        <w:t xml:space="preserve"> </w:t>
      </w:r>
      <w:r w:rsidRPr="00AB0616">
        <w:t>prudential standards. APRA published its response to the four submissions it received</w:t>
      </w:r>
      <w:r>
        <w:t xml:space="preserve"> by letter dated </w:t>
      </w:r>
      <w:r w:rsidRPr="00AB0616">
        <w:t>8 November 2014.</w:t>
      </w:r>
    </w:p>
    <w:p w:rsidR="002328F7" w:rsidRDefault="002328F7" w:rsidP="002328F7">
      <w:r>
        <w:t>The minister also provided the committee with a copy of the amended</w:t>
      </w:r>
      <w:r w:rsidRPr="003F60C7">
        <w:t xml:space="preserve"> </w:t>
      </w:r>
      <w:r>
        <w:t>ES</w:t>
      </w:r>
      <w:r w:rsidRPr="003F60C7">
        <w:t>.</w:t>
      </w:r>
    </w:p>
    <w:p w:rsidR="002328F7" w:rsidRPr="0076670E" w:rsidRDefault="002328F7" w:rsidP="002328F7">
      <w:pPr>
        <w:pStyle w:val="Level1"/>
        <w:numPr>
          <w:ilvl w:val="0"/>
          <w:numId w:val="0"/>
        </w:numPr>
        <w:rPr>
          <w:b/>
        </w:rPr>
      </w:pPr>
      <w:r w:rsidRPr="0076670E">
        <w:rPr>
          <w:b/>
        </w:rPr>
        <w:t>COMMITTEE RESPONSE:</w:t>
      </w:r>
    </w:p>
    <w:p w:rsidR="002328F7" w:rsidRDefault="002328F7" w:rsidP="002328F7">
      <w:pPr>
        <w:pStyle w:val="Level1"/>
        <w:numPr>
          <w:ilvl w:val="0"/>
          <w:numId w:val="0"/>
        </w:numPr>
        <w:rPr>
          <w:b/>
        </w:rPr>
      </w:pPr>
      <w:r w:rsidRPr="001065DB">
        <w:rPr>
          <w:b/>
        </w:rPr>
        <w:t xml:space="preserve">The committee thanks the </w:t>
      </w:r>
      <w:r>
        <w:rPr>
          <w:b/>
        </w:rPr>
        <w:t>minister</w:t>
      </w:r>
      <w:r w:rsidRPr="001065DB">
        <w:rPr>
          <w:b/>
        </w:rPr>
        <w:t xml:space="preserve"> for his response</w:t>
      </w:r>
      <w:r>
        <w:rPr>
          <w:b/>
        </w:rPr>
        <w:t>.</w:t>
      </w:r>
    </w:p>
    <w:p w:rsidR="002328F7" w:rsidRPr="00AB0616" w:rsidRDefault="002328F7" w:rsidP="002328F7">
      <w:pPr>
        <w:pStyle w:val="Level1"/>
        <w:numPr>
          <w:ilvl w:val="0"/>
          <w:numId w:val="0"/>
        </w:numPr>
      </w:pPr>
      <w:r w:rsidRPr="00AB0616">
        <w:t xml:space="preserve">The committee notes </w:t>
      </w:r>
      <w:r>
        <w:t>that its inquiries are also relevant to the instruments listed below:</w:t>
      </w:r>
    </w:p>
    <w:p w:rsidR="002328F7" w:rsidRPr="00E66454" w:rsidRDefault="002328F7" w:rsidP="002328F7">
      <w:pPr>
        <w:pStyle w:val="Bullet1"/>
        <w:spacing w:after="120"/>
      </w:pPr>
      <w:r w:rsidRPr="00E66454">
        <w:t>Banking, Insurance and Life Insurance (prudential standard) determination No. 1 of 2014 - Prudential</w:t>
      </w:r>
      <w:r>
        <w:t xml:space="preserve"> Standard CPS 231 – Outsourcing [</w:t>
      </w:r>
      <w:r w:rsidRPr="00E66454">
        <w:t>F2014L01650</w:t>
      </w:r>
      <w:r>
        <w:t>];</w:t>
      </w:r>
    </w:p>
    <w:p w:rsidR="002328F7" w:rsidRPr="00E66454" w:rsidRDefault="002328F7" w:rsidP="002328F7">
      <w:pPr>
        <w:pStyle w:val="Bullet1"/>
        <w:spacing w:after="120"/>
      </w:pPr>
      <w:r w:rsidRPr="00E66454">
        <w:t>Banking, Insurance and Life Insurance (prudential standard) determination No. 2 of 2014 - Prudential Standard CPS 232 -</w:t>
      </w:r>
      <w:r>
        <w:t xml:space="preserve"> Business Continuity Management [</w:t>
      </w:r>
      <w:r w:rsidRPr="00E66454">
        <w:t>F2014L01651</w:t>
      </w:r>
      <w:r>
        <w:t>];</w:t>
      </w:r>
    </w:p>
    <w:p w:rsidR="002328F7" w:rsidRPr="00E66454" w:rsidRDefault="002328F7" w:rsidP="002328F7">
      <w:pPr>
        <w:pStyle w:val="Bullet1"/>
        <w:spacing w:after="120"/>
      </w:pPr>
      <w:r w:rsidRPr="00E66454">
        <w:t>Banking (prudential standard) determination No. 8 of 2014 - Prudential St</w:t>
      </w:r>
      <w:r>
        <w:t>andard APS 220 - Credit Quality [</w:t>
      </w:r>
      <w:r w:rsidRPr="00E66454">
        <w:t>F2014L01652</w:t>
      </w:r>
      <w:r>
        <w:t>];</w:t>
      </w:r>
    </w:p>
    <w:p w:rsidR="002328F7" w:rsidRDefault="002328F7" w:rsidP="002328F7">
      <w:pPr>
        <w:pStyle w:val="Bullet1"/>
        <w:spacing w:after="120"/>
      </w:pPr>
      <w:r w:rsidRPr="00E66454">
        <w:lastRenderedPageBreak/>
        <w:t>Banking (prudential standard) determination No. 4 of 2014 - Prudential Standard APS 116 -</w:t>
      </w:r>
      <w:r>
        <w:t xml:space="preserve"> Capital Adequacy - Market Risk [</w:t>
      </w:r>
      <w:r w:rsidRPr="00E66454">
        <w:t>F2014L01653</w:t>
      </w:r>
      <w:r>
        <w:t>];</w:t>
      </w:r>
    </w:p>
    <w:p w:rsidR="002328F7" w:rsidRDefault="002328F7" w:rsidP="002328F7">
      <w:pPr>
        <w:pStyle w:val="Bullet1"/>
        <w:spacing w:after="120"/>
      </w:pPr>
      <w:r w:rsidRPr="00E66454">
        <w:t>Banking (prudential standard) determination No. 9 of 2014 - Prudential Standard APS 222 - Ass</w:t>
      </w:r>
      <w:r>
        <w:t>ociations with Related Entities [</w:t>
      </w:r>
      <w:r w:rsidRPr="00E66454">
        <w:t>F2014L01654</w:t>
      </w:r>
      <w:r>
        <w:t>];</w:t>
      </w:r>
    </w:p>
    <w:p w:rsidR="002328F7" w:rsidRDefault="002328F7" w:rsidP="002328F7">
      <w:pPr>
        <w:pStyle w:val="Bullet1"/>
        <w:spacing w:after="120"/>
      </w:pPr>
      <w:r w:rsidRPr="00E66454">
        <w:t>Banking (prudential standard) determination No. 5 of 2014 - Prudential Stand</w:t>
      </w:r>
      <w:r>
        <w:t>ard - APS 221 - Large Exposures [</w:t>
      </w:r>
      <w:r w:rsidRPr="00E66454">
        <w:t>F2014L01655</w:t>
      </w:r>
      <w:r>
        <w:t>];</w:t>
      </w:r>
    </w:p>
    <w:p w:rsidR="002328F7" w:rsidRDefault="002328F7" w:rsidP="002328F7">
      <w:pPr>
        <w:pStyle w:val="Bullet1"/>
        <w:spacing w:after="120"/>
      </w:pPr>
      <w:r w:rsidRPr="00E66454">
        <w:t xml:space="preserve">Banking (prudential standard) determination No. 6 of 2014 - Prudential Standard APS 610 - Prudential Requirements for Providers </w:t>
      </w:r>
      <w:r>
        <w:t>of Purchased Payment Facilities [</w:t>
      </w:r>
      <w:r w:rsidRPr="00E66454">
        <w:t>F2014L01656</w:t>
      </w:r>
      <w:r>
        <w:t>];</w:t>
      </w:r>
    </w:p>
    <w:p w:rsidR="002328F7" w:rsidRDefault="002328F7" w:rsidP="002328F7">
      <w:pPr>
        <w:pStyle w:val="Bullet1"/>
        <w:spacing w:after="120"/>
      </w:pPr>
      <w:r w:rsidRPr="00E66454">
        <w:t>Banking (prudential standard) determination No. 10 of 2014 - Prudential Standard APS 310 - Audit and Related Matters</w:t>
      </w:r>
      <w:r w:rsidRPr="00E66454">
        <w:tab/>
      </w:r>
      <w:r>
        <w:t xml:space="preserve"> [</w:t>
      </w:r>
      <w:r w:rsidRPr="00E66454">
        <w:t>F2014L01657</w:t>
      </w:r>
      <w:r>
        <w:t>];</w:t>
      </w:r>
    </w:p>
    <w:p w:rsidR="002328F7" w:rsidRDefault="002328F7" w:rsidP="002328F7">
      <w:pPr>
        <w:pStyle w:val="Bullet1"/>
        <w:spacing w:after="120"/>
      </w:pPr>
      <w:r w:rsidRPr="00E66454">
        <w:t>Banking (prudential standard) determination No. 7 of 2014 - Prudential St</w:t>
      </w:r>
      <w:r>
        <w:t>andard APS 120 – Securitisation [</w:t>
      </w:r>
      <w:r w:rsidRPr="00E66454">
        <w:t>F2014L01658</w:t>
      </w:r>
      <w:r>
        <w:t>];</w:t>
      </w:r>
    </w:p>
    <w:p w:rsidR="002328F7" w:rsidRDefault="002328F7" w:rsidP="002328F7">
      <w:pPr>
        <w:pStyle w:val="Bullet1"/>
        <w:spacing w:after="120"/>
      </w:pPr>
      <w:r w:rsidRPr="00E66454">
        <w:t>Banking (prudential standard) determination No. 11 of 2014 - Prudential Stand</w:t>
      </w:r>
      <w:r>
        <w:t>ard APS 330 - Public Disclosure [</w:t>
      </w:r>
      <w:r w:rsidRPr="00E66454">
        <w:t>F2014L01669</w:t>
      </w:r>
      <w:r>
        <w:t>];</w:t>
      </w:r>
    </w:p>
    <w:p w:rsidR="002328F7" w:rsidRDefault="002328F7" w:rsidP="002328F7">
      <w:pPr>
        <w:pStyle w:val="Bullet1"/>
        <w:spacing w:after="120"/>
      </w:pPr>
      <w:r w:rsidRPr="00E66454">
        <w:t>Life Insurance (prudential standard) determination No. 1 of 2014 - Prudential</w:t>
      </w:r>
      <w:r>
        <w:t xml:space="preserve"> Standard LPS 001 – Definitions [</w:t>
      </w:r>
      <w:r w:rsidRPr="00E66454">
        <w:t>F2014L01670</w:t>
      </w:r>
      <w:r>
        <w:t>];</w:t>
      </w:r>
    </w:p>
    <w:p w:rsidR="002328F7" w:rsidRDefault="002328F7" w:rsidP="002328F7">
      <w:pPr>
        <w:pStyle w:val="Bullet1"/>
        <w:spacing w:after="120"/>
      </w:pPr>
      <w:r w:rsidRPr="00E66454">
        <w:t xml:space="preserve">Life Insurance (prudential standard) determination No. 2 of 2014 - Prudential Standard LPS 320 </w:t>
      </w:r>
      <w:r>
        <w:t>- Actuarial and Related Matters [</w:t>
      </w:r>
      <w:r w:rsidRPr="00E66454">
        <w:t>F2014L01672</w:t>
      </w:r>
      <w:r>
        <w:t>];</w:t>
      </w:r>
    </w:p>
    <w:p w:rsidR="002328F7" w:rsidRDefault="002328F7" w:rsidP="002328F7">
      <w:pPr>
        <w:pStyle w:val="Bullet1"/>
        <w:spacing w:after="120"/>
      </w:pPr>
      <w:r w:rsidRPr="00E66454">
        <w:t xml:space="preserve">Insurance (prudential standard) determination No. 2 of 2014 - Prudential </w:t>
      </w:r>
      <w:r>
        <w:t>Standard GPS 001 - Definitions [</w:t>
      </w:r>
      <w:r w:rsidRPr="00E66454">
        <w:t>F2014L01675</w:t>
      </w:r>
      <w:r>
        <w:t>];</w:t>
      </w:r>
    </w:p>
    <w:p w:rsidR="002328F7" w:rsidRDefault="002328F7" w:rsidP="002328F7">
      <w:pPr>
        <w:pStyle w:val="Bullet1"/>
        <w:spacing w:after="120"/>
      </w:pPr>
      <w:r w:rsidRPr="00E66454">
        <w:t xml:space="preserve">Insurance (prudential standard) determination No. 3 of 2014 - </w:t>
      </w:r>
      <w:r>
        <w:t>Prudential Standard GPS 110 - Capital Adequacy [</w:t>
      </w:r>
      <w:r w:rsidRPr="00E66454">
        <w:t>F2014L01677</w:t>
      </w:r>
      <w:r>
        <w:t>];</w:t>
      </w:r>
    </w:p>
    <w:p w:rsidR="002328F7" w:rsidRDefault="002328F7" w:rsidP="002328F7">
      <w:pPr>
        <w:pStyle w:val="Bullet1"/>
        <w:spacing w:after="120"/>
      </w:pPr>
      <w:r w:rsidRPr="00E66454">
        <w:t>Insurance (prudential standard) determination No. 5 of 2014 - Prudential Standard GPS 310 - Audit and Related Matters</w:t>
      </w:r>
      <w:r>
        <w:t xml:space="preserve"> [</w:t>
      </w:r>
      <w:r w:rsidRPr="00E66454">
        <w:t>F2014L01678</w:t>
      </w:r>
      <w:r>
        <w:t>];</w:t>
      </w:r>
    </w:p>
    <w:p w:rsidR="002328F7" w:rsidRDefault="002328F7" w:rsidP="002328F7">
      <w:pPr>
        <w:pStyle w:val="Bullet1"/>
        <w:spacing w:after="120"/>
      </w:pPr>
      <w:r w:rsidRPr="00E66454">
        <w:t>Insurance (prudential standard) determination No. 4 of 2014 - Prudential Standard GPS 113 - Capital Adequacy: Internal Model-based Method</w:t>
      </w:r>
      <w:r>
        <w:t xml:space="preserve"> [</w:t>
      </w:r>
      <w:r w:rsidRPr="00E66454">
        <w:t>F2014L01679</w:t>
      </w:r>
      <w:r>
        <w:t>]; and</w:t>
      </w:r>
    </w:p>
    <w:p w:rsidR="002328F7" w:rsidRDefault="002328F7" w:rsidP="002328F7">
      <w:pPr>
        <w:pStyle w:val="Bullet1"/>
        <w:spacing w:after="120"/>
      </w:pPr>
      <w:r w:rsidRPr="00E66454">
        <w:t>Insurance (prudential standard) determination No. 6 of 2014 -</w:t>
      </w:r>
      <w:r>
        <w:t xml:space="preserve"> Prudential Standard GPS 320 - Actuarial and Related Matters [</w:t>
      </w:r>
      <w:r w:rsidRPr="00E66454">
        <w:t>F2014L01680</w:t>
      </w:r>
      <w:r>
        <w:t>].</w:t>
      </w:r>
    </w:p>
    <w:p w:rsidR="002328F7" w:rsidRPr="00AC5FC1" w:rsidRDefault="002328F7" w:rsidP="002328F7">
      <w:pPr>
        <w:rPr>
          <w:b/>
        </w:rPr>
      </w:pPr>
      <w:r>
        <w:rPr>
          <w:b/>
        </w:rPr>
        <w:t>Noting that the minister's response is relevant to the making of the instruments listed above, t</w:t>
      </w:r>
      <w:r w:rsidRPr="00AC5FC1">
        <w:rPr>
          <w:b/>
        </w:rPr>
        <w:t>he committee has therefore concluded its examination of the instrument.</w:t>
      </w:r>
    </w:p>
    <w:p w:rsidR="002328F7" w:rsidRDefault="002328F7" w:rsidP="002328F7">
      <w:pPr>
        <w:tabs>
          <w:tab w:val="left" w:pos="6225"/>
        </w:tabs>
        <w:sectPr w:rsidR="002328F7" w:rsidSect="00EA1FFA">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pgNumType w:start="9"/>
          <w:cols w:space="708"/>
          <w:titlePg/>
          <w:docGrid w:linePitch="360"/>
        </w:sectPr>
      </w:pPr>
    </w:p>
    <w:p w:rsidR="002328F7" w:rsidRDefault="002328F7">
      <w:pPr>
        <w:spacing w:after="0"/>
        <w:jc w:val="left"/>
      </w:pPr>
      <w:r>
        <w:lastRenderedPageBreak/>
        <w:br w:type="page"/>
      </w:r>
    </w:p>
    <w:p w:rsidR="002328F7" w:rsidRDefault="002328F7" w:rsidP="002328F7">
      <w:pPr>
        <w:pStyle w:val="Heading1"/>
      </w:pPr>
      <w:r>
        <w:lastRenderedPageBreak/>
        <w:t>Appendix 1</w:t>
      </w:r>
    </w:p>
    <w:p w:rsidR="002328F7" w:rsidRPr="00520991" w:rsidRDefault="002328F7" w:rsidP="002328F7">
      <w:pPr>
        <w:pStyle w:val="Heading2"/>
      </w:pPr>
      <w:r>
        <w:t>Correspondence</w:t>
      </w:r>
    </w:p>
    <w:p w:rsidR="002328F7" w:rsidRDefault="002328F7">
      <w:pPr>
        <w:spacing w:after="0"/>
        <w:jc w:val="left"/>
      </w:pPr>
      <w:r>
        <w:br w:type="page"/>
      </w:r>
    </w:p>
    <w:p w:rsidR="002328F7" w:rsidRDefault="002328F7" w:rsidP="002328F7">
      <w:pPr>
        <w:tabs>
          <w:tab w:val="left" w:pos="6225"/>
        </w:tabs>
        <w:sectPr w:rsidR="002328F7" w:rsidSect="00EA1FFA">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pgNumType w:start="9"/>
          <w:cols w:space="708"/>
          <w:titlePg/>
          <w:docGrid w:linePitch="360"/>
        </w:sectPr>
      </w:pPr>
    </w:p>
    <w:p w:rsidR="002328F7" w:rsidRDefault="002328F7">
      <w:pPr>
        <w:spacing w:after="0"/>
        <w:jc w:val="left"/>
      </w:pPr>
      <w:r>
        <w:lastRenderedPageBreak/>
        <w:br w:type="page"/>
      </w:r>
    </w:p>
    <w:p w:rsidR="002328F7" w:rsidRDefault="002328F7" w:rsidP="002328F7">
      <w:pPr>
        <w:pStyle w:val="Heading1"/>
      </w:pPr>
      <w:r>
        <w:lastRenderedPageBreak/>
        <w:t>Appendix 2</w:t>
      </w:r>
    </w:p>
    <w:p w:rsidR="002328F7" w:rsidRDefault="002328F7" w:rsidP="002328F7">
      <w:pPr>
        <w:pStyle w:val="Heading2"/>
        <w:spacing w:after="600"/>
      </w:pPr>
      <w:r>
        <w:t>Guideline on consultation</w:t>
      </w:r>
    </w:p>
    <w:p w:rsidR="002328F7" w:rsidRDefault="002328F7" w:rsidP="002328F7">
      <w:pPr>
        <w:pBdr>
          <w:top w:val="single" w:sz="4" w:space="1" w:color="auto"/>
        </w:pBdr>
        <w:spacing w:after="0"/>
        <w:jc w:val="center"/>
        <w:rPr>
          <w:b/>
          <w:sz w:val="28"/>
          <w:szCs w:val="28"/>
        </w:rPr>
      </w:pPr>
    </w:p>
    <w:p w:rsidR="002328F7" w:rsidRPr="00AB1ED8" w:rsidRDefault="002328F7" w:rsidP="002328F7">
      <w:pPr>
        <w:pBdr>
          <w:top w:val="single" w:sz="4" w:space="1" w:color="auto"/>
        </w:pBdr>
        <w:jc w:val="center"/>
        <w:rPr>
          <w:b/>
          <w:sz w:val="28"/>
          <w:szCs w:val="28"/>
        </w:rPr>
      </w:pPr>
      <w:r w:rsidRPr="00AB1ED8">
        <w:rPr>
          <w:b/>
          <w:sz w:val="28"/>
          <w:szCs w:val="28"/>
        </w:rPr>
        <w:t>Standing Committee on Regulations and Ordinances</w:t>
      </w:r>
    </w:p>
    <w:p w:rsidR="002328F7" w:rsidRPr="00AB1ED8" w:rsidRDefault="002328F7" w:rsidP="002328F7">
      <w:pPr>
        <w:pBdr>
          <w:bottom w:val="single" w:sz="4" w:space="1" w:color="auto"/>
        </w:pBdr>
        <w:spacing w:after="0"/>
        <w:jc w:val="center"/>
        <w:rPr>
          <w:b/>
          <w:sz w:val="28"/>
          <w:szCs w:val="28"/>
        </w:rPr>
      </w:pPr>
      <w:r w:rsidRPr="00AB1ED8">
        <w:rPr>
          <w:b/>
          <w:sz w:val="28"/>
          <w:szCs w:val="28"/>
        </w:rPr>
        <w:t>Addressing consultation in explanatory statements</w:t>
      </w:r>
    </w:p>
    <w:p w:rsidR="002328F7" w:rsidRPr="00AB1ED8" w:rsidRDefault="002328F7" w:rsidP="002328F7">
      <w:pPr>
        <w:pBdr>
          <w:bottom w:val="single" w:sz="4" w:space="1" w:color="auto"/>
        </w:pBdr>
        <w:spacing w:after="0"/>
        <w:jc w:val="center"/>
        <w:rPr>
          <w:b/>
          <w:szCs w:val="26"/>
        </w:rPr>
      </w:pPr>
    </w:p>
    <w:p w:rsidR="002328F7" w:rsidRPr="00C22E53" w:rsidRDefault="002328F7" w:rsidP="002328F7">
      <w:pPr>
        <w:spacing w:before="360" w:after="60"/>
        <w:rPr>
          <w:b/>
          <w:i/>
          <w:szCs w:val="24"/>
        </w:rPr>
      </w:pPr>
      <w:r w:rsidRPr="00C22E53">
        <w:rPr>
          <w:b/>
          <w:i/>
          <w:szCs w:val="24"/>
        </w:rPr>
        <w:t>Role of the committee</w:t>
      </w:r>
    </w:p>
    <w:p w:rsidR="002328F7" w:rsidRPr="00C22E53" w:rsidRDefault="002328F7" w:rsidP="002328F7">
      <w:pPr>
        <w:rPr>
          <w:szCs w:val="24"/>
        </w:rPr>
      </w:pPr>
      <w:r w:rsidRPr="00C22E53">
        <w:rPr>
          <w:szCs w:val="24"/>
        </w:rPr>
        <w:t xml:space="preserve">The Standing Committee on Regulations and Ordinances (the committee) undertakes scrutiny of legislative instruments to ensure compliance with </w:t>
      </w:r>
      <w:hyperlink r:id="rId51" w:history="1">
        <w:r w:rsidRPr="00C22E53">
          <w:rPr>
            <w:rStyle w:val="Hyperlink"/>
            <w:szCs w:val="24"/>
          </w:rPr>
          <w:t>non-partisan principles</w:t>
        </w:r>
      </w:hyperlink>
      <w:r w:rsidRPr="00C22E53">
        <w:rPr>
          <w:szCs w:val="24"/>
        </w:rPr>
        <w:t xml:space="preserve"> of personal rights and parliamentary propriety.</w:t>
      </w:r>
    </w:p>
    <w:p w:rsidR="002328F7" w:rsidRPr="00C22E53" w:rsidRDefault="002328F7" w:rsidP="002328F7">
      <w:pPr>
        <w:spacing w:after="60"/>
        <w:rPr>
          <w:b/>
          <w:i/>
          <w:szCs w:val="24"/>
        </w:rPr>
      </w:pPr>
      <w:r w:rsidRPr="00C22E53">
        <w:rPr>
          <w:b/>
          <w:i/>
          <w:szCs w:val="24"/>
        </w:rPr>
        <w:t>Purpose of guideline</w:t>
      </w:r>
    </w:p>
    <w:p w:rsidR="002328F7" w:rsidRPr="00C22E53" w:rsidRDefault="002328F7" w:rsidP="002328F7">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2328F7" w:rsidRPr="00C22E53" w:rsidRDefault="002328F7" w:rsidP="002328F7">
      <w:pPr>
        <w:rPr>
          <w:szCs w:val="24"/>
        </w:rPr>
      </w:pPr>
      <w:r w:rsidRPr="00C22E53">
        <w:rPr>
          <w:szCs w:val="24"/>
        </w:rPr>
        <w:t xml:space="preserve">The committee scrutinises instruments to ensure, inter alia, that they meet the technical requirements of the </w:t>
      </w:r>
      <w:hyperlink r:id="rId52"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2328F7" w:rsidRPr="00C22E53" w:rsidRDefault="002328F7" w:rsidP="002328F7">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3" w:history="1">
        <w:r w:rsidRPr="00C22E53">
          <w:rPr>
            <w:rStyle w:val="Hyperlink"/>
            <w:szCs w:val="24"/>
          </w:rPr>
          <w:t>disallowance</w:t>
        </w:r>
      </w:hyperlink>
      <w:r w:rsidRPr="00C22E53">
        <w:rPr>
          <w:szCs w:val="24"/>
        </w:rPr>
        <w:t>.</w:t>
      </w:r>
    </w:p>
    <w:p w:rsidR="002328F7" w:rsidRPr="00C22E53" w:rsidRDefault="002328F7" w:rsidP="002328F7">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2328F7" w:rsidRDefault="002328F7" w:rsidP="002328F7">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2328F7" w:rsidRDefault="002328F7" w:rsidP="002328F7">
      <w:r>
        <w:br w:type="page"/>
      </w:r>
    </w:p>
    <w:p w:rsidR="002328F7" w:rsidRDefault="002328F7" w:rsidP="002328F7">
      <w:pPr>
        <w:spacing w:after="60"/>
        <w:rPr>
          <w:b/>
          <w:i/>
          <w:szCs w:val="24"/>
        </w:rPr>
      </w:pPr>
    </w:p>
    <w:p w:rsidR="002328F7" w:rsidRPr="00C22E53" w:rsidRDefault="002328F7" w:rsidP="002328F7">
      <w:pPr>
        <w:spacing w:after="60"/>
        <w:rPr>
          <w:b/>
          <w:szCs w:val="24"/>
        </w:rPr>
      </w:pPr>
      <w:r w:rsidRPr="00C22E53">
        <w:rPr>
          <w:b/>
          <w:i/>
          <w:szCs w:val="24"/>
        </w:rPr>
        <w:t>Requirements of the</w:t>
      </w:r>
      <w:r w:rsidRPr="00C22E53">
        <w:rPr>
          <w:b/>
          <w:szCs w:val="24"/>
        </w:rPr>
        <w:t xml:space="preserve"> Legislative Instruments Act 2003</w:t>
      </w:r>
    </w:p>
    <w:p w:rsidR="002328F7" w:rsidRPr="00C22E53" w:rsidRDefault="002328F7" w:rsidP="002328F7">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2328F7" w:rsidRPr="00C22E53" w:rsidRDefault="002328F7" w:rsidP="002328F7">
      <w:pPr>
        <w:rPr>
          <w:szCs w:val="24"/>
        </w:rPr>
      </w:pPr>
      <w:r w:rsidRPr="00C22E53">
        <w:rPr>
          <w:szCs w:val="24"/>
        </w:rPr>
        <w:t>Section 18 of the Act, however, provides that in some circumstances such consultation may be 'unnecessary or inappropriate'.</w:t>
      </w:r>
    </w:p>
    <w:p w:rsidR="002328F7" w:rsidRPr="00C22E53" w:rsidRDefault="002328F7" w:rsidP="002328F7">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2328F7" w:rsidRPr="00C22E53" w:rsidRDefault="002328F7" w:rsidP="002328F7">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2328F7" w:rsidRPr="00C22E53" w:rsidRDefault="002328F7" w:rsidP="002328F7">
      <w:pPr>
        <w:rPr>
          <w:szCs w:val="24"/>
        </w:rPr>
      </w:pPr>
      <w:r w:rsidRPr="00C22E53">
        <w:rPr>
          <w:szCs w:val="24"/>
        </w:rPr>
        <w:t>If a RIS or similar assessment has been prepared, it should be provided to the committee along with the ES.</w:t>
      </w:r>
    </w:p>
    <w:p w:rsidR="002328F7" w:rsidRPr="00C22E53" w:rsidRDefault="002328F7" w:rsidP="002328F7">
      <w:pPr>
        <w:spacing w:after="60"/>
        <w:rPr>
          <w:b/>
          <w:i/>
          <w:szCs w:val="24"/>
        </w:rPr>
      </w:pPr>
      <w:r w:rsidRPr="00C22E53">
        <w:rPr>
          <w:b/>
          <w:i/>
          <w:szCs w:val="24"/>
        </w:rPr>
        <w:t>Describing the nature of consultation</w:t>
      </w:r>
    </w:p>
    <w:p w:rsidR="002328F7" w:rsidRPr="00C22E53" w:rsidRDefault="002328F7" w:rsidP="002328F7">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2328F7" w:rsidRPr="00C22E53" w:rsidRDefault="002328F7" w:rsidP="002328F7">
      <w:pPr>
        <w:rPr>
          <w:szCs w:val="24"/>
        </w:rPr>
      </w:pPr>
      <w:r w:rsidRPr="00C22E53">
        <w:rPr>
          <w:szCs w:val="24"/>
        </w:rPr>
        <w:t>Where consultation has taken place, the ES to an instrument should set out the following information:</w:t>
      </w:r>
    </w:p>
    <w:p w:rsidR="002328F7" w:rsidRPr="00C22E53" w:rsidRDefault="002328F7" w:rsidP="002328F7">
      <w:pPr>
        <w:spacing w:after="60"/>
        <w:rPr>
          <w:i/>
          <w:szCs w:val="24"/>
        </w:rPr>
      </w:pPr>
      <w:r w:rsidRPr="00C22E53">
        <w:rPr>
          <w:i/>
          <w:szCs w:val="24"/>
        </w:rPr>
        <w:t>Method and purpose of consultation</w:t>
      </w:r>
    </w:p>
    <w:p w:rsidR="002328F7" w:rsidRPr="00C22E53" w:rsidRDefault="002328F7" w:rsidP="002328F7">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2328F7" w:rsidRPr="00C22E53" w:rsidRDefault="002328F7" w:rsidP="002328F7">
      <w:pPr>
        <w:spacing w:after="60"/>
        <w:rPr>
          <w:i/>
          <w:szCs w:val="24"/>
        </w:rPr>
      </w:pPr>
      <w:r w:rsidRPr="00C22E53">
        <w:rPr>
          <w:i/>
          <w:szCs w:val="24"/>
        </w:rPr>
        <w:t>Bodies/groups/individuals consulted</w:t>
      </w:r>
    </w:p>
    <w:p w:rsidR="002328F7" w:rsidRPr="00C22E53" w:rsidRDefault="002328F7" w:rsidP="002328F7">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2328F7" w:rsidRDefault="002328F7" w:rsidP="002328F7">
      <w:pPr>
        <w:spacing w:after="60"/>
        <w:rPr>
          <w:i/>
          <w:szCs w:val="24"/>
        </w:rPr>
      </w:pPr>
    </w:p>
    <w:p w:rsidR="002328F7" w:rsidRPr="00C22E53" w:rsidRDefault="002328F7" w:rsidP="002328F7">
      <w:pPr>
        <w:rPr>
          <w:i/>
          <w:szCs w:val="24"/>
        </w:rPr>
      </w:pPr>
      <w:r w:rsidRPr="00C22E53">
        <w:rPr>
          <w:i/>
          <w:szCs w:val="24"/>
        </w:rPr>
        <w:lastRenderedPageBreak/>
        <w:t>Issues raised in consultations and outcomes</w:t>
      </w:r>
    </w:p>
    <w:p w:rsidR="002328F7" w:rsidRPr="00C22E53" w:rsidRDefault="002328F7" w:rsidP="002328F7">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2328F7" w:rsidRPr="00C22E53" w:rsidRDefault="002328F7" w:rsidP="002328F7">
      <w:pPr>
        <w:spacing w:after="60"/>
        <w:rPr>
          <w:b/>
          <w:i/>
          <w:szCs w:val="24"/>
        </w:rPr>
      </w:pPr>
      <w:r w:rsidRPr="00C22E53">
        <w:rPr>
          <w:b/>
          <w:i/>
          <w:szCs w:val="24"/>
        </w:rPr>
        <w:t>Explaining why consultation has not been undertaken</w:t>
      </w:r>
    </w:p>
    <w:p w:rsidR="002328F7" w:rsidRPr="00C22E53" w:rsidRDefault="002328F7" w:rsidP="002328F7">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2328F7" w:rsidRPr="00C22E53" w:rsidRDefault="002328F7" w:rsidP="002328F7">
      <w:pPr>
        <w:rPr>
          <w:szCs w:val="24"/>
        </w:rPr>
      </w:pPr>
      <w:r w:rsidRPr="00C22E53">
        <w:rPr>
          <w:szCs w:val="24"/>
        </w:rPr>
        <w:t>In explaining why no consultation has taken place, it is important to note the following considerations:</w:t>
      </w:r>
    </w:p>
    <w:p w:rsidR="002328F7" w:rsidRPr="00C22E53" w:rsidRDefault="002328F7" w:rsidP="002328F7">
      <w:pPr>
        <w:rPr>
          <w:i/>
          <w:szCs w:val="24"/>
        </w:rPr>
      </w:pPr>
      <w:r w:rsidRPr="00C22E53">
        <w:rPr>
          <w:i/>
          <w:szCs w:val="24"/>
        </w:rPr>
        <w:t>Specific examples listed in the Act</w:t>
      </w:r>
    </w:p>
    <w:p w:rsidR="002328F7" w:rsidRPr="00C22E53" w:rsidRDefault="002328F7" w:rsidP="002328F7">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2328F7" w:rsidRPr="00C22E53" w:rsidRDefault="002328F7" w:rsidP="002328F7">
      <w:pPr>
        <w:rPr>
          <w:i/>
          <w:szCs w:val="24"/>
        </w:rPr>
      </w:pPr>
      <w:r w:rsidRPr="00C22E53">
        <w:rPr>
          <w:i/>
          <w:szCs w:val="24"/>
        </w:rPr>
        <w:t>Timing of consultation</w:t>
      </w:r>
    </w:p>
    <w:p w:rsidR="002328F7" w:rsidRPr="00C22E53" w:rsidRDefault="002328F7" w:rsidP="002328F7">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2328F7" w:rsidRPr="00C22E53" w:rsidRDefault="002328F7" w:rsidP="002328F7">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2328F7" w:rsidRDefault="002328F7" w:rsidP="002328F7">
      <w:pPr>
        <w:spacing w:after="0"/>
        <w:jc w:val="left"/>
        <w:rPr>
          <w:b/>
          <w:i/>
          <w:szCs w:val="24"/>
        </w:rPr>
      </w:pPr>
      <w:r>
        <w:rPr>
          <w:b/>
          <w:i/>
          <w:szCs w:val="24"/>
        </w:rPr>
        <w:br w:type="page"/>
      </w:r>
    </w:p>
    <w:p w:rsidR="002328F7" w:rsidRDefault="002328F7" w:rsidP="002328F7">
      <w:pPr>
        <w:spacing w:after="60"/>
        <w:rPr>
          <w:b/>
          <w:i/>
          <w:szCs w:val="24"/>
        </w:rPr>
      </w:pPr>
    </w:p>
    <w:p w:rsidR="002328F7" w:rsidRPr="00C22E53" w:rsidRDefault="002328F7" w:rsidP="002328F7">
      <w:pPr>
        <w:spacing w:after="60"/>
        <w:rPr>
          <w:b/>
          <w:i/>
          <w:szCs w:val="24"/>
        </w:rPr>
      </w:pPr>
      <w:r w:rsidRPr="00C22E53">
        <w:rPr>
          <w:b/>
          <w:i/>
          <w:szCs w:val="24"/>
        </w:rPr>
        <w:t>Seeking further advice or information</w:t>
      </w:r>
    </w:p>
    <w:p w:rsidR="002328F7" w:rsidRPr="00C22E53" w:rsidRDefault="002328F7" w:rsidP="002328F7">
      <w:pPr>
        <w:rPr>
          <w:szCs w:val="24"/>
        </w:rPr>
      </w:pPr>
      <w:r w:rsidRPr="00C22E53">
        <w:rPr>
          <w:szCs w:val="24"/>
        </w:rPr>
        <w:t xml:space="preserve">Further information is available through the committee's website at </w:t>
      </w:r>
      <w:hyperlink r:id="rId54"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2328F7" w:rsidRPr="00C22E53" w:rsidRDefault="002328F7" w:rsidP="002328F7">
      <w:pPr>
        <w:rPr>
          <w:szCs w:val="24"/>
        </w:rPr>
      </w:pPr>
    </w:p>
    <w:p w:rsidR="002328F7" w:rsidRPr="00C22E53" w:rsidRDefault="002328F7" w:rsidP="002328F7">
      <w:pPr>
        <w:spacing w:after="60"/>
        <w:rPr>
          <w:szCs w:val="24"/>
        </w:rPr>
      </w:pPr>
      <w:r w:rsidRPr="00C22E53">
        <w:rPr>
          <w:szCs w:val="24"/>
        </w:rPr>
        <w:t>Committee Secretary</w:t>
      </w:r>
    </w:p>
    <w:p w:rsidR="002328F7" w:rsidRPr="00C22E53" w:rsidRDefault="002328F7" w:rsidP="002328F7">
      <w:pPr>
        <w:spacing w:after="60"/>
        <w:rPr>
          <w:szCs w:val="24"/>
        </w:rPr>
      </w:pPr>
      <w:r w:rsidRPr="00C22E53">
        <w:rPr>
          <w:szCs w:val="24"/>
        </w:rPr>
        <w:t>Senate Regulations and Ordinances Committee</w:t>
      </w:r>
    </w:p>
    <w:p w:rsidR="002328F7" w:rsidRPr="00C22E53" w:rsidRDefault="002328F7" w:rsidP="002328F7">
      <w:pPr>
        <w:spacing w:after="60"/>
        <w:rPr>
          <w:szCs w:val="24"/>
        </w:rPr>
      </w:pPr>
      <w:r w:rsidRPr="00C22E53">
        <w:rPr>
          <w:szCs w:val="24"/>
        </w:rPr>
        <w:t>PO Box 6100</w:t>
      </w:r>
    </w:p>
    <w:p w:rsidR="002328F7" w:rsidRPr="00C22E53" w:rsidRDefault="002328F7" w:rsidP="002328F7">
      <w:pPr>
        <w:spacing w:after="60"/>
        <w:rPr>
          <w:szCs w:val="24"/>
        </w:rPr>
      </w:pPr>
      <w:r w:rsidRPr="00C22E53">
        <w:rPr>
          <w:szCs w:val="24"/>
        </w:rPr>
        <w:t>Parliament House</w:t>
      </w:r>
    </w:p>
    <w:p w:rsidR="002328F7" w:rsidRPr="00C22E53" w:rsidRDefault="002328F7" w:rsidP="002328F7">
      <w:pPr>
        <w:spacing w:after="60"/>
        <w:rPr>
          <w:szCs w:val="24"/>
        </w:rPr>
      </w:pPr>
      <w:r w:rsidRPr="00C22E53">
        <w:rPr>
          <w:szCs w:val="24"/>
        </w:rPr>
        <w:t>Canberra ACT 2600</w:t>
      </w:r>
    </w:p>
    <w:p w:rsidR="002328F7" w:rsidRPr="00C22E53" w:rsidRDefault="002328F7" w:rsidP="002328F7">
      <w:pPr>
        <w:spacing w:after="0"/>
        <w:rPr>
          <w:szCs w:val="24"/>
        </w:rPr>
      </w:pPr>
      <w:r w:rsidRPr="00C22E53">
        <w:rPr>
          <w:szCs w:val="24"/>
        </w:rPr>
        <w:t>Australia</w:t>
      </w:r>
    </w:p>
    <w:p w:rsidR="002328F7" w:rsidRPr="00C22E53" w:rsidRDefault="002328F7" w:rsidP="002328F7">
      <w:pPr>
        <w:rPr>
          <w:szCs w:val="24"/>
        </w:rPr>
      </w:pPr>
    </w:p>
    <w:p w:rsidR="002328F7" w:rsidRPr="00C22E53" w:rsidRDefault="002328F7" w:rsidP="002328F7">
      <w:pPr>
        <w:spacing w:after="60"/>
        <w:rPr>
          <w:szCs w:val="24"/>
        </w:rPr>
      </w:pPr>
      <w:r w:rsidRPr="00C22E53">
        <w:rPr>
          <w:szCs w:val="24"/>
        </w:rPr>
        <w:t xml:space="preserve">Phone: +61 2 6277 3066 </w:t>
      </w:r>
    </w:p>
    <w:p w:rsidR="002328F7" w:rsidRPr="00C22E53" w:rsidRDefault="002328F7" w:rsidP="002328F7">
      <w:pPr>
        <w:spacing w:after="60"/>
        <w:rPr>
          <w:szCs w:val="24"/>
        </w:rPr>
      </w:pPr>
      <w:r w:rsidRPr="00C22E53">
        <w:rPr>
          <w:szCs w:val="24"/>
        </w:rPr>
        <w:t xml:space="preserve">Fax: +61 2 6277 5881 </w:t>
      </w:r>
    </w:p>
    <w:p w:rsidR="002328F7" w:rsidRPr="00C22E53" w:rsidRDefault="002328F7" w:rsidP="002328F7">
      <w:pPr>
        <w:spacing w:after="0"/>
        <w:rPr>
          <w:szCs w:val="24"/>
        </w:rPr>
      </w:pPr>
      <w:r w:rsidRPr="00C22E53">
        <w:rPr>
          <w:szCs w:val="24"/>
        </w:rPr>
        <w:t xml:space="preserve">Email: </w:t>
      </w:r>
      <w:hyperlink r:id="rId55" w:history="1">
        <w:r w:rsidRPr="00C22E53">
          <w:rPr>
            <w:rStyle w:val="Hyperlink"/>
            <w:szCs w:val="24"/>
          </w:rPr>
          <w:t>RegOrds.Sen@aph.gov.au</w:t>
        </w:r>
      </w:hyperlink>
    </w:p>
    <w:p w:rsidR="002328F7" w:rsidRPr="00965B14" w:rsidRDefault="002328F7" w:rsidP="002328F7">
      <w:pPr>
        <w:jc w:val="left"/>
      </w:pPr>
    </w:p>
    <w:p w:rsidR="00520991" w:rsidRPr="002328F7" w:rsidRDefault="00520991" w:rsidP="002328F7">
      <w:pPr>
        <w:tabs>
          <w:tab w:val="left" w:pos="6225"/>
        </w:tabs>
      </w:pPr>
    </w:p>
    <w:sectPr w:rsidR="00520991" w:rsidRPr="002328F7" w:rsidSect="00EA1FFA">
      <w:headerReference w:type="even" r:id="rId56"/>
      <w:footerReference w:type="even" r:id="rId57"/>
      <w:pgSz w:w="11906" w:h="16838"/>
      <w:pgMar w:top="1440" w:right="1440" w:bottom="1440" w:left="1440"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2328F7">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Default="002328F7">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2328F7" w:rsidRDefault="002328F7">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2328F7" w:rsidRDefault="002328F7">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Default="002328F7">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55" w:rsidRDefault="002328F7">
    <w:pPr>
      <w:pStyle w:val="Footer"/>
      <w:jc w:val="center"/>
    </w:pPr>
  </w:p>
  <w:p w:rsidR="00F67155" w:rsidRDefault="002328F7">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328F7">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328F7">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328F7">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328F7">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328F7">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328F7">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Default="002328F7">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Default="002328F7">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Default="002328F7">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Default="002328F7">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2328F7">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2328F7">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2328F7">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2328F7">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2328F7">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2328F7" w:rsidRPr="00F61935" w:rsidRDefault="002328F7" w:rsidP="002328F7">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2328F7" w:rsidRPr="00ED4CC3" w:rsidRDefault="002328F7" w:rsidP="002328F7">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2328F7" w:rsidRPr="000B044A" w:rsidRDefault="002328F7" w:rsidP="002328F7">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F1016">
          <w:rPr>
            <w:rStyle w:val="Hyperlink"/>
          </w:rPr>
          <w:t>http://www.aph.gov.au/Parliamentary_Business/Bills_Legislation/leginstruments/Senate_Disallowable_Instruments_List</w:t>
        </w:r>
      </w:hyperlink>
      <w:r>
        <w:t xml:space="preserve"> </w:t>
      </w:r>
    </w:p>
  </w:footnote>
  <w:footnote w:id="4">
    <w:p w:rsidR="002328F7" w:rsidRPr="00E3747F" w:rsidRDefault="002328F7" w:rsidP="002328F7">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5">
    <w:p w:rsidR="002328F7" w:rsidRPr="000C243F" w:rsidRDefault="002328F7" w:rsidP="002328F7">
      <w:pPr>
        <w:pStyle w:val="FootnoteText"/>
        <w:spacing w:after="120"/>
      </w:pPr>
      <w:r w:rsidRPr="000C243F">
        <w:rPr>
          <w:rStyle w:val="FootnoteReference"/>
          <w:vertAlign w:val="baseline"/>
        </w:rPr>
        <w:footnoteRef/>
      </w:r>
      <w:r w:rsidRPr="000C243F">
        <w:t xml:space="preserve"> </w:t>
      </w:r>
      <w:r>
        <w:tab/>
        <w:t xml:space="preserve">Senate Standing Committee on Regulations and Ordinances, </w:t>
      </w:r>
      <w:r>
        <w:rPr>
          <w:i/>
        </w:rPr>
        <w:t xml:space="preserve">Delegated legislation monitor </w:t>
      </w:r>
      <w:r>
        <w:t>No. 17 of 2014 (3 December 2014) 6–24.</w:t>
      </w:r>
    </w:p>
  </w:footnote>
  <w:footnote w:id="6">
    <w:p w:rsidR="002328F7" w:rsidRPr="00FC4141" w:rsidRDefault="002328F7" w:rsidP="002328F7">
      <w:pPr>
        <w:pStyle w:val="FootnoteText"/>
        <w:spacing w:after="120"/>
      </w:pPr>
      <w:r w:rsidRPr="00FC4141">
        <w:rPr>
          <w:rStyle w:val="FootnoteReference"/>
          <w:vertAlign w:val="baseline"/>
        </w:rPr>
        <w:footnoteRef/>
      </w:r>
      <w:r w:rsidRPr="00FC4141">
        <w:t xml:space="preserve"> </w:t>
      </w:r>
      <w:r>
        <w:tab/>
        <w:t>Office of Parliamentary Counsel, Drafting Direction 3.8 (December 2014) 6</w:t>
      </w:r>
    </w:p>
  </w:footnote>
  <w:footnote w:id="7">
    <w:p w:rsidR="002328F7" w:rsidRPr="00E35D4F" w:rsidRDefault="002328F7" w:rsidP="002328F7">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Pr="00F710D5" w:rsidRDefault="002328F7">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w:t>
    </w:r>
    <w:r>
      <w:rPr>
        <w:noProof/>
      </w:rPr>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Default="002328F7">
    <w:pPr>
      <w:pStyle w:val="Header"/>
      <w:tabs>
        <w:tab w:val="clear" w:pos="8306"/>
        <w:tab w:val="right" w:pos="900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Pr="002328F7" w:rsidRDefault="002328F7" w:rsidP="002328F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Pr="00F710D5" w:rsidRDefault="002328F7">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8</w:t>
    </w:r>
    <w:r>
      <w:rPr>
        <w:noProof/>
      </w:rPr>
      <w:fldChar w:fldCharType="end"/>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328F7">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7</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328F7">
    <w:pPr>
      <w:pStyle w:val="Header"/>
      <w:tabs>
        <w:tab w:val="clear" w:pos="8306"/>
        <w:tab w:val="right" w:pos="9000"/>
      </w:tabs>
    </w:pPr>
    <w:r>
      <w:tab/>
      <w:t>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2328F7">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18</w:t>
    </w:r>
    <w:r>
      <w:rPr>
        <w:noProof/>
      </w:rPr>
      <w:fldChar w:fldCharType="end"/>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328F7">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19</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328F7">
    <w:pPr>
      <w:pStyle w:val="Header"/>
      <w:tabs>
        <w:tab w:val="clear" w:pos="8306"/>
        <w:tab w:val="right" w:pos="9000"/>
      </w:tabs>
    </w:pPr>
    <w:r>
      <w:tab/>
    </w:r>
    <w:r>
      <w:t>9</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Pr="002328F7" w:rsidRDefault="002328F7" w:rsidP="00232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Pr="002328F7" w:rsidRDefault="002328F7" w:rsidP="002328F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Default="002328F7">
    <w:pPr>
      <w:pStyle w:val="Header"/>
      <w:tabs>
        <w:tab w:val="clear" w:pos="8306"/>
        <w:tab w:val="right" w:pos="9000"/>
      </w:tabs>
    </w:pPr>
    <w:r>
      <w:tab/>
      <w:t>9</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7" w:rsidRPr="002328F7" w:rsidRDefault="002328F7" w:rsidP="00232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2328F7">
      <w:fldChar w:fldCharType="begin"/>
    </w:r>
    <w:r w:rsidR="002328F7">
      <w:instrText xml:space="preserve"> PAGE </w:instrText>
    </w:r>
    <w:r w:rsidR="002328F7">
      <w:fldChar w:fldCharType="separate"/>
    </w:r>
    <w:r w:rsidR="002328F7">
      <w:rPr>
        <w:noProof/>
      </w:rPr>
      <w:t>v</w:t>
    </w:r>
    <w:r w:rsidR="002328F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2328F7" w:rsidP="007E6842">
    <w:pPr>
      <w:pStyle w:val="Header"/>
      <w:tabs>
        <w:tab w:val="clear" w:pos="8306"/>
        <w:tab w:val="right" w:pos="900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2328F7" w:rsidRDefault="002328F7" w:rsidP="002328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2328F7">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3C81B0A"/>
    <w:multiLevelType w:val="multilevel"/>
    <w:tmpl w:val="411C622A"/>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53693"/>
    <w:multiLevelType w:val="multilevel"/>
    <w:tmpl w:val="2FC4EA70"/>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3D2471F"/>
    <w:multiLevelType w:val="multilevel"/>
    <w:tmpl w:val="E968BB3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13"/>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2"/>
  </w:num>
  <w:num w:numId="19">
    <w:abstractNumId w:val="27"/>
  </w:num>
  <w:num w:numId="20">
    <w:abstractNumId w:val="10"/>
  </w:num>
  <w:num w:numId="21">
    <w:abstractNumId w:val="25"/>
  </w:num>
  <w:num w:numId="22">
    <w:abstractNumId w:val="20"/>
  </w:num>
  <w:num w:numId="23">
    <w:abstractNumId w:val="26"/>
  </w:num>
  <w:num w:numId="24">
    <w:abstractNumId w:val="21"/>
  </w:num>
  <w:num w:numId="25">
    <w:abstractNumId w:val="22"/>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8"/>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328F7"/>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452BD"/>
    <w:rsid w:val="00C77954"/>
    <w:rsid w:val="00C82795"/>
    <w:rsid w:val="00C924AB"/>
    <w:rsid w:val="00CB2C79"/>
    <w:rsid w:val="00CC3A7E"/>
    <w:rsid w:val="00D0522E"/>
    <w:rsid w:val="00D2688E"/>
    <w:rsid w:val="00D35325"/>
    <w:rsid w:val="00D4535E"/>
    <w:rsid w:val="00D82DC0"/>
    <w:rsid w:val="00DA1837"/>
    <w:rsid w:val="00DE178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2328F7"/>
    <w:pPr>
      <w:keepNext/>
      <w:numPr>
        <w:ilvl w:val="3"/>
        <w:numId w:val="32"/>
      </w:numPr>
      <w:outlineLvl w:val="3"/>
    </w:pPr>
    <w:rPr>
      <w:b/>
      <w:i/>
    </w:rPr>
  </w:style>
  <w:style w:type="paragraph" w:styleId="Heading5">
    <w:name w:val="heading 5"/>
    <w:basedOn w:val="Normal"/>
    <w:next w:val="Normal"/>
    <w:qFormat/>
    <w:rsid w:val="002328F7"/>
    <w:pPr>
      <w:keepNext/>
      <w:numPr>
        <w:ilvl w:val="4"/>
        <w:numId w:val="32"/>
      </w:numPr>
      <w:jc w:val="left"/>
      <w:outlineLvl w:val="4"/>
    </w:pPr>
    <w:rPr>
      <w:i/>
    </w:rPr>
  </w:style>
  <w:style w:type="paragraph" w:styleId="Heading6">
    <w:name w:val="heading 6"/>
    <w:basedOn w:val="Normal"/>
    <w:next w:val="Normal"/>
    <w:qFormat/>
    <w:locked/>
    <w:rsid w:val="002328F7"/>
    <w:pPr>
      <w:numPr>
        <w:ilvl w:val="5"/>
        <w:numId w:val="32"/>
      </w:numPr>
      <w:spacing w:before="240" w:after="60"/>
      <w:outlineLvl w:val="5"/>
    </w:pPr>
    <w:rPr>
      <w:i/>
      <w:sz w:val="22"/>
    </w:rPr>
  </w:style>
  <w:style w:type="paragraph" w:styleId="Heading7">
    <w:name w:val="heading 7"/>
    <w:basedOn w:val="Normal"/>
    <w:next w:val="Normal"/>
    <w:qFormat/>
    <w:locked/>
    <w:rsid w:val="002328F7"/>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2328F7"/>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2328F7"/>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328F7"/>
    <w:pPr>
      <w:numPr>
        <w:numId w:val="32"/>
      </w:numPr>
    </w:pPr>
  </w:style>
  <w:style w:type="paragraph" w:customStyle="1" w:styleId="Level2">
    <w:name w:val="Level2"/>
    <w:basedOn w:val="Normal"/>
    <w:rsid w:val="002328F7"/>
    <w:pPr>
      <w:numPr>
        <w:ilvl w:val="1"/>
        <w:numId w:val="32"/>
      </w:numPr>
    </w:pPr>
  </w:style>
  <w:style w:type="paragraph" w:customStyle="1" w:styleId="Level3">
    <w:name w:val="Level3"/>
    <w:basedOn w:val="Normal"/>
    <w:link w:val="Level3Char"/>
    <w:rsid w:val="002328F7"/>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328F7"/>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2328F7"/>
    <w:rPr>
      <w:rFonts w:ascii="Times New Roman" w:hAnsi="Times New Roman"/>
      <w:b/>
      <w:kern w:val="28"/>
      <w:sz w:val="40"/>
      <w:lang w:eastAsia="en-US"/>
    </w:rPr>
  </w:style>
  <w:style w:type="character" w:customStyle="1" w:styleId="HeaderChar">
    <w:name w:val="Header Char"/>
    <w:basedOn w:val="DefaultParagraphFont"/>
    <w:link w:val="Header"/>
    <w:semiHidden/>
    <w:rsid w:val="002328F7"/>
    <w:rPr>
      <w:rFonts w:ascii="Times New Roman" w:hAnsi="Times New Roman"/>
      <w:sz w:val="22"/>
      <w:lang w:eastAsia="en-US"/>
    </w:rPr>
  </w:style>
  <w:style w:type="paragraph" w:customStyle="1" w:styleId="JNP2">
    <w:name w:val="JNP2"/>
    <w:basedOn w:val="Normal"/>
    <w:rsid w:val="002328F7"/>
    <w:pPr>
      <w:spacing w:after="0"/>
      <w:ind w:left="2268"/>
    </w:pPr>
    <w:rPr>
      <w:lang w:val="en-US"/>
    </w:rPr>
  </w:style>
  <w:style w:type="character" w:customStyle="1" w:styleId="FootnoteTextChar">
    <w:name w:val="Footnote Text Char"/>
    <w:basedOn w:val="DefaultParagraphFont"/>
    <w:link w:val="FootnoteText"/>
    <w:rsid w:val="002328F7"/>
    <w:rPr>
      <w:sz w:val="22"/>
      <w:lang w:eastAsia="en-US"/>
    </w:rPr>
  </w:style>
  <w:style w:type="character" w:customStyle="1" w:styleId="QuoteChar">
    <w:name w:val="Quote Char"/>
    <w:basedOn w:val="DefaultParagraphFont"/>
    <w:link w:val="Quote"/>
    <w:rsid w:val="002328F7"/>
    <w:rPr>
      <w:rFonts w:ascii="Times New Roman" w:hAnsi="Times New Roman"/>
      <w:sz w:val="24"/>
      <w:lang w:eastAsia="en-US"/>
    </w:rPr>
  </w:style>
  <w:style w:type="character" w:customStyle="1" w:styleId="Heading2Char">
    <w:name w:val="Heading 2 Char"/>
    <w:basedOn w:val="DefaultParagraphFont"/>
    <w:link w:val="Heading2"/>
    <w:rsid w:val="002328F7"/>
    <w:rPr>
      <w:rFonts w:ascii="Times New Roman" w:hAnsi="Times New Roman"/>
      <w:b/>
      <w:sz w:val="36"/>
      <w:lang w:eastAsia="en-US"/>
    </w:rPr>
  </w:style>
  <w:style w:type="character" w:customStyle="1" w:styleId="Heading3Char">
    <w:name w:val="Heading 3 Char"/>
    <w:basedOn w:val="DefaultParagraphFont"/>
    <w:link w:val="Heading3"/>
    <w:rsid w:val="002328F7"/>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2328F7"/>
    <w:pPr>
      <w:keepNext/>
      <w:numPr>
        <w:ilvl w:val="3"/>
        <w:numId w:val="32"/>
      </w:numPr>
      <w:outlineLvl w:val="3"/>
    </w:pPr>
    <w:rPr>
      <w:b/>
      <w:i/>
    </w:rPr>
  </w:style>
  <w:style w:type="paragraph" w:styleId="Heading5">
    <w:name w:val="heading 5"/>
    <w:basedOn w:val="Normal"/>
    <w:next w:val="Normal"/>
    <w:qFormat/>
    <w:rsid w:val="002328F7"/>
    <w:pPr>
      <w:keepNext/>
      <w:numPr>
        <w:ilvl w:val="4"/>
        <w:numId w:val="32"/>
      </w:numPr>
      <w:jc w:val="left"/>
      <w:outlineLvl w:val="4"/>
    </w:pPr>
    <w:rPr>
      <w:i/>
    </w:rPr>
  </w:style>
  <w:style w:type="paragraph" w:styleId="Heading6">
    <w:name w:val="heading 6"/>
    <w:basedOn w:val="Normal"/>
    <w:next w:val="Normal"/>
    <w:qFormat/>
    <w:locked/>
    <w:rsid w:val="002328F7"/>
    <w:pPr>
      <w:numPr>
        <w:ilvl w:val="5"/>
        <w:numId w:val="32"/>
      </w:numPr>
      <w:spacing w:before="240" w:after="60"/>
      <w:outlineLvl w:val="5"/>
    </w:pPr>
    <w:rPr>
      <w:i/>
      <w:sz w:val="22"/>
    </w:rPr>
  </w:style>
  <w:style w:type="paragraph" w:styleId="Heading7">
    <w:name w:val="heading 7"/>
    <w:basedOn w:val="Normal"/>
    <w:next w:val="Normal"/>
    <w:qFormat/>
    <w:locked/>
    <w:rsid w:val="002328F7"/>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2328F7"/>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2328F7"/>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328F7"/>
    <w:pPr>
      <w:numPr>
        <w:numId w:val="32"/>
      </w:numPr>
    </w:pPr>
  </w:style>
  <w:style w:type="paragraph" w:customStyle="1" w:styleId="Level2">
    <w:name w:val="Level2"/>
    <w:basedOn w:val="Normal"/>
    <w:rsid w:val="002328F7"/>
    <w:pPr>
      <w:numPr>
        <w:ilvl w:val="1"/>
        <w:numId w:val="32"/>
      </w:numPr>
    </w:pPr>
  </w:style>
  <w:style w:type="paragraph" w:customStyle="1" w:styleId="Level3">
    <w:name w:val="Level3"/>
    <w:basedOn w:val="Normal"/>
    <w:link w:val="Level3Char"/>
    <w:rsid w:val="002328F7"/>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328F7"/>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2328F7"/>
    <w:rPr>
      <w:rFonts w:ascii="Times New Roman" w:hAnsi="Times New Roman"/>
      <w:b/>
      <w:kern w:val="28"/>
      <w:sz w:val="40"/>
      <w:lang w:eastAsia="en-US"/>
    </w:rPr>
  </w:style>
  <w:style w:type="character" w:customStyle="1" w:styleId="HeaderChar">
    <w:name w:val="Header Char"/>
    <w:basedOn w:val="DefaultParagraphFont"/>
    <w:link w:val="Header"/>
    <w:semiHidden/>
    <w:rsid w:val="002328F7"/>
    <w:rPr>
      <w:rFonts w:ascii="Times New Roman" w:hAnsi="Times New Roman"/>
      <w:sz w:val="22"/>
      <w:lang w:eastAsia="en-US"/>
    </w:rPr>
  </w:style>
  <w:style w:type="paragraph" w:customStyle="1" w:styleId="JNP2">
    <w:name w:val="JNP2"/>
    <w:basedOn w:val="Normal"/>
    <w:rsid w:val="002328F7"/>
    <w:pPr>
      <w:spacing w:after="0"/>
      <w:ind w:left="2268"/>
    </w:pPr>
    <w:rPr>
      <w:lang w:val="en-US"/>
    </w:rPr>
  </w:style>
  <w:style w:type="character" w:customStyle="1" w:styleId="FootnoteTextChar">
    <w:name w:val="Footnote Text Char"/>
    <w:basedOn w:val="DefaultParagraphFont"/>
    <w:link w:val="FootnoteText"/>
    <w:rsid w:val="002328F7"/>
    <w:rPr>
      <w:sz w:val="22"/>
      <w:lang w:eastAsia="en-US"/>
    </w:rPr>
  </w:style>
  <w:style w:type="character" w:customStyle="1" w:styleId="QuoteChar">
    <w:name w:val="Quote Char"/>
    <w:basedOn w:val="DefaultParagraphFont"/>
    <w:link w:val="Quote"/>
    <w:rsid w:val="002328F7"/>
    <w:rPr>
      <w:rFonts w:ascii="Times New Roman" w:hAnsi="Times New Roman"/>
      <w:sz w:val="24"/>
      <w:lang w:eastAsia="en-US"/>
    </w:rPr>
  </w:style>
  <w:style w:type="character" w:customStyle="1" w:styleId="Heading2Char">
    <w:name w:val="Heading 2 Char"/>
    <w:basedOn w:val="DefaultParagraphFont"/>
    <w:link w:val="Heading2"/>
    <w:rsid w:val="002328F7"/>
    <w:rPr>
      <w:rFonts w:ascii="Times New Roman" w:hAnsi="Times New Roman"/>
      <w:b/>
      <w:sz w:val="36"/>
      <w:lang w:eastAsia="en-US"/>
    </w:rPr>
  </w:style>
  <w:style w:type="character" w:customStyle="1" w:styleId="Heading3Char">
    <w:name w:val="Heading 3 Char"/>
    <w:basedOn w:val="DefaultParagraphFont"/>
    <w:link w:val="Heading3"/>
    <w:rsid w:val="002328F7"/>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hyperlink" Target="mailto:RegOrds.Sen@aph.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7.xml"/><Relationship Id="rId54" Type="http://schemas.openxmlformats.org/officeDocument/2006/relationships/hyperlink" Target="http://www.aph.gov.au/Parliamentary_Business/Committees/Senate_Committees?url=regord_ctte/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yperlink" Target="http://www.aph.gov.au/Parliamentary_Business/Committees/Senate_Committees?url=regord_ctte/alert2012.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hyperlink" Target="http://www.comlaw.gov.au/Details/C2012C0004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hyperlink" Target="http://www.aph.gov.au/Parliamentary_Business/Committees/Senate_Committees?url=regord_ctte/guidelines.htm"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37</Pages>
  <Words>8208</Words>
  <Characters>47130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2015-03-25T03:35:00Z</dcterms:created>
  <dcterms:modified xsi:type="dcterms:W3CDTF">2015-03-25T03:35:00Z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