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FD01FA">
        <w:rPr>
          <w:sz w:val="24"/>
          <w:szCs w:val="24"/>
        </w:rPr>
        <w:t>8</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FD01FA">
        <w:rPr>
          <w:sz w:val="28"/>
        </w:rPr>
        <w:t>9 July</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BF0E0D" w:rsidRDefault="00BF0E0D" w:rsidP="00325264">
      <w:pPr>
        <w:sectPr w:rsidR="00BF0E0D"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BF0E0D" w:rsidRDefault="00BF0E0D" w:rsidP="00BF0E0D">
      <w:pPr>
        <w:pStyle w:val="Heading1"/>
      </w:pPr>
      <w:bookmarkStart w:id="1" w:name="_Toc340231481"/>
      <w:r>
        <w:lastRenderedPageBreak/>
        <w:t>Membership of the committee</w:t>
      </w:r>
      <w:bookmarkEnd w:id="1"/>
    </w:p>
    <w:p w:rsidR="00BF0E0D" w:rsidRDefault="00BF0E0D" w:rsidP="00BF0E0D">
      <w:pPr>
        <w:spacing w:after="0"/>
      </w:pPr>
    </w:p>
    <w:p w:rsidR="00BF0E0D" w:rsidRDefault="00BF0E0D" w:rsidP="00BF0E0D">
      <w:pPr>
        <w:spacing w:after="0"/>
      </w:pPr>
    </w:p>
    <w:p w:rsidR="00BF0E0D" w:rsidRDefault="00BF0E0D" w:rsidP="00BF0E0D">
      <w:pPr>
        <w:spacing w:after="0"/>
      </w:pPr>
    </w:p>
    <w:p w:rsidR="00BF0E0D" w:rsidRDefault="00BF0E0D" w:rsidP="00BF0E0D">
      <w:pPr>
        <w:spacing w:after="0"/>
      </w:pPr>
    </w:p>
    <w:p w:rsidR="00BF0E0D" w:rsidRDefault="00BF0E0D" w:rsidP="00BF0E0D">
      <w:pPr>
        <w:spacing w:after="0"/>
      </w:pPr>
    </w:p>
    <w:p w:rsidR="00BF0E0D" w:rsidRPr="008A46B0" w:rsidRDefault="00BF0E0D" w:rsidP="00BF0E0D">
      <w:pPr>
        <w:tabs>
          <w:tab w:val="left" w:pos="4536"/>
        </w:tabs>
        <w:outlineLvl w:val="0"/>
        <w:rPr>
          <w:b/>
        </w:rPr>
      </w:pPr>
      <w:bookmarkStart w:id="2" w:name="_Toc340231482"/>
      <w:r>
        <w:rPr>
          <w:b/>
        </w:rPr>
        <w:t>Current m</w:t>
      </w:r>
      <w:r w:rsidRPr="008A46B0">
        <w:rPr>
          <w:b/>
        </w:rPr>
        <w:t>embers</w:t>
      </w:r>
      <w:bookmarkEnd w:id="2"/>
    </w:p>
    <w:p w:rsidR="00BF0E0D" w:rsidRPr="001F6A19" w:rsidRDefault="00BF0E0D" w:rsidP="00BF0E0D">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BF0E0D" w:rsidRPr="001F6A19" w:rsidRDefault="00BF0E0D" w:rsidP="00BF0E0D">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BF0E0D" w:rsidRPr="001F6A19" w:rsidRDefault="00BF0E0D" w:rsidP="00BF0E0D">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BF0E0D" w:rsidRPr="001F6A19" w:rsidRDefault="00BF0E0D" w:rsidP="00BF0E0D">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BF0E0D" w:rsidRDefault="00BF0E0D" w:rsidP="00BF0E0D">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BF0E0D" w:rsidRDefault="00BF0E0D" w:rsidP="00BF0E0D">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BF0E0D" w:rsidRDefault="00BF0E0D" w:rsidP="00BF0E0D">
      <w:pPr>
        <w:spacing w:after="0"/>
        <w:rPr>
          <w:sz w:val="24"/>
          <w:szCs w:val="24"/>
        </w:rPr>
      </w:pPr>
    </w:p>
    <w:p w:rsidR="00BF0E0D" w:rsidRDefault="00BF0E0D" w:rsidP="00BF0E0D">
      <w:pPr>
        <w:spacing w:after="0"/>
        <w:rPr>
          <w:sz w:val="24"/>
          <w:szCs w:val="24"/>
        </w:rPr>
      </w:pPr>
    </w:p>
    <w:p w:rsidR="00BF0E0D" w:rsidRDefault="00BF0E0D" w:rsidP="00BF0E0D">
      <w:pPr>
        <w:spacing w:after="0"/>
        <w:rPr>
          <w:sz w:val="24"/>
          <w:szCs w:val="24"/>
        </w:rPr>
      </w:pPr>
    </w:p>
    <w:p w:rsidR="00BF0E0D" w:rsidRDefault="00BF0E0D" w:rsidP="00BF0E0D">
      <w:pPr>
        <w:spacing w:after="0"/>
        <w:rPr>
          <w:sz w:val="24"/>
          <w:szCs w:val="24"/>
        </w:rPr>
      </w:pPr>
    </w:p>
    <w:p w:rsidR="00BF0E0D" w:rsidRDefault="00BF0E0D" w:rsidP="00BF0E0D">
      <w:pPr>
        <w:spacing w:after="0"/>
        <w:rPr>
          <w:sz w:val="24"/>
          <w:szCs w:val="24"/>
        </w:rPr>
      </w:pPr>
    </w:p>
    <w:p w:rsidR="00BF0E0D" w:rsidRPr="00BE73BD" w:rsidRDefault="00BF0E0D" w:rsidP="00BF0E0D">
      <w:pPr>
        <w:rPr>
          <w:b/>
        </w:rPr>
      </w:pPr>
      <w:bookmarkStart w:id="3" w:name="_Toc340231484"/>
      <w:r w:rsidRPr="00BE73BD">
        <w:rPr>
          <w:b/>
        </w:rPr>
        <w:t>Secretariat</w:t>
      </w:r>
      <w:bookmarkEnd w:id="3"/>
    </w:p>
    <w:p w:rsidR="00BF0E0D" w:rsidRPr="00BE73BD" w:rsidRDefault="00BF0E0D" w:rsidP="00BF0E0D">
      <w:pPr>
        <w:spacing w:after="0"/>
        <w:rPr>
          <w:sz w:val="24"/>
          <w:szCs w:val="24"/>
        </w:rPr>
      </w:pPr>
      <w:bookmarkStart w:id="4" w:name="_Toc340231485"/>
      <w:r w:rsidRPr="00BE73BD">
        <w:rPr>
          <w:sz w:val="24"/>
          <w:szCs w:val="24"/>
        </w:rPr>
        <w:t>Mr Ivan Powell, Secretary</w:t>
      </w:r>
      <w:bookmarkEnd w:id="4"/>
    </w:p>
    <w:p w:rsidR="00BF0E0D" w:rsidRPr="00BE73BD" w:rsidRDefault="00BF0E0D" w:rsidP="00BF0E0D">
      <w:pPr>
        <w:spacing w:after="0"/>
        <w:rPr>
          <w:sz w:val="24"/>
          <w:szCs w:val="24"/>
        </w:rPr>
      </w:pPr>
      <w:r w:rsidRPr="00BE73BD">
        <w:rPr>
          <w:sz w:val="24"/>
          <w:szCs w:val="24"/>
        </w:rPr>
        <w:t>Dr Patrick Hodder, Senior Research Officer</w:t>
      </w:r>
    </w:p>
    <w:p w:rsidR="00BF0E0D" w:rsidRDefault="00BF0E0D" w:rsidP="00BF0E0D">
      <w:pPr>
        <w:spacing w:after="0"/>
        <w:rPr>
          <w:sz w:val="24"/>
          <w:szCs w:val="24"/>
        </w:rPr>
      </w:pPr>
    </w:p>
    <w:p w:rsidR="00BF0E0D" w:rsidRDefault="00BF0E0D" w:rsidP="00BF0E0D">
      <w:pPr>
        <w:spacing w:after="0"/>
        <w:rPr>
          <w:sz w:val="24"/>
          <w:szCs w:val="24"/>
        </w:rPr>
      </w:pPr>
    </w:p>
    <w:p w:rsidR="00BF0E0D" w:rsidRDefault="00BF0E0D" w:rsidP="00BF0E0D">
      <w:pPr>
        <w:spacing w:after="0"/>
        <w:rPr>
          <w:sz w:val="24"/>
          <w:szCs w:val="24"/>
        </w:rPr>
      </w:pPr>
    </w:p>
    <w:p w:rsidR="00BF0E0D" w:rsidRPr="007A6AAA" w:rsidRDefault="00BF0E0D" w:rsidP="00BF0E0D">
      <w:pPr>
        <w:spacing w:after="0"/>
        <w:rPr>
          <w:sz w:val="24"/>
          <w:szCs w:val="24"/>
        </w:rPr>
      </w:pPr>
    </w:p>
    <w:p w:rsidR="00BF0E0D" w:rsidRPr="00BE73BD" w:rsidRDefault="00BF0E0D" w:rsidP="00BF0E0D">
      <w:pPr>
        <w:rPr>
          <w:b/>
        </w:rPr>
      </w:pPr>
      <w:bookmarkStart w:id="5" w:name="_Toc340231486"/>
      <w:r w:rsidRPr="00BE73BD">
        <w:rPr>
          <w:b/>
        </w:rPr>
        <w:t>Committee legal adviser</w:t>
      </w:r>
      <w:bookmarkEnd w:id="5"/>
    </w:p>
    <w:p w:rsidR="00BF0E0D" w:rsidRPr="00BE73BD" w:rsidRDefault="00BF0E0D" w:rsidP="00BF0E0D">
      <w:pPr>
        <w:rPr>
          <w:sz w:val="24"/>
          <w:szCs w:val="24"/>
        </w:rPr>
      </w:pPr>
      <w:r w:rsidRPr="00BE73BD">
        <w:rPr>
          <w:sz w:val="24"/>
          <w:szCs w:val="24"/>
        </w:rPr>
        <w:t>Mr Stephen Argument</w:t>
      </w:r>
    </w:p>
    <w:p w:rsidR="00BF0E0D" w:rsidRDefault="00BF0E0D" w:rsidP="00BF0E0D">
      <w:pPr>
        <w:spacing w:after="0"/>
        <w:rPr>
          <w:sz w:val="24"/>
          <w:szCs w:val="24"/>
        </w:rPr>
      </w:pPr>
    </w:p>
    <w:p w:rsidR="00BF0E0D" w:rsidRDefault="00BF0E0D" w:rsidP="00BF0E0D">
      <w:pPr>
        <w:spacing w:after="0"/>
        <w:rPr>
          <w:sz w:val="24"/>
          <w:szCs w:val="24"/>
        </w:rPr>
      </w:pPr>
    </w:p>
    <w:p w:rsidR="00BF0E0D" w:rsidRPr="001B64F3" w:rsidRDefault="00BF0E0D" w:rsidP="00BF0E0D">
      <w:pPr>
        <w:spacing w:after="0"/>
        <w:rPr>
          <w:sz w:val="24"/>
          <w:szCs w:val="24"/>
        </w:rPr>
      </w:pPr>
    </w:p>
    <w:p w:rsidR="00BF0E0D" w:rsidRPr="001B64F3" w:rsidRDefault="00BF0E0D" w:rsidP="00BF0E0D">
      <w:pPr>
        <w:spacing w:after="0"/>
        <w:rPr>
          <w:sz w:val="24"/>
          <w:szCs w:val="24"/>
        </w:rPr>
      </w:pPr>
    </w:p>
    <w:p w:rsidR="00BF0E0D" w:rsidRPr="00BE73BD" w:rsidRDefault="00BF0E0D" w:rsidP="00BF0E0D">
      <w:pPr>
        <w:rPr>
          <w:b/>
        </w:rPr>
      </w:pPr>
      <w:bookmarkStart w:id="6" w:name="_Toc340231487"/>
      <w:r w:rsidRPr="00BE73BD">
        <w:rPr>
          <w:b/>
        </w:rPr>
        <w:t>Committee contacts</w:t>
      </w:r>
      <w:bookmarkEnd w:id="6"/>
    </w:p>
    <w:p w:rsidR="00BF0E0D" w:rsidRPr="00BE73BD" w:rsidRDefault="00BF0E0D" w:rsidP="00BF0E0D">
      <w:pPr>
        <w:spacing w:after="0"/>
        <w:rPr>
          <w:sz w:val="24"/>
          <w:szCs w:val="24"/>
        </w:rPr>
      </w:pPr>
      <w:bookmarkStart w:id="7" w:name="_Toc340231488"/>
      <w:r w:rsidRPr="00BE73BD">
        <w:rPr>
          <w:sz w:val="24"/>
          <w:szCs w:val="24"/>
        </w:rPr>
        <w:t>PO Box 6100</w:t>
      </w:r>
      <w:bookmarkEnd w:id="7"/>
    </w:p>
    <w:p w:rsidR="00BF0E0D" w:rsidRPr="00BE73BD" w:rsidRDefault="00BF0E0D" w:rsidP="00BF0E0D">
      <w:pPr>
        <w:spacing w:after="0"/>
        <w:rPr>
          <w:sz w:val="24"/>
          <w:szCs w:val="24"/>
        </w:rPr>
      </w:pPr>
      <w:r w:rsidRPr="00BE73BD">
        <w:rPr>
          <w:sz w:val="24"/>
          <w:szCs w:val="24"/>
        </w:rPr>
        <w:t>Parliament House</w:t>
      </w:r>
    </w:p>
    <w:p w:rsidR="00BF0E0D" w:rsidRPr="00BE73BD" w:rsidRDefault="00BF0E0D" w:rsidP="00BF0E0D">
      <w:pPr>
        <w:spacing w:after="0"/>
        <w:rPr>
          <w:sz w:val="24"/>
          <w:szCs w:val="24"/>
        </w:rPr>
      </w:pPr>
      <w:r w:rsidRPr="00BE73BD">
        <w:rPr>
          <w:sz w:val="24"/>
          <w:szCs w:val="24"/>
        </w:rPr>
        <w:t>Canberra ACT 2600</w:t>
      </w:r>
    </w:p>
    <w:p w:rsidR="00BF0E0D" w:rsidRPr="00BE73BD" w:rsidRDefault="00BF0E0D" w:rsidP="00BF0E0D">
      <w:pPr>
        <w:spacing w:after="0"/>
        <w:rPr>
          <w:sz w:val="24"/>
          <w:szCs w:val="24"/>
        </w:rPr>
      </w:pPr>
      <w:proofErr w:type="spellStart"/>
      <w:r w:rsidRPr="00BE73BD">
        <w:rPr>
          <w:sz w:val="24"/>
          <w:szCs w:val="24"/>
        </w:rPr>
        <w:t>Ph</w:t>
      </w:r>
      <w:proofErr w:type="spellEnd"/>
      <w:r w:rsidRPr="00BE73BD">
        <w:rPr>
          <w:sz w:val="24"/>
          <w:szCs w:val="24"/>
        </w:rPr>
        <w:t>: 02 6277 3066</w:t>
      </w:r>
    </w:p>
    <w:p w:rsidR="00BF0E0D" w:rsidRPr="00BE73BD" w:rsidRDefault="00BF0E0D" w:rsidP="00BF0E0D">
      <w:pPr>
        <w:spacing w:after="0"/>
        <w:rPr>
          <w:sz w:val="24"/>
          <w:szCs w:val="24"/>
        </w:rPr>
      </w:pPr>
      <w:r w:rsidRPr="00BE73BD">
        <w:rPr>
          <w:sz w:val="24"/>
          <w:szCs w:val="24"/>
        </w:rPr>
        <w:t>Email: regords.sen@aph.gov.au</w:t>
      </w:r>
    </w:p>
    <w:p w:rsidR="00BF0E0D" w:rsidRPr="007E04A9" w:rsidRDefault="00BF0E0D" w:rsidP="00BF0E0D">
      <w:pPr>
        <w:spacing w:after="0"/>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BF0E0D" w:rsidRDefault="00BF0E0D" w:rsidP="00BF0E0D">
      <w:r>
        <w:br w:type="page"/>
      </w:r>
    </w:p>
    <w:p w:rsidR="00BF0E0D" w:rsidRDefault="00BF0E0D" w:rsidP="00325264">
      <w:pPr>
        <w:sectPr w:rsidR="00BF0E0D"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BF0E0D" w:rsidRDefault="00BF0E0D" w:rsidP="00BF0E0D">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392660935"/>
      <w:bookmarkStart w:id="19" w:name="_Toc392667080"/>
      <w:bookmarkStart w:id="20" w:name="_Toc392667124"/>
      <w:r>
        <w:lastRenderedPageBreak/>
        <w:t>Contents</w:t>
      </w:r>
      <w:bookmarkEnd w:id="9"/>
      <w:bookmarkEnd w:id="10"/>
      <w:bookmarkEnd w:id="11"/>
      <w:bookmarkEnd w:id="12"/>
      <w:bookmarkEnd w:id="13"/>
      <w:bookmarkEnd w:id="14"/>
      <w:bookmarkEnd w:id="15"/>
      <w:bookmarkEnd w:id="16"/>
      <w:bookmarkEnd w:id="17"/>
      <w:bookmarkEnd w:id="18"/>
      <w:bookmarkEnd w:id="19"/>
      <w:bookmarkEnd w:id="20"/>
    </w:p>
    <w:p w:rsidR="00BF0E0D" w:rsidRPr="00635538" w:rsidRDefault="00BF0E0D" w:rsidP="00BF0E0D">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BF0E0D" w:rsidRPr="00635538" w:rsidRDefault="00BF0E0D" w:rsidP="00BF0E0D">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BF0E0D" w:rsidRDefault="00BF0E0D" w:rsidP="00BF0E0D">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BF0E0D" w:rsidRDefault="00BF0E0D" w:rsidP="00BF0E0D">
      <w:pPr>
        <w:pStyle w:val="TOC3"/>
        <w:tabs>
          <w:tab w:val="left" w:pos="5707"/>
          <w:tab w:val="right" w:leader="dot" w:pos="9016"/>
        </w:tabs>
        <w:jc w:val="left"/>
        <w:rPr>
          <w:rFonts w:asciiTheme="minorHAnsi" w:eastAsiaTheme="minorEastAsia" w:hAnsiTheme="minorHAnsi" w:cstheme="minorBidi"/>
          <w:noProof/>
          <w:sz w:val="22"/>
          <w:szCs w:val="22"/>
          <w:lang w:eastAsia="en-AU"/>
        </w:rPr>
      </w:pPr>
      <w:r>
        <w:rPr>
          <w:noProof/>
        </w:rPr>
        <w:t>Farm Household Support Secretary's Rule 2014</w:t>
      </w:r>
      <w:r>
        <w:rPr>
          <w:rFonts w:asciiTheme="minorHAnsi" w:eastAsiaTheme="minorEastAsia" w:hAnsiTheme="minorHAnsi" w:cstheme="minorBidi"/>
          <w:noProof/>
          <w:sz w:val="22"/>
          <w:szCs w:val="22"/>
          <w:lang w:eastAsia="en-AU"/>
        </w:rPr>
        <w:tab/>
      </w:r>
      <w:r>
        <w:rPr>
          <w:noProof/>
        </w:rPr>
        <w:t xml:space="preserve"> [F2014L00614]</w:t>
      </w:r>
      <w:r>
        <w:rPr>
          <w:noProof/>
        </w:rPr>
        <w:tab/>
        <w:t>1</w:t>
      </w:r>
    </w:p>
    <w:p w:rsidR="00BF0E0D" w:rsidRDefault="00BF0E0D" w:rsidP="00BF0E0D">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(Designated and Declared Persons – Former Federal Republic of Yugoslavia) Amendment List 2014 [F2014L00694]</w:t>
      </w:r>
      <w:r>
        <w:rPr>
          <w:noProof/>
        </w:rPr>
        <w:tab/>
        <w:t>4</w:t>
      </w:r>
    </w:p>
    <w:p w:rsidR="00BF0E0D" w:rsidRDefault="00BF0E0D" w:rsidP="00BF0E0D">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5</w:t>
      </w:r>
    </w:p>
    <w:p w:rsidR="00BF0E0D" w:rsidRDefault="00BF0E0D" w:rsidP="00BF0E0D">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r w:rsidRPr="00635538">
        <w:rPr>
          <w:b w:val="0"/>
          <w:noProof/>
          <w:sz w:val="26"/>
          <w:szCs w:val="26"/>
        </w:rPr>
        <w:tab/>
      </w:r>
      <w:r>
        <w:rPr>
          <w:b w:val="0"/>
          <w:noProof/>
          <w:sz w:val="26"/>
          <w:szCs w:val="26"/>
        </w:rPr>
        <w:t>7</w:t>
      </w:r>
    </w:p>
    <w:p w:rsidR="00BF0E0D" w:rsidRDefault="00BF0E0D" w:rsidP="00BF0E0D">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9</w:t>
      </w:r>
    </w:p>
    <w:p w:rsidR="00BF0E0D" w:rsidRDefault="00BF0E0D" w:rsidP="00BF0E0D">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15</w:t>
      </w:r>
    </w:p>
    <w:p w:rsidR="00BF0E0D" w:rsidRDefault="00BF0E0D" w:rsidP="00BF0E0D">
      <w:pPr>
        <w:tabs>
          <w:tab w:val="left" w:pos="1170"/>
        </w:tabs>
        <w:jc w:val="left"/>
        <w:rPr>
          <w:sz w:val="16"/>
          <w:szCs w:val="16"/>
        </w:rPr>
      </w:pPr>
    </w:p>
    <w:p w:rsidR="00BF0E0D" w:rsidRDefault="00BF0E0D" w:rsidP="00BF0E0D">
      <w:pPr>
        <w:tabs>
          <w:tab w:val="left" w:pos="1170"/>
        </w:tabs>
        <w:jc w:val="left"/>
        <w:rPr>
          <w:sz w:val="16"/>
          <w:szCs w:val="16"/>
        </w:rPr>
      </w:pPr>
    </w:p>
    <w:p w:rsidR="00BF0E0D" w:rsidRDefault="00BF0E0D" w:rsidP="00BF0E0D"/>
    <w:p w:rsidR="00BF0E0D" w:rsidRDefault="00BF0E0D" w:rsidP="00BF0E0D"/>
    <w:p w:rsidR="00BF0E0D" w:rsidRDefault="00BF0E0D" w:rsidP="00BF0E0D">
      <w:pPr>
        <w:pStyle w:val="Heading1"/>
      </w:pPr>
      <w:r>
        <w:br w:type="page"/>
      </w:r>
    </w:p>
    <w:p w:rsidR="00BF0E0D" w:rsidRDefault="00BF0E0D" w:rsidP="00BF0E0D">
      <w:pPr>
        <w:spacing w:after="0"/>
        <w:jc w:val="left"/>
        <w:sectPr w:rsidR="00BF0E0D"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BF0E0D" w:rsidRPr="004B17F0" w:rsidRDefault="00BF0E0D" w:rsidP="00BF0E0D">
      <w:pPr>
        <w:pStyle w:val="Heading1"/>
      </w:pPr>
      <w:r>
        <w:lastRenderedPageBreak/>
        <w:t>Introduction</w:t>
      </w:r>
    </w:p>
    <w:p w:rsidR="00BF0E0D" w:rsidRDefault="00BF0E0D" w:rsidP="00BF0E0D">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BF0E0D" w:rsidRDefault="00BF0E0D" w:rsidP="00BF0E0D">
      <w:pPr>
        <w:pStyle w:val="Heading3"/>
      </w:pPr>
      <w:r>
        <w:t>The committee's terms of reference</w:t>
      </w:r>
    </w:p>
    <w:p w:rsidR="00BF0E0D" w:rsidRPr="00D233E5" w:rsidRDefault="00BF0E0D" w:rsidP="00BF0E0D">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BF0E0D" w:rsidRPr="00BF47FD" w:rsidRDefault="00BF0E0D" w:rsidP="00BF0E0D">
      <w:pPr>
        <w:pStyle w:val="Quote"/>
        <w:ind w:left="1276" w:hanging="425"/>
      </w:pPr>
      <w:r>
        <w:t xml:space="preserve">(1) </w:t>
      </w:r>
      <w:r w:rsidRPr="00BF47FD">
        <w:t>A Standing Committee on Regulations and Ordinances shall be appointed at the commencement of each Parliament.</w:t>
      </w:r>
    </w:p>
    <w:p w:rsidR="00BF0E0D" w:rsidRPr="00BF47FD" w:rsidRDefault="00BF0E0D" w:rsidP="00BF0E0D">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BF0E0D" w:rsidRPr="00BF47FD" w:rsidRDefault="00BF0E0D" w:rsidP="00BF0E0D">
      <w:pPr>
        <w:pStyle w:val="Quote"/>
        <w:ind w:left="1276"/>
      </w:pPr>
      <w:r w:rsidRPr="00BF47FD">
        <w:t>The committee shall scrutinise each instrument to ensure:</w:t>
      </w:r>
    </w:p>
    <w:p w:rsidR="00BF0E0D" w:rsidRPr="00BF47FD" w:rsidRDefault="00BF0E0D" w:rsidP="00BF0E0D">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BF0E0D" w:rsidRPr="00BF47FD" w:rsidRDefault="00BF0E0D" w:rsidP="00BF0E0D">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BF0E0D" w:rsidRPr="00BF47FD" w:rsidRDefault="00BF0E0D" w:rsidP="00BF0E0D">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BF0E0D" w:rsidRDefault="00BF0E0D" w:rsidP="00BF0E0D">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BF0E0D" w:rsidRDefault="00BF0E0D" w:rsidP="00BF0E0D">
      <w:pPr>
        <w:pStyle w:val="Heading3"/>
      </w:pPr>
      <w:r w:rsidRPr="00F063AA">
        <w:t>Work of the committee</w:t>
      </w:r>
    </w:p>
    <w:p w:rsidR="00BF0E0D" w:rsidRPr="00F063AA" w:rsidRDefault="00BF0E0D" w:rsidP="00BF0E0D">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BF0E0D" w:rsidRDefault="00BF0E0D" w:rsidP="00BF0E0D">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BF0E0D" w:rsidRDefault="00BF0E0D" w:rsidP="00BF0E0D">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BF0E0D" w:rsidRDefault="00BF0E0D" w:rsidP="00BF0E0D">
      <w:pPr>
        <w:pStyle w:val="Heading3"/>
      </w:pPr>
      <w:r>
        <w:t>Structure of the report</w:t>
      </w:r>
    </w:p>
    <w:p w:rsidR="00BF0E0D" w:rsidRDefault="00BF0E0D" w:rsidP="00BF0E0D">
      <w:pPr>
        <w:pStyle w:val="Level1"/>
        <w:numPr>
          <w:ilvl w:val="0"/>
          <w:numId w:val="0"/>
        </w:numPr>
      </w:pPr>
      <w:r>
        <w:t>The report is comprised of the following parts:</w:t>
      </w:r>
    </w:p>
    <w:p w:rsidR="00BF0E0D" w:rsidRDefault="00BF0E0D" w:rsidP="00BF0E0D">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BF0E0D" w:rsidRDefault="00BF0E0D" w:rsidP="00BF0E0D">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BF0E0D" w:rsidRDefault="00BF0E0D" w:rsidP="00BF0E0D">
      <w:pPr>
        <w:pStyle w:val="Bullet1"/>
        <w:spacing w:after="120"/>
      </w:pPr>
      <w:r>
        <w:t>Appendix 1 provides an index listing all instruments scrutinised in the period covered by the report;</w:t>
      </w:r>
    </w:p>
    <w:p w:rsidR="00BF0E0D" w:rsidRDefault="00BF0E0D" w:rsidP="00BF0E0D">
      <w:pPr>
        <w:pStyle w:val="Bullet1"/>
        <w:spacing w:after="120"/>
      </w:pPr>
      <w:r>
        <w:t xml:space="preserve">Appendix 2 contains the committee's guideline on addressing the consultation requirements of the </w:t>
      </w:r>
      <w:r>
        <w:rPr>
          <w:i/>
        </w:rPr>
        <w:t>Legislative Instruments Act 2003</w:t>
      </w:r>
      <w:r>
        <w:t>.</w:t>
      </w:r>
    </w:p>
    <w:p w:rsidR="00BF0E0D" w:rsidRDefault="00BF0E0D" w:rsidP="00BF0E0D">
      <w:pPr>
        <w:pStyle w:val="Bullet1"/>
        <w:spacing w:after="120"/>
      </w:pPr>
      <w:r>
        <w:t>Appendix 3 contains correspondence relating to concluded matters.</w:t>
      </w:r>
    </w:p>
    <w:p w:rsidR="00BF0E0D" w:rsidRDefault="00BF0E0D" w:rsidP="00BF0E0D">
      <w:pPr>
        <w:pStyle w:val="Heading3"/>
      </w:pPr>
      <w:r>
        <w:t>Acknowledgement</w:t>
      </w:r>
    </w:p>
    <w:p w:rsidR="00BF0E0D" w:rsidRDefault="00BF0E0D" w:rsidP="00BF0E0D">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BF0E0D" w:rsidRDefault="00BF0E0D" w:rsidP="00BF0E0D">
      <w:pPr>
        <w:pStyle w:val="Bullet1"/>
        <w:numPr>
          <w:ilvl w:val="0"/>
          <w:numId w:val="0"/>
        </w:numPr>
        <w:ind w:left="851" w:hanging="851"/>
        <w:rPr>
          <w:b/>
        </w:rPr>
      </w:pPr>
    </w:p>
    <w:p w:rsidR="00BF0E0D" w:rsidRPr="00364316" w:rsidRDefault="00BF0E0D" w:rsidP="00BF0E0D">
      <w:pPr>
        <w:pStyle w:val="Bullet1"/>
        <w:numPr>
          <w:ilvl w:val="0"/>
          <w:numId w:val="0"/>
        </w:numPr>
        <w:ind w:left="851" w:hanging="851"/>
        <w:rPr>
          <w:b/>
        </w:rPr>
      </w:pPr>
      <w:r w:rsidRPr="00364316">
        <w:rPr>
          <w:b/>
        </w:rPr>
        <w:t xml:space="preserve">Senator </w:t>
      </w:r>
      <w:r>
        <w:rPr>
          <w:b/>
        </w:rPr>
        <w:t>John Williams</w:t>
      </w:r>
    </w:p>
    <w:p w:rsidR="00BF0E0D" w:rsidRPr="00364316" w:rsidRDefault="00BF0E0D" w:rsidP="00BF0E0D">
      <w:pPr>
        <w:pStyle w:val="Bullet1"/>
        <w:numPr>
          <w:ilvl w:val="0"/>
          <w:numId w:val="0"/>
        </w:numPr>
        <w:ind w:left="851" w:hanging="851"/>
        <w:rPr>
          <w:b/>
        </w:rPr>
      </w:pPr>
      <w:r w:rsidRPr="00364316">
        <w:rPr>
          <w:b/>
        </w:rPr>
        <w:t>Chair</w:t>
      </w:r>
    </w:p>
    <w:p w:rsidR="00BF0E0D" w:rsidRDefault="00BF0E0D" w:rsidP="00325264">
      <w:pPr>
        <w:sectPr w:rsidR="00BF0E0D" w:rsidSect="00FF0194">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BF0E0D" w:rsidRPr="001F4E38" w:rsidRDefault="00BF0E0D" w:rsidP="00BF0E0D">
      <w:pPr>
        <w:pStyle w:val="Heading1"/>
      </w:pPr>
      <w:r w:rsidRPr="001F4E38">
        <w:lastRenderedPageBreak/>
        <w:t>Chapter 1</w:t>
      </w:r>
    </w:p>
    <w:p w:rsidR="00BF0E0D" w:rsidRPr="001F4E38" w:rsidRDefault="00BF0E0D" w:rsidP="00BF0E0D">
      <w:pPr>
        <w:pStyle w:val="Heading2"/>
      </w:pPr>
      <w:r w:rsidRPr="001F4E38">
        <w:t>New and continuing matters</w:t>
      </w:r>
    </w:p>
    <w:p w:rsidR="00BF0E0D" w:rsidRPr="001F4E38" w:rsidRDefault="00BF0E0D" w:rsidP="00BF0E0D">
      <w:pPr>
        <w:pStyle w:val="Level1"/>
        <w:numPr>
          <w:ilvl w:val="0"/>
          <w:numId w:val="0"/>
        </w:numPr>
      </w:pPr>
      <w:r w:rsidRPr="001F4E38">
        <w:t xml:space="preserve">This chapter lists new matters identified by the committee at its meeting on </w:t>
      </w:r>
      <w:r>
        <w:rPr>
          <w:b/>
        </w:rPr>
        <w:t>9 July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BF0E0D" w:rsidRDefault="00BF0E0D" w:rsidP="00BF0E0D">
      <w:pPr>
        <w:pStyle w:val="Level1"/>
        <w:numPr>
          <w:ilvl w:val="0"/>
          <w:numId w:val="0"/>
        </w:numPr>
      </w:pPr>
      <w:r w:rsidRPr="001F4E38">
        <w:t>Matters which the committee draws to the attention of the relevant minister or instrument maker are raised on an advice-only basis and do not require a response.</w:t>
      </w:r>
    </w:p>
    <w:p w:rsidR="00BF0E0D" w:rsidRDefault="00BF0E0D" w:rsidP="00BF0E0D">
      <w:pPr>
        <w:pStyle w:val="Level1"/>
        <w:numPr>
          <w:ilvl w:val="0"/>
          <w:numId w:val="0"/>
        </w:numPr>
      </w:pPr>
    </w:p>
    <w:p w:rsidR="00BF0E0D" w:rsidRDefault="00BF0E0D" w:rsidP="00BF0E0D">
      <w:pPr>
        <w:pStyle w:val="Heading3"/>
        <w:spacing w:after="0"/>
      </w:pPr>
      <w:r w:rsidRPr="00593171">
        <w:t>F</w:t>
      </w:r>
      <w:r>
        <w:t>arm Household Support Secretary'</w:t>
      </w:r>
      <w:r w:rsidRPr="00593171">
        <w:t>s Rule 2014</w:t>
      </w:r>
      <w:r w:rsidRPr="00593171">
        <w:tab/>
      </w:r>
      <w:r>
        <w:t xml:space="preserve"> [</w:t>
      </w:r>
      <w:r w:rsidRPr="00593171">
        <w:t>F2014L00614</w:t>
      </w:r>
      <w:r>
        <w:t>]</w:t>
      </w:r>
    </w:p>
    <w:p w:rsidR="00BF0E0D" w:rsidRPr="001E0577" w:rsidRDefault="00BF0E0D" w:rsidP="00BF0E0D">
      <w:pPr>
        <w:spacing w:after="120"/>
      </w:pPr>
    </w:p>
    <w:tbl>
      <w:tblPr>
        <w:tblW w:w="0" w:type="auto"/>
        <w:tblInd w:w="108" w:type="dxa"/>
        <w:tblLook w:val="04A0" w:firstRow="1" w:lastRow="0" w:firstColumn="1" w:lastColumn="0" w:noHBand="0" w:noVBand="1"/>
      </w:tblPr>
      <w:tblGrid>
        <w:gridCol w:w="2694"/>
        <w:gridCol w:w="6378"/>
      </w:tblGrid>
      <w:tr w:rsidR="00BF0E0D" w:rsidRPr="00164622" w:rsidTr="00F73309">
        <w:tc>
          <w:tcPr>
            <w:tcW w:w="2694" w:type="dxa"/>
            <w:tcBorders>
              <w:top w:val="single" w:sz="12" w:space="0" w:color="auto"/>
              <w:right w:val="single" w:sz="12" w:space="0" w:color="auto"/>
            </w:tcBorders>
          </w:tcPr>
          <w:p w:rsidR="00BF0E0D" w:rsidRPr="00A77228" w:rsidRDefault="00BF0E0D" w:rsidP="00F7330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BF0E0D" w:rsidRPr="00593171" w:rsidRDefault="00BF0E0D" w:rsidP="00F73309">
            <w:pPr>
              <w:spacing w:before="120" w:after="120"/>
              <w:rPr>
                <w:sz w:val="24"/>
                <w:szCs w:val="24"/>
              </w:rPr>
            </w:pPr>
            <w:r w:rsidRPr="00593171">
              <w:rPr>
                <w:noProof/>
                <w:sz w:val="24"/>
                <w:szCs w:val="24"/>
              </w:rPr>
              <w:t>Prescribe</w:t>
            </w:r>
            <w:r>
              <w:rPr>
                <w:noProof/>
                <w:sz w:val="24"/>
                <w:szCs w:val="24"/>
              </w:rPr>
              <w:t>s</w:t>
            </w:r>
            <w:r w:rsidRPr="00593171">
              <w:rPr>
                <w:noProof/>
                <w:sz w:val="24"/>
                <w:szCs w:val="24"/>
              </w:rPr>
              <w:t xml:space="preserve"> matters the Secretary must take into account in deciding whether a farm enterprise has a significant commercial purpose of character and a person has a reasonable excuse for committing a qualification failure or conduct failure, and kinds of requirements that must not be included in a financial improvement agreement, and classes of activities that may be specified in a financial improvement agreement for which an </w:t>
            </w:r>
            <w:r>
              <w:rPr>
                <w:noProof/>
                <w:sz w:val="24"/>
                <w:szCs w:val="24"/>
              </w:rPr>
              <w:t>activity supplement is payable</w:t>
            </w:r>
          </w:p>
        </w:tc>
      </w:tr>
      <w:tr w:rsidR="00BF0E0D" w:rsidRPr="00164622" w:rsidTr="00F73309">
        <w:tc>
          <w:tcPr>
            <w:tcW w:w="2694" w:type="dxa"/>
            <w:tcBorders>
              <w:right w:val="single" w:sz="12" w:space="0" w:color="auto"/>
            </w:tcBorders>
          </w:tcPr>
          <w:p w:rsidR="00BF0E0D" w:rsidRPr="00A77228" w:rsidRDefault="00BF0E0D" w:rsidP="00F73309">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left w:val="single" w:sz="12" w:space="0" w:color="auto"/>
            </w:tcBorders>
          </w:tcPr>
          <w:p w:rsidR="00BF0E0D" w:rsidRPr="00A77228" w:rsidRDefault="00BF0E0D" w:rsidP="00F73309">
            <w:pPr>
              <w:spacing w:before="120" w:after="120"/>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BF0E0D" w:rsidRPr="00164622" w:rsidTr="00F73309">
        <w:tc>
          <w:tcPr>
            <w:tcW w:w="2694" w:type="dxa"/>
            <w:tcBorders>
              <w:right w:val="single" w:sz="12" w:space="0" w:color="auto"/>
            </w:tcBorders>
          </w:tcPr>
          <w:p w:rsidR="00BF0E0D" w:rsidRPr="00A77228" w:rsidRDefault="00BF0E0D" w:rsidP="00F7330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0E0D" w:rsidRPr="00FD72D2" w:rsidRDefault="00BF0E0D" w:rsidP="00F73309">
            <w:pPr>
              <w:spacing w:before="120" w:after="120"/>
              <w:rPr>
                <w:i/>
                <w:sz w:val="24"/>
                <w:szCs w:val="24"/>
              </w:rPr>
            </w:pPr>
            <w:r>
              <w:rPr>
                <w:i/>
                <w:noProof/>
                <w:sz w:val="24"/>
                <w:szCs w:val="24"/>
              </w:rPr>
              <w:t>Farm Household Support Act 2014</w:t>
            </w:r>
          </w:p>
        </w:tc>
      </w:tr>
      <w:tr w:rsidR="00BF0E0D" w:rsidRPr="00164622" w:rsidTr="00F73309">
        <w:tc>
          <w:tcPr>
            <w:tcW w:w="2694" w:type="dxa"/>
            <w:tcBorders>
              <w:bottom w:val="single" w:sz="12" w:space="0" w:color="auto"/>
              <w:right w:val="single" w:sz="12" w:space="0" w:color="auto"/>
            </w:tcBorders>
          </w:tcPr>
          <w:p w:rsidR="00BF0E0D" w:rsidRPr="00A77228" w:rsidRDefault="00BF0E0D" w:rsidP="00F7330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BF0E0D" w:rsidRPr="00A77228" w:rsidRDefault="00BF0E0D" w:rsidP="00F73309">
            <w:pPr>
              <w:spacing w:before="120" w:after="120"/>
              <w:rPr>
                <w:sz w:val="24"/>
                <w:szCs w:val="24"/>
              </w:rPr>
            </w:pPr>
            <w:r>
              <w:rPr>
                <w:sz w:val="24"/>
                <w:szCs w:val="24"/>
              </w:rPr>
              <w:t>Agriculture</w:t>
            </w:r>
          </w:p>
        </w:tc>
      </w:tr>
    </w:tbl>
    <w:p w:rsidR="00BF0E0D" w:rsidRPr="00164622" w:rsidRDefault="00BF0E0D" w:rsidP="00BF0E0D">
      <w:pPr>
        <w:spacing w:after="0"/>
        <w:rPr>
          <w:szCs w:val="26"/>
        </w:rPr>
      </w:pPr>
    </w:p>
    <w:p w:rsidR="00BF0E0D" w:rsidRPr="00164622" w:rsidRDefault="00BF0E0D" w:rsidP="00BF0E0D">
      <w:pPr>
        <w:spacing w:after="120"/>
        <w:rPr>
          <w:b/>
          <w:szCs w:val="26"/>
        </w:rPr>
      </w:pPr>
      <w:r w:rsidRPr="00164622">
        <w:rPr>
          <w:b/>
          <w:szCs w:val="26"/>
        </w:rPr>
        <w:t>Issue:</w:t>
      </w:r>
    </w:p>
    <w:p w:rsidR="00BF0E0D" w:rsidRDefault="00BF0E0D" w:rsidP="00BF0E0D">
      <w:pPr>
        <w:pStyle w:val="Heading5"/>
        <w:numPr>
          <w:ilvl w:val="4"/>
          <w:numId w:val="21"/>
        </w:numPr>
        <w:spacing w:before="120" w:after="120"/>
      </w:pPr>
      <w:r>
        <w:t>Prescribing of matters by 'legislative rules'</w:t>
      </w:r>
    </w:p>
    <w:p w:rsidR="00BF0E0D" w:rsidRDefault="00BF0E0D" w:rsidP="00BF0E0D">
      <w:r>
        <w:t xml:space="preserve">This instrument is made by the Secretary of the Department of Agriculture (the secretary). Amongst other things, it </w:t>
      </w:r>
      <w:r w:rsidRPr="00DD143E">
        <w:t>prescribe</w:t>
      </w:r>
      <w:r>
        <w:t>s matters the s</w:t>
      </w:r>
      <w:r w:rsidRPr="00DD143E">
        <w:t>ecretary must take into account in deciding whether a farm enterprise has a significant commercial purpose of character and a person has a reasonable excuse for committing a qualifica</w:t>
      </w:r>
      <w:r>
        <w:t>tion failure or conduct failure</w:t>
      </w:r>
      <w:r w:rsidRPr="00DD143E">
        <w:t>.</w:t>
      </w:r>
    </w:p>
    <w:p w:rsidR="00BF0E0D" w:rsidRDefault="00BF0E0D" w:rsidP="00BF0E0D">
      <w:r w:rsidRPr="00651B7E">
        <w:t xml:space="preserve">In </w:t>
      </w:r>
      <w:r w:rsidRPr="00651B7E">
        <w:rPr>
          <w:i/>
        </w:rPr>
        <w:t>Delegated Legislation Monitor</w:t>
      </w:r>
      <w:r w:rsidRPr="00651B7E">
        <w:t xml:space="preserve"> (Monitor) Nos 2</w:t>
      </w:r>
      <w:r>
        <w:t>,</w:t>
      </w:r>
      <w:r w:rsidRPr="00651B7E">
        <w:t xml:space="preserve"> 5 </w:t>
      </w:r>
      <w:r>
        <w:t xml:space="preserve">and 6 </w:t>
      </w:r>
      <w:r w:rsidRPr="00651B7E">
        <w:t>of 2014, the committee noted a novel approach (since 2013) in the drafting of Acts to provide for a broadly-</w:t>
      </w:r>
      <w:r w:rsidRPr="00651B7E">
        <w:lastRenderedPageBreak/>
        <w:t>expressed power to make legislative rules, and raised a number of significant concerns going to the implementation and implications of the displacing of the regulation-making power by such rules (see comments on Australian Jobs (Australian Industry Participation) Rule 2014 [F2014L00125]).</w:t>
      </w:r>
      <w:r>
        <w:rPr>
          <w:rStyle w:val="FootnoteReference"/>
        </w:rPr>
        <w:footnoteReference w:id="4"/>
      </w:r>
    </w:p>
    <w:p w:rsidR="00BF0E0D" w:rsidRDefault="00BF0E0D" w:rsidP="00BF0E0D">
      <w:r>
        <w:t xml:space="preserve">Section 106 of the </w:t>
      </w:r>
      <w:r>
        <w:rPr>
          <w:i/>
        </w:rPr>
        <w:t>Farm Household Support Act</w:t>
      </w:r>
      <w:r w:rsidRPr="00651B7E">
        <w:rPr>
          <w:i/>
        </w:rPr>
        <w:t xml:space="preserve"> 2014</w:t>
      </w:r>
      <w:r>
        <w:t xml:space="preserve"> provides two general rule-making powers:</w:t>
      </w:r>
    </w:p>
    <w:p w:rsidR="00BF0E0D" w:rsidRPr="00BD5F23" w:rsidRDefault="00BF0E0D" w:rsidP="00BF0E0D">
      <w:pPr>
        <w:pStyle w:val="Quote"/>
        <w:rPr>
          <w:i/>
        </w:rPr>
      </w:pPr>
      <w:r w:rsidRPr="00BD5F23">
        <w:rPr>
          <w:i/>
        </w:rPr>
        <w:t>Minister's rules</w:t>
      </w:r>
    </w:p>
    <w:p w:rsidR="00BF0E0D" w:rsidRPr="00BD5F23" w:rsidRDefault="00BF0E0D" w:rsidP="00BF0E0D">
      <w:pPr>
        <w:pStyle w:val="Quote"/>
        <w:numPr>
          <w:ilvl w:val="0"/>
          <w:numId w:val="35"/>
        </w:numPr>
      </w:pPr>
      <w:r w:rsidRPr="00BD5F23">
        <w:t>The Minister may, by legislative instrument, make Minister</w:t>
      </w:r>
      <w:r>
        <w:t>'</w:t>
      </w:r>
      <w:r w:rsidRPr="00BD5F23">
        <w:t>s rules</w:t>
      </w:r>
      <w:r>
        <w:t xml:space="preserve"> </w:t>
      </w:r>
      <w:r w:rsidRPr="00BD5F23">
        <w:t>prescribing matters required or permitted by this Act to be</w:t>
      </w:r>
      <w:r>
        <w:t xml:space="preserve"> </w:t>
      </w:r>
      <w:r w:rsidRPr="00BD5F23">
        <w:t>prescribed by the Minister’s rules.</w:t>
      </w:r>
    </w:p>
    <w:p w:rsidR="00BF0E0D" w:rsidRPr="00BD5F23" w:rsidRDefault="00BF0E0D" w:rsidP="00BF0E0D">
      <w:pPr>
        <w:pStyle w:val="Quote"/>
        <w:rPr>
          <w:i/>
        </w:rPr>
      </w:pPr>
      <w:r w:rsidRPr="00BD5F23">
        <w:rPr>
          <w:i/>
        </w:rPr>
        <w:t>Secretary's rules</w:t>
      </w:r>
    </w:p>
    <w:p w:rsidR="00BF0E0D" w:rsidRPr="00BD5F23" w:rsidRDefault="00BF0E0D" w:rsidP="00BF0E0D">
      <w:pPr>
        <w:pStyle w:val="Quote"/>
        <w:ind w:left="1276" w:hanging="425"/>
      </w:pPr>
      <w:r>
        <w:t>(2)</w:t>
      </w:r>
      <w:r>
        <w:tab/>
      </w:r>
      <w:r w:rsidRPr="00BD5F23">
        <w:t>The Secretary may, by legislative instrument, make Secretary</w:t>
      </w:r>
      <w:r>
        <w:t>'</w:t>
      </w:r>
      <w:r w:rsidRPr="00BD5F23">
        <w:t>s</w:t>
      </w:r>
      <w:r>
        <w:t xml:space="preserve"> </w:t>
      </w:r>
      <w:r w:rsidRPr="00BD5F23">
        <w:t>rules prescribing matters:</w:t>
      </w:r>
    </w:p>
    <w:p w:rsidR="00BF0E0D" w:rsidRDefault="00BF0E0D" w:rsidP="00BF0E0D">
      <w:pPr>
        <w:pStyle w:val="Quote"/>
        <w:spacing w:after="60"/>
        <w:ind w:left="1701" w:hanging="425"/>
      </w:pPr>
      <w:r>
        <w:t>(a)</w:t>
      </w:r>
      <w:r>
        <w:tab/>
      </w:r>
      <w:proofErr w:type="gramStart"/>
      <w:r w:rsidRPr="00BD5F23">
        <w:t>required</w:t>
      </w:r>
      <w:proofErr w:type="gramEnd"/>
      <w:r w:rsidRPr="00BD5F23">
        <w:t xml:space="preserve"> or permitted by this Act to be prescribed by the</w:t>
      </w:r>
      <w:r>
        <w:t xml:space="preserve"> Secretary's rules; </w:t>
      </w:r>
      <w:r w:rsidRPr="00BD5F23">
        <w:t>or</w:t>
      </w:r>
    </w:p>
    <w:p w:rsidR="00BF0E0D" w:rsidRPr="00BD5F23" w:rsidRDefault="00BF0E0D" w:rsidP="00BF0E0D">
      <w:pPr>
        <w:pStyle w:val="Quote"/>
        <w:ind w:left="1701" w:hanging="425"/>
      </w:pPr>
      <w:r>
        <w:t>(b)</w:t>
      </w:r>
      <w:r>
        <w:tab/>
      </w:r>
      <w:proofErr w:type="gramStart"/>
      <w:r w:rsidRPr="00BD5F23">
        <w:t>necessary</w:t>
      </w:r>
      <w:proofErr w:type="gramEnd"/>
      <w:r w:rsidRPr="00BD5F23">
        <w:t xml:space="preserve"> or convenient to be prescribed for carrying out or</w:t>
      </w:r>
      <w:r>
        <w:t xml:space="preserve"> </w:t>
      </w:r>
      <w:r w:rsidRPr="00BD5F23">
        <w:t>giving effect to this Act.</w:t>
      </w:r>
    </w:p>
    <w:p w:rsidR="00BF0E0D" w:rsidRDefault="00BF0E0D" w:rsidP="00BF0E0D">
      <w:r>
        <w:t>The committee notes that the Office of Parliamentary Counsel Drafting Direction No. 3.8 advises on the process for incorporating two general rule-making powers in an Act as follows:</w:t>
      </w:r>
    </w:p>
    <w:p w:rsidR="00BF0E0D" w:rsidRPr="00B962C9" w:rsidRDefault="00BF0E0D" w:rsidP="00BF0E0D">
      <w:pPr>
        <w:pStyle w:val="Quote"/>
      </w:pPr>
      <w:r w:rsidRPr="00B962C9">
        <w:t>As a general rule, where there are 2 instrument-making powers, only one of those powers should contain a power to prescribe necessary or convenient matters. Consequently, 2 rule-making powers would take the following form:</w:t>
      </w:r>
    </w:p>
    <w:p w:rsidR="00BF0E0D" w:rsidRPr="00B962C9" w:rsidRDefault="00BF0E0D" w:rsidP="00BF0E0D">
      <w:pPr>
        <w:pStyle w:val="Quote"/>
        <w:numPr>
          <w:ilvl w:val="0"/>
          <w:numId w:val="36"/>
        </w:numPr>
        <w:ind w:left="1276" w:hanging="425"/>
      </w:pPr>
      <w:r w:rsidRPr="00B962C9">
        <w:t>The [</w:t>
      </w:r>
      <w:r w:rsidRPr="00B962C9">
        <w:rPr>
          <w:i/>
        </w:rPr>
        <w:t>maker e.g. Minister</w:t>
      </w:r>
      <w:r w:rsidRPr="00B962C9">
        <w:t>] may, by legislative instrument, make [</w:t>
      </w:r>
      <w:r w:rsidRPr="00B962C9">
        <w:rPr>
          <w:i/>
        </w:rPr>
        <w:t>name of legislative instrument</w:t>
      </w:r>
      <w:r w:rsidRPr="00B962C9">
        <w:t>] prescribing matters:</w:t>
      </w:r>
    </w:p>
    <w:p w:rsidR="00BF0E0D" w:rsidRDefault="00BF0E0D" w:rsidP="00BF0E0D">
      <w:pPr>
        <w:pStyle w:val="Quote"/>
        <w:numPr>
          <w:ilvl w:val="0"/>
          <w:numId w:val="37"/>
        </w:numPr>
        <w:ind w:left="1701" w:hanging="425"/>
      </w:pPr>
      <w:r w:rsidRPr="00B962C9">
        <w:t>required or permitted by this [</w:t>
      </w:r>
      <w:r w:rsidRPr="00B962C9">
        <w:rPr>
          <w:i/>
        </w:rPr>
        <w:t>Act/Ordinance</w:t>
      </w:r>
      <w:r w:rsidRPr="00B962C9">
        <w:t>] to be prescribed by the [</w:t>
      </w:r>
      <w:r w:rsidRPr="00B962C9">
        <w:rPr>
          <w:i/>
        </w:rPr>
        <w:t>name of legislative instrument</w:t>
      </w:r>
      <w:r w:rsidRPr="00B962C9">
        <w:t>]; or</w:t>
      </w:r>
    </w:p>
    <w:p w:rsidR="00BF0E0D" w:rsidRPr="00B962C9" w:rsidRDefault="00BF0E0D" w:rsidP="00BF0E0D">
      <w:pPr>
        <w:pStyle w:val="Quote"/>
        <w:numPr>
          <w:ilvl w:val="0"/>
          <w:numId w:val="37"/>
        </w:numPr>
        <w:ind w:left="1701" w:hanging="425"/>
      </w:pPr>
      <w:proofErr w:type="gramStart"/>
      <w:r w:rsidRPr="00B962C9">
        <w:t>necessary</w:t>
      </w:r>
      <w:proofErr w:type="gramEnd"/>
      <w:r w:rsidRPr="00B962C9">
        <w:t xml:space="preserve"> or convenient to be prescribed for carrying out or giving effect to this [</w:t>
      </w:r>
      <w:r w:rsidRPr="00B962C9">
        <w:rPr>
          <w:i/>
        </w:rPr>
        <w:t>Act/Ordinance</w:t>
      </w:r>
      <w:r w:rsidRPr="00B962C9">
        <w:t>].</w:t>
      </w:r>
    </w:p>
    <w:p w:rsidR="00BF0E0D" w:rsidRPr="00B962C9" w:rsidRDefault="00BF0E0D" w:rsidP="00BF0E0D">
      <w:pPr>
        <w:pStyle w:val="Quote"/>
        <w:numPr>
          <w:ilvl w:val="0"/>
          <w:numId w:val="36"/>
        </w:numPr>
        <w:ind w:left="1276" w:hanging="425"/>
      </w:pPr>
      <w:r w:rsidRPr="00B962C9">
        <w:t>The [</w:t>
      </w:r>
      <w:r w:rsidRPr="00B962C9">
        <w:rPr>
          <w:i/>
        </w:rPr>
        <w:t>maker e.g. Secretary</w:t>
      </w:r>
      <w:r w:rsidRPr="00B962C9">
        <w:t>] may, by legislative instrument, make [</w:t>
      </w:r>
      <w:r w:rsidRPr="00D160DC">
        <w:rPr>
          <w:i/>
        </w:rPr>
        <w:t>name of legislative instrument</w:t>
      </w:r>
      <w:r w:rsidRPr="00B962C9">
        <w:t>] prescribing matters required or permitted by this Act to be prescribed by the [</w:t>
      </w:r>
      <w:r w:rsidRPr="00B962C9">
        <w:rPr>
          <w:i/>
        </w:rPr>
        <w:t>name of legislative instrument</w:t>
      </w:r>
      <w:r w:rsidRPr="00B962C9">
        <w:t>].</w:t>
      </w:r>
    </w:p>
    <w:p w:rsidR="00BF0E0D" w:rsidRPr="00B962C9" w:rsidRDefault="00BF0E0D" w:rsidP="00BF0E0D">
      <w:pPr>
        <w:pStyle w:val="Quote"/>
      </w:pPr>
      <w:r w:rsidRPr="00B962C9">
        <w:lastRenderedPageBreak/>
        <w:t>The necessary or convenient power should generally be attached to the maker who is likely to make more instruments.</w:t>
      </w:r>
    </w:p>
    <w:p w:rsidR="00BF0E0D" w:rsidRDefault="00BF0E0D" w:rsidP="00BF0E0D">
      <w:r>
        <w:t xml:space="preserve">Under section 106 of the </w:t>
      </w:r>
      <w:r>
        <w:rPr>
          <w:i/>
        </w:rPr>
        <w:t>Farm Household Support Act</w:t>
      </w:r>
      <w:r w:rsidRPr="00651B7E">
        <w:rPr>
          <w:i/>
        </w:rPr>
        <w:t xml:space="preserve"> 2014</w:t>
      </w:r>
      <w:r>
        <w:t>, both the minister and the secretary have been given the 'required or permitted' power, with the secretary also having the additional 'necessary or convenient' power. In relation to this division of powers, t</w:t>
      </w:r>
      <w:r w:rsidRPr="00BD5F23">
        <w:t xml:space="preserve">he committee notes that the explanatory memorandum </w:t>
      </w:r>
      <w:r>
        <w:t xml:space="preserve">(EM) for </w:t>
      </w:r>
      <w:r w:rsidRPr="00BD5F23">
        <w:t xml:space="preserve">the Farm Household Support </w:t>
      </w:r>
      <w:r>
        <w:t>Bill</w:t>
      </w:r>
      <w:r w:rsidRPr="00BD5F23">
        <w:t xml:space="preserve"> 2014 </w:t>
      </w:r>
      <w:r>
        <w:t>states only:</w:t>
      </w:r>
    </w:p>
    <w:p w:rsidR="00BF0E0D" w:rsidRDefault="00BF0E0D" w:rsidP="00BF0E0D">
      <w:pPr>
        <w:pStyle w:val="Quote"/>
      </w:pPr>
      <w:r w:rsidRPr="00BD5F23">
        <w:t>This section provides that both the Minister and the Secretary may prescribe rules by legislative instrument. The rules-making power under section 106 allows the Agriculture Minister or Secretary of the Department of Agriculture to make rules in relation to the Farm Household Support Act 2014.</w:t>
      </w:r>
    </w:p>
    <w:p w:rsidR="00BF0E0D" w:rsidRPr="007D728D" w:rsidRDefault="00BF0E0D" w:rsidP="00BF0E0D">
      <w:r w:rsidRPr="007D728D">
        <w:t>The committee notes that this issue also arises in relation to Farm Household Support Minister's Rule 2014 [F2014L00687].</w:t>
      </w:r>
    </w:p>
    <w:p w:rsidR="00BF0E0D" w:rsidRDefault="00BF0E0D" w:rsidP="00BF0E0D">
      <w:pPr>
        <w:rPr>
          <w:b/>
        </w:rPr>
      </w:pPr>
      <w:r w:rsidRPr="00857842">
        <w:rPr>
          <w:b/>
        </w:rPr>
        <w:t xml:space="preserve">The committee therefore requests the minister's advice on the appropriateness </w:t>
      </w:r>
      <w:r>
        <w:rPr>
          <w:b/>
        </w:rPr>
        <w:t xml:space="preserve">in this case </w:t>
      </w:r>
      <w:r w:rsidRPr="00857842">
        <w:rPr>
          <w:b/>
        </w:rPr>
        <w:t xml:space="preserve">of providing the </w:t>
      </w:r>
      <w:r>
        <w:rPr>
          <w:b/>
        </w:rPr>
        <w:t>s</w:t>
      </w:r>
      <w:r w:rsidRPr="00857842">
        <w:rPr>
          <w:b/>
        </w:rPr>
        <w:t xml:space="preserve">ecretary with broader </w:t>
      </w:r>
      <w:r>
        <w:rPr>
          <w:b/>
        </w:rPr>
        <w:t>rule-making powers than the m</w:t>
      </w:r>
      <w:r w:rsidRPr="00857842">
        <w:rPr>
          <w:b/>
        </w:rPr>
        <w:t xml:space="preserve">inister, and the criteria </w:t>
      </w:r>
      <w:r>
        <w:rPr>
          <w:b/>
        </w:rPr>
        <w:t>used in maki</w:t>
      </w:r>
      <w:r w:rsidRPr="00857842">
        <w:rPr>
          <w:b/>
        </w:rPr>
        <w:t>ng this decision.</w:t>
      </w:r>
    </w:p>
    <w:p w:rsidR="00BF0E0D" w:rsidRDefault="00BF0E0D" w:rsidP="00BF0E0D">
      <w:pPr>
        <w:rPr>
          <w:b/>
        </w:rPr>
      </w:pPr>
      <w:r>
        <w:rPr>
          <w:b/>
        </w:rPr>
        <w:t>More generally, the committee requests the minister's advice on what policy considerations were taken into account in deciding that the general-rule making power should be granted to persons other than a minister.</w:t>
      </w:r>
    </w:p>
    <w:p w:rsidR="00BF0E0D" w:rsidRPr="00164622" w:rsidRDefault="00BF0E0D" w:rsidP="00BF0E0D">
      <w:pPr>
        <w:spacing w:after="120"/>
        <w:rPr>
          <w:b/>
          <w:szCs w:val="26"/>
        </w:rPr>
      </w:pPr>
      <w:r w:rsidRPr="00164622">
        <w:rPr>
          <w:b/>
          <w:szCs w:val="26"/>
        </w:rPr>
        <w:t>Issue:</w:t>
      </w:r>
    </w:p>
    <w:p w:rsidR="00BF0E0D" w:rsidRDefault="00BF0E0D" w:rsidP="00BF0E0D">
      <w:pPr>
        <w:rPr>
          <w:i/>
        </w:rPr>
      </w:pPr>
      <w:r>
        <w:rPr>
          <w:i/>
        </w:rPr>
        <w:t>Potential delegation of general rule-making power</w:t>
      </w:r>
    </w:p>
    <w:p w:rsidR="00BF0E0D" w:rsidRDefault="00BF0E0D" w:rsidP="00BF0E0D">
      <w:r>
        <w:t xml:space="preserve">Section 106 of the </w:t>
      </w:r>
      <w:r>
        <w:rPr>
          <w:i/>
        </w:rPr>
        <w:t>Farm Household Support Act</w:t>
      </w:r>
      <w:r w:rsidRPr="00651B7E">
        <w:rPr>
          <w:i/>
        </w:rPr>
        <w:t xml:space="preserve"> 2014</w:t>
      </w:r>
      <w:r>
        <w:t xml:space="preserve"> provides that the secretary may delegate their powers to officers below the Senior Executive Officer level:</w:t>
      </w:r>
    </w:p>
    <w:p w:rsidR="00BF0E0D" w:rsidRPr="00BE2DE5" w:rsidRDefault="00BF0E0D" w:rsidP="00BF0E0D">
      <w:pPr>
        <w:pStyle w:val="Quote"/>
        <w:numPr>
          <w:ilvl w:val="0"/>
          <w:numId w:val="38"/>
        </w:numPr>
        <w:ind w:left="1276" w:hanging="425"/>
      </w:pPr>
      <w:r w:rsidRPr="00BE2DE5">
        <w:t>The Secretary may, by signed writing, delegate to an officer of the</w:t>
      </w:r>
      <w:r>
        <w:t xml:space="preserve"> </w:t>
      </w:r>
      <w:r w:rsidRPr="00BE2DE5">
        <w:t>Department all or any of his or her powers or functions under this</w:t>
      </w:r>
      <w:r>
        <w:t xml:space="preserve"> </w:t>
      </w:r>
      <w:r w:rsidRPr="00BE2DE5">
        <w:t>Act, or the Social Security Act or the Social Security</w:t>
      </w:r>
      <w:r>
        <w:t xml:space="preserve"> </w:t>
      </w:r>
      <w:r w:rsidRPr="00BE2DE5">
        <w:t>Administration Act (as those Acts apply because of Part 5 of this</w:t>
      </w:r>
      <w:r>
        <w:t xml:space="preserve"> </w:t>
      </w:r>
      <w:r w:rsidRPr="00BE2DE5">
        <w:t>Act).</w:t>
      </w:r>
    </w:p>
    <w:p w:rsidR="00BF0E0D" w:rsidRDefault="00BF0E0D" w:rsidP="00BF0E0D">
      <w:pPr>
        <w:pStyle w:val="Quote"/>
        <w:numPr>
          <w:ilvl w:val="0"/>
          <w:numId w:val="38"/>
        </w:numPr>
        <w:spacing w:after="120"/>
        <w:ind w:left="1276" w:hanging="425"/>
      </w:pPr>
      <w:r w:rsidRPr="00BE2DE5">
        <w:t xml:space="preserve">The Secretary (the </w:t>
      </w:r>
      <w:r w:rsidRPr="00BE2DE5">
        <w:rPr>
          <w:i/>
        </w:rPr>
        <w:t>Agriculture Secretary</w:t>
      </w:r>
      <w:r w:rsidRPr="00BE2DE5">
        <w:t>) may, in writing,</w:t>
      </w:r>
      <w:r>
        <w:t xml:space="preserve"> </w:t>
      </w:r>
      <w:r w:rsidRPr="00BE2DE5">
        <w:t>delegate all or any of his or her powers or functions under this Act,</w:t>
      </w:r>
      <w:r>
        <w:t xml:space="preserve"> </w:t>
      </w:r>
      <w:r w:rsidRPr="00BE2DE5">
        <w:t>or the Social Security Act or the Social Security Administration</w:t>
      </w:r>
      <w:r>
        <w:t xml:space="preserve"> Act (as those Acts apply because of Part 5 of this </w:t>
      </w:r>
      <w:r w:rsidRPr="00BE2DE5">
        <w:t>A</w:t>
      </w:r>
      <w:r>
        <w:t>ct), </w:t>
      </w:r>
      <w:r w:rsidRPr="00BE2DE5">
        <w:t>to:</w:t>
      </w:r>
    </w:p>
    <w:p w:rsidR="00BF0E0D" w:rsidRDefault="00BF0E0D" w:rsidP="00BF0E0D">
      <w:pPr>
        <w:pStyle w:val="Quote"/>
        <w:numPr>
          <w:ilvl w:val="0"/>
          <w:numId w:val="39"/>
        </w:numPr>
        <w:spacing w:after="60"/>
        <w:ind w:left="1843" w:hanging="567"/>
      </w:pPr>
      <w:r>
        <w:t>the Social Security Secretary; </w:t>
      </w:r>
      <w:r w:rsidRPr="00BE2DE5">
        <w:t>or</w:t>
      </w:r>
    </w:p>
    <w:p w:rsidR="00BF0E0D" w:rsidRDefault="00BF0E0D" w:rsidP="00BF0E0D">
      <w:pPr>
        <w:pStyle w:val="Quote"/>
        <w:numPr>
          <w:ilvl w:val="0"/>
          <w:numId w:val="39"/>
        </w:numPr>
        <w:spacing w:after="60"/>
        <w:ind w:left="1843" w:hanging="567"/>
      </w:pPr>
      <w:r w:rsidRPr="00BE2DE5">
        <w:t>an SES employee or acting SES employee in the Social</w:t>
      </w:r>
      <w:r>
        <w:t xml:space="preserve"> Security Department; </w:t>
      </w:r>
      <w:r w:rsidRPr="00BE2DE5">
        <w:t>or</w:t>
      </w:r>
    </w:p>
    <w:p w:rsidR="00BF0E0D" w:rsidRDefault="00BF0E0D" w:rsidP="00BF0E0D">
      <w:pPr>
        <w:pStyle w:val="Quote"/>
        <w:numPr>
          <w:ilvl w:val="0"/>
          <w:numId w:val="39"/>
        </w:numPr>
        <w:spacing w:after="60"/>
        <w:ind w:left="1843" w:hanging="567"/>
      </w:pPr>
      <w:r>
        <w:t>the Chief Executive Centrelink; </w:t>
      </w:r>
      <w:r w:rsidRPr="00BE2DE5">
        <w:t>or</w:t>
      </w:r>
    </w:p>
    <w:p w:rsidR="00BF0E0D" w:rsidRPr="00BE2DE5" w:rsidRDefault="00BF0E0D" w:rsidP="00BF0E0D">
      <w:pPr>
        <w:pStyle w:val="Quote"/>
        <w:numPr>
          <w:ilvl w:val="0"/>
          <w:numId w:val="39"/>
        </w:numPr>
        <w:ind w:left="1843" w:hanging="567"/>
      </w:pPr>
      <w:proofErr w:type="gramStart"/>
      <w:r w:rsidRPr="00BE2DE5">
        <w:t>a</w:t>
      </w:r>
      <w:proofErr w:type="gramEnd"/>
      <w:r w:rsidRPr="00BE2DE5">
        <w:t xml:space="preserve"> Departmental employee (within the meaning of the </w:t>
      </w:r>
      <w:r w:rsidRPr="00124C19">
        <w:rPr>
          <w:i/>
        </w:rPr>
        <w:t>Human Services (Centrelink) Act 1997</w:t>
      </w:r>
      <w:r w:rsidRPr="00BE2DE5">
        <w:t>).</w:t>
      </w:r>
    </w:p>
    <w:p w:rsidR="00BF0E0D" w:rsidRDefault="00BF0E0D" w:rsidP="00BF0E0D">
      <w:r>
        <w:lastRenderedPageBreak/>
        <w:t xml:space="preserve">The EM for </w:t>
      </w:r>
      <w:r w:rsidRPr="00BD5F23">
        <w:t xml:space="preserve">the Farm Household Support </w:t>
      </w:r>
      <w:r>
        <w:t>Bill</w:t>
      </w:r>
      <w:r w:rsidRPr="00BD5F23">
        <w:t xml:space="preserve"> 2014 </w:t>
      </w:r>
      <w:r>
        <w:t>stated:</w:t>
      </w:r>
    </w:p>
    <w:p w:rsidR="00BF0E0D" w:rsidRDefault="00BF0E0D" w:rsidP="00BF0E0D">
      <w:pPr>
        <w:pStyle w:val="Quote"/>
      </w:pPr>
      <w:r w:rsidRPr="00185BDD">
        <w:t>These delegation powers are intentionally broad, due to the interaction of the Bill with the Social Security Act and the Social Security Administration Act. They are also necessary because payments under the Bill will be delivered by DHS. Case management by DHS is cent</w:t>
      </w:r>
      <w:r>
        <w:t>ral to FHA and to achieving FHA'</w:t>
      </w:r>
      <w:r w:rsidRPr="00185BDD">
        <w:t>s objectives of supporting farmers and their partners who are in hardship while improving their capacity for self-reliance. Operationally, this will require DHS officers below the Senior Executive Officer level to have these powers delegated to them.</w:t>
      </w:r>
    </w:p>
    <w:p w:rsidR="00BF0E0D" w:rsidRDefault="00BF0E0D" w:rsidP="00BF0E0D">
      <w:pPr>
        <w:pStyle w:val="Level1"/>
        <w:numPr>
          <w:ilvl w:val="0"/>
          <w:numId w:val="0"/>
        </w:numPr>
        <w:rPr>
          <w:b/>
        </w:rPr>
      </w:pPr>
      <w:r>
        <w:t>The committee notes the operational reasons given in the EM for the broad delegation of the secretary's powers. However, noting the committee's previous inquiries regarding the implications of the new general rule-making power for executive exercise and oversight of Parliament's delegated legislative powers (</w:t>
      </w:r>
      <w:r w:rsidRPr="00651B7E">
        <w:t xml:space="preserve">see comments on </w:t>
      </w:r>
      <w:r>
        <w:t xml:space="preserve">the </w:t>
      </w:r>
      <w:r w:rsidRPr="00651B7E">
        <w:t>Australian Jobs (Australian Industry Participation) Rule 2014 [F2014L00125]</w:t>
      </w:r>
      <w:r>
        <w:t xml:space="preserve">), a question arises as to whether the secretary's general rule-making powers may be delegated under section 106 and, if so, what considerations might apply in that case. </w:t>
      </w:r>
      <w:r w:rsidRPr="00857842">
        <w:rPr>
          <w:b/>
        </w:rPr>
        <w:t>The committee therefore requests the minister's advice on</w:t>
      </w:r>
      <w:r>
        <w:rPr>
          <w:b/>
        </w:rPr>
        <w:t xml:space="preserve"> this matter.</w:t>
      </w:r>
    </w:p>
    <w:p w:rsidR="00BF0E0D" w:rsidRPr="00185BDD" w:rsidRDefault="00BF0E0D" w:rsidP="00BF0E0D"/>
    <w:p w:rsidR="00BF0E0D" w:rsidRDefault="00BF0E0D" w:rsidP="00BF0E0D">
      <w:pPr>
        <w:pStyle w:val="Heading3"/>
        <w:spacing w:after="0"/>
      </w:pPr>
      <w:r w:rsidRPr="003A3AEE">
        <w:t xml:space="preserve">Autonomous Sanctions (Designated and Declared Persons – Former Federal Republic of Yugoslavia) Amendment List 2014 </w:t>
      </w:r>
      <w:r>
        <w:t>[</w:t>
      </w:r>
      <w:r w:rsidRPr="003A3AEE">
        <w:t>F2014L00694</w:t>
      </w:r>
      <w:r>
        <w:t>]</w:t>
      </w:r>
    </w:p>
    <w:p w:rsidR="00BF0E0D" w:rsidRPr="001E0577" w:rsidRDefault="00BF0E0D" w:rsidP="00BF0E0D">
      <w:pPr>
        <w:spacing w:after="120"/>
      </w:pPr>
    </w:p>
    <w:tbl>
      <w:tblPr>
        <w:tblW w:w="0" w:type="auto"/>
        <w:tblInd w:w="108" w:type="dxa"/>
        <w:tblLook w:val="04A0" w:firstRow="1" w:lastRow="0" w:firstColumn="1" w:lastColumn="0" w:noHBand="0" w:noVBand="1"/>
      </w:tblPr>
      <w:tblGrid>
        <w:gridCol w:w="2694"/>
        <w:gridCol w:w="6378"/>
      </w:tblGrid>
      <w:tr w:rsidR="00BF0E0D" w:rsidRPr="00164622" w:rsidTr="00F73309">
        <w:tc>
          <w:tcPr>
            <w:tcW w:w="2694" w:type="dxa"/>
            <w:tcBorders>
              <w:top w:val="single" w:sz="12" w:space="0" w:color="auto"/>
              <w:right w:val="single" w:sz="12" w:space="0" w:color="auto"/>
            </w:tcBorders>
          </w:tcPr>
          <w:p w:rsidR="00BF0E0D" w:rsidRPr="00A77228" w:rsidRDefault="00BF0E0D" w:rsidP="00F73309">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BF0E0D" w:rsidRPr="00D728F5" w:rsidRDefault="00BF0E0D" w:rsidP="00F73309">
            <w:pPr>
              <w:spacing w:before="120" w:after="120"/>
              <w:rPr>
                <w:sz w:val="24"/>
                <w:szCs w:val="24"/>
              </w:rPr>
            </w:pPr>
            <w:bookmarkStart w:id="21" w:name="sgr_temp_sgr"/>
            <w:bookmarkEnd w:id="21"/>
            <w:r>
              <w:rPr>
                <w:noProof/>
                <w:sz w:val="24"/>
                <w:szCs w:val="24"/>
              </w:rPr>
              <w:t>A</w:t>
            </w:r>
            <w:r w:rsidRPr="00D728F5">
              <w:rPr>
                <w:noProof/>
                <w:sz w:val="24"/>
                <w:szCs w:val="24"/>
              </w:rPr>
              <w:t xml:space="preserve">mends the Autonomous Sanctions (Designated and Declared Persons - Former Federal Republic of Yugoslavia) List 2012 to list persons designated by the </w:t>
            </w:r>
            <w:r>
              <w:rPr>
                <w:noProof/>
                <w:sz w:val="24"/>
                <w:szCs w:val="24"/>
              </w:rPr>
              <w:t>m</w:t>
            </w:r>
            <w:r w:rsidRPr="00D728F5">
              <w:rPr>
                <w:noProof/>
                <w:sz w:val="24"/>
                <w:szCs w:val="24"/>
              </w:rPr>
              <w:t>inister for the purpose of paragraph 6(1)(a) of the Autonomous Sanctions Regulations 20</w:t>
            </w:r>
            <w:r>
              <w:rPr>
                <w:noProof/>
                <w:sz w:val="24"/>
                <w:szCs w:val="24"/>
              </w:rPr>
              <w:t>11 and persons declared by the m</w:t>
            </w:r>
            <w:r w:rsidRPr="00D728F5">
              <w:rPr>
                <w:noProof/>
                <w:sz w:val="24"/>
                <w:szCs w:val="24"/>
              </w:rPr>
              <w:t>inister for the purpose of paragraph 6(1)(b) of the Autonomous Sanctions Regulations 2011.</w:t>
            </w:r>
          </w:p>
        </w:tc>
      </w:tr>
      <w:tr w:rsidR="00BF0E0D" w:rsidRPr="00164622" w:rsidTr="00F73309">
        <w:tc>
          <w:tcPr>
            <w:tcW w:w="2694" w:type="dxa"/>
            <w:tcBorders>
              <w:right w:val="single" w:sz="12" w:space="0" w:color="auto"/>
            </w:tcBorders>
          </w:tcPr>
          <w:p w:rsidR="00BF0E0D" w:rsidRPr="00A77228" w:rsidRDefault="00BF0E0D" w:rsidP="00F73309">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0E0D" w:rsidRPr="00A77228" w:rsidRDefault="00BF0E0D" w:rsidP="00F73309">
            <w:pPr>
              <w:spacing w:before="120" w:after="120"/>
              <w:rPr>
                <w:sz w:val="24"/>
                <w:szCs w:val="24"/>
              </w:rPr>
            </w:pPr>
            <w:r>
              <w:rPr>
                <w:noProof/>
                <w:sz w:val="24"/>
                <w:szCs w:val="24"/>
              </w:rPr>
              <w:t>17</w:t>
            </w:r>
            <w:r w:rsidRPr="00B664F9">
              <w:rPr>
                <w:noProof/>
                <w:sz w:val="24"/>
                <w:szCs w:val="24"/>
              </w:rPr>
              <w:t xml:space="preserve"> July</w:t>
            </w:r>
            <w:r>
              <w:rPr>
                <w:noProof/>
                <w:sz w:val="24"/>
                <w:szCs w:val="24"/>
              </w:rPr>
              <w:t xml:space="preserve"> 2014</w:t>
            </w:r>
          </w:p>
        </w:tc>
      </w:tr>
      <w:tr w:rsidR="00BF0E0D" w:rsidRPr="00164622" w:rsidTr="00F73309">
        <w:tc>
          <w:tcPr>
            <w:tcW w:w="2694" w:type="dxa"/>
            <w:tcBorders>
              <w:right w:val="single" w:sz="12" w:space="0" w:color="auto"/>
            </w:tcBorders>
          </w:tcPr>
          <w:p w:rsidR="00BF0E0D" w:rsidRPr="00A77228" w:rsidRDefault="00BF0E0D" w:rsidP="00F73309">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0E0D" w:rsidRPr="00D728F5" w:rsidRDefault="00BF0E0D" w:rsidP="00F73309">
            <w:pPr>
              <w:spacing w:before="120" w:after="120"/>
              <w:rPr>
                <w:sz w:val="24"/>
                <w:szCs w:val="24"/>
              </w:rPr>
            </w:pPr>
            <w:r>
              <w:rPr>
                <w:noProof/>
                <w:sz w:val="24"/>
                <w:szCs w:val="24"/>
              </w:rPr>
              <w:t>Autonomous Sanctions Regulations 2011</w:t>
            </w:r>
          </w:p>
        </w:tc>
      </w:tr>
      <w:tr w:rsidR="00BF0E0D" w:rsidRPr="00164622" w:rsidTr="00F73309">
        <w:tc>
          <w:tcPr>
            <w:tcW w:w="2694" w:type="dxa"/>
            <w:tcBorders>
              <w:bottom w:val="single" w:sz="12" w:space="0" w:color="auto"/>
              <w:right w:val="single" w:sz="12" w:space="0" w:color="auto"/>
            </w:tcBorders>
          </w:tcPr>
          <w:p w:rsidR="00BF0E0D" w:rsidRPr="00A77228" w:rsidRDefault="00BF0E0D" w:rsidP="00F73309">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BF0E0D" w:rsidRPr="00A77228" w:rsidRDefault="00BF0E0D" w:rsidP="00F73309">
            <w:pPr>
              <w:spacing w:before="120" w:after="120"/>
              <w:rPr>
                <w:sz w:val="24"/>
                <w:szCs w:val="24"/>
              </w:rPr>
            </w:pPr>
            <w:r>
              <w:rPr>
                <w:sz w:val="24"/>
                <w:szCs w:val="24"/>
              </w:rPr>
              <w:t>Foreign Affairs and Trade</w:t>
            </w:r>
          </w:p>
        </w:tc>
      </w:tr>
    </w:tbl>
    <w:p w:rsidR="00BF0E0D" w:rsidRPr="00164622" w:rsidRDefault="00BF0E0D" w:rsidP="00BF0E0D">
      <w:pPr>
        <w:spacing w:after="0"/>
        <w:rPr>
          <w:szCs w:val="26"/>
        </w:rPr>
      </w:pPr>
    </w:p>
    <w:p w:rsidR="00BF0E0D" w:rsidRPr="00164622" w:rsidRDefault="00BF0E0D" w:rsidP="00BF0E0D">
      <w:pPr>
        <w:spacing w:after="120"/>
        <w:rPr>
          <w:b/>
          <w:szCs w:val="26"/>
        </w:rPr>
      </w:pPr>
      <w:r w:rsidRPr="00164622">
        <w:rPr>
          <w:b/>
          <w:szCs w:val="26"/>
        </w:rPr>
        <w:t>Issue:</w:t>
      </w:r>
    </w:p>
    <w:p w:rsidR="00BF0E0D" w:rsidRDefault="00BF0E0D" w:rsidP="00BF0E0D">
      <w:pPr>
        <w:pStyle w:val="Heading5"/>
        <w:numPr>
          <w:ilvl w:val="4"/>
          <w:numId w:val="21"/>
        </w:numPr>
        <w:spacing w:before="120" w:after="120"/>
      </w:pPr>
      <w:r>
        <w:t>Drafting</w:t>
      </w:r>
    </w:p>
    <w:p w:rsidR="00BF0E0D" w:rsidRPr="003A3AEE" w:rsidRDefault="00BF0E0D" w:rsidP="00BF0E0D">
      <w:proofErr w:type="gramStart"/>
      <w:r w:rsidRPr="003A3AEE">
        <w:t>Section 3 of th</w:t>
      </w:r>
      <w:r>
        <w:t>e</w:t>
      </w:r>
      <w:r w:rsidRPr="003A3AEE">
        <w:t xml:space="preserve"> instrument states that Schedule 1 amends the Autonomous Sanctions </w:t>
      </w:r>
      <w:r>
        <w:t>(</w:t>
      </w:r>
      <w:r w:rsidRPr="003A3AEE">
        <w:t>Designated and Declared Persons – Former Federal Republic of Yugoslavia</w:t>
      </w:r>
      <w:r>
        <w:t>)</w:t>
      </w:r>
      <w:r w:rsidRPr="003A3AEE">
        <w:t xml:space="preserve"> List 2012.</w:t>
      </w:r>
      <w:proofErr w:type="gramEnd"/>
      <w:r w:rsidRPr="003A3AEE">
        <w:t xml:space="preserve"> However, Schedule 1 contains no amendment instruction. While it appears Schedule 1 </w:t>
      </w:r>
      <w:r>
        <w:t xml:space="preserve">of the instrument </w:t>
      </w:r>
      <w:r w:rsidRPr="003A3AEE">
        <w:t xml:space="preserve">is intended to replace Schedule 1 of the principal instrument, the committee understands standard drafting practice would be to include </w:t>
      </w:r>
      <w:r w:rsidRPr="003A3AEE">
        <w:lastRenderedPageBreak/>
        <w:t xml:space="preserve">an amending instruction to expressly indicate this. </w:t>
      </w:r>
      <w:r w:rsidRPr="00D728F5">
        <w:rPr>
          <w:b/>
        </w:rPr>
        <w:t>The committee therefore draws this matter to the attention of the minister.</w:t>
      </w:r>
    </w:p>
    <w:p w:rsidR="00BF0E0D" w:rsidRPr="00164622" w:rsidRDefault="00BF0E0D" w:rsidP="00BF0E0D">
      <w:pPr>
        <w:spacing w:after="120"/>
        <w:rPr>
          <w:b/>
          <w:szCs w:val="26"/>
        </w:rPr>
      </w:pPr>
      <w:r w:rsidRPr="00164622">
        <w:rPr>
          <w:b/>
          <w:szCs w:val="26"/>
        </w:rPr>
        <w:t>Issue:</w:t>
      </w:r>
    </w:p>
    <w:p w:rsidR="00BF0E0D" w:rsidRPr="003A3AEE" w:rsidRDefault="00BF0E0D" w:rsidP="00BF0E0D">
      <w:r w:rsidRPr="003A3AEE">
        <w:rPr>
          <w:i/>
        </w:rPr>
        <w:t>Insufficient description provided regarding consultation</w:t>
      </w:r>
    </w:p>
    <w:p w:rsidR="00BF0E0D" w:rsidRPr="003A3AEE" w:rsidRDefault="00BF0E0D" w:rsidP="00BF0E0D">
      <w:r w:rsidRPr="003A3AEE">
        <w:t xml:space="preserve">Regarding consultation, the </w:t>
      </w:r>
      <w:r>
        <w:t>explanatory statement (</w:t>
      </w:r>
      <w:r w:rsidRPr="003A3AEE">
        <w:t>ES</w:t>
      </w:r>
      <w:r>
        <w:t>)</w:t>
      </w:r>
      <w:r w:rsidRPr="003A3AEE">
        <w:t xml:space="preserve"> for this instrument states:</w:t>
      </w:r>
    </w:p>
    <w:p w:rsidR="00BF0E0D" w:rsidRPr="003A3AEE" w:rsidRDefault="00BF0E0D" w:rsidP="00BF0E0D">
      <w:pPr>
        <w:pStyle w:val="Quote"/>
        <w:spacing w:after="120"/>
      </w:pPr>
      <w:r w:rsidRPr="003A3AEE">
        <w:t>The legal framework for the imposition of autonomous sanctions by Australia, of which the Regulations and the FFRY List are part, has been subject to extensive consultation with governmental and non-governmental stakeholders since May 2010.</w:t>
      </w:r>
    </w:p>
    <w:p w:rsidR="00BF0E0D" w:rsidRPr="003A3AEE" w:rsidRDefault="00BF0E0D" w:rsidP="00BF0E0D">
      <w:pPr>
        <w:pStyle w:val="Quote"/>
        <w:spacing w:after="120"/>
      </w:pPr>
      <w:r w:rsidRPr="003A3AEE">
        <w:t>DFAT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BF0E0D" w:rsidRPr="003A3AEE" w:rsidRDefault="00BF0E0D" w:rsidP="00BF0E0D">
      <w:pPr>
        <w:pStyle w:val="Quote"/>
      </w:pPr>
      <w:r w:rsidRPr="003A3AEE">
        <w:t xml:space="preserve">In order to meet the policy objective of prohibiting unauthorised financial transactions involving the persons specified in the FFRY Amendment List, DFAT is satisfied that wider consultations beyond those it has already undertaken would be inappropriate (sub-sections 18 (1) and (2) (e) of the </w:t>
      </w:r>
      <w:r w:rsidRPr="003A3AEE">
        <w:rPr>
          <w:i/>
        </w:rPr>
        <w:t>Legislative Instruments Act 2003</w:t>
      </w:r>
      <w:r w:rsidRPr="003A3AEE">
        <w:t>).</w:t>
      </w:r>
    </w:p>
    <w:p w:rsidR="00BF0E0D" w:rsidRDefault="00BF0E0D" w:rsidP="00BF0E0D">
      <w:r w:rsidRPr="003A3AEE">
        <w:t xml:space="preserve">Section 17 of the </w:t>
      </w:r>
      <w:r w:rsidRPr="003A3AEE">
        <w:rPr>
          <w:i/>
        </w:rPr>
        <w:t>Legislative Instruments Act 2003</w:t>
      </w:r>
      <w:r w:rsidRPr="003A3AEE">
        <w:t xml:space="preserve"> requires that rule-makers undertake appropriate consultation before making a proposed instrument, if an instrument is likely to have a direct, or a substantial indirect, effect on business, or if the instrument is likely to restrict competition. The committee has routinely considered that very bare or overly general descriptions of consultation, such as this, do not in fact describe the nature of the consultation undertaken, as is required by section 26 of</w:t>
      </w:r>
      <w:r>
        <w:t xml:space="preserve"> the</w:t>
      </w:r>
      <w:r w:rsidRPr="003A3AEE">
        <w:t xml:space="preserve"> </w:t>
      </w:r>
      <w:r w:rsidRPr="003A3AEE">
        <w:rPr>
          <w:i/>
        </w:rPr>
        <w:t>Legislative Instruments Act 2003</w:t>
      </w:r>
      <w:r w:rsidRPr="003A3AEE">
        <w:t>.</w:t>
      </w:r>
      <w:r>
        <w:t xml:space="preserve">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r>
        <w:rPr>
          <w:noProof/>
          <w:szCs w:val="26"/>
        </w:rPr>
        <w:t xml:space="preserve"> </w:t>
      </w:r>
    </w:p>
    <w:p w:rsidR="00BF0E0D" w:rsidRPr="00075F16" w:rsidRDefault="00BF0E0D" w:rsidP="00BF0E0D">
      <w:pPr>
        <w:pStyle w:val="Heading3"/>
      </w:pPr>
      <w:r w:rsidRPr="00075F16">
        <w:t xml:space="preserve">Multiple instruments identified in Appendix 1 </w:t>
      </w:r>
    </w:p>
    <w:p w:rsidR="00BF0E0D" w:rsidRPr="00E35D4F" w:rsidRDefault="00BF0E0D" w:rsidP="00BF0E0D">
      <w:r w:rsidRPr="00E35D4F">
        <w:t xml:space="preserve">The committee has identified a number of instruments, marked by an asterisk (*) in Appendix 1,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that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therefore draws this issue to the attention of ministers and instrument-makers responsible for the instruments identified in Appendix 1. 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BF0E0D" w:rsidRPr="00E35D4F" w:rsidRDefault="00BF0E0D" w:rsidP="00BF0E0D">
      <w:pPr>
        <w:pStyle w:val="Quote"/>
      </w:pPr>
      <w:r w:rsidRPr="00E35D4F">
        <w:lastRenderedPageBreak/>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5"/>
      </w:r>
    </w:p>
    <w:p w:rsidR="00BF0E0D" w:rsidRPr="001F4E38" w:rsidRDefault="00BF0E0D" w:rsidP="00BF0E0D">
      <w:pPr>
        <w:pStyle w:val="Level1"/>
        <w:numPr>
          <w:ilvl w:val="0"/>
          <w:numId w:val="0"/>
        </w:numPr>
      </w:pPr>
    </w:p>
    <w:p w:rsidR="00A75429" w:rsidRDefault="00A75429" w:rsidP="00325264">
      <w:pPr>
        <w:sectPr w:rsidR="00A75429"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A75429" w:rsidRPr="0076670E" w:rsidRDefault="00A75429" w:rsidP="00A75429">
      <w:pPr>
        <w:pStyle w:val="Heading1"/>
      </w:pPr>
      <w:r w:rsidRPr="0076670E">
        <w:lastRenderedPageBreak/>
        <w:t>Chapter 2</w:t>
      </w:r>
    </w:p>
    <w:p w:rsidR="00A75429" w:rsidRPr="0076670E" w:rsidRDefault="00A75429" w:rsidP="00A75429">
      <w:pPr>
        <w:pStyle w:val="Heading2"/>
      </w:pPr>
      <w:r w:rsidRPr="0076670E">
        <w:t>Concluded matters</w:t>
      </w:r>
    </w:p>
    <w:p w:rsidR="00A75429" w:rsidRDefault="00A75429" w:rsidP="00A75429">
      <w:pPr>
        <w:pStyle w:val="Level1"/>
        <w:numPr>
          <w:ilvl w:val="0"/>
          <w:numId w:val="0"/>
        </w:numPr>
      </w:pPr>
    </w:p>
    <w:p w:rsidR="00A75429" w:rsidRDefault="00A75429" w:rsidP="00A75429">
      <w:pPr>
        <w:pStyle w:val="Level1"/>
        <w:numPr>
          <w:ilvl w:val="0"/>
          <w:numId w:val="0"/>
        </w:numPr>
      </w:pPr>
      <w:r w:rsidRPr="0076670E">
        <w:t>Th</w:t>
      </w:r>
      <w:r>
        <w:t xml:space="preserve">ere are no concluded matters arising from the committee's meeting on </w:t>
      </w:r>
      <w:r>
        <w:rPr>
          <w:b/>
        </w:rPr>
        <w:t>9 July 2014.</w:t>
      </w:r>
    </w:p>
    <w:p w:rsidR="00A75429" w:rsidRDefault="00A75429" w:rsidP="00A75429">
      <w:pPr>
        <w:pStyle w:val="Level1"/>
        <w:numPr>
          <w:ilvl w:val="0"/>
          <w:numId w:val="0"/>
        </w:numPr>
      </w:pPr>
    </w:p>
    <w:p w:rsidR="00A75429" w:rsidRDefault="00A75429" w:rsidP="00325264">
      <w:pPr>
        <w:sectPr w:rsidR="00A75429" w:rsidSect="009D2BFA">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7"/>
          <w:cols w:space="708"/>
          <w:titlePg/>
          <w:docGrid w:linePitch="360"/>
        </w:sectPr>
      </w:pPr>
    </w:p>
    <w:p w:rsidR="00A75429" w:rsidRPr="00B01068" w:rsidRDefault="00A75429" w:rsidP="00A75429">
      <w:pPr>
        <w:pStyle w:val="Heading1"/>
        <w:tabs>
          <w:tab w:val="left" w:pos="284"/>
        </w:tabs>
      </w:pPr>
      <w:r w:rsidRPr="00B01068">
        <w:lastRenderedPageBreak/>
        <w:t>Appendix 1</w:t>
      </w:r>
    </w:p>
    <w:p w:rsidR="00A75429" w:rsidRPr="00B01068" w:rsidRDefault="00A75429" w:rsidP="00A75429">
      <w:pPr>
        <w:pStyle w:val="Heading2"/>
        <w:tabs>
          <w:tab w:val="left" w:pos="284"/>
        </w:tabs>
      </w:pPr>
      <w:r w:rsidRPr="00B01068">
        <w:t>Index of instruments scrutinised</w:t>
      </w:r>
    </w:p>
    <w:p w:rsidR="00A75429" w:rsidRPr="00B01068" w:rsidRDefault="00A75429" w:rsidP="00A75429">
      <w:pPr>
        <w:tabs>
          <w:tab w:val="left" w:pos="284"/>
        </w:tabs>
      </w:pPr>
      <w:r w:rsidRPr="00B01068">
        <w:t xml:space="preserve">The following instruments were considered by the committee at its meeting on </w:t>
      </w:r>
      <w:r w:rsidRPr="00B01068">
        <w:rPr>
          <w:b/>
        </w:rPr>
        <w:t>9 July 2014</w:t>
      </w:r>
      <w:r w:rsidRPr="00B01068">
        <w:t>.</w:t>
      </w:r>
    </w:p>
    <w:p w:rsidR="00A75429" w:rsidRPr="00B01068" w:rsidRDefault="00A75429" w:rsidP="00A75429">
      <w:pPr>
        <w:tabs>
          <w:tab w:val="left" w:pos="284"/>
        </w:tabs>
      </w:pPr>
      <w:r w:rsidRPr="00B01068">
        <w:t>The Federal Register of Legislative Instruments (FRLI) website should be consulted for the text of instruments and explanatory statements, as well as associated information.</w:t>
      </w:r>
      <w:r w:rsidRPr="00B01068">
        <w:rPr>
          <w:rStyle w:val="FootnoteReference"/>
        </w:rPr>
        <w:footnoteReference w:id="6"/>
      </w:r>
      <w:r w:rsidRPr="00B01068">
        <w:t xml:space="preserve"> Instruments may be located on FRLI by entering the relevant FRLI number into the FRLI search field (the FRLI number is shown after the name of each instrument listed below).</w:t>
      </w:r>
    </w:p>
    <w:p w:rsidR="00A75429" w:rsidRPr="00B01068" w:rsidRDefault="00A75429" w:rsidP="00A75429">
      <w:pPr>
        <w:tabs>
          <w:tab w:val="left" w:pos="284"/>
        </w:tabs>
      </w:pPr>
      <w:r w:rsidRPr="00B01068">
        <w:t xml:space="preserve">Instruments marked with an asterisk (*) are the subject of the comment on p. </w:t>
      </w:r>
      <w:r>
        <w:t>5</w:t>
      </w:r>
      <w:r w:rsidRPr="00B01068">
        <w:t xml:space="preserve"> of Chapter 1 relating to subsection 33(3) of the </w:t>
      </w:r>
      <w:r w:rsidRPr="00B01068">
        <w:rPr>
          <w:i/>
        </w:rPr>
        <w:t>Legislative Instruments Act 2003</w:t>
      </w:r>
      <w:r w:rsidRPr="00B01068">
        <w:t xml:space="preserve"> (under the heading 'Multiple instruments identified in Appendix 1').</w:t>
      </w:r>
    </w:p>
    <w:p w:rsidR="00A75429" w:rsidRPr="00B01068" w:rsidRDefault="00A75429" w:rsidP="00A75429">
      <w:pPr>
        <w:tabs>
          <w:tab w:val="left" w:pos="284"/>
        </w:tabs>
      </w:pPr>
      <w:r w:rsidRPr="00B01068">
        <w:t>Instruments marked with an 'E' are exempt from disallowance.</w:t>
      </w:r>
    </w:p>
    <w:p w:rsidR="00A75429" w:rsidRPr="00B01068" w:rsidRDefault="00A75429" w:rsidP="00A75429">
      <w:pPr>
        <w:jc w:val="center"/>
        <w:rPr>
          <w:b/>
          <w:sz w:val="22"/>
          <w:szCs w:val="22"/>
        </w:rPr>
      </w:pPr>
      <w:r w:rsidRPr="00B01068">
        <w:rPr>
          <w:b/>
          <w:sz w:val="22"/>
          <w:szCs w:val="22"/>
        </w:rPr>
        <w:t>Instruments received week ending 13 June 2014</w:t>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Civil Aviation Regulations 1988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CASA 98/14 - Direction — flight time limitations for helicopter mustering operations</w:t>
            </w:r>
            <w:r w:rsidRPr="00B01068">
              <w:rPr>
                <w:color w:val="000000"/>
                <w:sz w:val="22"/>
                <w:szCs w:val="22"/>
                <w:lang w:eastAsia="en-AU"/>
              </w:rPr>
              <w:t xml:space="preserve"> </w:t>
            </w:r>
            <w:r w:rsidRPr="00671FE0">
              <w:rPr>
                <w:color w:val="000000"/>
                <w:sz w:val="22"/>
                <w:szCs w:val="22"/>
                <w:lang w:eastAsia="en-AU"/>
              </w:rPr>
              <w:t>F2014L00682</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 xml:space="preserve">AD/PHZL/79 </w:t>
            </w:r>
            <w:proofErr w:type="spellStart"/>
            <w:r w:rsidRPr="00671FE0">
              <w:rPr>
                <w:color w:val="000000"/>
                <w:sz w:val="22"/>
                <w:szCs w:val="22"/>
                <w:lang w:eastAsia="en-AU"/>
              </w:rPr>
              <w:t>Amdt</w:t>
            </w:r>
            <w:proofErr w:type="spellEnd"/>
            <w:r w:rsidRPr="00671FE0">
              <w:rPr>
                <w:color w:val="000000"/>
                <w:sz w:val="22"/>
                <w:szCs w:val="22"/>
                <w:lang w:eastAsia="en-AU"/>
              </w:rPr>
              <w:t xml:space="preserve"> 2 - Propeller Vibration Placard</w:t>
            </w:r>
            <w:r w:rsidRPr="00B01068">
              <w:rPr>
                <w:color w:val="000000"/>
                <w:sz w:val="22"/>
                <w:szCs w:val="22"/>
                <w:lang w:eastAsia="en-AU"/>
              </w:rPr>
              <w:t xml:space="preserve"> </w:t>
            </w:r>
            <w:r w:rsidRPr="00671FE0">
              <w:rPr>
                <w:color w:val="000000"/>
                <w:sz w:val="22"/>
                <w:szCs w:val="22"/>
                <w:lang w:eastAsia="en-AU"/>
              </w:rPr>
              <w:t>F2014L00670</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Currency Act 1965</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Currency (Royal Australian Mint) Determination 2014 (No. 4)</w:t>
            </w:r>
            <w:r w:rsidRPr="00B01068">
              <w:rPr>
                <w:color w:val="000000"/>
                <w:sz w:val="22"/>
                <w:szCs w:val="22"/>
                <w:lang w:eastAsia="en-AU"/>
              </w:rPr>
              <w:t xml:space="preserve"> </w:t>
            </w:r>
            <w:r w:rsidRPr="00671FE0">
              <w:rPr>
                <w:color w:val="000000"/>
                <w:sz w:val="22"/>
                <w:szCs w:val="22"/>
                <w:lang w:eastAsia="en-AU"/>
              </w:rPr>
              <w:t>F2014L00681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Environment Protection and Biodiversity Conservation Act 1999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Amendment to the list of threatened species, ecological communities and key threatening processes under sections 178, 181 and 183 of the Environment Protection and Biodiversity Conservation Act 1999 (157) (28/05/2014)</w:t>
            </w:r>
            <w:r w:rsidRPr="00B01068">
              <w:rPr>
                <w:color w:val="000000"/>
                <w:sz w:val="22"/>
                <w:szCs w:val="22"/>
                <w:lang w:eastAsia="en-AU"/>
              </w:rPr>
              <w:t xml:space="preserve"> </w:t>
            </w:r>
            <w:r w:rsidRPr="00671FE0">
              <w:rPr>
                <w:color w:val="000000"/>
                <w:sz w:val="22"/>
                <w:szCs w:val="22"/>
                <w:lang w:eastAsia="en-AU"/>
              </w:rPr>
              <w:t>F2014L00692</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Farm Household Support Act 2014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Farm Household Support Minister’s Rule 2014</w:t>
            </w:r>
            <w:r w:rsidRPr="00B01068">
              <w:rPr>
                <w:color w:val="000000"/>
                <w:sz w:val="22"/>
                <w:szCs w:val="22"/>
                <w:lang w:eastAsia="en-AU"/>
              </w:rPr>
              <w:t xml:space="preserve"> </w:t>
            </w:r>
            <w:r w:rsidRPr="00671FE0">
              <w:rPr>
                <w:color w:val="000000"/>
                <w:sz w:val="22"/>
                <w:szCs w:val="22"/>
                <w:lang w:eastAsia="en-AU"/>
              </w:rPr>
              <w:t>F2014L00687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Federal Financial Relations Act 2009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Federal Financial Relations (National Partnership payments) Determination No. 75 (February 2014)</w:t>
            </w:r>
            <w:r w:rsidRPr="00B01068">
              <w:rPr>
                <w:color w:val="000000"/>
                <w:sz w:val="22"/>
                <w:szCs w:val="22"/>
                <w:lang w:eastAsia="en-AU"/>
              </w:rPr>
              <w:t xml:space="preserve"> </w:t>
            </w:r>
            <w:r w:rsidRPr="00671FE0">
              <w:rPr>
                <w:color w:val="000000"/>
                <w:sz w:val="22"/>
                <w:szCs w:val="22"/>
                <w:lang w:eastAsia="en-AU"/>
              </w:rPr>
              <w:t>F2014L00662</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Federal Financial Relations (National Partnership payments) Determination No. 76 (March 2014)</w:t>
            </w:r>
            <w:r w:rsidRPr="00B01068">
              <w:rPr>
                <w:color w:val="000000"/>
                <w:sz w:val="22"/>
                <w:szCs w:val="22"/>
                <w:lang w:eastAsia="en-AU"/>
              </w:rPr>
              <w:t xml:space="preserve"> </w:t>
            </w:r>
            <w:r w:rsidRPr="00671FE0">
              <w:rPr>
                <w:color w:val="000000"/>
                <w:sz w:val="22"/>
                <w:szCs w:val="22"/>
                <w:lang w:eastAsia="en-AU"/>
              </w:rPr>
              <w:t>F2014L00664</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Federal Financial Relations (National Partnership payments) Determination No. 77 (April 2014)</w:t>
            </w:r>
            <w:r w:rsidRPr="00B01068">
              <w:rPr>
                <w:color w:val="000000"/>
                <w:sz w:val="22"/>
                <w:szCs w:val="22"/>
                <w:lang w:eastAsia="en-AU"/>
              </w:rPr>
              <w:t xml:space="preserve"> </w:t>
            </w:r>
            <w:r w:rsidRPr="00671FE0">
              <w:rPr>
                <w:color w:val="000000"/>
                <w:sz w:val="22"/>
                <w:szCs w:val="22"/>
                <w:lang w:eastAsia="en-AU"/>
              </w:rPr>
              <w:t>F2014L00667</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Federal Financial Relations (National Partnership payments) Determination No. 78 (May 2014)</w:t>
            </w:r>
            <w:r w:rsidRPr="00B01068">
              <w:rPr>
                <w:color w:val="000000"/>
                <w:sz w:val="22"/>
                <w:szCs w:val="22"/>
                <w:lang w:eastAsia="en-AU"/>
              </w:rPr>
              <w:t xml:space="preserve"> </w:t>
            </w:r>
            <w:r w:rsidRPr="00671FE0">
              <w:rPr>
                <w:color w:val="000000"/>
                <w:sz w:val="22"/>
                <w:szCs w:val="22"/>
                <w:lang w:eastAsia="en-AU"/>
              </w:rPr>
              <w:t>F2014L00668</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bl>
    <w:p w:rsidR="00A75429" w:rsidRPr="00B01068" w:rsidRDefault="00A75429" w:rsidP="00A75429">
      <w:pPr>
        <w:spacing w:after="0"/>
        <w:rPr>
          <w:sz w:val="2"/>
          <w:szCs w:val="2"/>
        </w:rPr>
      </w:pPr>
      <w:r>
        <w:br w:type="page"/>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lastRenderedPageBreak/>
              <w:t>Financial Sector (Collection of Data) Act 2001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Financial Sector (Collection of Data) (reporting standard) determination No. 12 of 2014 - SRS 330.1 - Statement of Financial Performance</w:t>
            </w:r>
            <w:r w:rsidRPr="00B01068">
              <w:rPr>
                <w:color w:val="000000"/>
                <w:sz w:val="22"/>
                <w:szCs w:val="22"/>
                <w:lang w:eastAsia="en-AU"/>
              </w:rPr>
              <w:t xml:space="preserve"> </w:t>
            </w:r>
            <w:r w:rsidRPr="00671FE0">
              <w:rPr>
                <w:color w:val="000000"/>
                <w:sz w:val="22"/>
                <w:szCs w:val="22"/>
                <w:lang w:eastAsia="en-AU"/>
              </w:rPr>
              <w:t>F2014L00674</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Financial Sector (Collection of Data) (reporting standard) determination No. 13 of 2014 - SRS 330.2 - Statement of Financial Performance</w:t>
            </w:r>
            <w:r w:rsidRPr="00B01068">
              <w:rPr>
                <w:color w:val="000000"/>
                <w:sz w:val="22"/>
                <w:szCs w:val="22"/>
                <w:lang w:eastAsia="en-AU"/>
              </w:rPr>
              <w:t xml:space="preserve"> </w:t>
            </w:r>
            <w:r w:rsidRPr="00671FE0">
              <w:rPr>
                <w:color w:val="000000"/>
                <w:sz w:val="22"/>
                <w:szCs w:val="22"/>
                <w:lang w:eastAsia="en-AU"/>
              </w:rPr>
              <w:t>F2014L00675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Financial Sector (Collection of Data) (reporting standard) determination No. 14 of 2014 - SRS 800.0 - Financial Statements</w:t>
            </w:r>
            <w:r w:rsidRPr="00B01068">
              <w:rPr>
                <w:color w:val="000000"/>
                <w:sz w:val="22"/>
                <w:szCs w:val="22"/>
                <w:lang w:eastAsia="en-AU"/>
              </w:rPr>
              <w:t xml:space="preserve"> </w:t>
            </w:r>
            <w:r w:rsidRPr="00671FE0">
              <w:rPr>
                <w:color w:val="000000"/>
                <w:sz w:val="22"/>
                <w:szCs w:val="22"/>
                <w:lang w:eastAsia="en-AU"/>
              </w:rPr>
              <w:t>F2014L00676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Financial Sector (Collection of Data) (reporting standard) determination No. 15 of 2014 - SRS 801.0 - Investments and Investment Flows</w:t>
            </w:r>
            <w:r w:rsidRPr="00B01068">
              <w:rPr>
                <w:color w:val="000000"/>
                <w:sz w:val="22"/>
                <w:szCs w:val="22"/>
                <w:lang w:eastAsia="en-AU"/>
              </w:rPr>
              <w:t xml:space="preserve"> </w:t>
            </w:r>
            <w:r w:rsidRPr="00671FE0">
              <w:rPr>
                <w:color w:val="000000"/>
                <w:sz w:val="22"/>
                <w:szCs w:val="22"/>
                <w:lang w:eastAsia="en-AU"/>
              </w:rPr>
              <w:t>F2014L00677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Financial Sector (Collection of Data) (reporting standard) determination No. 16 of 2014 - SRS 001.0 - Profile and Structure (Baseline)</w:t>
            </w:r>
            <w:r w:rsidRPr="00B01068">
              <w:rPr>
                <w:color w:val="000000"/>
                <w:sz w:val="22"/>
                <w:szCs w:val="22"/>
                <w:lang w:eastAsia="en-AU"/>
              </w:rPr>
              <w:t xml:space="preserve"> </w:t>
            </w:r>
            <w:r w:rsidRPr="00671FE0">
              <w:rPr>
                <w:color w:val="000000"/>
                <w:sz w:val="22"/>
                <w:szCs w:val="22"/>
                <w:lang w:eastAsia="en-AU"/>
              </w:rPr>
              <w:t>F2014L00678</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Higher Education Support Act 2003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Higher Education Support Act 2003 - VET Provider Approval (No. 32 of 2014)</w:t>
            </w:r>
            <w:r w:rsidRPr="00B01068">
              <w:rPr>
                <w:color w:val="000000"/>
                <w:sz w:val="22"/>
                <w:szCs w:val="22"/>
                <w:lang w:eastAsia="en-AU"/>
              </w:rPr>
              <w:t xml:space="preserve"> </w:t>
            </w:r>
            <w:r w:rsidRPr="00671FE0">
              <w:rPr>
                <w:color w:val="000000"/>
                <w:sz w:val="22"/>
                <w:szCs w:val="22"/>
                <w:lang w:eastAsia="en-AU"/>
              </w:rPr>
              <w:t>F2014L00661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Higher Education Support Act 2003 - VET Provider Approval (No. 31 of 2014)</w:t>
            </w:r>
            <w:r w:rsidRPr="00B01068">
              <w:rPr>
                <w:color w:val="000000"/>
                <w:sz w:val="22"/>
                <w:szCs w:val="22"/>
                <w:lang w:eastAsia="en-AU"/>
              </w:rPr>
              <w:t xml:space="preserve"> </w:t>
            </w:r>
            <w:r w:rsidRPr="00671FE0">
              <w:rPr>
                <w:color w:val="000000"/>
                <w:sz w:val="22"/>
                <w:szCs w:val="22"/>
                <w:lang w:eastAsia="en-AU"/>
              </w:rPr>
              <w:t>F2014L00666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Higher Education Support Act 2003 - VET Provider Approval (No. 39 of 2014)</w:t>
            </w:r>
            <w:r w:rsidRPr="00B01068">
              <w:rPr>
                <w:color w:val="000000"/>
                <w:sz w:val="22"/>
                <w:szCs w:val="22"/>
                <w:lang w:eastAsia="en-AU"/>
              </w:rPr>
              <w:t xml:space="preserve"> </w:t>
            </w:r>
            <w:r w:rsidRPr="00671FE0">
              <w:rPr>
                <w:color w:val="000000"/>
                <w:sz w:val="22"/>
                <w:szCs w:val="22"/>
                <w:lang w:eastAsia="en-AU"/>
              </w:rPr>
              <w:t>F2014L00671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Amendment No. 2 to the VET Guidelines 2013</w:t>
            </w:r>
            <w:r w:rsidRPr="00B01068">
              <w:rPr>
                <w:color w:val="000000"/>
                <w:sz w:val="22"/>
                <w:szCs w:val="22"/>
                <w:lang w:eastAsia="en-AU"/>
              </w:rPr>
              <w:t xml:space="preserve"> </w:t>
            </w:r>
            <w:r w:rsidRPr="00671FE0">
              <w:rPr>
                <w:color w:val="000000"/>
                <w:sz w:val="22"/>
                <w:szCs w:val="22"/>
                <w:lang w:eastAsia="en-AU"/>
              </w:rPr>
              <w:t>F2014L00672</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Higher Education Support Act 2003 - Revocation of approval as a VET Provider (Central Queensland Institute of TAFE)</w:t>
            </w:r>
            <w:r w:rsidRPr="00B01068">
              <w:rPr>
                <w:color w:val="000000"/>
                <w:sz w:val="22"/>
                <w:szCs w:val="22"/>
                <w:lang w:eastAsia="en-AU"/>
              </w:rPr>
              <w:t xml:space="preserve"> </w:t>
            </w:r>
            <w:r w:rsidRPr="00671FE0">
              <w:rPr>
                <w:color w:val="000000"/>
                <w:sz w:val="22"/>
                <w:szCs w:val="22"/>
                <w:lang w:eastAsia="en-AU"/>
              </w:rPr>
              <w:t>F2014L00673</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Income Tax Assessment Act 1936</w:t>
            </w:r>
            <w:r w:rsidRPr="00B01068">
              <w:rPr>
                <w:b/>
                <w:i/>
                <w:color w:val="000000"/>
                <w:sz w:val="22"/>
                <w:szCs w:val="22"/>
                <w:lang w:eastAsia="en-AU"/>
              </w:rPr>
              <w:t xml:space="preserve"> and </w:t>
            </w:r>
            <w:r w:rsidRPr="00671FE0">
              <w:rPr>
                <w:b/>
                <w:i/>
                <w:color w:val="000000"/>
                <w:sz w:val="22"/>
                <w:szCs w:val="22"/>
                <w:lang w:eastAsia="en-AU"/>
              </w:rPr>
              <w:t>Taxation Administration Act 1953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proofErr w:type="spellStart"/>
            <w:r w:rsidRPr="00671FE0">
              <w:rPr>
                <w:color w:val="000000"/>
                <w:sz w:val="22"/>
                <w:szCs w:val="22"/>
                <w:lang w:eastAsia="en-AU"/>
              </w:rPr>
              <w:t>Lodgment</w:t>
            </w:r>
            <w:proofErr w:type="spellEnd"/>
            <w:r w:rsidRPr="00671FE0">
              <w:rPr>
                <w:color w:val="000000"/>
                <w:sz w:val="22"/>
                <w:szCs w:val="22"/>
                <w:lang w:eastAsia="en-AU"/>
              </w:rPr>
              <w:t xml:space="preserve"> of income tax returns for the year of income ended 30 June 2014 in accordance with the Income Tax Assessment Act 1936 and the Taxation Administration Act 1953 – Department of Human Services – parents with a child support assessment</w:t>
            </w:r>
            <w:r w:rsidRPr="00B01068">
              <w:rPr>
                <w:color w:val="000000"/>
                <w:sz w:val="22"/>
                <w:szCs w:val="22"/>
                <w:lang w:eastAsia="en-AU"/>
              </w:rPr>
              <w:t xml:space="preserve"> </w:t>
            </w:r>
            <w:r w:rsidRPr="00671FE0">
              <w:rPr>
                <w:color w:val="000000"/>
                <w:sz w:val="22"/>
                <w:szCs w:val="22"/>
                <w:lang w:eastAsia="en-AU"/>
              </w:rPr>
              <w:t>F2014L00686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Income Tax Assessment Act 1997</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Income Tax (Effective Life of Depreciating Assets) Amendment Determination 2014 (No. 1)</w:t>
            </w:r>
            <w:r w:rsidRPr="00B01068">
              <w:rPr>
                <w:color w:val="000000"/>
                <w:sz w:val="22"/>
                <w:szCs w:val="22"/>
                <w:lang w:eastAsia="en-AU"/>
              </w:rPr>
              <w:t xml:space="preserve"> </w:t>
            </w:r>
            <w:r w:rsidRPr="00671FE0">
              <w:rPr>
                <w:color w:val="000000"/>
                <w:sz w:val="22"/>
                <w:szCs w:val="22"/>
                <w:lang w:eastAsia="en-AU"/>
              </w:rPr>
              <w:t>F2014L00679</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Income Tax Assessment Act 1997</w:t>
            </w:r>
            <w:r w:rsidRPr="00B01068">
              <w:rPr>
                <w:b/>
                <w:i/>
                <w:color w:val="000000"/>
                <w:sz w:val="22"/>
                <w:szCs w:val="22"/>
                <w:lang w:eastAsia="en-AU"/>
              </w:rPr>
              <w:t xml:space="preserve">, </w:t>
            </w:r>
            <w:r w:rsidRPr="00671FE0">
              <w:rPr>
                <w:b/>
                <w:i/>
                <w:color w:val="000000"/>
                <w:sz w:val="22"/>
                <w:szCs w:val="22"/>
                <w:lang w:eastAsia="en-AU"/>
              </w:rPr>
              <w:t>Superannuation Industry (Supervision) Act 1993</w:t>
            </w:r>
            <w:r w:rsidRPr="00B01068">
              <w:rPr>
                <w:b/>
                <w:i/>
                <w:color w:val="000000"/>
                <w:sz w:val="22"/>
                <w:szCs w:val="22"/>
                <w:lang w:eastAsia="en-AU"/>
              </w:rPr>
              <w:t xml:space="preserve">, </w:t>
            </w:r>
            <w:r w:rsidRPr="00671FE0">
              <w:rPr>
                <w:b/>
                <w:i/>
                <w:color w:val="000000"/>
                <w:sz w:val="22"/>
                <w:szCs w:val="22"/>
                <w:lang w:eastAsia="en-AU"/>
              </w:rPr>
              <w:t>Income Tax Assessment Act 1936</w:t>
            </w:r>
            <w:r w:rsidRPr="00B01068">
              <w:rPr>
                <w:b/>
                <w:i/>
                <w:color w:val="000000"/>
                <w:sz w:val="22"/>
                <w:szCs w:val="22"/>
                <w:lang w:eastAsia="en-AU"/>
              </w:rPr>
              <w:t xml:space="preserve">, </w:t>
            </w:r>
            <w:r w:rsidRPr="00671FE0">
              <w:rPr>
                <w:b/>
                <w:i/>
                <w:color w:val="000000"/>
                <w:sz w:val="22"/>
                <w:szCs w:val="22"/>
                <w:lang w:eastAsia="en-AU"/>
              </w:rPr>
              <w:t>Income Tax (Transitional Provisions) Act 1997</w:t>
            </w:r>
            <w:r w:rsidRPr="00B01068">
              <w:rPr>
                <w:b/>
                <w:i/>
                <w:color w:val="000000"/>
                <w:sz w:val="22"/>
                <w:szCs w:val="22"/>
                <w:lang w:eastAsia="en-AU"/>
              </w:rPr>
              <w:t xml:space="preserve"> and </w:t>
            </w:r>
            <w:r w:rsidRPr="00671FE0">
              <w:rPr>
                <w:b/>
                <w:i/>
                <w:color w:val="000000"/>
                <w:sz w:val="22"/>
                <w:szCs w:val="22"/>
                <w:lang w:eastAsia="en-AU"/>
              </w:rPr>
              <w:t>Taxation Administration Act 1953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proofErr w:type="spellStart"/>
            <w:r w:rsidRPr="00671FE0">
              <w:rPr>
                <w:color w:val="000000"/>
                <w:sz w:val="22"/>
                <w:szCs w:val="22"/>
                <w:lang w:eastAsia="en-AU"/>
              </w:rPr>
              <w:t>Lodgment</w:t>
            </w:r>
            <w:proofErr w:type="spellEnd"/>
            <w:r w:rsidRPr="00671FE0">
              <w:rPr>
                <w:color w:val="000000"/>
                <w:sz w:val="22"/>
                <w:szCs w:val="22"/>
                <w:lang w:eastAsia="en-AU"/>
              </w:rPr>
              <w:t xml:space="preserve"> of returns for the year of income ended 30 June 2014 in accordance with the Income Tax Assessment Act 1936, the Income Tax Assessment Act 1997, the Taxation Administration Act 1953, the Superannuation Industry (Supervision) Act 1993 and the Income Tax (Transitional Provisions) Act 1997</w:t>
            </w:r>
            <w:r w:rsidRPr="00B01068">
              <w:rPr>
                <w:color w:val="000000"/>
                <w:sz w:val="22"/>
                <w:szCs w:val="22"/>
                <w:lang w:eastAsia="en-AU"/>
              </w:rPr>
              <w:t xml:space="preserve"> </w:t>
            </w:r>
            <w:r w:rsidRPr="00671FE0">
              <w:rPr>
                <w:color w:val="000000"/>
                <w:sz w:val="22"/>
                <w:szCs w:val="22"/>
                <w:lang w:eastAsia="en-AU"/>
              </w:rPr>
              <w:t>F2014L00688</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Private Health Insurance Act 2007</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Private Health Insurance (Registration) Amendment Rules 2014 (No. 1)</w:t>
            </w:r>
            <w:r w:rsidRPr="00B01068">
              <w:rPr>
                <w:color w:val="000000"/>
                <w:sz w:val="22"/>
                <w:szCs w:val="22"/>
                <w:lang w:eastAsia="en-AU"/>
              </w:rPr>
              <w:t xml:space="preserve"> </w:t>
            </w:r>
            <w:r w:rsidRPr="00671FE0">
              <w:rPr>
                <w:color w:val="000000"/>
                <w:sz w:val="22"/>
                <w:szCs w:val="22"/>
                <w:lang w:eastAsia="en-AU"/>
              </w:rPr>
              <w:t>F2014L00685</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Safety, Rehabilitation and Compensation Act 1988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 xml:space="preserve">Safety, Rehabilitation and Compensation (Licence Eligibility – </w:t>
            </w:r>
            <w:proofErr w:type="spellStart"/>
            <w:r w:rsidRPr="00671FE0">
              <w:rPr>
                <w:color w:val="000000"/>
                <w:sz w:val="22"/>
                <w:szCs w:val="22"/>
                <w:lang w:eastAsia="en-AU"/>
              </w:rPr>
              <w:t>Medibank</w:t>
            </w:r>
            <w:proofErr w:type="spellEnd"/>
            <w:r w:rsidRPr="00671FE0">
              <w:rPr>
                <w:color w:val="000000"/>
                <w:sz w:val="22"/>
                <w:szCs w:val="22"/>
                <w:lang w:eastAsia="en-AU"/>
              </w:rPr>
              <w:t xml:space="preserve"> Private Limited) Declaration 2014 (No. 1)</w:t>
            </w:r>
            <w:r w:rsidRPr="00B01068">
              <w:rPr>
                <w:color w:val="000000"/>
                <w:sz w:val="22"/>
                <w:szCs w:val="22"/>
                <w:lang w:eastAsia="en-AU"/>
              </w:rPr>
              <w:t xml:space="preserve"> </w:t>
            </w:r>
            <w:r w:rsidRPr="00671FE0">
              <w:rPr>
                <w:color w:val="000000"/>
                <w:sz w:val="22"/>
                <w:szCs w:val="22"/>
                <w:lang w:eastAsia="en-AU"/>
              </w:rPr>
              <w:t>F2014L00665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 xml:space="preserve">Safety, Rehabilitation and Compensation (Licence Eligibility – </w:t>
            </w:r>
            <w:proofErr w:type="spellStart"/>
            <w:r w:rsidRPr="00671FE0">
              <w:rPr>
                <w:color w:val="000000"/>
                <w:sz w:val="22"/>
                <w:szCs w:val="22"/>
                <w:lang w:eastAsia="en-AU"/>
              </w:rPr>
              <w:t>Medibank</w:t>
            </w:r>
            <w:proofErr w:type="spellEnd"/>
            <w:r w:rsidRPr="00671FE0">
              <w:rPr>
                <w:color w:val="000000"/>
                <w:sz w:val="22"/>
                <w:szCs w:val="22"/>
                <w:lang w:eastAsia="en-AU"/>
              </w:rPr>
              <w:t xml:space="preserve"> Health Solutions) Declaration 2014 (No. 1)</w:t>
            </w:r>
            <w:r w:rsidRPr="00B01068">
              <w:rPr>
                <w:color w:val="000000"/>
                <w:sz w:val="22"/>
                <w:szCs w:val="22"/>
                <w:lang w:eastAsia="en-AU"/>
              </w:rPr>
              <w:t xml:space="preserve"> </w:t>
            </w:r>
            <w:r w:rsidRPr="00671FE0">
              <w:rPr>
                <w:color w:val="000000"/>
                <w:sz w:val="22"/>
                <w:szCs w:val="22"/>
                <w:lang w:eastAsia="en-AU"/>
              </w:rPr>
              <w:t>F2014L00669</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Safety, Rehabilitation and Compensation (Weekly Interest on the Lump Sum) Notice 2014</w:t>
            </w:r>
            <w:r w:rsidRPr="00B01068">
              <w:rPr>
                <w:color w:val="000000"/>
                <w:sz w:val="22"/>
                <w:szCs w:val="22"/>
                <w:lang w:eastAsia="en-AU"/>
              </w:rPr>
              <w:t xml:space="preserve"> </w:t>
            </w:r>
            <w:r w:rsidRPr="00671FE0">
              <w:rPr>
                <w:color w:val="000000"/>
                <w:sz w:val="22"/>
                <w:szCs w:val="22"/>
                <w:lang w:eastAsia="en-AU"/>
              </w:rPr>
              <w:t>F2014L00680</w:t>
            </w:r>
          </w:p>
        </w:tc>
        <w:tc>
          <w:tcPr>
            <w:tcW w:w="912" w:type="dxa"/>
            <w:vAlign w:val="center"/>
          </w:tcPr>
          <w:p w:rsidR="00A75429" w:rsidRPr="00B01068" w:rsidRDefault="00A75429" w:rsidP="00F73309">
            <w:pPr>
              <w:spacing w:before="40" w:after="40"/>
              <w:jc w:val="center"/>
              <w:rPr>
                <w:color w:val="000000"/>
                <w:sz w:val="22"/>
                <w:szCs w:val="22"/>
                <w:lang w:eastAsia="en-AU"/>
              </w:rPr>
            </w:pPr>
          </w:p>
        </w:tc>
      </w:tr>
    </w:tbl>
    <w:p w:rsidR="00A75429" w:rsidRPr="00B01068" w:rsidRDefault="00A75429" w:rsidP="00A75429">
      <w:pPr>
        <w:spacing w:after="0"/>
        <w:rPr>
          <w:sz w:val="2"/>
          <w:szCs w:val="2"/>
        </w:rPr>
      </w:pPr>
      <w:r>
        <w:br w:type="page"/>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lastRenderedPageBreak/>
              <w:t>Social Security (Administration) Act 1999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Social Security (Administration) (Schooling Requirements - Person Responsible) Specification 2014</w:t>
            </w:r>
            <w:r w:rsidRPr="00B01068">
              <w:rPr>
                <w:color w:val="000000"/>
                <w:sz w:val="22"/>
                <w:szCs w:val="22"/>
                <w:lang w:eastAsia="en-AU"/>
              </w:rPr>
              <w:t xml:space="preserve"> </w:t>
            </w:r>
            <w:r w:rsidRPr="00671FE0">
              <w:rPr>
                <w:color w:val="000000"/>
                <w:sz w:val="22"/>
                <w:szCs w:val="22"/>
                <w:lang w:eastAsia="en-AU"/>
              </w:rPr>
              <w:t>F2014L00663</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Taxation Administration Act 1953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Taxation Administration Act Withholding Schedules 2014</w:t>
            </w:r>
            <w:r w:rsidRPr="00B01068">
              <w:rPr>
                <w:color w:val="000000"/>
                <w:sz w:val="22"/>
                <w:szCs w:val="22"/>
                <w:lang w:eastAsia="en-AU"/>
              </w:rPr>
              <w:t xml:space="preserve"> </w:t>
            </w:r>
            <w:r w:rsidRPr="00671FE0">
              <w:rPr>
                <w:color w:val="000000"/>
                <w:sz w:val="22"/>
                <w:szCs w:val="22"/>
                <w:lang w:eastAsia="en-AU"/>
              </w:rPr>
              <w:t>F2014L00689</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proofErr w:type="spellStart"/>
            <w:r w:rsidRPr="00671FE0">
              <w:rPr>
                <w:color w:val="000000"/>
                <w:sz w:val="22"/>
                <w:szCs w:val="22"/>
                <w:lang w:eastAsia="en-AU"/>
              </w:rPr>
              <w:t>Lodgment</w:t>
            </w:r>
            <w:proofErr w:type="spellEnd"/>
            <w:r w:rsidRPr="00671FE0">
              <w:rPr>
                <w:color w:val="000000"/>
                <w:sz w:val="22"/>
                <w:szCs w:val="22"/>
                <w:lang w:eastAsia="en-AU"/>
              </w:rPr>
              <w:t xml:space="preserve"> of account activity statements by First home saver account providers for the year ended 30 June 2014 in accordance with the Taxation Administration Act 1953</w:t>
            </w:r>
            <w:r w:rsidRPr="00B01068">
              <w:rPr>
                <w:color w:val="000000"/>
                <w:sz w:val="22"/>
                <w:szCs w:val="22"/>
                <w:lang w:eastAsia="en-AU"/>
              </w:rPr>
              <w:t xml:space="preserve"> </w:t>
            </w:r>
            <w:r w:rsidRPr="00671FE0">
              <w:rPr>
                <w:color w:val="000000"/>
                <w:sz w:val="22"/>
                <w:szCs w:val="22"/>
                <w:lang w:eastAsia="en-AU"/>
              </w:rPr>
              <w:t>F2014L00690</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Taxation Administration Act 1953</w:t>
            </w:r>
            <w:r w:rsidRPr="00B01068">
              <w:rPr>
                <w:b/>
                <w:i/>
                <w:color w:val="000000"/>
                <w:sz w:val="22"/>
                <w:szCs w:val="22"/>
                <w:lang w:eastAsia="en-AU"/>
              </w:rPr>
              <w:t xml:space="preserve"> and </w:t>
            </w:r>
            <w:r w:rsidRPr="00671FE0">
              <w:rPr>
                <w:b/>
                <w:i/>
                <w:color w:val="000000"/>
                <w:sz w:val="22"/>
                <w:szCs w:val="22"/>
                <w:lang w:eastAsia="en-AU"/>
              </w:rPr>
              <w:t>Superannuation Industry (Supervision) Act 1993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proofErr w:type="spellStart"/>
            <w:r w:rsidRPr="00671FE0">
              <w:rPr>
                <w:color w:val="000000"/>
                <w:sz w:val="22"/>
                <w:szCs w:val="22"/>
                <w:lang w:eastAsia="en-AU"/>
              </w:rPr>
              <w:t>Lodgment</w:t>
            </w:r>
            <w:proofErr w:type="spellEnd"/>
            <w:r w:rsidRPr="00671FE0">
              <w:rPr>
                <w:color w:val="000000"/>
                <w:sz w:val="22"/>
                <w:szCs w:val="22"/>
                <w:lang w:eastAsia="en-AU"/>
              </w:rPr>
              <w:t xml:space="preserve"> of statements by superannuation providers in relation to superannuation plans (other than </w:t>
            </w:r>
            <w:proofErr w:type="spellStart"/>
            <w:r w:rsidRPr="00671FE0">
              <w:rPr>
                <w:color w:val="000000"/>
                <w:sz w:val="22"/>
                <w:szCs w:val="22"/>
                <w:lang w:eastAsia="en-AU"/>
              </w:rPr>
              <w:t>self managed</w:t>
            </w:r>
            <w:proofErr w:type="spellEnd"/>
            <w:r w:rsidRPr="00671FE0">
              <w:rPr>
                <w:color w:val="000000"/>
                <w:sz w:val="22"/>
                <w:szCs w:val="22"/>
                <w:lang w:eastAsia="en-AU"/>
              </w:rPr>
              <w:t xml:space="preserve"> superannuation funds) for each financial year ended 30 June in accordance with the Taxation Administration Act 1953</w:t>
            </w:r>
            <w:r w:rsidRPr="00B01068">
              <w:rPr>
                <w:color w:val="000000"/>
                <w:sz w:val="22"/>
                <w:szCs w:val="22"/>
                <w:lang w:eastAsia="en-AU"/>
              </w:rPr>
              <w:t xml:space="preserve"> </w:t>
            </w:r>
            <w:r w:rsidRPr="00671FE0">
              <w:rPr>
                <w:color w:val="000000"/>
                <w:sz w:val="22"/>
                <w:szCs w:val="22"/>
                <w:lang w:eastAsia="en-AU"/>
              </w:rPr>
              <w:t>F2014L00691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671FE0">
              <w:rPr>
                <w:b/>
                <w:i/>
                <w:color w:val="000000"/>
                <w:sz w:val="22"/>
                <w:szCs w:val="22"/>
                <w:lang w:eastAsia="en-AU"/>
              </w:rPr>
              <w:t>Therapeutic Goods Act 1989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Therapeutic Goods Order No. 70C - Standards for Export Only Medicine</w:t>
            </w:r>
            <w:r w:rsidRPr="00B01068">
              <w:rPr>
                <w:color w:val="000000"/>
                <w:sz w:val="22"/>
                <w:szCs w:val="22"/>
                <w:lang w:eastAsia="en-AU"/>
              </w:rPr>
              <w:t xml:space="preserve"> </w:t>
            </w:r>
            <w:r w:rsidRPr="00671FE0">
              <w:rPr>
                <w:color w:val="000000"/>
                <w:sz w:val="22"/>
                <w:szCs w:val="22"/>
                <w:lang w:eastAsia="en-AU"/>
              </w:rPr>
              <w:t>F2014L00683</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671FE0">
              <w:rPr>
                <w:color w:val="000000"/>
                <w:sz w:val="22"/>
                <w:szCs w:val="22"/>
                <w:lang w:eastAsia="en-AU"/>
              </w:rPr>
              <w:t>Medicines Advisory Statements Specification 2014</w:t>
            </w:r>
            <w:r w:rsidRPr="00B01068">
              <w:rPr>
                <w:color w:val="000000"/>
                <w:sz w:val="22"/>
                <w:szCs w:val="22"/>
                <w:lang w:eastAsia="en-AU"/>
              </w:rPr>
              <w:t xml:space="preserve"> </w:t>
            </w:r>
            <w:r w:rsidRPr="00671FE0">
              <w:rPr>
                <w:color w:val="000000"/>
                <w:sz w:val="22"/>
                <w:szCs w:val="22"/>
                <w:lang w:eastAsia="en-AU"/>
              </w:rPr>
              <w:t>F2014L00693</w:t>
            </w:r>
          </w:p>
        </w:tc>
        <w:tc>
          <w:tcPr>
            <w:tcW w:w="912" w:type="dxa"/>
            <w:vAlign w:val="center"/>
          </w:tcPr>
          <w:p w:rsidR="00A75429" w:rsidRPr="00B01068" w:rsidRDefault="00A75429" w:rsidP="00F73309">
            <w:pPr>
              <w:spacing w:before="40" w:after="40"/>
              <w:jc w:val="center"/>
              <w:rPr>
                <w:color w:val="000000"/>
                <w:sz w:val="22"/>
                <w:szCs w:val="22"/>
                <w:lang w:eastAsia="en-AU"/>
              </w:rPr>
            </w:pPr>
          </w:p>
        </w:tc>
      </w:tr>
    </w:tbl>
    <w:p w:rsidR="00A75429" w:rsidRDefault="00A75429" w:rsidP="00A75429">
      <w:pPr>
        <w:spacing w:after="0"/>
        <w:jc w:val="center"/>
        <w:rPr>
          <w:b/>
          <w:sz w:val="22"/>
          <w:szCs w:val="22"/>
        </w:rPr>
      </w:pPr>
    </w:p>
    <w:p w:rsidR="00A75429" w:rsidRPr="00B01068" w:rsidRDefault="00A75429" w:rsidP="00A75429">
      <w:pPr>
        <w:spacing w:after="0"/>
        <w:jc w:val="center"/>
        <w:rPr>
          <w:b/>
          <w:sz w:val="22"/>
          <w:szCs w:val="22"/>
        </w:rPr>
      </w:pPr>
    </w:p>
    <w:p w:rsidR="00A75429" w:rsidRPr="00B01068" w:rsidRDefault="00A75429" w:rsidP="00A75429">
      <w:pPr>
        <w:jc w:val="center"/>
        <w:rPr>
          <w:b/>
          <w:sz w:val="22"/>
          <w:szCs w:val="22"/>
        </w:rPr>
      </w:pPr>
      <w:r w:rsidRPr="00B01068">
        <w:rPr>
          <w:b/>
          <w:sz w:val="22"/>
          <w:szCs w:val="22"/>
        </w:rPr>
        <w:t>Instruments received week ending 20 June 2014</w:t>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Aged Care Act 1997</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Grant Principles 2014</w:t>
            </w:r>
            <w:r w:rsidRPr="00B01068">
              <w:rPr>
                <w:color w:val="000000"/>
                <w:sz w:val="22"/>
                <w:szCs w:val="22"/>
                <w:lang w:eastAsia="en-AU"/>
              </w:rPr>
              <w:t xml:space="preserve"> </w:t>
            </w:r>
            <w:r w:rsidRPr="00BE034C">
              <w:rPr>
                <w:color w:val="000000"/>
                <w:sz w:val="22"/>
                <w:szCs w:val="22"/>
                <w:lang w:eastAsia="en-AU"/>
              </w:rPr>
              <w:t>F2014L00697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01068">
              <w:rPr>
                <w:color w:val="000000"/>
                <w:sz w:val="22"/>
                <w:szCs w:val="22"/>
                <w:lang w:eastAsia="en-AU"/>
              </w:rPr>
              <w:t>A</w:t>
            </w:r>
            <w:r w:rsidRPr="00BE034C">
              <w:rPr>
                <w:color w:val="000000"/>
                <w:sz w:val="22"/>
                <w:szCs w:val="22"/>
                <w:lang w:eastAsia="en-AU"/>
              </w:rPr>
              <w:t>pproved Provider Principles 2014</w:t>
            </w:r>
            <w:r w:rsidRPr="00B01068">
              <w:rPr>
                <w:color w:val="000000"/>
                <w:sz w:val="22"/>
                <w:szCs w:val="22"/>
                <w:lang w:eastAsia="en-AU"/>
              </w:rPr>
              <w:t xml:space="preserve"> </w:t>
            </w:r>
            <w:r w:rsidRPr="00BE034C">
              <w:rPr>
                <w:color w:val="000000"/>
                <w:sz w:val="22"/>
                <w:szCs w:val="22"/>
                <w:lang w:eastAsia="en-AU"/>
              </w:rPr>
              <w:t>F2014L00698</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Agricultural and Veterinary Chemicals (Administration) Act 1992</w:t>
            </w:r>
            <w:r w:rsidRPr="00B01068">
              <w:rPr>
                <w:b/>
                <w:i/>
                <w:color w:val="000000"/>
                <w:sz w:val="22"/>
                <w:szCs w:val="22"/>
                <w:lang w:eastAsia="en-AU"/>
              </w:rPr>
              <w:t xml:space="preserve">. </w:t>
            </w:r>
            <w:r w:rsidRPr="00BE034C">
              <w:rPr>
                <w:b/>
                <w:i/>
                <w:color w:val="000000"/>
                <w:sz w:val="22"/>
                <w:szCs w:val="22"/>
                <w:lang w:eastAsia="en-AU"/>
              </w:rPr>
              <w:t>Agricultural and Veterinary Chemical Products (Collection of Levy) Act 1994</w:t>
            </w:r>
            <w:r w:rsidRPr="00B01068">
              <w:rPr>
                <w:b/>
                <w:i/>
                <w:color w:val="000000"/>
                <w:sz w:val="22"/>
                <w:szCs w:val="22"/>
                <w:lang w:eastAsia="en-AU"/>
              </w:rPr>
              <w:t xml:space="preserve">, </w:t>
            </w:r>
            <w:r w:rsidRPr="00BE034C">
              <w:rPr>
                <w:b/>
                <w:i/>
                <w:color w:val="000000"/>
                <w:sz w:val="22"/>
                <w:szCs w:val="22"/>
                <w:lang w:eastAsia="en-AU"/>
              </w:rPr>
              <w:t>Agricultural and Veterinary Chemicals Legislation Amendment Act 2013</w:t>
            </w:r>
            <w:r w:rsidRPr="00B01068">
              <w:rPr>
                <w:b/>
                <w:i/>
                <w:color w:val="000000"/>
                <w:sz w:val="22"/>
                <w:szCs w:val="22"/>
                <w:lang w:eastAsia="en-AU"/>
              </w:rPr>
              <w:t xml:space="preserve"> and </w:t>
            </w:r>
            <w:r w:rsidRPr="00BE034C">
              <w:rPr>
                <w:b/>
                <w:i/>
                <w:color w:val="000000"/>
                <w:sz w:val="22"/>
                <w:szCs w:val="22"/>
                <w:lang w:eastAsia="en-AU"/>
              </w:rPr>
              <w:t>Agricultural and Veterinary Chemicals Code Act 1994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 xml:space="preserve">Agricultural and Veterinary Chemicals Legislation Amendment Regulation 2014 </w:t>
            </w:r>
            <w:r w:rsidRPr="00B01068">
              <w:rPr>
                <w:color w:val="000000"/>
                <w:sz w:val="22"/>
                <w:szCs w:val="22"/>
                <w:lang w:eastAsia="en-AU"/>
              </w:rPr>
              <w:t>[</w:t>
            </w:r>
            <w:r w:rsidRPr="00BE034C">
              <w:rPr>
                <w:color w:val="000000"/>
                <w:sz w:val="22"/>
                <w:szCs w:val="22"/>
                <w:lang w:eastAsia="en-AU"/>
              </w:rPr>
              <w:t>SLI 2014 No. 67</w:t>
            </w:r>
            <w:r w:rsidRPr="00B01068">
              <w:rPr>
                <w:color w:val="000000"/>
                <w:sz w:val="22"/>
                <w:szCs w:val="22"/>
                <w:lang w:eastAsia="en-AU"/>
              </w:rPr>
              <w:t xml:space="preserve">] </w:t>
            </w:r>
            <w:r w:rsidRPr="00BE034C">
              <w:rPr>
                <w:color w:val="000000"/>
                <w:sz w:val="22"/>
                <w:szCs w:val="22"/>
                <w:lang w:eastAsia="en-AU"/>
              </w:rPr>
              <w:t>F2014L00714</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Australian Citizenship Act 2007</w:t>
            </w:r>
            <w:r w:rsidRPr="00B01068">
              <w:rPr>
                <w:b/>
                <w:i/>
                <w:color w:val="000000"/>
                <w:sz w:val="22"/>
                <w:szCs w:val="22"/>
                <w:lang w:eastAsia="en-AU"/>
              </w:rPr>
              <w:t xml:space="preserve"> and </w:t>
            </w:r>
            <w:r w:rsidRPr="00BE034C">
              <w:rPr>
                <w:b/>
                <w:i/>
                <w:color w:val="000000"/>
                <w:sz w:val="22"/>
                <w:szCs w:val="22"/>
                <w:lang w:eastAsia="en-AU"/>
              </w:rPr>
              <w:t>Migration Act 1958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Migration Legislation Amendment (2014 Measures No. 1) Regulation 2014</w:t>
            </w:r>
            <w:r w:rsidRPr="00B01068">
              <w:rPr>
                <w:color w:val="000000"/>
                <w:sz w:val="22"/>
                <w:szCs w:val="22"/>
                <w:lang w:eastAsia="en-AU"/>
              </w:rPr>
              <w:t xml:space="preserve"> [</w:t>
            </w:r>
            <w:r w:rsidRPr="00BE034C">
              <w:rPr>
                <w:color w:val="000000"/>
                <w:sz w:val="22"/>
                <w:szCs w:val="22"/>
                <w:lang w:eastAsia="en-AU"/>
              </w:rPr>
              <w:t>SLI 2014 No. 82</w:t>
            </w:r>
            <w:r w:rsidRPr="00B01068">
              <w:rPr>
                <w:color w:val="000000"/>
                <w:sz w:val="22"/>
                <w:szCs w:val="22"/>
                <w:lang w:eastAsia="en-AU"/>
              </w:rPr>
              <w:t xml:space="preserve">] </w:t>
            </w:r>
            <w:r w:rsidRPr="00BE034C">
              <w:rPr>
                <w:color w:val="000000"/>
                <w:sz w:val="22"/>
                <w:szCs w:val="22"/>
                <w:lang w:eastAsia="en-AU"/>
              </w:rPr>
              <w:t>F2014L00726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Australian Radiation Protection and Nuclear Safety (Licence Charges) Act 1998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Australian Radiation Protection and Nuclear Safety (Licence Charges) Amendment (2014 Measures No. 1) Regulation 2014</w:t>
            </w:r>
            <w:r w:rsidRPr="00B01068">
              <w:rPr>
                <w:color w:val="000000"/>
                <w:sz w:val="22"/>
                <w:szCs w:val="22"/>
                <w:lang w:eastAsia="en-AU"/>
              </w:rPr>
              <w:t xml:space="preserve"> [</w:t>
            </w:r>
            <w:r w:rsidRPr="00BE034C">
              <w:rPr>
                <w:color w:val="000000"/>
                <w:sz w:val="22"/>
                <w:szCs w:val="22"/>
                <w:lang w:eastAsia="en-AU"/>
              </w:rPr>
              <w:t>SLI 2014 No. 77</w:t>
            </w:r>
            <w:r w:rsidRPr="00B01068">
              <w:rPr>
                <w:color w:val="000000"/>
                <w:sz w:val="22"/>
                <w:szCs w:val="22"/>
                <w:lang w:eastAsia="en-AU"/>
              </w:rPr>
              <w:t xml:space="preserve">] </w:t>
            </w:r>
            <w:r w:rsidRPr="00BE034C">
              <w:rPr>
                <w:color w:val="000000"/>
                <w:sz w:val="22"/>
                <w:szCs w:val="22"/>
                <w:lang w:eastAsia="en-AU"/>
              </w:rPr>
              <w:t>F2014L00724</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Australian Radiation Protection and Nuclear Safety Act 1998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Australian Radiation Protection and Nuclear Safety Amendment (2014 Measures No. 1) Regulation 2014</w:t>
            </w:r>
            <w:r w:rsidRPr="00B01068">
              <w:rPr>
                <w:color w:val="000000"/>
                <w:sz w:val="22"/>
                <w:szCs w:val="22"/>
                <w:lang w:eastAsia="en-AU"/>
              </w:rPr>
              <w:t xml:space="preserve"> [SLI 2014 No. 78]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01068">
              <w:rPr>
                <w:color w:val="000000"/>
                <w:sz w:val="22"/>
                <w:szCs w:val="22"/>
                <w:lang w:eastAsia="en-AU"/>
              </w:rPr>
              <w:t xml:space="preserve"> </w:t>
            </w:r>
            <w:r w:rsidRPr="00BE034C">
              <w:rPr>
                <w:color w:val="000000"/>
                <w:sz w:val="22"/>
                <w:szCs w:val="22"/>
                <w:lang w:eastAsia="en-AU"/>
              </w:rPr>
              <w:t>F2014L00722</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Australian Securities and Investments Commission Act 2001</w:t>
            </w:r>
            <w:r w:rsidRPr="00B01068">
              <w:rPr>
                <w:b/>
                <w:i/>
                <w:color w:val="000000"/>
                <w:sz w:val="22"/>
                <w:szCs w:val="22"/>
                <w:lang w:eastAsia="en-AU"/>
              </w:rPr>
              <w:t xml:space="preserve">, </w:t>
            </w:r>
            <w:r w:rsidRPr="00BE034C">
              <w:rPr>
                <w:b/>
                <w:i/>
                <w:color w:val="000000"/>
                <w:sz w:val="22"/>
                <w:szCs w:val="22"/>
                <w:lang w:eastAsia="en-AU"/>
              </w:rPr>
              <w:t>Corporations Act 2001</w:t>
            </w:r>
            <w:r w:rsidRPr="00B01068">
              <w:rPr>
                <w:b/>
                <w:i/>
                <w:color w:val="000000"/>
                <w:sz w:val="22"/>
                <w:szCs w:val="22"/>
                <w:lang w:eastAsia="en-AU"/>
              </w:rPr>
              <w:t xml:space="preserve"> and </w:t>
            </w:r>
            <w:r w:rsidRPr="00BE034C">
              <w:rPr>
                <w:b/>
                <w:i/>
                <w:color w:val="000000"/>
                <w:sz w:val="22"/>
                <w:szCs w:val="22"/>
                <w:lang w:eastAsia="en-AU"/>
              </w:rPr>
              <w:t>Competition and Consumer Act 2010</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Corporations Laws Amendment (2014 Measures No. 2) Regulation 2014</w:t>
            </w:r>
            <w:r w:rsidRPr="00B01068">
              <w:rPr>
                <w:color w:val="000000"/>
                <w:sz w:val="22"/>
                <w:szCs w:val="22"/>
                <w:lang w:eastAsia="en-AU"/>
              </w:rPr>
              <w:t xml:space="preserve"> [</w:t>
            </w:r>
            <w:r w:rsidRPr="00BE034C">
              <w:rPr>
                <w:color w:val="000000"/>
                <w:sz w:val="22"/>
                <w:szCs w:val="22"/>
                <w:lang w:eastAsia="en-AU"/>
              </w:rPr>
              <w:t>SLI 2014 No. 88</w:t>
            </w:r>
            <w:r w:rsidRPr="00B01068">
              <w:rPr>
                <w:color w:val="000000"/>
                <w:sz w:val="22"/>
                <w:szCs w:val="22"/>
                <w:lang w:eastAsia="en-AU"/>
              </w:rPr>
              <w:t xml:space="preserve">] </w:t>
            </w:r>
            <w:r w:rsidRPr="00BE034C">
              <w:rPr>
                <w:color w:val="000000"/>
                <w:sz w:val="22"/>
                <w:szCs w:val="22"/>
                <w:lang w:eastAsia="en-AU"/>
              </w:rPr>
              <w:t>F2014L00711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Autonomous Sanctions Act 2011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Autonomous Sanctions Amendment (Ukraine) Regulation 2014</w:t>
            </w:r>
            <w:r w:rsidRPr="00B01068">
              <w:rPr>
                <w:color w:val="000000"/>
                <w:sz w:val="22"/>
                <w:szCs w:val="22"/>
                <w:lang w:eastAsia="en-AU"/>
              </w:rPr>
              <w:t xml:space="preserve"> [</w:t>
            </w:r>
            <w:r w:rsidRPr="00BE034C">
              <w:rPr>
                <w:color w:val="000000"/>
                <w:sz w:val="22"/>
                <w:szCs w:val="22"/>
                <w:lang w:eastAsia="en-AU"/>
              </w:rPr>
              <w:t>SLI 2014 No. 76</w:t>
            </w:r>
            <w:r w:rsidRPr="00B01068">
              <w:rPr>
                <w:color w:val="000000"/>
                <w:sz w:val="22"/>
                <w:szCs w:val="22"/>
                <w:lang w:eastAsia="en-AU"/>
              </w:rPr>
              <w:t xml:space="preserve">] </w:t>
            </w:r>
            <w:r w:rsidRPr="00BE034C">
              <w:rPr>
                <w:color w:val="000000"/>
                <w:sz w:val="22"/>
                <w:szCs w:val="22"/>
                <w:lang w:eastAsia="en-AU"/>
              </w:rPr>
              <w:t>F2014L00720</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lastRenderedPageBreak/>
              <w:t>Autonomous Sanctions Regulations 2011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Autonomous Sanctions (Designated and Declared Persons – Former Federal Republic of Yugoslavia) Amendment List 2014</w:t>
            </w:r>
            <w:r w:rsidRPr="00B01068">
              <w:rPr>
                <w:color w:val="000000"/>
                <w:sz w:val="22"/>
                <w:szCs w:val="22"/>
                <w:lang w:eastAsia="en-AU"/>
              </w:rPr>
              <w:t xml:space="preserve"> </w:t>
            </w:r>
            <w:r w:rsidRPr="00BE034C">
              <w:rPr>
                <w:color w:val="000000"/>
                <w:sz w:val="22"/>
                <w:szCs w:val="22"/>
                <w:lang w:eastAsia="en-AU"/>
              </w:rPr>
              <w:t>F2014L00694</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Carbon Credits (Carbon Farming Initiative) Act 2011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Carbon Credits (Carbon Farming Initiative) Amendment Regulation 2014 (No. 1)</w:t>
            </w:r>
            <w:r w:rsidRPr="00B01068">
              <w:rPr>
                <w:color w:val="000000"/>
                <w:sz w:val="22"/>
                <w:szCs w:val="22"/>
                <w:lang w:eastAsia="en-AU"/>
              </w:rPr>
              <w:t xml:space="preserve"> [</w:t>
            </w:r>
            <w:r w:rsidRPr="00BE034C">
              <w:rPr>
                <w:color w:val="000000"/>
                <w:sz w:val="22"/>
                <w:szCs w:val="22"/>
                <w:lang w:eastAsia="en-AU"/>
              </w:rPr>
              <w:t>SLI 2014 No. 72</w:t>
            </w:r>
            <w:r w:rsidRPr="00B01068">
              <w:rPr>
                <w:color w:val="000000"/>
                <w:sz w:val="22"/>
                <w:szCs w:val="22"/>
                <w:lang w:eastAsia="en-AU"/>
              </w:rPr>
              <w:t xml:space="preserve">] </w:t>
            </w:r>
            <w:r w:rsidRPr="00BE034C">
              <w:rPr>
                <w:color w:val="000000"/>
                <w:sz w:val="22"/>
                <w:szCs w:val="22"/>
                <w:lang w:eastAsia="en-AU"/>
              </w:rPr>
              <w:t>F2014L00710</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Civil Aviation Order 82.6 (Night vision goggles - helicopters) 2007</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CASA EX37/14 - Exemption — initial NVG pilot flight training prerequisites</w:t>
            </w:r>
            <w:r w:rsidRPr="00B01068">
              <w:rPr>
                <w:color w:val="000000"/>
                <w:sz w:val="22"/>
                <w:szCs w:val="22"/>
                <w:lang w:eastAsia="en-AU"/>
              </w:rPr>
              <w:t xml:space="preserve"> </w:t>
            </w:r>
            <w:r w:rsidRPr="00BE034C">
              <w:rPr>
                <w:color w:val="000000"/>
                <w:sz w:val="22"/>
                <w:szCs w:val="22"/>
                <w:lang w:eastAsia="en-AU"/>
              </w:rPr>
              <w:t>F2014L00737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Civil Aviation Regulations 1988</w:t>
            </w:r>
            <w:r w:rsidRPr="00B01068">
              <w:rPr>
                <w:b/>
                <w:i/>
                <w:color w:val="000000"/>
                <w:sz w:val="22"/>
                <w:szCs w:val="22"/>
                <w:lang w:eastAsia="en-AU"/>
              </w:rPr>
              <w:t xml:space="preserve"> and </w:t>
            </w:r>
            <w:r w:rsidRPr="00BE034C">
              <w:rPr>
                <w:b/>
                <w:i/>
                <w:color w:val="000000"/>
                <w:sz w:val="22"/>
                <w:szCs w:val="22"/>
                <w:lang w:eastAsia="en-AU"/>
              </w:rPr>
              <w:t>Civil Aviation Safety Regulations 1998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Civil Aviation Order 95.10 Instrument 2014</w:t>
            </w:r>
            <w:r w:rsidRPr="00B01068">
              <w:rPr>
                <w:color w:val="000000"/>
                <w:sz w:val="22"/>
                <w:szCs w:val="22"/>
                <w:lang w:eastAsia="en-AU"/>
              </w:rPr>
              <w:t xml:space="preserve"> </w:t>
            </w:r>
            <w:r w:rsidRPr="00BE034C">
              <w:rPr>
                <w:color w:val="000000"/>
                <w:sz w:val="22"/>
                <w:szCs w:val="22"/>
                <w:lang w:eastAsia="en-AU"/>
              </w:rPr>
              <w:t>F2014L00732</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Civil Aviation Safety Regulations 1998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 xml:space="preserve">AD/BELL 206/99 </w:t>
            </w:r>
            <w:proofErr w:type="spellStart"/>
            <w:r w:rsidRPr="00BE034C">
              <w:rPr>
                <w:color w:val="000000"/>
                <w:sz w:val="22"/>
                <w:szCs w:val="22"/>
                <w:lang w:eastAsia="en-AU"/>
              </w:rPr>
              <w:t>Amdt</w:t>
            </w:r>
            <w:proofErr w:type="spellEnd"/>
            <w:r w:rsidRPr="00BE034C">
              <w:rPr>
                <w:color w:val="000000"/>
                <w:sz w:val="22"/>
                <w:szCs w:val="22"/>
                <w:lang w:eastAsia="en-AU"/>
              </w:rPr>
              <w:t xml:space="preserve"> 3 - Cyclic Control Stick Assembly</w:t>
            </w:r>
            <w:r w:rsidRPr="00B01068">
              <w:rPr>
                <w:color w:val="000000"/>
                <w:sz w:val="22"/>
                <w:szCs w:val="22"/>
                <w:lang w:eastAsia="en-AU"/>
              </w:rPr>
              <w:t xml:space="preserve"> </w:t>
            </w:r>
            <w:r w:rsidRPr="00BE034C">
              <w:rPr>
                <w:color w:val="000000"/>
                <w:sz w:val="22"/>
                <w:szCs w:val="22"/>
                <w:lang w:eastAsia="en-AU"/>
              </w:rPr>
              <w:t>F2014L00699</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CASA ADCX 012/14 — Repeal of Airworthiness Directive</w:t>
            </w:r>
            <w:r w:rsidRPr="00B01068">
              <w:rPr>
                <w:color w:val="000000"/>
                <w:sz w:val="22"/>
                <w:szCs w:val="22"/>
                <w:lang w:eastAsia="en-AU"/>
              </w:rPr>
              <w:t xml:space="preserve"> </w:t>
            </w:r>
            <w:r w:rsidRPr="00BE034C">
              <w:rPr>
                <w:color w:val="000000"/>
                <w:sz w:val="22"/>
                <w:szCs w:val="22"/>
                <w:lang w:eastAsia="en-AU"/>
              </w:rPr>
              <w:t>F2014L00731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Crimes (Currency) Act 1981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Disposal of Forfeited Articles Direction 2014</w:t>
            </w:r>
            <w:r w:rsidRPr="00B01068">
              <w:rPr>
                <w:color w:val="000000"/>
                <w:sz w:val="22"/>
                <w:szCs w:val="22"/>
                <w:lang w:eastAsia="en-AU"/>
              </w:rPr>
              <w:t xml:space="preserve"> </w:t>
            </w:r>
            <w:r w:rsidRPr="00BE034C">
              <w:rPr>
                <w:color w:val="000000"/>
                <w:sz w:val="22"/>
                <w:szCs w:val="22"/>
                <w:lang w:eastAsia="en-AU"/>
              </w:rPr>
              <w:t>F2014L00700</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Crimes (Overseas) Act 1964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Crimes (Overseas) (Declared Foreign Countries) Amendment Regulation 2014</w:t>
            </w:r>
            <w:r w:rsidRPr="00B01068">
              <w:rPr>
                <w:color w:val="000000"/>
                <w:sz w:val="22"/>
                <w:szCs w:val="22"/>
                <w:lang w:eastAsia="en-AU"/>
              </w:rPr>
              <w:t xml:space="preserve"> [</w:t>
            </w:r>
            <w:r w:rsidRPr="00BE034C">
              <w:rPr>
                <w:color w:val="000000"/>
                <w:sz w:val="22"/>
                <w:szCs w:val="22"/>
                <w:lang w:eastAsia="en-AU"/>
              </w:rPr>
              <w:t>SLI 2014 No. 87</w:t>
            </w:r>
            <w:r w:rsidRPr="00B01068">
              <w:rPr>
                <w:color w:val="000000"/>
                <w:sz w:val="22"/>
                <w:szCs w:val="22"/>
                <w:lang w:eastAsia="en-AU"/>
              </w:rPr>
              <w:t xml:space="preserve">] </w:t>
            </w:r>
            <w:r w:rsidRPr="00BE034C">
              <w:rPr>
                <w:color w:val="000000"/>
                <w:sz w:val="22"/>
                <w:szCs w:val="22"/>
                <w:lang w:eastAsia="en-AU"/>
              </w:rPr>
              <w:t>F2014L00718</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Crimes Act 1914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Crimes Amendment (Disclosure of Information) Regulation 2014</w:t>
            </w:r>
            <w:r w:rsidRPr="00B01068">
              <w:rPr>
                <w:color w:val="000000"/>
                <w:sz w:val="22"/>
                <w:szCs w:val="22"/>
                <w:lang w:eastAsia="en-AU"/>
              </w:rPr>
              <w:t xml:space="preserve"> [</w:t>
            </w:r>
            <w:r w:rsidRPr="00BE034C">
              <w:rPr>
                <w:color w:val="000000"/>
                <w:sz w:val="22"/>
                <w:szCs w:val="22"/>
                <w:lang w:eastAsia="en-AU"/>
              </w:rPr>
              <w:t>SLI 2014 No. 86</w:t>
            </w:r>
            <w:r w:rsidRPr="00B01068">
              <w:rPr>
                <w:color w:val="000000"/>
                <w:sz w:val="22"/>
                <w:szCs w:val="22"/>
                <w:lang w:eastAsia="en-AU"/>
              </w:rPr>
              <w:t xml:space="preserve">] </w:t>
            </w:r>
            <w:r w:rsidRPr="00BE034C">
              <w:rPr>
                <w:color w:val="000000"/>
                <w:sz w:val="22"/>
                <w:szCs w:val="22"/>
                <w:lang w:eastAsia="en-AU"/>
              </w:rPr>
              <w:t>F2014L00716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Customs Administration Act 1985</w:t>
            </w:r>
            <w:r w:rsidRPr="00B01068">
              <w:rPr>
                <w:b/>
                <w:i/>
                <w:color w:val="000000"/>
                <w:sz w:val="22"/>
                <w:szCs w:val="22"/>
                <w:lang w:eastAsia="en-AU"/>
              </w:rPr>
              <w:t xml:space="preserve">, </w:t>
            </w:r>
            <w:r w:rsidRPr="00BE034C">
              <w:rPr>
                <w:b/>
                <w:i/>
                <w:color w:val="000000"/>
                <w:sz w:val="22"/>
                <w:szCs w:val="22"/>
                <w:lang w:eastAsia="en-AU"/>
              </w:rPr>
              <w:t>Wine Australia Corporation Act 1980</w:t>
            </w:r>
            <w:r w:rsidRPr="00B01068">
              <w:rPr>
                <w:b/>
                <w:i/>
                <w:color w:val="000000"/>
                <w:sz w:val="22"/>
                <w:szCs w:val="22"/>
                <w:lang w:eastAsia="en-AU"/>
              </w:rPr>
              <w:t xml:space="preserve"> and </w:t>
            </w:r>
            <w:r w:rsidRPr="00BE034C">
              <w:rPr>
                <w:b/>
                <w:i/>
                <w:color w:val="000000"/>
                <w:sz w:val="22"/>
                <w:szCs w:val="22"/>
                <w:lang w:eastAsia="en-AU"/>
              </w:rPr>
              <w:t>Privacy Act 1988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Wine Australia Corporation Legislation Amendment (Wine Labelling) Regulation 2014</w:t>
            </w:r>
            <w:r w:rsidRPr="00B01068">
              <w:rPr>
                <w:color w:val="000000"/>
                <w:sz w:val="22"/>
                <w:szCs w:val="22"/>
                <w:lang w:eastAsia="en-AU"/>
              </w:rPr>
              <w:t xml:space="preserve"> [</w:t>
            </w:r>
            <w:r w:rsidRPr="00BE034C">
              <w:rPr>
                <w:color w:val="000000"/>
                <w:sz w:val="22"/>
                <w:szCs w:val="22"/>
                <w:lang w:eastAsia="en-AU"/>
              </w:rPr>
              <w:t>SLI 2014 No. 70</w:t>
            </w:r>
            <w:r w:rsidRPr="00B01068">
              <w:rPr>
                <w:color w:val="000000"/>
                <w:sz w:val="22"/>
                <w:szCs w:val="22"/>
                <w:lang w:eastAsia="en-AU"/>
              </w:rPr>
              <w:t xml:space="preserve">] </w:t>
            </w:r>
            <w:r w:rsidRPr="00BE034C">
              <w:rPr>
                <w:color w:val="000000"/>
                <w:sz w:val="22"/>
                <w:szCs w:val="22"/>
                <w:lang w:eastAsia="en-AU"/>
              </w:rPr>
              <w:t>F2014L00707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Defence Act 1908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Defence Determination 2014/26, Post indexes - amendment</w:t>
            </w:r>
            <w:r w:rsidRPr="00B01068">
              <w:rPr>
                <w:color w:val="000000"/>
                <w:sz w:val="22"/>
                <w:szCs w:val="22"/>
                <w:lang w:eastAsia="en-AU"/>
              </w:rPr>
              <w:t xml:space="preserve"> </w:t>
            </w:r>
            <w:r w:rsidRPr="00BE034C">
              <w:rPr>
                <w:color w:val="000000"/>
                <w:sz w:val="22"/>
                <w:szCs w:val="22"/>
                <w:lang w:eastAsia="en-AU"/>
              </w:rPr>
              <w:t>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Defence Determination 2014/27, Payment of transfer of recreation leave credit</w:t>
            </w:r>
            <w:r w:rsidRPr="00B01068">
              <w:rPr>
                <w:color w:val="000000"/>
                <w:sz w:val="22"/>
                <w:szCs w:val="22"/>
                <w:lang w:eastAsia="en-AU"/>
              </w:rPr>
              <w:t xml:space="preserve"> </w:t>
            </w:r>
            <w:r w:rsidRPr="00BE034C">
              <w:rPr>
                <w:color w:val="000000"/>
                <w:sz w:val="22"/>
                <w:szCs w:val="22"/>
                <w:lang w:eastAsia="en-AU"/>
              </w:rPr>
              <w:t>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Defence Determination 2014/28, Post indexes and summer schools - amendment</w:t>
            </w:r>
            <w:r w:rsidRPr="00B01068">
              <w:rPr>
                <w:color w:val="000000"/>
                <w:sz w:val="22"/>
                <w:szCs w:val="22"/>
                <w:lang w:eastAsia="en-AU"/>
              </w:rPr>
              <w:t xml:space="preserve"> </w:t>
            </w:r>
            <w:r w:rsidRPr="00BE034C">
              <w:rPr>
                <w:color w:val="000000"/>
                <w:sz w:val="22"/>
                <w:szCs w:val="22"/>
                <w:lang w:eastAsia="en-AU"/>
              </w:rPr>
              <w:t>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Defence Determination 2014/29, Salary non-reduction - amendment</w:t>
            </w:r>
            <w:r w:rsidRPr="00B01068">
              <w:rPr>
                <w:color w:val="000000"/>
                <w:sz w:val="22"/>
                <w:szCs w:val="22"/>
                <w:lang w:eastAsia="en-AU"/>
              </w:rPr>
              <w:t xml:space="preserve"> </w:t>
            </w:r>
            <w:r w:rsidRPr="00BE034C">
              <w:rPr>
                <w:color w:val="000000"/>
                <w:sz w:val="22"/>
                <w:szCs w:val="22"/>
                <w:lang w:eastAsia="en-AU"/>
              </w:rPr>
              <w:t>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Defence Determination 2014/30, Recreation leave - amendment</w:t>
            </w:r>
            <w:r w:rsidRPr="00B01068">
              <w:rPr>
                <w:color w:val="000000"/>
                <w:sz w:val="22"/>
                <w:szCs w:val="22"/>
                <w:lang w:eastAsia="en-AU"/>
              </w:rPr>
              <w:t xml:space="preserve"> </w:t>
            </w:r>
            <w:r w:rsidRPr="00BE034C">
              <w:rPr>
                <w:color w:val="000000"/>
                <w:sz w:val="22"/>
                <w:szCs w:val="22"/>
                <w:lang w:eastAsia="en-AU"/>
              </w:rPr>
              <w:t> </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Education Services for Overseas Students Amendment Act 2014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Education for Overseas Students Amendment Commencement Proclamation 2014</w:t>
            </w:r>
            <w:r w:rsidRPr="00B01068">
              <w:rPr>
                <w:color w:val="000000"/>
                <w:sz w:val="22"/>
                <w:szCs w:val="22"/>
                <w:lang w:eastAsia="en-AU"/>
              </w:rPr>
              <w:t xml:space="preserve"> </w:t>
            </w:r>
            <w:r w:rsidRPr="00BE034C">
              <w:rPr>
                <w:color w:val="000000"/>
                <w:sz w:val="22"/>
                <w:szCs w:val="22"/>
                <w:lang w:eastAsia="en-AU"/>
              </w:rPr>
              <w:t>F2014L00709</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Energy Efficiency Opportunities Act 2006</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Energy Efficiency Opportunities Repeal Regulation 2014</w:t>
            </w:r>
            <w:r w:rsidRPr="00B01068">
              <w:rPr>
                <w:color w:val="000000"/>
                <w:sz w:val="22"/>
                <w:szCs w:val="22"/>
                <w:lang w:eastAsia="en-AU"/>
              </w:rPr>
              <w:t xml:space="preserve"> [</w:t>
            </w:r>
            <w:r w:rsidRPr="00BE034C">
              <w:rPr>
                <w:color w:val="000000"/>
                <w:sz w:val="22"/>
                <w:szCs w:val="22"/>
                <w:lang w:eastAsia="en-AU"/>
              </w:rPr>
              <w:t>SLI 2014 No. 83</w:t>
            </w:r>
            <w:r w:rsidRPr="00B01068">
              <w:rPr>
                <w:color w:val="000000"/>
                <w:sz w:val="22"/>
                <w:szCs w:val="22"/>
                <w:lang w:eastAsia="en-AU"/>
              </w:rPr>
              <w:t xml:space="preserve">] </w:t>
            </w:r>
            <w:r w:rsidRPr="00BE034C">
              <w:rPr>
                <w:color w:val="000000"/>
                <w:sz w:val="22"/>
                <w:szCs w:val="22"/>
                <w:lang w:eastAsia="en-AU"/>
              </w:rPr>
              <w:t>F2014L00703</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Excise Act 1901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Excise (Blending exemptions) Determination 2014 (No. 1)</w:t>
            </w:r>
            <w:r w:rsidRPr="00B01068">
              <w:rPr>
                <w:color w:val="000000"/>
                <w:sz w:val="22"/>
                <w:szCs w:val="22"/>
                <w:lang w:eastAsia="en-AU"/>
              </w:rPr>
              <w:t xml:space="preserve"> </w:t>
            </w:r>
            <w:r w:rsidRPr="00BE034C">
              <w:rPr>
                <w:color w:val="000000"/>
                <w:sz w:val="22"/>
                <w:szCs w:val="22"/>
                <w:lang w:eastAsia="en-AU"/>
              </w:rPr>
              <w:t>F2014L00704</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Fair Work Act 2009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Fair Work (State Declarations - employer not to be national system employer) Endorsement 2014 (No. 1)</w:t>
            </w:r>
            <w:r w:rsidRPr="00B01068">
              <w:rPr>
                <w:color w:val="000000"/>
                <w:sz w:val="22"/>
                <w:szCs w:val="22"/>
                <w:lang w:eastAsia="en-AU"/>
              </w:rPr>
              <w:t xml:space="preserve"> </w:t>
            </w:r>
            <w:r w:rsidRPr="00BE034C">
              <w:rPr>
                <w:color w:val="000000"/>
                <w:sz w:val="22"/>
                <w:szCs w:val="22"/>
                <w:lang w:eastAsia="en-AU"/>
              </w:rPr>
              <w:t>F2014L00684</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bl>
    <w:p w:rsidR="00A75429" w:rsidRPr="00B01068" w:rsidRDefault="00A75429" w:rsidP="00A75429">
      <w:pPr>
        <w:spacing w:after="0"/>
        <w:rPr>
          <w:sz w:val="2"/>
          <w:szCs w:val="2"/>
        </w:rPr>
      </w:pPr>
      <w:r>
        <w:br w:type="page"/>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lastRenderedPageBreak/>
              <w:t>Family Law (Superannuation) Regulations 2001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Family Law (Superannuation) (Interest Rate for Adjustment Period) Determination 2014</w:t>
            </w:r>
            <w:r w:rsidRPr="00B01068">
              <w:rPr>
                <w:color w:val="000000"/>
                <w:sz w:val="22"/>
                <w:szCs w:val="22"/>
                <w:lang w:eastAsia="en-AU"/>
              </w:rPr>
              <w:t xml:space="preserve"> </w:t>
            </w:r>
            <w:r w:rsidRPr="00BE034C">
              <w:rPr>
                <w:color w:val="000000"/>
                <w:sz w:val="22"/>
                <w:szCs w:val="22"/>
                <w:lang w:eastAsia="en-AU"/>
              </w:rPr>
              <w:t>F2014L00708</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Food Standards Australia New Zealand Act 1991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Australia New Zealand Food Standards Code — Standard 1.4.2 — Maximum Residue Limits Amendment Instrument No. APVMA 6, 2014</w:t>
            </w:r>
            <w:r w:rsidRPr="00B01068">
              <w:rPr>
                <w:color w:val="000000"/>
                <w:sz w:val="22"/>
                <w:szCs w:val="22"/>
                <w:lang w:eastAsia="en-AU"/>
              </w:rPr>
              <w:t xml:space="preserve"> </w:t>
            </w:r>
            <w:r w:rsidRPr="00BE034C">
              <w:rPr>
                <w:color w:val="000000"/>
                <w:sz w:val="22"/>
                <w:szCs w:val="22"/>
                <w:lang w:eastAsia="en-AU"/>
              </w:rPr>
              <w:t>F2014L00702</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Hazardous Waste (Regulation of Exports and Imports) Act 1989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Hazardous Waste (Regulation of Exports and Imports) Amendment (</w:t>
            </w:r>
            <w:proofErr w:type="spellStart"/>
            <w:r w:rsidRPr="00BE034C">
              <w:rPr>
                <w:color w:val="000000"/>
                <w:sz w:val="22"/>
                <w:szCs w:val="22"/>
                <w:lang w:eastAsia="en-AU"/>
              </w:rPr>
              <w:t>Hexachlorobenzene</w:t>
            </w:r>
            <w:proofErr w:type="spellEnd"/>
            <w:r w:rsidRPr="00BE034C">
              <w:rPr>
                <w:color w:val="000000"/>
                <w:sz w:val="22"/>
                <w:szCs w:val="22"/>
                <w:lang w:eastAsia="en-AU"/>
              </w:rPr>
              <w:t>) Regulation 2014</w:t>
            </w:r>
            <w:r w:rsidRPr="00B01068">
              <w:rPr>
                <w:color w:val="000000"/>
                <w:sz w:val="22"/>
                <w:szCs w:val="22"/>
                <w:lang w:eastAsia="en-AU"/>
              </w:rPr>
              <w:t xml:space="preserve"> [</w:t>
            </w:r>
            <w:r w:rsidRPr="00BE034C">
              <w:rPr>
                <w:color w:val="000000"/>
                <w:sz w:val="22"/>
                <w:szCs w:val="22"/>
                <w:lang w:eastAsia="en-AU"/>
              </w:rPr>
              <w:t>SLI 2014 No. 74</w:t>
            </w:r>
            <w:r w:rsidRPr="00B01068">
              <w:rPr>
                <w:color w:val="000000"/>
                <w:sz w:val="22"/>
                <w:szCs w:val="22"/>
                <w:lang w:eastAsia="en-AU"/>
              </w:rPr>
              <w:t xml:space="preserve">] </w:t>
            </w:r>
            <w:r w:rsidRPr="00BE034C">
              <w:rPr>
                <w:color w:val="000000"/>
                <w:sz w:val="22"/>
                <w:szCs w:val="22"/>
                <w:lang w:eastAsia="en-AU"/>
              </w:rPr>
              <w:t>F2014L00723</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Health Insurance Act 1973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Health Insurance (General Medical Services Table) Regulation 2014</w:t>
            </w:r>
            <w:r w:rsidRPr="00B01068">
              <w:rPr>
                <w:color w:val="000000"/>
                <w:sz w:val="22"/>
                <w:szCs w:val="22"/>
                <w:lang w:eastAsia="en-AU"/>
              </w:rPr>
              <w:t xml:space="preserve"> [</w:t>
            </w:r>
            <w:r w:rsidRPr="00BE034C">
              <w:rPr>
                <w:color w:val="000000"/>
                <w:sz w:val="22"/>
                <w:szCs w:val="22"/>
                <w:lang w:eastAsia="en-AU"/>
              </w:rPr>
              <w:t>SLI 2014 No. 80</w:t>
            </w:r>
            <w:r w:rsidRPr="00B01068">
              <w:rPr>
                <w:color w:val="000000"/>
                <w:sz w:val="22"/>
                <w:szCs w:val="22"/>
                <w:lang w:eastAsia="en-AU"/>
              </w:rPr>
              <w:t xml:space="preserve">] </w:t>
            </w:r>
            <w:r w:rsidRPr="00BE034C">
              <w:rPr>
                <w:color w:val="000000"/>
                <w:sz w:val="22"/>
                <w:szCs w:val="22"/>
                <w:lang w:eastAsia="en-AU"/>
              </w:rPr>
              <w:t>F2014L00713</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Health Insurance (Diagnostic Imaging Services Table) Amendment (2014 Measures No. 1) Regulation 2014</w:t>
            </w:r>
            <w:r w:rsidRPr="00B01068">
              <w:rPr>
                <w:color w:val="000000"/>
                <w:sz w:val="22"/>
                <w:szCs w:val="22"/>
                <w:lang w:eastAsia="en-AU"/>
              </w:rPr>
              <w:t xml:space="preserve"> [</w:t>
            </w:r>
            <w:r w:rsidRPr="00BE034C">
              <w:rPr>
                <w:color w:val="000000"/>
                <w:sz w:val="22"/>
                <w:szCs w:val="22"/>
                <w:lang w:eastAsia="en-AU"/>
              </w:rPr>
              <w:t>SLI 2014 No. 79</w:t>
            </w:r>
            <w:r w:rsidRPr="00B01068">
              <w:rPr>
                <w:color w:val="000000"/>
                <w:sz w:val="22"/>
                <w:szCs w:val="22"/>
                <w:lang w:eastAsia="en-AU"/>
              </w:rPr>
              <w:t xml:space="preserve">] </w:t>
            </w:r>
            <w:r w:rsidRPr="00BE034C">
              <w:rPr>
                <w:color w:val="000000"/>
                <w:sz w:val="22"/>
                <w:szCs w:val="22"/>
                <w:lang w:eastAsia="en-AU"/>
              </w:rPr>
              <w:t>F2014L00721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Human Services (Medicare) Act 1973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Human Services (Medicare) Amendment (Aged Care) Regulation 2014</w:t>
            </w:r>
            <w:r w:rsidRPr="00B01068">
              <w:rPr>
                <w:color w:val="000000"/>
                <w:sz w:val="22"/>
                <w:szCs w:val="22"/>
                <w:lang w:eastAsia="en-AU"/>
              </w:rPr>
              <w:t xml:space="preserve"> [</w:t>
            </w:r>
            <w:r w:rsidRPr="00BE034C">
              <w:rPr>
                <w:color w:val="000000"/>
                <w:sz w:val="22"/>
                <w:szCs w:val="22"/>
                <w:lang w:eastAsia="en-AU"/>
              </w:rPr>
              <w:t>SLI 2014 No. 81</w:t>
            </w:r>
            <w:r w:rsidRPr="00B01068">
              <w:rPr>
                <w:color w:val="000000"/>
                <w:sz w:val="22"/>
                <w:szCs w:val="22"/>
                <w:lang w:eastAsia="en-AU"/>
              </w:rPr>
              <w:t xml:space="preserve">] </w:t>
            </w:r>
            <w:r w:rsidRPr="00BE034C">
              <w:rPr>
                <w:color w:val="000000"/>
                <w:sz w:val="22"/>
                <w:szCs w:val="22"/>
                <w:lang w:eastAsia="en-AU"/>
              </w:rPr>
              <w:t>F2014L00725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Income Tax Assessment Act 1997</w:t>
            </w:r>
            <w:r w:rsidRPr="00B01068">
              <w:rPr>
                <w:b/>
                <w:i/>
                <w:color w:val="000000"/>
                <w:sz w:val="22"/>
                <w:szCs w:val="22"/>
                <w:lang w:eastAsia="en-AU"/>
              </w:rPr>
              <w:t xml:space="preserve"> and </w:t>
            </w:r>
            <w:r w:rsidRPr="00BE034C">
              <w:rPr>
                <w:b/>
                <w:i/>
                <w:color w:val="000000"/>
                <w:sz w:val="22"/>
                <w:szCs w:val="22"/>
                <w:lang w:eastAsia="en-AU"/>
              </w:rPr>
              <w:t xml:space="preserve">Income Tax Assessment Act 1936 </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Tax Laws Amendment (2014 Measures No. 1) Regulation 2014</w:t>
            </w:r>
            <w:r w:rsidRPr="00B01068">
              <w:rPr>
                <w:color w:val="000000"/>
                <w:sz w:val="22"/>
                <w:szCs w:val="22"/>
                <w:lang w:eastAsia="en-AU"/>
              </w:rPr>
              <w:t xml:space="preserve"> [</w:t>
            </w:r>
            <w:r w:rsidRPr="00BE034C">
              <w:rPr>
                <w:color w:val="000000"/>
                <w:sz w:val="22"/>
                <w:szCs w:val="22"/>
                <w:lang w:eastAsia="en-AU"/>
              </w:rPr>
              <w:t>SLI 2014 No. 90</w:t>
            </w:r>
            <w:r w:rsidRPr="00B01068">
              <w:rPr>
                <w:color w:val="000000"/>
                <w:sz w:val="22"/>
                <w:szCs w:val="22"/>
                <w:lang w:eastAsia="en-AU"/>
              </w:rPr>
              <w:t xml:space="preserve">] </w:t>
            </w:r>
            <w:r w:rsidRPr="00BE034C">
              <w:rPr>
                <w:color w:val="000000"/>
                <w:sz w:val="22"/>
                <w:szCs w:val="22"/>
                <w:lang w:eastAsia="en-AU"/>
              </w:rPr>
              <w:t>F2014L00712</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Interstate Road Transport Act 1985</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Interstate Road Transport Amendment (Heavy Vehicle National Law) Regulation 2014</w:t>
            </w:r>
            <w:r w:rsidRPr="00B01068">
              <w:rPr>
                <w:color w:val="000000"/>
                <w:sz w:val="22"/>
                <w:szCs w:val="22"/>
                <w:lang w:eastAsia="en-AU"/>
              </w:rPr>
              <w:t xml:space="preserve"> [</w:t>
            </w:r>
            <w:r w:rsidRPr="00BE034C">
              <w:rPr>
                <w:color w:val="000000"/>
                <w:sz w:val="22"/>
                <w:szCs w:val="22"/>
                <w:lang w:eastAsia="en-AU"/>
              </w:rPr>
              <w:t>SLI 2014 No. 84</w:t>
            </w:r>
            <w:r w:rsidRPr="00B01068">
              <w:rPr>
                <w:color w:val="000000"/>
                <w:sz w:val="22"/>
                <w:szCs w:val="22"/>
                <w:lang w:eastAsia="en-AU"/>
              </w:rPr>
              <w:t xml:space="preserve">] </w:t>
            </w:r>
            <w:r w:rsidRPr="00BE034C">
              <w:rPr>
                <w:color w:val="000000"/>
                <w:sz w:val="22"/>
                <w:szCs w:val="22"/>
                <w:lang w:eastAsia="en-AU"/>
              </w:rPr>
              <w:t>F2014L00719</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Marriage Act 1961</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Marriage Amendment (Celebrant Fees and Charges) Regulation 2014</w:t>
            </w:r>
            <w:r w:rsidRPr="00B01068">
              <w:rPr>
                <w:color w:val="000000"/>
                <w:sz w:val="22"/>
                <w:szCs w:val="22"/>
                <w:lang w:eastAsia="en-AU"/>
              </w:rPr>
              <w:t xml:space="preserve"> [</w:t>
            </w:r>
            <w:r w:rsidRPr="00BE034C">
              <w:rPr>
                <w:color w:val="000000"/>
                <w:sz w:val="22"/>
                <w:szCs w:val="22"/>
                <w:lang w:eastAsia="en-AU"/>
              </w:rPr>
              <w:t>SLI 2014 No. 71</w:t>
            </w:r>
            <w:r w:rsidRPr="00B01068">
              <w:rPr>
                <w:color w:val="000000"/>
                <w:sz w:val="22"/>
                <w:szCs w:val="22"/>
                <w:lang w:eastAsia="en-AU"/>
              </w:rPr>
              <w:t xml:space="preserve">] </w:t>
            </w:r>
            <w:r w:rsidRPr="00BE034C">
              <w:rPr>
                <w:color w:val="000000"/>
                <w:sz w:val="22"/>
                <w:szCs w:val="22"/>
                <w:lang w:eastAsia="en-AU"/>
              </w:rPr>
              <w:t>F2014L00715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Marriage Amendment (Celebrant Administration and Fees) Act 2014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Marriage Amendment (Celebrant Administration and Fees) Commencement Proclamation 2014</w:t>
            </w:r>
            <w:r w:rsidRPr="00B01068">
              <w:rPr>
                <w:color w:val="000000"/>
                <w:sz w:val="22"/>
                <w:szCs w:val="22"/>
                <w:lang w:eastAsia="en-AU"/>
              </w:rPr>
              <w:t xml:space="preserve"> </w:t>
            </w:r>
            <w:r w:rsidRPr="00BE034C">
              <w:rPr>
                <w:color w:val="000000"/>
                <w:sz w:val="22"/>
                <w:szCs w:val="22"/>
                <w:lang w:eastAsia="en-AU"/>
              </w:rPr>
              <w:t>F2014L00717</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Migration Regulations 1994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Migration Regulations 1994 - Specification of Eligible Education Providers and Educational Business Partners - IMMI 14/047</w:t>
            </w:r>
            <w:r w:rsidRPr="00B01068">
              <w:rPr>
                <w:color w:val="000000"/>
                <w:sz w:val="22"/>
                <w:szCs w:val="22"/>
                <w:lang w:eastAsia="en-AU"/>
              </w:rPr>
              <w:t xml:space="preserve"> </w:t>
            </w:r>
            <w:r w:rsidRPr="00BE034C">
              <w:rPr>
                <w:color w:val="000000"/>
                <w:sz w:val="22"/>
                <w:szCs w:val="22"/>
                <w:lang w:eastAsia="en-AU"/>
              </w:rPr>
              <w:t>F2014L00706</w:t>
            </w:r>
          </w:p>
        </w:tc>
        <w:tc>
          <w:tcPr>
            <w:tcW w:w="912" w:type="dxa"/>
            <w:vAlign w:val="center"/>
          </w:tcPr>
          <w:p w:rsidR="00A75429" w:rsidRPr="00B01068" w:rsidRDefault="00A75429" w:rsidP="00F73309">
            <w:pPr>
              <w:spacing w:before="40" w:after="40"/>
              <w:jc w:val="center"/>
              <w:rPr>
                <w:color w:val="000000"/>
                <w:sz w:val="22"/>
                <w:szCs w:val="22"/>
                <w:lang w:eastAsia="en-AU"/>
              </w:rPr>
            </w:pPr>
            <w:r w:rsidRPr="00B01068">
              <w:rPr>
                <w:color w:val="000000"/>
                <w:sz w:val="22"/>
                <w:szCs w:val="22"/>
                <w:lang w:eastAsia="en-AU"/>
              </w:rPr>
              <w:t>E</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National Consumer Credit Protection Act 2009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National Consumer Credit Protection Amendment (Small Amount Credit Contracts) Regulation 2014</w:t>
            </w:r>
            <w:r w:rsidRPr="00B01068">
              <w:rPr>
                <w:color w:val="000000"/>
                <w:sz w:val="22"/>
                <w:szCs w:val="22"/>
                <w:lang w:eastAsia="en-AU"/>
              </w:rPr>
              <w:t xml:space="preserve"> [</w:t>
            </w:r>
            <w:r w:rsidRPr="00BE034C">
              <w:rPr>
                <w:color w:val="000000"/>
                <w:sz w:val="22"/>
                <w:szCs w:val="22"/>
                <w:lang w:eastAsia="en-AU"/>
              </w:rPr>
              <w:t>SLI 2014 No. 89</w:t>
            </w:r>
            <w:r w:rsidRPr="00B01068">
              <w:rPr>
                <w:color w:val="000000"/>
                <w:sz w:val="22"/>
                <w:szCs w:val="22"/>
                <w:lang w:eastAsia="en-AU"/>
              </w:rPr>
              <w:t xml:space="preserve">] </w:t>
            </w:r>
            <w:r w:rsidRPr="00BE034C">
              <w:rPr>
                <w:color w:val="000000"/>
                <w:sz w:val="22"/>
                <w:szCs w:val="22"/>
                <w:lang w:eastAsia="en-AU"/>
              </w:rPr>
              <w:t>F2014L00701</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Private Health Insurance Act 2007</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Private Health Insurance (Prostheses) Amendment Rules 2014 (No.2)</w:t>
            </w:r>
            <w:r w:rsidRPr="00B01068">
              <w:rPr>
                <w:color w:val="000000"/>
                <w:sz w:val="22"/>
                <w:szCs w:val="22"/>
                <w:lang w:eastAsia="en-AU"/>
              </w:rPr>
              <w:t xml:space="preserve"> </w:t>
            </w:r>
            <w:r w:rsidRPr="00BE034C">
              <w:rPr>
                <w:color w:val="000000"/>
                <w:sz w:val="22"/>
                <w:szCs w:val="22"/>
                <w:lang w:eastAsia="en-AU"/>
              </w:rPr>
              <w:t>F2014L00733</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Quarantine Act 1908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Quarantine Service Fees Amendment (Import Clearance Fees) Determination 2014</w:t>
            </w:r>
            <w:r w:rsidRPr="00B01068">
              <w:rPr>
                <w:color w:val="000000"/>
                <w:sz w:val="22"/>
                <w:szCs w:val="22"/>
                <w:lang w:eastAsia="en-AU"/>
              </w:rPr>
              <w:t xml:space="preserve"> </w:t>
            </w:r>
            <w:r w:rsidRPr="00BE034C">
              <w:rPr>
                <w:color w:val="000000"/>
                <w:sz w:val="22"/>
                <w:szCs w:val="22"/>
                <w:lang w:eastAsia="en-AU"/>
              </w:rPr>
              <w:t>F2014L00736</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Quarantine Charges (Collection) Act 2014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Quarantine Charges (Collection) Regulation 2014</w:t>
            </w:r>
            <w:r w:rsidRPr="00B01068">
              <w:rPr>
                <w:color w:val="000000"/>
                <w:sz w:val="22"/>
                <w:szCs w:val="22"/>
                <w:lang w:eastAsia="en-AU"/>
              </w:rPr>
              <w:t xml:space="preserve"> [</w:t>
            </w:r>
            <w:r w:rsidRPr="00BE034C">
              <w:rPr>
                <w:color w:val="000000"/>
                <w:sz w:val="22"/>
                <w:szCs w:val="22"/>
                <w:lang w:eastAsia="en-AU"/>
              </w:rPr>
              <w:t>SLI 2014 No. 68</w:t>
            </w:r>
            <w:r w:rsidRPr="00B01068">
              <w:rPr>
                <w:color w:val="000000"/>
                <w:sz w:val="22"/>
                <w:szCs w:val="22"/>
                <w:lang w:eastAsia="en-AU"/>
              </w:rPr>
              <w:t xml:space="preserve">] </w:t>
            </w:r>
            <w:r w:rsidRPr="00BE034C">
              <w:rPr>
                <w:color w:val="000000"/>
                <w:sz w:val="22"/>
                <w:szCs w:val="22"/>
                <w:lang w:eastAsia="en-AU"/>
              </w:rPr>
              <w:t>F2014L00734</w:t>
            </w:r>
          </w:p>
        </w:tc>
        <w:tc>
          <w:tcPr>
            <w:tcW w:w="912" w:type="dxa"/>
            <w:vAlign w:val="center"/>
          </w:tcPr>
          <w:p w:rsidR="00A75429" w:rsidRPr="00B01068" w:rsidRDefault="00A75429" w:rsidP="00F73309">
            <w:pPr>
              <w:spacing w:before="40" w:after="40"/>
              <w:jc w:val="center"/>
              <w:rPr>
                <w:color w:val="000000"/>
                <w:sz w:val="22"/>
                <w:szCs w:val="22"/>
                <w:lang w:eastAsia="en-AU"/>
              </w:rPr>
            </w:pPr>
          </w:p>
        </w:tc>
      </w:tr>
    </w:tbl>
    <w:p w:rsidR="00A75429" w:rsidRPr="00B01068" w:rsidRDefault="00A75429" w:rsidP="00A75429">
      <w:pPr>
        <w:spacing w:after="0"/>
        <w:rPr>
          <w:sz w:val="2"/>
          <w:szCs w:val="2"/>
        </w:rPr>
      </w:pPr>
      <w:r>
        <w:br w:type="page"/>
      </w:r>
    </w:p>
    <w:tbl>
      <w:tblPr>
        <w:tblStyle w:val="TableGrid"/>
        <w:tblW w:w="0" w:type="auto"/>
        <w:tblLook w:val="04A0" w:firstRow="1" w:lastRow="0" w:firstColumn="1" w:lastColumn="0" w:noHBand="0" w:noVBand="1"/>
      </w:tblPr>
      <w:tblGrid>
        <w:gridCol w:w="8330"/>
        <w:gridCol w:w="912"/>
      </w:tblGrid>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lastRenderedPageBreak/>
              <w:t>Quarantine Charges (Imposition—Customs) Act 2014</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rPr>
          <w:cantSplit/>
        </w:trPr>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Quarantine Charges (Imposition —Customs) Regulation 2014</w:t>
            </w:r>
            <w:r w:rsidRPr="00B01068">
              <w:rPr>
                <w:color w:val="000000"/>
                <w:sz w:val="22"/>
                <w:szCs w:val="22"/>
                <w:lang w:eastAsia="en-AU"/>
              </w:rPr>
              <w:t xml:space="preserve"> [</w:t>
            </w:r>
            <w:r w:rsidRPr="00BE034C">
              <w:rPr>
                <w:color w:val="000000"/>
                <w:sz w:val="22"/>
                <w:szCs w:val="22"/>
                <w:lang w:eastAsia="en-AU"/>
              </w:rPr>
              <w:t>SLI 2014 No. 69</w:t>
            </w:r>
            <w:r w:rsidRPr="00B01068">
              <w:rPr>
                <w:color w:val="000000"/>
                <w:sz w:val="22"/>
                <w:szCs w:val="22"/>
                <w:lang w:eastAsia="en-AU"/>
              </w:rPr>
              <w:t xml:space="preserve">] </w:t>
            </w:r>
            <w:r w:rsidRPr="00BE034C">
              <w:rPr>
                <w:color w:val="000000"/>
                <w:sz w:val="22"/>
                <w:szCs w:val="22"/>
                <w:lang w:eastAsia="en-AU"/>
              </w:rPr>
              <w:t>F2014L00735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Superannuation (Productivity Benefit) Act 1988</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 xml:space="preserve">Superannuation (Productivity Benefit) (Continuing Contributions) Amendment Declaration 2014 (No. 1) </w:t>
            </w:r>
            <w:r w:rsidRPr="00B01068">
              <w:rPr>
                <w:color w:val="000000"/>
                <w:sz w:val="22"/>
                <w:szCs w:val="22"/>
                <w:lang w:eastAsia="en-AU"/>
              </w:rPr>
              <w:t xml:space="preserve"> </w:t>
            </w:r>
            <w:r w:rsidRPr="00BE034C">
              <w:rPr>
                <w:color w:val="000000"/>
                <w:sz w:val="22"/>
                <w:szCs w:val="22"/>
                <w:lang w:eastAsia="en-AU"/>
              </w:rPr>
              <w:t>F2014L00696</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Superannuation Act 1976</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Superannuation (CSS) (Eligible Employees – Exclusion ) Amendment Declaration 2014 (No. 1)</w:t>
            </w:r>
            <w:r w:rsidRPr="00B01068">
              <w:rPr>
                <w:color w:val="000000"/>
                <w:sz w:val="22"/>
                <w:szCs w:val="22"/>
                <w:lang w:eastAsia="en-AU"/>
              </w:rPr>
              <w:t xml:space="preserve"> </w:t>
            </w:r>
            <w:r w:rsidRPr="00BE034C">
              <w:rPr>
                <w:color w:val="000000"/>
                <w:sz w:val="22"/>
                <w:szCs w:val="22"/>
                <w:lang w:eastAsia="en-AU"/>
              </w:rPr>
              <w:t>F2014L00729</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Superannuation Act 1990</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Superannuation (PSS) Membership Inclusion Amendment Declaration 2014 (No. 1)</w:t>
            </w:r>
            <w:r w:rsidRPr="00B01068">
              <w:rPr>
                <w:color w:val="000000"/>
                <w:sz w:val="22"/>
                <w:szCs w:val="22"/>
                <w:lang w:eastAsia="en-AU"/>
              </w:rPr>
              <w:t xml:space="preserve"> </w:t>
            </w:r>
            <w:r w:rsidRPr="00BE034C">
              <w:rPr>
                <w:color w:val="000000"/>
                <w:sz w:val="22"/>
                <w:szCs w:val="22"/>
                <w:lang w:eastAsia="en-AU"/>
              </w:rPr>
              <w:t>F2014L00727</w:t>
            </w:r>
          </w:p>
        </w:tc>
        <w:tc>
          <w:tcPr>
            <w:tcW w:w="912" w:type="dxa"/>
            <w:vAlign w:val="center"/>
          </w:tcPr>
          <w:p w:rsidR="00A75429" w:rsidRPr="00B01068" w:rsidRDefault="00A75429" w:rsidP="00F73309">
            <w:pPr>
              <w:spacing w:before="40" w:after="40"/>
              <w:jc w:val="center"/>
              <w:rPr>
                <w:color w:val="000000"/>
                <w:sz w:val="22"/>
                <w:szCs w:val="22"/>
                <w:lang w:eastAsia="en-AU"/>
              </w:rPr>
            </w:pPr>
            <w:r>
              <w:rPr>
                <w:color w:val="000000"/>
                <w:sz w:val="22"/>
                <w:szCs w:val="22"/>
                <w:lang w:eastAsia="en-AU"/>
              </w:rPr>
              <w:t>*</w:t>
            </w: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Superannuation Industry (Supervision) Act 1993</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ASIC Class Order [CO 14/541]</w:t>
            </w:r>
            <w:r w:rsidRPr="00B01068">
              <w:rPr>
                <w:color w:val="000000"/>
                <w:sz w:val="22"/>
                <w:szCs w:val="22"/>
                <w:lang w:eastAsia="en-AU"/>
              </w:rPr>
              <w:t xml:space="preserve"> </w:t>
            </w:r>
            <w:r w:rsidRPr="00BE034C">
              <w:rPr>
                <w:color w:val="000000"/>
                <w:sz w:val="22"/>
                <w:szCs w:val="22"/>
                <w:lang w:eastAsia="en-AU"/>
              </w:rPr>
              <w:t>F2014L00705</w:t>
            </w:r>
          </w:p>
        </w:tc>
        <w:tc>
          <w:tcPr>
            <w:tcW w:w="912" w:type="dxa"/>
            <w:vAlign w:val="center"/>
          </w:tcPr>
          <w:p w:rsidR="00A75429" w:rsidRPr="00B01068" w:rsidRDefault="00A75429" w:rsidP="00F73309">
            <w:pPr>
              <w:spacing w:before="40" w:after="40"/>
              <w:jc w:val="center"/>
              <w:rPr>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b/>
                <w:i/>
                <w:color w:val="000000"/>
                <w:sz w:val="22"/>
                <w:szCs w:val="22"/>
                <w:lang w:eastAsia="en-AU"/>
              </w:rPr>
            </w:pPr>
            <w:r w:rsidRPr="00BE034C">
              <w:rPr>
                <w:b/>
                <w:i/>
                <w:color w:val="000000"/>
                <w:sz w:val="22"/>
                <w:szCs w:val="22"/>
                <w:lang w:eastAsia="en-AU"/>
              </w:rPr>
              <w:t>Therapeutic Goods Act 1989</w:t>
            </w:r>
            <w:r w:rsidRPr="00B01068">
              <w:rPr>
                <w:b/>
                <w:i/>
                <w:color w:val="000000"/>
                <w:sz w:val="22"/>
                <w:szCs w:val="22"/>
                <w:lang w:eastAsia="en-AU"/>
              </w:rPr>
              <w:t xml:space="preserve"> </w:t>
            </w:r>
          </w:p>
        </w:tc>
        <w:tc>
          <w:tcPr>
            <w:tcW w:w="912" w:type="dxa"/>
            <w:vAlign w:val="center"/>
          </w:tcPr>
          <w:p w:rsidR="00A75429" w:rsidRPr="00B01068" w:rsidRDefault="00A75429" w:rsidP="00F73309">
            <w:pPr>
              <w:spacing w:before="40" w:after="40"/>
              <w:jc w:val="center"/>
              <w:rPr>
                <w:b/>
                <w:i/>
                <w:color w:val="000000"/>
                <w:sz w:val="22"/>
                <w:szCs w:val="22"/>
                <w:lang w:eastAsia="en-AU"/>
              </w:rPr>
            </w:pPr>
          </w:p>
        </w:tc>
      </w:tr>
      <w:tr w:rsidR="00A75429" w:rsidRPr="00B01068" w:rsidTr="00F73309">
        <w:tc>
          <w:tcPr>
            <w:tcW w:w="8330" w:type="dxa"/>
            <w:vAlign w:val="center"/>
          </w:tcPr>
          <w:p w:rsidR="00A75429" w:rsidRPr="00B01068" w:rsidRDefault="00A75429" w:rsidP="00F73309">
            <w:pPr>
              <w:spacing w:before="40" w:after="40"/>
              <w:jc w:val="left"/>
              <w:rPr>
                <w:color w:val="000000"/>
                <w:sz w:val="22"/>
                <w:szCs w:val="22"/>
                <w:lang w:eastAsia="en-AU"/>
              </w:rPr>
            </w:pPr>
            <w:r w:rsidRPr="00BE034C">
              <w:rPr>
                <w:color w:val="000000"/>
                <w:sz w:val="22"/>
                <w:szCs w:val="22"/>
                <w:lang w:eastAsia="en-AU"/>
              </w:rPr>
              <w:t>Therapeutic Goods Order No. 69D - Amendment to Therapeutic Goods Order No. 69 - General requirements for labels for medicines (23/05/2014)</w:t>
            </w:r>
            <w:r w:rsidRPr="00B01068">
              <w:rPr>
                <w:color w:val="000000"/>
                <w:sz w:val="22"/>
                <w:szCs w:val="22"/>
                <w:lang w:eastAsia="en-AU"/>
              </w:rPr>
              <w:t xml:space="preserve"> </w:t>
            </w:r>
            <w:r w:rsidRPr="00BE034C">
              <w:rPr>
                <w:color w:val="000000"/>
                <w:sz w:val="22"/>
                <w:szCs w:val="22"/>
                <w:lang w:eastAsia="en-AU"/>
              </w:rPr>
              <w:t>F2014L00695</w:t>
            </w:r>
          </w:p>
        </w:tc>
        <w:tc>
          <w:tcPr>
            <w:tcW w:w="912" w:type="dxa"/>
            <w:vAlign w:val="center"/>
          </w:tcPr>
          <w:p w:rsidR="00A75429" w:rsidRPr="00B01068" w:rsidRDefault="00A75429" w:rsidP="00F73309">
            <w:pPr>
              <w:spacing w:before="40" w:after="40"/>
              <w:jc w:val="center"/>
              <w:rPr>
                <w:color w:val="000000"/>
                <w:sz w:val="22"/>
                <w:szCs w:val="22"/>
                <w:lang w:eastAsia="en-AU"/>
              </w:rPr>
            </w:pPr>
          </w:p>
        </w:tc>
      </w:tr>
    </w:tbl>
    <w:p w:rsidR="00A75429" w:rsidRPr="00B01068" w:rsidRDefault="00A75429" w:rsidP="00A75429">
      <w:pPr>
        <w:spacing w:after="0"/>
        <w:jc w:val="center"/>
        <w:rPr>
          <w:b/>
          <w:sz w:val="22"/>
          <w:szCs w:val="22"/>
        </w:rPr>
      </w:pPr>
    </w:p>
    <w:p w:rsidR="00A75429" w:rsidRPr="00B01068" w:rsidRDefault="00A75429" w:rsidP="00A75429">
      <w:pPr>
        <w:jc w:val="center"/>
        <w:rPr>
          <w:b/>
          <w:sz w:val="22"/>
          <w:szCs w:val="22"/>
        </w:rPr>
      </w:pPr>
    </w:p>
    <w:p w:rsidR="00A75429" w:rsidRPr="00B01068" w:rsidRDefault="00A75429" w:rsidP="00A75429">
      <w:pPr>
        <w:rPr>
          <w:b/>
          <w:sz w:val="22"/>
          <w:szCs w:val="22"/>
        </w:rPr>
      </w:pPr>
    </w:p>
    <w:p w:rsidR="00A75429" w:rsidRDefault="00A75429" w:rsidP="00325264">
      <w:pPr>
        <w:sectPr w:rsidR="00A75429" w:rsidSect="00291B02">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9"/>
          <w:cols w:space="720"/>
          <w:titlePg/>
        </w:sectPr>
      </w:pPr>
    </w:p>
    <w:p w:rsidR="00A75429" w:rsidRDefault="00A75429" w:rsidP="00A75429">
      <w:pPr>
        <w:pStyle w:val="Heading1"/>
      </w:pPr>
      <w:r>
        <w:lastRenderedPageBreak/>
        <w:t>Appendix 2</w:t>
      </w:r>
    </w:p>
    <w:p w:rsidR="00A75429" w:rsidRDefault="00A75429" w:rsidP="00A75429">
      <w:pPr>
        <w:pStyle w:val="Heading2"/>
      </w:pPr>
      <w:r>
        <w:t>Guideline on consultation</w:t>
      </w:r>
    </w:p>
    <w:p w:rsidR="00A75429" w:rsidRDefault="00A75429" w:rsidP="00A75429">
      <w:pPr>
        <w:spacing w:after="0"/>
        <w:jc w:val="left"/>
      </w:pPr>
      <w:r>
        <w:br w:type="page"/>
      </w:r>
    </w:p>
    <w:p w:rsidR="00A75429" w:rsidRDefault="00A75429" w:rsidP="00A75429"/>
    <w:p w:rsidR="00A75429" w:rsidRDefault="00A75429" w:rsidP="00A75429">
      <w:pPr>
        <w:spacing w:after="0"/>
        <w:jc w:val="left"/>
      </w:pPr>
      <w:r>
        <w:br w:type="page"/>
      </w:r>
    </w:p>
    <w:p w:rsidR="00A75429" w:rsidRPr="00390F32" w:rsidRDefault="00A75429" w:rsidP="00A75429">
      <w:pPr>
        <w:jc w:val="center"/>
        <w:rPr>
          <w:rFonts w:ascii="Calibri" w:hAnsi="Calibri"/>
        </w:rPr>
      </w:pPr>
      <w:r>
        <w:rPr>
          <w:rFonts w:ascii="Calibri" w:hAnsi="Calibri"/>
          <w:noProof/>
          <w:lang w:eastAsia="en-AU"/>
        </w:rPr>
        <w:lastRenderedPageBreak/>
        <w:drawing>
          <wp:inline distT="0" distB="0" distL="0" distR="0" wp14:anchorId="23CECD9E" wp14:editId="4FB2F2E6">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A75429" w:rsidRPr="00390F32" w:rsidRDefault="00A75429" w:rsidP="00A75429">
      <w:pPr>
        <w:jc w:val="center"/>
        <w:rPr>
          <w:rFonts w:ascii="Calibri" w:hAnsi="Calibri"/>
          <w:sz w:val="18"/>
        </w:rPr>
      </w:pPr>
      <w:r w:rsidRPr="00390F32">
        <w:rPr>
          <w:rFonts w:ascii="Calibri" w:hAnsi="Calibri"/>
          <w:sz w:val="18"/>
        </w:rPr>
        <w:t>AUSTRALIAN SENATE</w:t>
      </w:r>
    </w:p>
    <w:p w:rsidR="00A75429" w:rsidRPr="00390F32" w:rsidRDefault="00A75429" w:rsidP="00A75429">
      <w:pPr>
        <w:jc w:val="center"/>
        <w:rPr>
          <w:rFonts w:ascii="Calibri" w:hAnsi="Calibri"/>
          <w:sz w:val="20"/>
        </w:rPr>
      </w:pPr>
    </w:p>
    <w:p w:rsidR="00A75429" w:rsidRPr="00390F32" w:rsidRDefault="00A75429" w:rsidP="00A75429">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A75429" w:rsidRPr="00390F32" w:rsidRDefault="00A75429" w:rsidP="00A75429">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A75429" w:rsidRPr="00390F32" w:rsidRDefault="00A75429" w:rsidP="00A75429">
      <w:pPr>
        <w:rPr>
          <w:rFonts w:ascii="Calibri" w:hAnsi="Calibri"/>
          <w:szCs w:val="24"/>
        </w:rPr>
      </w:pPr>
    </w:p>
    <w:p w:rsidR="00A75429" w:rsidRPr="00C22E53" w:rsidRDefault="00A75429" w:rsidP="00A75429">
      <w:pPr>
        <w:spacing w:after="60"/>
        <w:rPr>
          <w:b/>
          <w:i/>
          <w:szCs w:val="24"/>
        </w:rPr>
      </w:pPr>
      <w:r w:rsidRPr="00C22E53">
        <w:rPr>
          <w:b/>
          <w:i/>
          <w:szCs w:val="24"/>
        </w:rPr>
        <w:t>Role of the committee</w:t>
      </w:r>
    </w:p>
    <w:p w:rsidR="00A75429" w:rsidRPr="00C22E53" w:rsidRDefault="00A75429" w:rsidP="00A75429">
      <w:pPr>
        <w:rPr>
          <w:szCs w:val="24"/>
        </w:rPr>
      </w:pPr>
      <w:r w:rsidRPr="00C22E53">
        <w:rPr>
          <w:szCs w:val="24"/>
        </w:rPr>
        <w:t xml:space="preserve">The Standing Committee on Regulations and Ordinances (the committee) undertakes scrutiny of legislative instruments to ensure compliance with </w:t>
      </w:r>
      <w:hyperlink r:id="rId50" w:history="1">
        <w:r w:rsidRPr="00C22E53">
          <w:rPr>
            <w:rStyle w:val="Hyperlink"/>
            <w:szCs w:val="24"/>
          </w:rPr>
          <w:t>non-partisan principles</w:t>
        </w:r>
      </w:hyperlink>
      <w:r w:rsidRPr="00C22E53">
        <w:rPr>
          <w:szCs w:val="24"/>
        </w:rPr>
        <w:t xml:space="preserve"> of personal rights and parliamentary propriety.</w:t>
      </w:r>
    </w:p>
    <w:p w:rsidR="00A75429" w:rsidRPr="00C22E53" w:rsidRDefault="00A75429" w:rsidP="00A75429">
      <w:pPr>
        <w:rPr>
          <w:szCs w:val="24"/>
        </w:rPr>
      </w:pPr>
    </w:p>
    <w:p w:rsidR="00A75429" w:rsidRPr="00C22E53" w:rsidRDefault="00A75429" w:rsidP="00A75429">
      <w:pPr>
        <w:spacing w:after="60"/>
        <w:rPr>
          <w:b/>
          <w:i/>
          <w:szCs w:val="24"/>
        </w:rPr>
      </w:pPr>
      <w:r w:rsidRPr="00C22E53">
        <w:rPr>
          <w:b/>
          <w:i/>
          <w:szCs w:val="24"/>
        </w:rPr>
        <w:t>Purpose of guideline</w:t>
      </w:r>
    </w:p>
    <w:p w:rsidR="00A75429" w:rsidRPr="00C22E53" w:rsidRDefault="00A75429" w:rsidP="00A75429">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A75429" w:rsidRPr="00C22E53" w:rsidRDefault="00A75429" w:rsidP="00A75429">
      <w:pPr>
        <w:rPr>
          <w:szCs w:val="24"/>
        </w:rPr>
      </w:pPr>
    </w:p>
    <w:p w:rsidR="00A75429" w:rsidRPr="00C22E53" w:rsidRDefault="00A75429" w:rsidP="00A75429">
      <w:pPr>
        <w:rPr>
          <w:szCs w:val="24"/>
        </w:rPr>
      </w:pPr>
      <w:r w:rsidRPr="00C22E53">
        <w:rPr>
          <w:szCs w:val="24"/>
        </w:rPr>
        <w:t xml:space="preserve">The committee scrutinises instruments to ensure, inter alia, that they meet the technical requirements of the </w:t>
      </w:r>
      <w:hyperlink r:id="rId51"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A75429" w:rsidRPr="00C22E53" w:rsidRDefault="00A75429" w:rsidP="00A75429">
      <w:pPr>
        <w:rPr>
          <w:szCs w:val="24"/>
        </w:rPr>
      </w:pPr>
    </w:p>
    <w:p w:rsidR="00A75429" w:rsidRPr="00C22E53" w:rsidRDefault="00A75429" w:rsidP="00A75429">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C22E53">
          <w:rPr>
            <w:rStyle w:val="Hyperlink"/>
            <w:szCs w:val="24"/>
          </w:rPr>
          <w:t>disallowance</w:t>
        </w:r>
      </w:hyperlink>
      <w:r w:rsidRPr="00C22E53">
        <w:rPr>
          <w:szCs w:val="24"/>
        </w:rPr>
        <w:t>.</w:t>
      </w:r>
    </w:p>
    <w:p w:rsidR="00A75429" w:rsidRPr="00C22E53" w:rsidRDefault="00A75429" w:rsidP="00A75429">
      <w:pPr>
        <w:rPr>
          <w:szCs w:val="24"/>
        </w:rPr>
      </w:pPr>
    </w:p>
    <w:p w:rsidR="00A75429" w:rsidRPr="00C22E53" w:rsidRDefault="00A75429" w:rsidP="00A75429">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A75429" w:rsidRPr="00C22E53" w:rsidRDefault="00A75429" w:rsidP="00A75429">
      <w:pPr>
        <w:rPr>
          <w:szCs w:val="24"/>
        </w:rPr>
      </w:pPr>
    </w:p>
    <w:p w:rsidR="00A75429" w:rsidRPr="00C22E53" w:rsidRDefault="00A75429" w:rsidP="00A75429">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A75429" w:rsidRPr="00C22E53" w:rsidRDefault="00A75429" w:rsidP="00A75429">
      <w:pPr>
        <w:rPr>
          <w:szCs w:val="24"/>
        </w:rPr>
      </w:pPr>
    </w:p>
    <w:p w:rsidR="00A75429" w:rsidRPr="00C22E53" w:rsidRDefault="00A75429" w:rsidP="00A75429">
      <w:pPr>
        <w:spacing w:after="60"/>
        <w:rPr>
          <w:b/>
          <w:szCs w:val="24"/>
        </w:rPr>
      </w:pPr>
      <w:r w:rsidRPr="00C22E53">
        <w:rPr>
          <w:b/>
          <w:i/>
          <w:szCs w:val="24"/>
        </w:rPr>
        <w:t>Requirements of the</w:t>
      </w:r>
      <w:r w:rsidRPr="00C22E53">
        <w:rPr>
          <w:b/>
          <w:szCs w:val="24"/>
        </w:rPr>
        <w:t xml:space="preserve"> Legislative Instruments Act 2003</w:t>
      </w:r>
    </w:p>
    <w:p w:rsidR="00A75429" w:rsidRPr="00C22E53" w:rsidRDefault="00A75429" w:rsidP="00A75429">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A75429" w:rsidRPr="00C22E53" w:rsidRDefault="00A75429" w:rsidP="00A75429">
      <w:pPr>
        <w:rPr>
          <w:szCs w:val="24"/>
        </w:rPr>
      </w:pPr>
    </w:p>
    <w:p w:rsidR="00A75429" w:rsidRPr="00C22E53" w:rsidRDefault="00A75429" w:rsidP="00A75429">
      <w:pPr>
        <w:rPr>
          <w:szCs w:val="24"/>
        </w:rPr>
      </w:pPr>
      <w:r w:rsidRPr="00C22E53">
        <w:rPr>
          <w:szCs w:val="24"/>
        </w:rPr>
        <w:t>Section 18 of the Act, however, provides that in some circumstances such consultation may be 'unnecessary or inappropriate'.</w:t>
      </w:r>
    </w:p>
    <w:p w:rsidR="00A75429" w:rsidRPr="00C22E53" w:rsidRDefault="00A75429" w:rsidP="00A75429">
      <w:pPr>
        <w:rPr>
          <w:szCs w:val="24"/>
        </w:rPr>
      </w:pPr>
    </w:p>
    <w:p w:rsidR="00A75429" w:rsidRPr="00C22E53" w:rsidRDefault="00A75429" w:rsidP="00A75429">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A75429" w:rsidRPr="00C22E53" w:rsidRDefault="00A75429" w:rsidP="00A75429">
      <w:pPr>
        <w:rPr>
          <w:szCs w:val="24"/>
        </w:rPr>
      </w:pPr>
    </w:p>
    <w:p w:rsidR="00A75429" w:rsidRPr="00C22E53" w:rsidRDefault="00A75429" w:rsidP="00A75429">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A75429" w:rsidRPr="00C22E53" w:rsidRDefault="00A75429" w:rsidP="00A75429">
      <w:pPr>
        <w:rPr>
          <w:szCs w:val="24"/>
        </w:rPr>
      </w:pPr>
    </w:p>
    <w:p w:rsidR="00A75429" w:rsidRPr="00C22E53" w:rsidRDefault="00A75429" w:rsidP="00A75429">
      <w:pPr>
        <w:rPr>
          <w:szCs w:val="24"/>
        </w:rPr>
      </w:pPr>
      <w:r w:rsidRPr="00C22E53">
        <w:rPr>
          <w:szCs w:val="24"/>
        </w:rPr>
        <w:t>If a RIS or similar assessment has been prepared, it should be provided to the committee along with the ES.</w:t>
      </w:r>
    </w:p>
    <w:p w:rsidR="00A75429" w:rsidRPr="00C22E53" w:rsidRDefault="00A75429" w:rsidP="00A75429">
      <w:pPr>
        <w:rPr>
          <w:szCs w:val="24"/>
        </w:rPr>
      </w:pPr>
    </w:p>
    <w:p w:rsidR="00A75429" w:rsidRPr="00C22E53" w:rsidRDefault="00A75429" w:rsidP="00A75429">
      <w:pPr>
        <w:spacing w:after="60"/>
        <w:rPr>
          <w:b/>
          <w:i/>
          <w:szCs w:val="24"/>
        </w:rPr>
      </w:pPr>
      <w:r w:rsidRPr="00C22E53">
        <w:rPr>
          <w:b/>
          <w:i/>
          <w:szCs w:val="24"/>
        </w:rPr>
        <w:t>Describing the nature of consultation</w:t>
      </w:r>
    </w:p>
    <w:p w:rsidR="00A75429" w:rsidRPr="00C22E53" w:rsidRDefault="00A75429" w:rsidP="00A75429">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w:t>
      </w:r>
      <w:r w:rsidRPr="00C22E53">
        <w:rPr>
          <w:szCs w:val="24"/>
        </w:rPr>
        <w:lastRenderedPageBreak/>
        <w:t xml:space="preserve">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A75429" w:rsidRPr="00C22E53" w:rsidRDefault="00A75429" w:rsidP="00A75429">
      <w:pPr>
        <w:rPr>
          <w:szCs w:val="24"/>
        </w:rPr>
      </w:pPr>
    </w:p>
    <w:p w:rsidR="00A75429" w:rsidRPr="00C22E53" w:rsidRDefault="00A75429" w:rsidP="00A75429">
      <w:pPr>
        <w:rPr>
          <w:szCs w:val="24"/>
        </w:rPr>
      </w:pPr>
      <w:r w:rsidRPr="00C22E53">
        <w:rPr>
          <w:szCs w:val="24"/>
        </w:rPr>
        <w:t>Where consultation has taken place, the ES to an instrument should set out the following information:</w:t>
      </w:r>
    </w:p>
    <w:p w:rsidR="00A75429" w:rsidRPr="00C22E53" w:rsidRDefault="00A75429" w:rsidP="00A75429">
      <w:pPr>
        <w:rPr>
          <w:szCs w:val="24"/>
        </w:rPr>
      </w:pPr>
    </w:p>
    <w:p w:rsidR="00A75429" w:rsidRPr="00C22E53" w:rsidRDefault="00A75429" w:rsidP="00A75429">
      <w:pPr>
        <w:spacing w:after="60"/>
        <w:rPr>
          <w:i/>
          <w:szCs w:val="24"/>
        </w:rPr>
      </w:pPr>
      <w:r w:rsidRPr="00C22E53">
        <w:rPr>
          <w:i/>
          <w:szCs w:val="24"/>
        </w:rPr>
        <w:t>Method and purpose of consultation</w:t>
      </w:r>
    </w:p>
    <w:p w:rsidR="00A75429" w:rsidRPr="00C22E53" w:rsidRDefault="00A75429" w:rsidP="00A75429">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A75429" w:rsidRPr="00C22E53" w:rsidRDefault="00A75429" w:rsidP="00A75429">
      <w:pPr>
        <w:rPr>
          <w:szCs w:val="24"/>
        </w:rPr>
      </w:pPr>
    </w:p>
    <w:p w:rsidR="00A75429" w:rsidRPr="00C22E53" w:rsidRDefault="00A75429" w:rsidP="00A75429">
      <w:pPr>
        <w:spacing w:after="60"/>
        <w:rPr>
          <w:i/>
          <w:szCs w:val="24"/>
        </w:rPr>
      </w:pPr>
      <w:r w:rsidRPr="00C22E53">
        <w:rPr>
          <w:i/>
          <w:szCs w:val="24"/>
        </w:rPr>
        <w:t>Bodies/groups/individuals consulted</w:t>
      </w:r>
    </w:p>
    <w:p w:rsidR="00A75429" w:rsidRPr="00C22E53" w:rsidRDefault="00A75429" w:rsidP="00A75429">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w:t>
      </w:r>
      <w:r>
        <w:rPr>
          <w:szCs w:val="24"/>
        </w:rPr>
        <w:t> </w:t>
      </w:r>
      <w:r w:rsidRPr="00C22E53">
        <w:rPr>
          <w:szCs w:val="24"/>
        </w:rPr>
        <w:t>cetera that were consulted. An ES should avoid overly generalised statements such as 'Relevant stakeholders were consulted'.</w:t>
      </w:r>
    </w:p>
    <w:p w:rsidR="00A75429" w:rsidRPr="00C22E53" w:rsidRDefault="00A75429" w:rsidP="00A75429">
      <w:pPr>
        <w:rPr>
          <w:szCs w:val="24"/>
        </w:rPr>
      </w:pPr>
    </w:p>
    <w:p w:rsidR="00A75429" w:rsidRPr="00C22E53" w:rsidRDefault="00A75429" w:rsidP="00A75429">
      <w:pPr>
        <w:spacing w:after="60"/>
        <w:rPr>
          <w:i/>
          <w:szCs w:val="24"/>
        </w:rPr>
      </w:pPr>
      <w:r w:rsidRPr="00C22E53">
        <w:rPr>
          <w:i/>
          <w:szCs w:val="24"/>
        </w:rPr>
        <w:t>Issues raised in consultations and outcomes</w:t>
      </w:r>
    </w:p>
    <w:p w:rsidR="00A75429" w:rsidRPr="00C22E53" w:rsidRDefault="00A75429" w:rsidP="00A75429">
      <w:pPr>
        <w:rPr>
          <w:szCs w:val="24"/>
        </w:rPr>
      </w:pPr>
      <w:r w:rsidRPr="00C22E53">
        <w:rPr>
          <w:szCs w:val="24"/>
        </w:rPr>
        <w:t>An ES should identify the nature of any issues raised in consultations, as well</w:t>
      </w:r>
      <w:r>
        <w:rPr>
          <w:szCs w:val="24"/>
        </w:rPr>
        <w:t xml:space="preserve"> as</w:t>
      </w:r>
      <w:r w:rsidRPr="00C22E53">
        <w:rPr>
          <w:szCs w:val="24"/>
        </w:rPr>
        <w:t xml:space="preserve"> the outcome of the consultation process. For example, an ES could state: 'A number of submissions raised concerns in relation to the effect of the instrument on retirees. An exemption for retirees was introduced in response to these concerns'.</w:t>
      </w:r>
    </w:p>
    <w:p w:rsidR="00A75429" w:rsidRPr="00C22E53" w:rsidRDefault="00A75429" w:rsidP="00A75429">
      <w:pPr>
        <w:rPr>
          <w:szCs w:val="24"/>
        </w:rPr>
      </w:pPr>
    </w:p>
    <w:p w:rsidR="00A75429" w:rsidRPr="00C22E53" w:rsidRDefault="00A75429" w:rsidP="00A75429">
      <w:pPr>
        <w:spacing w:after="60"/>
        <w:rPr>
          <w:b/>
          <w:i/>
          <w:szCs w:val="24"/>
        </w:rPr>
      </w:pPr>
      <w:r w:rsidRPr="00C22E53">
        <w:rPr>
          <w:b/>
          <w:i/>
          <w:szCs w:val="24"/>
        </w:rPr>
        <w:t>Explaining why consultation has not been undertaken</w:t>
      </w:r>
    </w:p>
    <w:p w:rsidR="00A75429" w:rsidRPr="00C22E53" w:rsidRDefault="00A75429" w:rsidP="00A75429">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A75429" w:rsidRPr="00C22E53" w:rsidRDefault="00A75429" w:rsidP="00A75429">
      <w:pPr>
        <w:rPr>
          <w:szCs w:val="24"/>
        </w:rPr>
      </w:pPr>
    </w:p>
    <w:p w:rsidR="00A75429" w:rsidRPr="00C22E53" w:rsidRDefault="00A75429" w:rsidP="00A75429">
      <w:pPr>
        <w:rPr>
          <w:szCs w:val="24"/>
        </w:rPr>
      </w:pPr>
      <w:r w:rsidRPr="00C22E53">
        <w:rPr>
          <w:szCs w:val="24"/>
        </w:rPr>
        <w:t>In explaining why no consultation has taken place, it is important to note the following considerations:</w:t>
      </w:r>
    </w:p>
    <w:p w:rsidR="00A75429" w:rsidRPr="00C22E53" w:rsidRDefault="00A75429" w:rsidP="00A75429">
      <w:pPr>
        <w:rPr>
          <w:szCs w:val="24"/>
        </w:rPr>
      </w:pPr>
    </w:p>
    <w:p w:rsidR="00A75429" w:rsidRPr="00C22E53" w:rsidRDefault="00A75429" w:rsidP="00A75429">
      <w:pPr>
        <w:spacing w:after="60"/>
        <w:rPr>
          <w:i/>
          <w:szCs w:val="24"/>
        </w:rPr>
      </w:pPr>
      <w:r w:rsidRPr="00C22E53">
        <w:rPr>
          <w:i/>
          <w:szCs w:val="24"/>
        </w:rPr>
        <w:t>Specific examples listed in the Act</w:t>
      </w:r>
    </w:p>
    <w:p w:rsidR="00A75429" w:rsidRPr="00C22E53" w:rsidRDefault="00A75429" w:rsidP="00A75429">
      <w:pPr>
        <w:rPr>
          <w:szCs w:val="24"/>
        </w:rPr>
      </w:pPr>
      <w:r w:rsidRPr="00C22E53">
        <w:rPr>
          <w:szCs w:val="24"/>
        </w:rPr>
        <w:lastRenderedPageBreak/>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A75429" w:rsidRPr="00C22E53" w:rsidRDefault="00A75429" w:rsidP="00A75429">
      <w:pPr>
        <w:rPr>
          <w:i/>
          <w:szCs w:val="24"/>
        </w:rPr>
      </w:pPr>
      <w:r w:rsidRPr="00C22E53">
        <w:rPr>
          <w:i/>
          <w:szCs w:val="24"/>
        </w:rPr>
        <w:t>Timing of consultation</w:t>
      </w:r>
    </w:p>
    <w:p w:rsidR="00A75429" w:rsidRPr="00C22E53" w:rsidRDefault="00A75429" w:rsidP="00A75429">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A75429" w:rsidRPr="00C22E53" w:rsidRDefault="00A75429" w:rsidP="00A75429">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A75429" w:rsidRPr="00C22E53" w:rsidRDefault="00A75429" w:rsidP="00A75429">
      <w:pPr>
        <w:spacing w:after="60"/>
        <w:rPr>
          <w:b/>
          <w:i/>
          <w:szCs w:val="24"/>
        </w:rPr>
      </w:pPr>
      <w:r w:rsidRPr="00C22E53">
        <w:rPr>
          <w:b/>
          <w:i/>
          <w:szCs w:val="24"/>
        </w:rPr>
        <w:t>Seeking further advice or information</w:t>
      </w:r>
    </w:p>
    <w:p w:rsidR="00A75429" w:rsidRPr="00C22E53" w:rsidRDefault="00A75429" w:rsidP="00A75429">
      <w:pPr>
        <w:rPr>
          <w:szCs w:val="24"/>
        </w:rPr>
      </w:pPr>
      <w:r w:rsidRPr="00C22E53">
        <w:rPr>
          <w:szCs w:val="24"/>
        </w:rPr>
        <w:t xml:space="preserve">Further information is available through the committee's website at </w:t>
      </w:r>
      <w:hyperlink r:id="rId53"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A75429" w:rsidRPr="00C22E53" w:rsidRDefault="00A75429" w:rsidP="00A75429">
      <w:pPr>
        <w:spacing w:after="120"/>
        <w:rPr>
          <w:szCs w:val="24"/>
        </w:rPr>
      </w:pPr>
      <w:r w:rsidRPr="00C22E53">
        <w:rPr>
          <w:szCs w:val="24"/>
        </w:rPr>
        <w:t>Committee Secretary</w:t>
      </w:r>
    </w:p>
    <w:p w:rsidR="00A75429" w:rsidRPr="00C22E53" w:rsidRDefault="00A75429" w:rsidP="00A75429">
      <w:pPr>
        <w:spacing w:after="120"/>
        <w:rPr>
          <w:szCs w:val="24"/>
        </w:rPr>
      </w:pPr>
      <w:r w:rsidRPr="00C22E53">
        <w:rPr>
          <w:szCs w:val="24"/>
        </w:rPr>
        <w:t>Senate Regulations and Ordinances Committee</w:t>
      </w:r>
    </w:p>
    <w:p w:rsidR="00A75429" w:rsidRPr="00C22E53" w:rsidRDefault="00A75429" w:rsidP="00A75429">
      <w:pPr>
        <w:spacing w:after="120"/>
        <w:rPr>
          <w:szCs w:val="24"/>
        </w:rPr>
      </w:pPr>
      <w:r w:rsidRPr="00C22E53">
        <w:rPr>
          <w:szCs w:val="24"/>
        </w:rPr>
        <w:t>PO Box 6100</w:t>
      </w:r>
    </w:p>
    <w:p w:rsidR="00A75429" w:rsidRPr="00C22E53" w:rsidRDefault="00A75429" w:rsidP="00A75429">
      <w:pPr>
        <w:spacing w:after="120"/>
        <w:rPr>
          <w:szCs w:val="24"/>
        </w:rPr>
      </w:pPr>
      <w:r w:rsidRPr="00C22E53">
        <w:rPr>
          <w:szCs w:val="24"/>
        </w:rPr>
        <w:t>Parliament House</w:t>
      </w:r>
    </w:p>
    <w:p w:rsidR="00A75429" w:rsidRPr="00C22E53" w:rsidRDefault="00A75429" w:rsidP="00A75429">
      <w:pPr>
        <w:spacing w:after="120"/>
        <w:rPr>
          <w:szCs w:val="24"/>
        </w:rPr>
      </w:pPr>
      <w:r w:rsidRPr="00C22E53">
        <w:rPr>
          <w:szCs w:val="24"/>
        </w:rPr>
        <w:t>Canberra ACT 2600</w:t>
      </w:r>
    </w:p>
    <w:p w:rsidR="00A75429" w:rsidRPr="00C22E53" w:rsidRDefault="00A75429" w:rsidP="00A75429">
      <w:pPr>
        <w:spacing w:after="120"/>
        <w:rPr>
          <w:szCs w:val="24"/>
        </w:rPr>
      </w:pPr>
      <w:r w:rsidRPr="00C22E53">
        <w:rPr>
          <w:szCs w:val="24"/>
        </w:rPr>
        <w:t>Australia</w:t>
      </w:r>
    </w:p>
    <w:p w:rsidR="00A75429" w:rsidRPr="00C22E53" w:rsidRDefault="00A75429" w:rsidP="00A75429">
      <w:pPr>
        <w:rPr>
          <w:szCs w:val="24"/>
        </w:rPr>
      </w:pPr>
    </w:p>
    <w:p w:rsidR="00A75429" w:rsidRPr="00C22E53" w:rsidRDefault="00A75429" w:rsidP="00A75429">
      <w:pPr>
        <w:rPr>
          <w:szCs w:val="24"/>
        </w:rPr>
      </w:pPr>
      <w:r w:rsidRPr="00C22E53">
        <w:rPr>
          <w:szCs w:val="24"/>
        </w:rPr>
        <w:t xml:space="preserve">Phone: +61 2 6277 3066 </w:t>
      </w:r>
    </w:p>
    <w:p w:rsidR="00A75429" w:rsidRPr="00C22E53" w:rsidRDefault="00A75429" w:rsidP="00A75429">
      <w:pPr>
        <w:rPr>
          <w:szCs w:val="24"/>
        </w:rPr>
      </w:pPr>
      <w:r w:rsidRPr="00C22E53">
        <w:rPr>
          <w:szCs w:val="24"/>
        </w:rPr>
        <w:t xml:space="preserve">Fax: +61 2 6277 5881 </w:t>
      </w:r>
    </w:p>
    <w:p w:rsidR="00A75429" w:rsidRPr="00C22E53" w:rsidRDefault="00A75429" w:rsidP="00A75429">
      <w:pPr>
        <w:rPr>
          <w:szCs w:val="24"/>
        </w:rPr>
      </w:pPr>
      <w:r w:rsidRPr="00C22E53">
        <w:rPr>
          <w:szCs w:val="24"/>
        </w:rPr>
        <w:t xml:space="preserve">Email: </w:t>
      </w:r>
      <w:hyperlink r:id="rId54" w:history="1">
        <w:r w:rsidRPr="00C22E53">
          <w:rPr>
            <w:rStyle w:val="Hyperlink"/>
            <w:szCs w:val="24"/>
          </w:rPr>
          <w:t>RegOrds.Sen@aph.gov.au</w:t>
        </w:r>
      </w:hyperlink>
    </w:p>
    <w:p w:rsidR="00A75429" w:rsidRPr="00965B14" w:rsidRDefault="00A75429" w:rsidP="00A75429">
      <w:pPr>
        <w:jc w:val="center"/>
      </w:pPr>
    </w:p>
    <w:p w:rsidR="00520991" w:rsidRPr="00520991" w:rsidRDefault="00520991" w:rsidP="00325264"/>
    <w:sectPr w:rsidR="00520991" w:rsidRPr="00520991" w:rsidSect="00CA479C">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A75429">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A75429">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A75429">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A75429">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A75429">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A75429">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A75429">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75429">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75429">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75429">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A75429">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A75429">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A75429">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A75429">
        <w:pPr>
          <w:pStyle w:val="Footer"/>
          <w:jc w:val="center"/>
        </w:pPr>
        <w:r>
          <w:fldChar w:fldCharType="begin"/>
        </w:r>
        <w:r>
          <w:instrText xml:space="preserve"> PAGE   \* MERGEFORMAT </w:instrText>
        </w:r>
        <w:r>
          <w:fldChar w:fldCharType="separate"/>
        </w:r>
        <w:r w:rsidR="00BF0E0D">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A75429">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0D" w:rsidRDefault="00BF0E0D">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BF0E0D" w:rsidRDefault="00BF0E0D">
        <w:pPr>
          <w:pStyle w:val="Footer"/>
          <w:jc w:val="center"/>
        </w:pPr>
        <w:r>
          <w:fldChar w:fldCharType="begin"/>
        </w:r>
        <w:r>
          <w:instrText xml:space="preserve"> PAGE   \* MERGEFORMAT </w:instrText>
        </w:r>
        <w:r>
          <w:fldChar w:fldCharType="separate"/>
        </w:r>
        <w:r w:rsidR="00A75429">
          <w:rPr>
            <w:noProof/>
          </w:rPr>
          <w:t>v</w:t>
        </w:r>
        <w:r>
          <w:rPr>
            <w:noProof/>
          </w:rPr>
          <w:fldChar w:fldCharType="end"/>
        </w:r>
      </w:p>
    </w:sdtContent>
  </w:sdt>
  <w:p w:rsidR="00BF0E0D" w:rsidRDefault="00BF0E0D">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0D" w:rsidRDefault="00BF0E0D">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BF0E0D" w:rsidRPr="00F61935" w:rsidRDefault="00BF0E0D" w:rsidP="00BF0E0D">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BF0E0D" w:rsidRPr="00ED4CC3" w:rsidRDefault="00BF0E0D" w:rsidP="00BF0E0D">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BF0E0D" w:rsidRPr="00E3747F" w:rsidRDefault="00BF0E0D" w:rsidP="00BF0E0D">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4">
    <w:p w:rsidR="00BF0E0D" w:rsidRPr="00651B7E" w:rsidRDefault="00BF0E0D" w:rsidP="00BF0E0D">
      <w:pPr>
        <w:pStyle w:val="FootnoteText"/>
        <w:spacing w:after="120"/>
      </w:pPr>
      <w:r w:rsidRPr="00651B7E">
        <w:rPr>
          <w:rStyle w:val="FootnoteReference"/>
          <w:vertAlign w:val="baseline"/>
        </w:rPr>
        <w:footnoteRef/>
      </w:r>
      <w:r w:rsidRPr="00651B7E">
        <w:t xml:space="preserve"> </w:t>
      </w:r>
      <w:r>
        <w:tab/>
      </w:r>
      <w:r w:rsidRPr="00FF3C40">
        <w:rPr>
          <w:i/>
        </w:rPr>
        <w:t xml:space="preserve">Delegated </w:t>
      </w:r>
      <w:r>
        <w:rPr>
          <w:i/>
        </w:rPr>
        <w:t>legislation m</w:t>
      </w:r>
      <w:r w:rsidRPr="00FF3C40">
        <w:rPr>
          <w:i/>
        </w:rPr>
        <w:t>onitor</w:t>
      </w:r>
      <w:r>
        <w:t xml:space="preserve"> No. 6 of 2014, 18 June 2014, pp 5–22, available at </w:t>
      </w:r>
      <w:hyperlink r:id="rId1" w:history="1">
        <w:r w:rsidRPr="00496D34">
          <w:rPr>
            <w:rStyle w:val="Hyperlink"/>
          </w:rPr>
          <w:t>http://www.aph.gov.au/Parliamentary_Business/Committees/Senate/Regulations_and_Ordinances/Monitor</w:t>
        </w:r>
      </w:hyperlink>
      <w:r>
        <w:t xml:space="preserve"> </w:t>
      </w:r>
    </w:p>
  </w:footnote>
  <w:footnote w:id="5">
    <w:p w:rsidR="00BF0E0D" w:rsidRPr="00E35D4F" w:rsidRDefault="00BF0E0D" w:rsidP="00BF0E0D">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6">
    <w:p w:rsidR="00A75429" w:rsidRPr="0090243C" w:rsidRDefault="00A75429" w:rsidP="00A75429">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A7542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BF0E0D">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A75429">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A7542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A7542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A75429">
    <w:pPr>
      <w:pStyle w:val="Header"/>
      <w:tabs>
        <w:tab w:val="clear" w:pos="8306"/>
        <w:tab w:val="right" w:pos="9000"/>
      </w:tabs>
    </w:pPr>
    <w:r>
      <w:tab/>
    </w:r>
    <w:r>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A7542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36</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7542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A75429">
    <w:pPr>
      <w:pStyle w:val="Header"/>
      <w:tabs>
        <w:tab w:val="clear" w:pos="8306"/>
        <w:tab w:val="right" w:pos="9000"/>
      </w:tabs>
    </w:pPr>
    <w:r>
      <w:tab/>
    </w:r>
    <w:r>
      <w:t>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A75429">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Pr>
        <w:noProof/>
      </w:rPr>
      <w:t>14</w:t>
    </w:r>
    <w:r w:rsidRPr="0037429F">
      <w:rPr>
        <w:noProof/>
      </w:rPr>
      <w:fldChar w:fldCharType="end"/>
    </w:r>
    <w:r w:rsidRPr="0037429F">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A75429">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Pr>
        <w:noProof/>
      </w:rPr>
      <w:t>13</w:t>
    </w:r>
    <w:r w:rsidRPr="0037429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AF362E" w:rsidRDefault="00A75429" w:rsidP="00AF362E">
    <w:pPr>
      <w:pStyle w:val="Header"/>
      <w:pBdr>
        <w:bottom w:val="single" w:sz="4" w:space="1" w:color="auto"/>
      </w:pBdr>
      <w:tabs>
        <w:tab w:val="clear" w:pos="8306"/>
        <w:tab w:val="right" w:pos="9000"/>
      </w:tabs>
      <w:rPr>
        <w:rFonts w:asciiTheme="minorHAnsi" w:hAnsiTheme="minorHAnsi"/>
        <w:i/>
      </w:rPr>
    </w:pPr>
    <w:r>
      <w:tab/>
    </w:r>
    <w:r>
      <w:t>9</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A7542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20</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0D" w:rsidRPr="00F710D5" w:rsidRDefault="00BF0E0D">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0D" w:rsidRDefault="00BF0E0D">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A75429"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9B0295D"/>
    <w:multiLevelType w:val="hybridMultilevel"/>
    <w:tmpl w:val="9FE2297E"/>
    <w:lvl w:ilvl="0" w:tplc="8946DC44">
      <w:start w:val="1"/>
      <w:numFmt w:val="decimal"/>
      <w:lvlText w:val="(%1)"/>
      <w:lvlJc w:val="left"/>
      <w:pPr>
        <w:ind w:left="1271" w:hanging="4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143A6AF8"/>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61E550B"/>
    <w:multiLevelType w:val="hybridMultilevel"/>
    <w:tmpl w:val="BE16F616"/>
    <w:lvl w:ilvl="0" w:tplc="79B480D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03C0DD7"/>
    <w:multiLevelType w:val="hybridMultilevel"/>
    <w:tmpl w:val="64D26208"/>
    <w:lvl w:ilvl="0" w:tplc="FC4232E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C3B1BC7"/>
    <w:multiLevelType w:val="hybridMultilevel"/>
    <w:tmpl w:val="B610F1C2"/>
    <w:lvl w:ilvl="0" w:tplc="1FA67CB8">
      <w:start w:val="1"/>
      <w:numFmt w:val="decimal"/>
      <w:lvlText w:val="(%1)"/>
      <w:lvlJc w:val="left"/>
      <w:pPr>
        <w:ind w:left="1211" w:hanging="360"/>
      </w:pPr>
      <w:rPr>
        <w:rFonts w:hint="default"/>
      </w:rPr>
    </w:lvl>
    <w:lvl w:ilvl="1" w:tplc="44D037E2">
      <w:start w:val="1"/>
      <w:numFmt w:val="lowerLetter"/>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5C4C2762"/>
    <w:multiLevelType w:val="hybridMultilevel"/>
    <w:tmpl w:val="B414008A"/>
    <w:lvl w:ilvl="0" w:tplc="2CECAD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47757B"/>
    <w:multiLevelType w:val="multilevel"/>
    <w:tmpl w:val="6F28DB0C"/>
    <w:lvl w:ilvl="0">
      <w:start w:val="1"/>
      <w:numFmt w:val="decimal"/>
      <w:pStyle w:val="Bullet3"/>
      <w:lvlText w:val="2.%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nsid w:val="63D2471F"/>
    <w:multiLevelType w:val="multilevel"/>
    <w:tmpl w:val="B36A842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8"/>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2"/>
  </w:num>
  <w:num w:numId="19">
    <w:abstractNumId w:val="32"/>
  </w:num>
  <w:num w:numId="20">
    <w:abstractNumId w:val="10"/>
  </w:num>
  <w:num w:numId="21">
    <w:abstractNumId w:val="30"/>
  </w:num>
  <w:num w:numId="22">
    <w:abstractNumId w:val="20"/>
  </w:num>
  <w:num w:numId="23">
    <w:abstractNumId w:val="31"/>
  </w:num>
  <w:num w:numId="24">
    <w:abstractNumId w:val="22"/>
  </w:num>
  <w:num w:numId="25">
    <w:abstractNumId w:val="23"/>
  </w:num>
  <w:num w:numId="26">
    <w:abstractNumId w:val="30"/>
  </w:num>
  <w:num w:numId="27">
    <w:abstractNumId w:val="30"/>
  </w:num>
  <w:num w:numId="28">
    <w:abstractNumId w:val="33"/>
  </w:num>
  <w:num w:numId="29">
    <w:abstractNumId w:val="33"/>
  </w:num>
  <w:num w:numId="30">
    <w:abstractNumId w:val="33"/>
  </w:num>
  <w:num w:numId="31">
    <w:abstractNumId w:val="30"/>
  </w:num>
  <w:num w:numId="32">
    <w:abstractNumId w:val="30"/>
  </w:num>
  <w:num w:numId="33">
    <w:abstractNumId w:val="18"/>
  </w:num>
  <w:num w:numId="34">
    <w:abstractNumId w:val="14"/>
  </w:num>
  <w:num w:numId="35">
    <w:abstractNumId w:val="11"/>
  </w:num>
  <w:num w:numId="36">
    <w:abstractNumId w:val="26"/>
  </w:num>
  <w:num w:numId="37">
    <w:abstractNumId w:val="24"/>
  </w:num>
  <w:num w:numId="38">
    <w:abstractNumId w:val="27"/>
  </w:num>
  <w:num w:numId="39">
    <w:abstractNumId w:val="2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75429"/>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BF0E0D"/>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D01FA"/>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BF0E0D"/>
    <w:pPr>
      <w:keepNext/>
      <w:numPr>
        <w:ilvl w:val="3"/>
        <w:numId w:val="32"/>
      </w:numPr>
      <w:outlineLvl w:val="3"/>
    </w:pPr>
    <w:rPr>
      <w:b/>
      <w:i/>
    </w:rPr>
  </w:style>
  <w:style w:type="paragraph" w:styleId="Heading5">
    <w:name w:val="heading 5"/>
    <w:basedOn w:val="Normal"/>
    <w:next w:val="Normal"/>
    <w:qFormat/>
    <w:rsid w:val="00BF0E0D"/>
    <w:pPr>
      <w:keepNext/>
      <w:numPr>
        <w:ilvl w:val="4"/>
        <w:numId w:val="32"/>
      </w:numPr>
      <w:jc w:val="left"/>
      <w:outlineLvl w:val="4"/>
    </w:pPr>
    <w:rPr>
      <w:i/>
    </w:rPr>
  </w:style>
  <w:style w:type="paragraph" w:styleId="Heading6">
    <w:name w:val="heading 6"/>
    <w:basedOn w:val="Normal"/>
    <w:next w:val="Normal"/>
    <w:qFormat/>
    <w:locked/>
    <w:rsid w:val="00BF0E0D"/>
    <w:pPr>
      <w:numPr>
        <w:ilvl w:val="5"/>
        <w:numId w:val="32"/>
      </w:numPr>
      <w:spacing w:before="240" w:after="60"/>
      <w:outlineLvl w:val="5"/>
    </w:pPr>
    <w:rPr>
      <w:i/>
      <w:sz w:val="22"/>
    </w:rPr>
  </w:style>
  <w:style w:type="paragraph" w:styleId="Heading7">
    <w:name w:val="heading 7"/>
    <w:basedOn w:val="Normal"/>
    <w:next w:val="Normal"/>
    <w:qFormat/>
    <w:locked/>
    <w:rsid w:val="00BF0E0D"/>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F0E0D"/>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F0E0D"/>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F0E0D"/>
    <w:pPr>
      <w:numPr>
        <w:numId w:val="32"/>
      </w:numPr>
    </w:pPr>
  </w:style>
  <w:style w:type="paragraph" w:customStyle="1" w:styleId="Level2">
    <w:name w:val="Level2"/>
    <w:basedOn w:val="Normal"/>
    <w:rsid w:val="00BF0E0D"/>
    <w:pPr>
      <w:numPr>
        <w:ilvl w:val="1"/>
        <w:numId w:val="32"/>
      </w:numPr>
    </w:pPr>
  </w:style>
  <w:style w:type="paragraph" w:customStyle="1" w:styleId="Level3">
    <w:name w:val="Level3"/>
    <w:basedOn w:val="Normal"/>
    <w:link w:val="Level3Char"/>
    <w:rsid w:val="00BF0E0D"/>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F0E0D"/>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BF0E0D"/>
    <w:rPr>
      <w:rFonts w:ascii="Times New Roman" w:hAnsi="Times New Roman"/>
      <w:b/>
      <w:kern w:val="28"/>
      <w:sz w:val="40"/>
      <w:lang w:eastAsia="en-US"/>
    </w:rPr>
  </w:style>
  <w:style w:type="character" w:customStyle="1" w:styleId="HeaderChar">
    <w:name w:val="Header Char"/>
    <w:basedOn w:val="DefaultParagraphFont"/>
    <w:link w:val="Header"/>
    <w:semiHidden/>
    <w:rsid w:val="00BF0E0D"/>
    <w:rPr>
      <w:rFonts w:ascii="Times New Roman" w:hAnsi="Times New Roman"/>
      <w:sz w:val="22"/>
      <w:lang w:eastAsia="en-US"/>
    </w:rPr>
  </w:style>
  <w:style w:type="paragraph" w:customStyle="1" w:styleId="JNP2">
    <w:name w:val="JNP2"/>
    <w:basedOn w:val="Normal"/>
    <w:rsid w:val="00BF0E0D"/>
    <w:pPr>
      <w:spacing w:after="0"/>
      <w:ind w:left="2268"/>
    </w:pPr>
    <w:rPr>
      <w:lang w:val="en-US"/>
    </w:rPr>
  </w:style>
  <w:style w:type="character" w:customStyle="1" w:styleId="FootnoteTextChar">
    <w:name w:val="Footnote Text Char"/>
    <w:basedOn w:val="DefaultParagraphFont"/>
    <w:link w:val="FootnoteText"/>
    <w:rsid w:val="00BF0E0D"/>
    <w:rPr>
      <w:sz w:val="22"/>
      <w:lang w:eastAsia="en-US"/>
    </w:rPr>
  </w:style>
  <w:style w:type="character" w:customStyle="1" w:styleId="QuoteChar">
    <w:name w:val="Quote Char"/>
    <w:basedOn w:val="DefaultParagraphFont"/>
    <w:link w:val="Quote"/>
    <w:rsid w:val="00BF0E0D"/>
    <w:rPr>
      <w:rFonts w:ascii="Times New Roman" w:hAnsi="Times New Roman"/>
      <w:sz w:val="24"/>
      <w:lang w:eastAsia="en-US"/>
    </w:rPr>
  </w:style>
  <w:style w:type="character" w:customStyle="1" w:styleId="Heading2Char">
    <w:name w:val="Heading 2 Char"/>
    <w:basedOn w:val="DefaultParagraphFont"/>
    <w:link w:val="Heading2"/>
    <w:rsid w:val="00BF0E0D"/>
    <w:rPr>
      <w:rFonts w:ascii="Times New Roman" w:hAnsi="Times New Roman"/>
      <w:b/>
      <w:sz w:val="36"/>
      <w:lang w:eastAsia="en-US"/>
    </w:rPr>
  </w:style>
  <w:style w:type="character" w:customStyle="1" w:styleId="Heading3Char">
    <w:name w:val="Heading 3 Char"/>
    <w:basedOn w:val="DefaultParagraphFont"/>
    <w:link w:val="Heading3"/>
    <w:rsid w:val="00BF0E0D"/>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BF0E0D"/>
    <w:pPr>
      <w:keepNext/>
      <w:numPr>
        <w:ilvl w:val="3"/>
        <w:numId w:val="32"/>
      </w:numPr>
      <w:outlineLvl w:val="3"/>
    </w:pPr>
    <w:rPr>
      <w:b/>
      <w:i/>
    </w:rPr>
  </w:style>
  <w:style w:type="paragraph" w:styleId="Heading5">
    <w:name w:val="heading 5"/>
    <w:basedOn w:val="Normal"/>
    <w:next w:val="Normal"/>
    <w:qFormat/>
    <w:rsid w:val="00BF0E0D"/>
    <w:pPr>
      <w:keepNext/>
      <w:numPr>
        <w:ilvl w:val="4"/>
        <w:numId w:val="32"/>
      </w:numPr>
      <w:jc w:val="left"/>
      <w:outlineLvl w:val="4"/>
    </w:pPr>
    <w:rPr>
      <w:i/>
    </w:rPr>
  </w:style>
  <w:style w:type="paragraph" w:styleId="Heading6">
    <w:name w:val="heading 6"/>
    <w:basedOn w:val="Normal"/>
    <w:next w:val="Normal"/>
    <w:qFormat/>
    <w:locked/>
    <w:rsid w:val="00BF0E0D"/>
    <w:pPr>
      <w:numPr>
        <w:ilvl w:val="5"/>
        <w:numId w:val="32"/>
      </w:numPr>
      <w:spacing w:before="240" w:after="60"/>
      <w:outlineLvl w:val="5"/>
    </w:pPr>
    <w:rPr>
      <w:i/>
      <w:sz w:val="22"/>
    </w:rPr>
  </w:style>
  <w:style w:type="paragraph" w:styleId="Heading7">
    <w:name w:val="heading 7"/>
    <w:basedOn w:val="Normal"/>
    <w:next w:val="Normal"/>
    <w:qFormat/>
    <w:locked/>
    <w:rsid w:val="00BF0E0D"/>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F0E0D"/>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F0E0D"/>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F0E0D"/>
    <w:pPr>
      <w:numPr>
        <w:numId w:val="32"/>
      </w:numPr>
    </w:pPr>
  </w:style>
  <w:style w:type="paragraph" w:customStyle="1" w:styleId="Level2">
    <w:name w:val="Level2"/>
    <w:basedOn w:val="Normal"/>
    <w:rsid w:val="00BF0E0D"/>
    <w:pPr>
      <w:numPr>
        <w:ilvl w:val="1"/>
        <w:numId w:val="32"/>
      </w:numPr>
    </w:pPr>
  </w:style>
  <w:style w:type="paragraph" w:customStyle="1" w:styleId="Level3">
    <w:name w:val="Level3"/>
    <w:basedOn w:val="Normal"/>
    <w:link w:val="Level3Char"/>
    <w:rsid w:val="00BF0E0D"/>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F0E0D"/>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BF0E0D"/>
    <w:rPr>
      <w:rFonts w:ascii="Times New Roman" w:hAnsi="Times New Roman"/>
      <w:b/>
      <w:kern w:val="28"/>
      <w:sz w:val="40"/>
      <w:lang w:eastAsia="en-US"/>
    </w:rPr>
  </w:style>
  <w:style w:type="character" w:customStyle="1" w:styleId="HeaderChar">
    <w:name w:val="Header Char"/>
    <w:basedOn w:val="DefaultParagraphFont"/>
    <w:link w:val="Header"/>
    <w:semiHidden/>
    <w:rsid w:val="00BF0E0D"/>
    <w:rPr>
      <w:rFonts w:ascii="Times New Roman" w:hAnsi="Times New Roman"/>
      <w:sz w:val="22"/>
      <w:lang w:eastAsia="en-US"/>
    </w:rPr>
  </w:style>
  <w:style w:type="paragraph" w:customStyle="1" w:styleId="JNP2">
    <w:name w:val="JNP2"/>
    <w:basedOn w:val="Normal"/>
    <w:rsid w:val="00BF0E0D"/>
    <w:pPr>
      <w:spacing w:after="0"/>
      <w:ind w:left="2268"/>
    </w:pPr>
    <w:rPr>
      <w:lang w:val="en-US"/>
    </w:rPr>
  </w:style>
  <w:style w:type="character" w:customStyle="1" w:styleId="FootnoteTextChar">
    <w:name w:val="Footnote Text Char"/>
    <w:basedOn w:val="DefaultParagraphFont"/>
    <w:link w:val="FootnoteText"/>
    <w:rsid w:val="00BF0E0D"/>
    <w:rPr>
      <w:sz w:val="22"/>
      <w:lang w:eastAsia="en-US"/>
    </w:rPr>
  </w:style>
  <w:style w:type="character" w:customStyle="1" w:styleId="QuoteChar">
    <w:name w:val="Quote Char"/>
    <w:basedOn w:val="DefaultParagraphFont"/>
    <w:link w:val="Quote"/>
    <w:rsid w:val="00BF0E0D"/>
    <w:rPr>
      <w:rFonts w:ascii="Times New Roman" w:hAnsi="Times New Roman"/>
      <w:sz w:val="24"/>
      <w:lang w:eastAsia="en-US"/>
    </w:rPr>
  </w:style>
  <w:style w:type="character" w:customStyle="1" w:styleId="Heading2Char">
    <w:name w:val="Heading 2 Char"/>
    <w:basedOn w:val="DefaultParagraphFont"/>
    <w:link w:val="Heading2"/>
    <w:rsid w:val="00BF0E0D"/>
    <w:rPr>
      <w:rFonts w:ascii="Times New Roman" w:hAnsi="Times New Roman"/>
      <w:b/>
      <w:sz w:val="36"/>
      <w:lang w:eastAsia="en-US"/>
    </w:rPr>
  </w:style>
  <w:style w:type="character" w:customStyle="1" w:styleId="Heading3Char">
    <w:name w:val="Heading 3 Char"/>
    <w:basedOn w:val="DefaultParagraphFont"/>
    <w:link w:val="Heading3"/>
    <w:rsid w:val="00BF0E0D"/>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3.xml"/></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Regulations_and_Ordinances/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2</TotalTime>
  <Pages>28</Pages>
  <Words>5195</Words>
  <Characters>31806</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2014-07-09T04:54:00Z</dcterms:created>
  <dcterms:modified xsi:type="dcterms:W3CDTF">2014-07-09T04:57:00Z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