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E5" w:rsidRPr="005B265D" w:rsidRDefault="005F0AE5" w:rsidP="006275B6">
      <w:pPr>
        <w:spacing w:before="100" w:beforeAutospacing="1" w:after="100" w:afterAutospacing="1" w:line="360" w:lineRule="auto"/>
        <w:jc w:val="center"/>
        <w:rPr>
          <w:rFonts w:cs="Times New Roman"/>
          <w:b/>
          <w:color w:val="000000" w:themeColor="text1"/>
          <w:sz w:val="28"/>
          <w:szCs w:val="28"/>
        </w:rPr>
      </w:pPr>
      <w:r w:rsidRPr="005B265D">
        <w:rPr>
          <w:rFonts w:cs="Times New Roman"/>
          <w:b/>
          <w:color w:val="000000" w:themeColor="text1"/>
          <w:sz w:val="28"/>
          <w:szCs w:val="28"/>
        </w:rPr>
        <w:t>PARLIAMENTARY JOINT COMMITTEE ON HUMAN RIGHTS</w:t>
      </w:r>
    </w:p>
    <w:p w:rsidR="005F0AE5" w:rsidRPr="005B265D" w:rsidRDefault="005F0AE5" w:rsidP="006275B6">
      <w:pPr>
        <w:spacing w:before="100" w:beforeAutospacing="1" w:after="100" w:afterAutospacing="1" w:line="360" w:lineRule="auto"/>
        <w:jc w:val="center"/>
        <w:rPr>
          <w:rFonts w:cs="Times New Roman"/>
          <w:b/>
          <w:color w:val="000000" w:themeColor="text1"/>
          <w:sz w:val="28"/>
          <w:szCs w:val="28"/>
        </w:rPr>
      </w:pPr>
      <w:r w:rsidRPr="005B265D">
        <w:rPr>
          <w:rFonts w:cs="Times New Roman"/>
          <w:b/>
          <w:color w:val="000000" w:themeColor="text1"/>
          <w:sz w:val="28"/>
          <w:szCs w:val="28"/>
        </w:rPr>
        <w:t>CHAIR'S TABLING STATEMENT</w:t>
      </w:r>
    </w:p>
    <w:p w:rsidR="005F0AE5" w:rsidRPr="005B265D" w:rsidRDefault="00860027" w:rsidP="006275B6">
      <w:pPr>
        <w:spacing w:before="100" w:beforeAutospacing="1" w:after="100" w:afterAutospacing="1" w:line="360" w:lineRule="auto"/>
        <w:jc w:val="center"/>
        <w:rPr>
          <w:rFonts w:cs="Times New Roman"/>
          <w:b/>
          <w:color w:val="000000" w:themeColor="text1"/>
          <w:sz w:val="28"/>
          <w:szCs w:val="28"/>
        </w:rPr>
      </w:pPr>
      <w:r>
        <w:rPr>
          <w:rFonts w:cs="Times New Roman"/>
          <w:b/>
          <w:color w:val="000000" w:themeColor="text1"/>
          <w:sz w:val="28"/>
          <w:szCs w:val="28"/>
        </w:rPr>
        <w:t>5 February</w:t>
      </w:r>
      <w:r w:rsidR="0019151A">
        <w:rPr>
          <w:rFonts w:cs="Times New Roman"/>
          <w:b/>
          <w:color w:val="000000" w:themeColor="text1"/>
          <w:sz w:val="28"/>
          <w:szCs w:val="28"/>
        </w:rPr>
        <w:t xml:space="preserve"> 20</w:t>
      </w:r>
      <w:r w:rsidR="002C444F">
        <w:rPr>
          <w:rFonts w:cs="Times New Roman"/>
          <w:b/>
          <w:color w:val="000000" w:themeColor="text1"/>
          <w:sz w:val="28"/>
          <w:szCs w:val="28"/>
        </w:rPr>
        <w:t>20</w:t>
      </w:r>
    </w:p>
    <w:p w:rsidR="00E56AEA" w:rsidRPr="005B265D" w:rsidRDefault="00E56AEA" w:rsidP="0069556A">
      <w:pPr>
        <w:spacing w:before="100" w:beforeAutospacing="1" w:after="100" w:afterAutospacing="1" w:line="480" w:lineRule="auto"/>
        <w:jc w:val="both"/>
        <w:rPr>
          <w:sz w:val="28"/>
          <w:szCs w:val="28"/>
        </w:rPr>
      </w:pPr>
      <w:r>
        <w:rPr>
          <w:sz w:val="28"/>
          <w:szCs w:val="28"/>
        </w:rPr>
        <w:t xml:space="preserve">I am very pleased to </w:t>
      </w:r>
      <w:bookmarkStart w:id="0" w:name="_GoBack"/>
      <w:bookmarkEnd w:id="0"/>
      <w:r>
        <w:rPr>
          <w:sz w:val="28"/>
          <w:szCs w:val="28"/>
        </w:rPr>
        <w:t xml:space="preserve">speak to the tabling of the </w:t>
      </w:r>
      <w:r w:rsidRPr="005B265D">
        <w:rPr>
          <w:sz w:val="28"/>
          <w:szCs w:val="28"/>
        </w:rPr>
        <w:t>Parliamentary Joint Committee on Human Rights</w:t>
      </w:r>
      <w:r>
        <w:rPr>
          <w:sz w:val="28"/>
          <w:szCs w:val="28"/>
        </w:rPr>
        <w:t xml:space="preserve"> first scrutiny report of 2020.</w:t>
      </w:r>
    </w:p>
    <w:p w:rsidR="00CC6ECD" w:rsidRDefault="00733840" w:rsidP="0069556A">
      <w:pPr>
        <w:spacing w:before="100" w:beforeAutospacing="1" w:after="100" w:afterAutospacing="1" w:line="480" w:lineRule="auto"/>
        <w:jc w:val="both"/>
        <w:rPr>
          <w:sz w:val="28"/>
          <w:szCs w:val="28"/>
        </w:rPr>
      </w:pPr>
      <w:r w:rsidRPr="00733840">
        <w:rPr>
          <w:sz w:val="28"/>
          <w:szCs w:val="28"/>
        </w:rPr>
        <w:t>Th</w:t>
      </w:r>
      <w:r w:rsidR="005055C9">
        <w:rPr>
          <w:sz w:val="28"/>
          <w:szCs w:val="28"/>
        </w:rPr>
        <w:t>is</w:t>
      </w:r>
      <w:r w:rsidRPr="00733840">
        <w:rPr>
          <w:sz w:val="28"/>
          <w:szCs w:val="28"/>
        </w:rPr>
        <w:t xml:space="preserve"> report contains a technical examination of legislation with </w:t>
      </w:r>
      <w:r w:rsidRPr="0019151A">
        <w:rPr>
          <w:sz w:val="28"/>
          <w:szCs w:val="28"/>
        </w:rPr>
        <w:t xml:space="preserve">Australia's </w:t>
      </w:r>
      <w:r w:rsidRPr="00216D56">
        <w:rPr>
          <w:sz w:val="28"/>
          <w:szCs w:val="28"/>
        </w:rPr>
        <w:t>obligations under international human rights law</w:t>
      </w:r>
      <w:r w:rsidR="00587C75" w:rsidRPr="00216D56">
        <w:rPr>
          <w:sz w:val="28"/>
          <w:szCs w:val="28"/>
        </w:rPr>
        <w:t>, as required under the committee's statutory mandate</w:t>
      </w:r>
      <w:r w:rsidRPr="00216D56">
        <w:rPr>
          <w:sz w:val="28"/>
          <w:szCs w:val="28"/>
        </w:rPr>
        <w:t xml:space="preserve">. </w:t>
      </w:r>
      <w:r w:rsidR="00CC6ECD" w:rsidRPr="00216D56">
        <w:rPr>
          <w:sz w:val="28"/>
          <w:szCs w:val="28"/>
        </w:rPr>
        <w:t>It</w:t>
      </w:r>
      <w:r w:rsidR="0069556A" w:rsidRPr="00216D56">
        <w:rPr>
          <w:sz w:val="28"/>
          <w:szCs w:val="28"/>
        </w:rPr>
        <w:t xml:space="preserve"> sets out the committee's consideration </w:t>
      </w:r>
      <w:r w:rsidR="00757A64" w:rsidRPr="00216D56">
        <w:rPr>
          <w:sz w:val="28"/>
          <w:szCs w:val="28"/>
        </w:rPr>
        <w:t>of</w:t>
      </w:r>
      <w:r w:rsidR="00170C25" w:rsidRPr="00216D56">
        <w:rPr>
          <w:sz w:val="28"/>
          <w:szCs w:val="28"/>
        </w:rPr>
        <w:t xml:space="preserve"> </w:t>
      </w:r>
      <w:r w:rsidR="00860027" w:rsidRPr="001E4BAC">
        <w:rPr>
          <w:sz w:val="28"/>
          <w:szCs w:val="28"/>
        </w:rPr>
        <w:t>7</w:t>
      </w:r>
      <w:r w:rsidR="00585268">
        <w:rPr>
          <w:sz w:val="28"/>
          <w:szCs w:val="28"/>
        </w:rPr>
        <w:t>9</w:t>
      </w:r>
      <w:r w:rsidR="00757A64" w:rsidRPr="001E4BAC">
        <w:rPr>
          <w:sz w:val="28"/>
          <w:szCs w:val="28"/>
        </w:rPr>
        <w:t xml:space="preserve"> </w:t>
      </w:r>
      <w:r w:rsidR="0069556A" w:rsidRPr="001E4BAC">
        <w:rPr>
          <w:sz w:val="28"/>
          <w:szCs w:val="28"/>
        </w:rPr>
        <w:t xml:space="preserve">bills </w:t>
      </w:r>
      <w:r w:rsidR="00C54B02" w:rsidRPr="001E4BAC">
        <w:rPr>
          <w:sz w:val="28"/>
          <w:szCs w:val="28"/>
        </w:rPr>
        <w:t xml:space="preserve">introduced into the Parliament </w:t>
      </w:r>
      <w:r w:rsidR="0069556A" w:rsidRPr="001E4BAC">
        <w:rPr>
          <w:sz w:val="28"/>
          <w:szCs w:val="28"/>
        </w:rPr>
        <w:t xml:space="preserve">between </w:t>
      </w:r>
      <w:r w:rsidR="0009260F" w:rsidRPr="001E4BAC">
        <w:rPr>
          <w:sz w:val="28"/>
          <w:szCs w:val="28"/>
        </w:rPr>
        <w:t>1</w:t>
      </w:r>
      <w:r w:rsidR="002C444F" w:rsidRPr="001E4BAC">
        <w:rPr>
          <w:sz w:val="28"/>
          <w:szCs w:val="28"/>
        </w:rPr>
        <w:t>4 Octo</w:t>
      </w:r>
      <w:r w:rsidR="00C54B02" w:rsidRPr="001E4BAC">
        <w:rPr>
          <w:sz w:val="28"/>
          <w:szCs w:val="28"/>
        </w:rPr>
        <w:t>ber</w:t>
      </w:r>
      <w:r w:rsidR="0069556A" w:rsidRPr="001E4BAC">
        <w:rPr>
          <w:sz w:val="28"/>
          <w:szCs w:val="28"/>
        </w:rPr>
        <w:t xml:space="preserve"> and </w:t>
      </w:r>
      <w:r w:rsidR="002C444F" w:rsidRPr="00216D56">
        <w:rPr>
          <w:sz w:val="28"/>
          <w:szCs w:val="28"/>
        </w:rPr>
        <w:t>5</w:t>
      </w:r>
      <w:r w:rsidR="00860027" w:rsidRPr="00216D56">
        <w:rPr>
          <w:sz w:val="28"/>
          <w:szCs w:val="28"/>
        </w:rPr>
        <w:t> </w:t>
      </w:r>
      <w:r w:rsidR="002C444F" w:rsidRPr="00216D56">
        <w:rPr>
          <w:sz w:val="28"/>
          <w:szCs w:val="28"/>
        </w:rPr>
        <w:t>December</w:t>
      </w:r>
      <w:r w:rsidR="00AE77B0" w:rsidRPr="00216D56">
        <w:rPr>
          <w:sz w:val="28"/>
          <w:szCs w:val="28"/>
        </w:rPr>
        <w:t> </w:t>
      </w:r>
      <w:r w:rsidR="0069556A" w:rsidRPr="00216D56">
        <w:rPr>
          <w:sz w:val="28"/>
          <w:szCs w:val="28"/>
        </w:rPr>
        <w:t xml:space="preserve">2019, </w:t>
      </w:r>
      <w:r w:rsidR="002C444F" w:rsidRPr="00216D56">
        <w:rPr>
          <w:sz w:val="28"/>
          <w:szCs w:val="28"/>
        </w:rPr>
        <w:t>one bill</w:t>
      </w:r>
      <w:r w:rsidR="006867B2" w:rsidRPr="00216D56">
        <w:rPr>
          <w:sz w:val="28"/>
          <w:szCs w:val="28"/>
        </w:rPr>
        <w:t xml:space="preserve"> previously deferred, </w:t>
      </w:r>
      <w:r w:rsidR="0069556A" w:rsidRPr="00216D56">
        <w:rPr>
          <w:sz w:val="28"/>
          <w:szCs w:val="28"/>
        </w:rPr>
        <w:t>and legislative instruments registered on the Federal Register of Legislation between</w:t>
      </w:r>
      <w:r w:rsidR="002C444F" w:rsidRPr="00216D56">
        <w:rPr>
          <w:sz w:val="28"/>
          <w:szCs w:val="28"/>
        </w:rPr>
        <w:t xml:space="preserve"> 20 September</w:t>
      </w:r>
      <w:r w:rsidR="00C54B02" w:rsidRPr="00216D56">
        <w:rPr>
          <w:sz w:val="28"/>
          <w:szCs w:val="28"/>
        </w:rPr>
        <w:t xml:space="preserve"> and </w:t>
      </w:r>
      <w:r w:rsidR="002C444F" w:rsidRPr="00216D56">
        <w:rPr>
          <w:sz w:val="28"/>
          <w:szCs w:val="28"/>
        </w:rPr>
        <w:t>3</w:t>
      </w:r>
      <w:r w:rsidR="00860027" w:rsidRPr="00216D56">
        <w:rPr>
          <w:sz w:val="28"/>
          <w:szCs w:val="28"/>
        </w:rPr>
        <w:t> </w:t>
      </w:r>
      <w:r w:rsidR="002C444F" w:rsidRPr="00216D56">
        <w:rPr>
          <w:sz w:val="28"/>
          <w:szCs w:val="28"/>
        </w:rPr>
        <w:t>December</w:t>
      </w:r>
      <w:r w:rsidR="0069556A" w:rsidRPr="00216D56">
        <w:rPr>
          <w:sz w:val="28"/>
          <w:szCs w:val="28"/>
        </w:rPr>
        <w:t xml:space="preserve"> 2019.</w:t>
      </w:r>
      <w:r w:rsidR="005B265D" w:rsidRPr="0019151A">
        <w:rPr>
          <w:sz w:val="28"/>
          <w:szCs w:val="28"/>
        </w:rPr>
        <w:t xml:space="preserve"> </w:t>
      </w:r>
    </w:p>
    <w:p w:rsidR="00216D56" w:rsidRDefault="00CC6ECD" w:rsidP="0069556A">
      <w:pPr>
        <w:spacing w:before="100" w:beforeAutospacing="1" w:after="100" w:afterAutospacing="1" w:line="480" w:lineRule="auto"/>
        <w:jc w:val="both"/>
        <w:rPr>
          <w:sz w:val="28"/>
          <w:szCs w:val="28"/>
        </w:rPr>
      </w:pPr>
      <w:r>
        <w:rPr>
          <w:sz w:val="28"/>
          <w:szCs w:val="28"/>
        </w:rPr>
        <w:t>In this report, t</w:t>
      </w:r>
      <w:r w:rsidR="005B265D">
        <w:rPr>
          <w:sz w:val="28"/>
          <w:szCs w:val="28"/>
        </w:rPr>
        <w:t>he committee</w:t>
      </w:r>
      <w:r>
        <w:rPr>
          <w:sz w:val="28"/>
          <w:szCs w:val="28"/>
        </w:rPr>
        <w:t xml:space="preserve"> seeks</w:t>
      </w:r>
      <w:r w:rsidR="005B265D">
        <w:rPr>
          <w:sz w:val="28"/>
          <w:szCs w:val="28"/>
        </w:rPr>
        <w:t xml:space="preserve"> further information in relation to </w:t>
      </w:r>
      <w:r w:rsidR="002C444F">
        <w:rPr>
          <w:sz w:val="28"/>
          <w:szCs w:val="28"/>
        </w:rPr>
        <w:t>11</w:t>
      </w:r>
      <w:r w:rsidR="005B265D">
        <w:rPr>
          <w:sz w:val="28"/>
          <w:szCs w:val="28"/>
        </w:rPr>
        <w:t xml:space="preserve"> bill</w:t>
      </w:r>
      <w:r w:rsidR="00C54B02">
        <w:rPr>
          <w:sz w:val="28"/>
          <w:szCs w:val="28"/>
        </w:rPr>
        <w:t>s</w:t>
      </w:r>
      <w:r w:rsidR="00170C25">
        <w:rPr>
          <w:sz w:val="28"/>
          <w:szCs w:val="28"/>
        </w:rPr>
        <w:t xml:space="preserve"> and </w:t>
      </w:r>
      <w:r w:rsidR="002C444F">
        <w:rPr>
          <w:sz w:val="28"/>
          <w:szCs w:val="28"/>
        </w:rPr>
        <w:t>four</w:t>
      </w:r>
      <w:r w:rsidR="006867B2">
        <w:rPr>
          <w:sz w:val="28"/>
          <w:szCs w:val="28"/>
        </w:rPr>
        <w:t xml:space="preserve"> instruments</w:t>
      </w:r>
      <w:r w:rsidR="005B265D">
        <w:rPr>
          <w:sz w:val="28"/>
          <w:szCs w:val="28"/>
        </w:rPr>
        <w:t>.</w:t>
      </w:r>
      <w:r w:rsidR="00587C75">
        <w:rPr>
          <w:sz w:val="28"/>
          <w:szCs w:val="28"/>
        </w:rPr>
        <w:t xml:space="preserve"> </w:t>
      </w:r>
      <w:r>
        <w:rPr>
          <w:sz w:val="28"/>
          <w:szCs w:val="28"/>
        </w:rPr>
        <w:t>Th</w:t>
      </w:r>
      <w:r w:rsidR="002332EB">
        <w:rPr>
          <w:sz w:val="28"/>
          <w:szCs w:val="28"/>
        </w:rPr>
        <w:t>e</w:t>
      </w:r>
      <w:r>
        <w:rPr>
          <w:sz w:val="28"/>
          <w:szCs w:val="28"/>
        </w:rPr>
        <w:t xml:space="preserve"> </w:t>
      </w:r>
      <w:r w:rsidR="002332EB">
        <w:rPr>
          <w:sz w:val="28"/>
          <w:szCs w:val="28"/>
        </w:rPr>
        <w:t>process</w:t>
      </w:r>
      <w:r>
        <w:rPr>
          <w:sz w:val="28"/>
          <w:szCs w:val="28"/>
        </w:rPr>
        <w:t xml:space="preserve"> of requesting information from the legislation proponent reflects the committee's role in</w:t>
      </w:r>
      <w:r w:rsidRPr="00CC6ECD">
        <w:rPr>
          <w:sz w:val="28"/>
          <w:szCs w:val="28"/>
        </w:rPr>
        <w:t xml:space="preserve"> establishing and maintaining a dialogue </w:t>
      </w:r>
      <w:r>
        <w:rPr>
          <w:sz w:val="28"/>
          <w:szCs w:val="28"/>
        </w:rPr>
        <w:t>regarding the human rights implications of legislative measures</w:t>
      </w:r>
      <w:r w:rsidR="00EF09B4">
        <w:rPr>
          <w:sz w:val="28"/>
          <w:szCs w:val="28"/>
        </w:rPr>
        <w:t xml:space="preserve">, which </w:t>
      </w:r>
      <w:r w:rsidRPr="00CC6ECD">
        <w:rPr>
          <w:sz w:val="28"/>
          <w:szCs w:val="28"/>
        </w:rPr>
        <w:t>contributes to the broader respect for and recognition of human rights in Australia.</w:t>
      </w:r>
    </w:p>
    <w:p w:rsidR="00845A3D" w:rsidRDefault="0019151A" w:rsidP="0069556A">
      <w:pPr>
        <w:spacing w:before="100" w:beforeAutospacing="1" w:after="100" w:afterAutospacing="1" w:line="480" w:lineRule="auto"/>
        <w:jc w:val="both"/>
        <w:rPr>
          <w:sz w:val="28"/>
          <w:szCs w:val="28"/>
        </w:rPr>
      </w:pPr>
      <w:r w:rsidRPr="00652A87">
        <w:rPr>
          <w:sz w:val="28"/>
          <w:szCs w:val="28"/>
        </w:rPr>
        <w:lastRenderedPageBreak/>
        <w:t xml:space="preserve">The committee has </w:t>
      </w:r>
      <w:r w:rsidRPr="00CB2009">
        <w:rPr>
          <w:sz w:val="28"/>
          <w:szCs w:val="28"/>
        </w:rPr>
        <w:t xml:space="preserve">made concluding remarks in relation to </w:t>
      </w:r>
      <w:r w:rsidR="00216D56">
        <w:rPr>
          <w:sz w:val="28"/>
          <w:szCs w:val="28"/>
        </w:rPr>
        <w:t>four</w:t>
      </w:r>
      <w:r w:rsidR="00216D56" w:rsidRPr="00652A87">
        <w:rPr>
          <w:sz w:val="28"/>
          <w:szCs w:val="28"/>
        </w:rPr>
        <w:t xml:space="preserve"> </w:t>
      </w:r>
      <w:r w:rsidRPr="00652A87">
        <w:rPr>
          <w:sz w:val="28"/>
          <w:szCs w:val="28"/>
        </w:rPr>
        <w:t>bills</w:t>
      </w:r>
      <w:r w:rsidR="00860027" w:rsidRPr="00652A87">
        <w:rPr>
          <w:sz w:val="28"/>
          <w:szCs w:val="28"/>
        </w:rPr>
        <w:t xml:space="preserve"> and </w:t>
      </w:r>
      <w:r w:rsidR="00216D56">
        <w:rPr>
          <w:sz w:val="28"/>
          <w:szCs w:val="28"/>
        </w:rPr>
        <w:t xml:space="preserve">one </w:t>
      </w:r>
      <w:r w:rsidR="00860027" w:rsidRPr="00652A87">
        <w:rPr>
          <w:sz w:val="28"/>
          <w:szCs w:val="28"/>
        </w:rPr>
        <w:t>instrument</w:t>
      </w:r>
      <w:r w:rsidR="007E7A81" w:rsidRPr="00CB2009">
        <w:rPr>
          <w:sz w:val="28"/>
          <w:szCs w:val="28"/>
        </w:rPr>
        <w:t>.</w:t>
      </w:r>
      <w:r w:rsidR="007E7A81">
        <w:rPr>
          <w:sz w:val="28"/>
          <w:szCs w:val="28"/>
        </w:rPr>
        <w:t xml:space="preserve"> </w:t>
      </w:r>
    </w:p>
    <w:p w:rsidR="00EF09B4" w:rsidRDefault="007E7A81" w:rsidP="0069556A">
      <w:pPr>
        <w:spacing w:before="100" w:beforeAutospacing="1" w:after="100" w:afterAutospacing="1" w:line="480" w:lineRule="auto"/>
        <w:jc w:val="both"/>
        <w:rPr>
          <w:sz w:val="28"/>
          <w:szCs w:val="28"/>
        </w:rPr>
      </w:pPr>
      <w:r>
        <w:rPr>
          <w:sz w:val="28"/>
          <w:szCs w:val="28"/>
        </w:rPr>
        <w:t xml:space="preserve">For </w:t>
      </w:r>
      <w:r w:rsidR="00585268">
        <w:rPr>
          <w:sz w:val="28"/>
          <w:szCs w:val="28"/>
        </w:rPr>
        <w:t>example</w:t>
      </w:r>
      <w:r>
        <w:rPr>
          <w:sz w:val="28"/>
          <w:szCs w:val="28"/>
        </w:rPr>
        <w:t xml:space="preserve">, the committee </w:t>
      </w:r>
      <w:r w:rsidR="00585268">
        <w:rPr>
          <w:sz w:val="28"/>
          <w:szCs w:val="28"/>
        </w:rPr>
        <w:t xml:space="preserve">has </w:t>
      </w:r>
      <w:r>
        <w:rPr>
          <w:sz w:val="28"/>
          <w:szCs w:val="28"/>
        </w:rPr>
        <w:t xml:space="preserve">concluded its examination of the </w:t>
      </w:r>
      <w:r w:rsidRPr="007E7A81">
        <w:rPr>
          <w:sz w:val="28"/>
          <w:szCs w:val="28"/>
        </w:rPr>
        <w:t>Australian Citizenship Amendment (Citizenship Cessation) Bill 2019</w:t>
      </w:r>
      <w:r>
        <w:rPr>
          <w:sz w:val="28"/>
          <w:szCs w:val="28"/>
        </w:rPr>
        <w:t xml:space="preserve">. </w:t>
      </w:r>
      <w:r w:rsidR="00845A3D">
        <w:rPr>
          <w:sz w:val="28"/>
          <w:szCs w:val="28"/>
        </w:rPr>
        <w:t xml:space="preserve">The measures proposed in this bill would provide that </w:t>
      </w:r>
      <w:r w:rsidR="00845A3D" w:rsidRPr="00845A3D">
        <w:rPr>
          <w:sz w:val="28"/>
          <w:szCs w:val="28"/>
        </w:rPr>
        <w:t>a person</w:t>
      </w:r>
      <w:r w:rsidR="00845A3D">
        <w:rPr>
          <w:sz w:val="28"/>
          <w:szCs w:val="28"/>
        </w:rPr>
        <w:t>,</w:t>
      </w:r>
      <w:r w:rsidR="00845A3D" w:rsidRPr="00845A3D">
        <w:rPr>
          <w:sz w:val="28"/>
          <w:szCs w:val="28"/>
        </w:rPr>
        <w:t xml:space="preserve"> who is a </w:t>
      </w:r>
      <w:proofErr w:type="gramStart"/>
      <w:r w:rsidR="00EF09B4">
        <w:rPr>
          <w:sz w:val="28"/>
          <w:szCs w:val="28"/>
        </w:rPr>
        <w:t>dual-</w:t>
      </w:r>
      <w:r w:rsidR="00845A3D" w:rsidRPr="00845A3D">
        <w:rPr>
          <w:sz w:val="28"/>
          <w:szCs w:val="28"/>
        </w:rPr>
        <w:t>national</w:t>
      </w:r>
      <w:proofErr w:type="gramEnd"/>
      <w:r w:rsidR="00845A3D" w:rsidRPr="00845A3D">
        <w:rPr>
          <w:sz w:val="28"/>
          <w:szCs w:val="28"/>
        </w:rPr>
        <w:t xml:space="preserve"> ceases to be an Australian citizen if the</w:t>
      </w:r>
      <w:r w:rsidR="00845A3D">
        <w:rPr>
          <w:sz w:val="28"/>
          <w:szCs w:val="28"/>
        </w:rPr>
        <w:t>y act</w:t>
      </w:r>
      <w:r w:rsidR="00845A3D" w:rsidRPr="00845A3D">
        <w:rPr>
          <w:sz w:val="28"/>
          <w:szCs w:val="28"/>
        </w:rPr>
        <w:t xml:space="preserve"> inconsistently with their allegiance to Australia by engaging in </w:t>
      </w:r>
      <w:r w:rsidR="00585268">
        <w:rPr>
          <w:sz w:val="28"/>
          <w:szCs w:val="28"/>
        </w:rPr>
        <w:t xml:space="preserve">certain </w:t>
      </w:r>
      <w:r w:rsidR="00845A3D" w:rsidRPr="00845A3D">
        <w:rPr>
          <w:sz w:val="28"/>
          <w:szCs w:val="28"/>
        </w:rPr>
        <w:t>terrorist</w:t>
      </w:r>
      <w:r w:rsidR="00585268">
        <w:rPr>
          <w:sz w:val="28"/>
          <w:szCs w:val="28"/>
        </w:rPr>
        <w:t xml:space="preserve"> conduct</w:t>
      </w:r>
      <w:r w:rsidR="00845A3D" w:rsidRPr="00845A3D">
        <w:rPr>
          <w:sz w:val="28"/>
          <w:szCs w:val="28"/>
        </w:rPr>
        <w:t>.</w:t>
      </w:r>
      <w:r w:rsidR="00585268" w:rsidRPr="00502F02">
        <w:rPr>
          <w:sz w:val="28"/>
          <w:szCs w:val="28"/>
        </w:rPr>
        <w:t xml:space="preserve"> The committee has noted the legal advice</w:t>
      </w:r>
      <w:r w:rsidR="00585268">
        <w:rPr>
          <w:sz w:val="28"/>
          <w:szCs w:val="28"/>
        </w:rPr>
        <w:t xml:space="preserve"> that </w:t>
      </w:r>
      <w:r w:rsidR="00585268" w:rsidRPr="00502F02">
        <w:rPr>
          <w:sz w:val="28"/>
          <w:szCs w:val="28"/>
        </w:rPr>
        <w:t xml:space="preserve">these measures may engage and limit a number of human rights, including the rights to freedom of movement and liberty, and the rights of the child and protection of the family. </w:t>
      </w:r>
      <w:r w:rsidR="00EF09B4">
        <w:rPr>
          <w:sz w:val="28"/>
          <w:szCs w:val="28"/>
        </w:rPr>
        <w:t>However, l</w:t>
      </w:r>
      <w:r w:rsidR="00585268" w:rsidRPr="00585268">
        <w:rPr>
          <w:sz w:val="28"/>
          <w:szCs w:val="28"/>
        </w:rPr>
        <w:t xml:space="preserve">imits on these rights may be permissible where a measure is prescribed by law, seeks to achieve a legitimate objective, is rationally connected to (that is effective to achieve) that objective, and is proportionate to that objective. </w:t>
      </w:r>
    </w:p>
    <w:p w:rsidR="00EF09B4" w:rsidRDefault="001D4DC6" w:rsidP="0069556A">
      <w:pPr>
        <w:spacing w:before="100" w:beforeAutospacing="1" w:after="100" w:afterAutospacing="1" w:line="480" w:lineRule="auto"/>
        <w:jc w:val="both"/>
        <w:rPr>
          <w:sz w:val="28"/>
          <w:szCs w:val="28"/>
        </w:rPr>
      </w:pPr>
      <w:r>
        <w:rPr>
          <w:sz w:val="28"/>
          <w:szCs w:val="28"/>
        </w:rPr>
        <w:t>A</w:t>
      </w:r>
      <w:r w:rsidR="00585268">
        <w:rPr>
          <w:sz w:val="28"/>
          <w:szCs w:val="28"/>
        </w:rPr>
        <w:t xml:space="preserve">s </w:t>
      </w:r>
      <w:r w:rsidR="00585268" w:rsidRPr="00585268">
        <w:rPr>
          <w:sz w:val="28"/>
          <w:szCs w:val="28"/>
        </w:rPr>
        <w:t xml:space="preserve">the minister’s discretion </w:t>
      </w:r>
      <w:r w:rsidR="00585268">
        <w:rPr>
          <w:sz w:val="28"/>
          <w:szCs w:val="28"/>
        </w:rPr>
        <w:t xml:space="preserve">to cease citizenship </w:t>
      </w:r>
      <w:r w:rsidR="00585268" w:rsidRPr="00585268">
        <w:rPr>
          <w:sz w:val="28"/>
          <w:szCs w:val="28"/>
        </w:rPr>
        <w:t xml:space="preserve">is limited </w:t>
      </w:r>
      <w:r w:rsidR="00585268">
        <w:rPr>
          <w:sz w:val="28"/>
          <w:szCs w:val="28"/>
        </w:rPr>
        <w:t xml:space="preserve">to those </w:t>
      </w:r>
      <w:r w:rsidR="00585268" w:rsidRPr="00585268">
        <w:rPr>
          <w:sz w:val="28"/>
          <w:szCs w:val="28"/>
        </w:rPr>
        <w:t xml:space="preserve">who engaged in </w:t>
      </w:r>
      <w:r w:rsidR="00EF09B4">
        <w:rPr>
          <w:sz w:val="28"/>
          <w:szCs w:val="28"/>
        </w:rPr>
        <w:t>specified terrorist</w:t>
      </w:r>
      <w:r w:rsidR="00585268" w:rsidRPr="00585268">
        <w:rPr>
          <w:sz w:val="28"/>
          <w:szCs w:val="28"/>
        </w:rPr>
        <w:t xml:space="preserve"> conduct</w:t>
      </w:r>
      <w:r w:rsidR="00585268">
        <w:rPr>
          <w:sz w:val="28"/>
          <w:szCs w:val="28"/>
        </w:rPr>
        <w:t>,</w:t>
      </w:r>
      <w:r w:rsidR="00585268" w:rsidRPr="00585268">
        <w:rPr>
          <w:sz w:val="28"/>
          <w:szCs w:val="28"/>
        </w:rPr>
        <w:t xml:space="preserve"> the committee considers </w:t>
      </w:r>
      <w:r w:rsidR="00EF09B4">
        <w:rPr>
          <w:sz w:val="28"/>
          <w:szCs w:val="28"/>
        </w:rPr>
        <w:t xml:space="preserve">that </w:t>
      </w:r>
      <w:r w:rsidR="00585268">
        <w:rPr>
          <w:sz w:val="28"/>
          <w:szCs w:val="28"/>
        </w:rPr>
        <w:t xml:space="preserve">whether a person has 'repudiated their allegiance to Australia' is </w:t>
      </w:r>
      <w:r w:rsidR="00585268" w:rsidRPr="00585268">
        <w:rPr>
          <w:sz w:val="28"/>
          <w:szCs w:val="28"/>
        </w:rPr>
        <w:t>sufficiently certain so as to meet the 'quality of law' test</w:t>
      </w:r>
      <w:r w:rsidR="00585268">
        <w:rPr>
          <w:sz w:val="28"/>
          <w:szCs w:val="28"/>
        </w:rPr>
        <w:t xml:space="preserve">. The committee </w:t>
      </w:r>
      <w:r w:rsidR="00EF09B4">
        <w:rPr>
          <w:sz w:val="28"/>
          <w:szCs w:val="28"/>
        </w:rPr>
        <w:t xml:space="preserve">also </w:t>
      </w:r>
      <w:r w:rsidR="00585268">
        <w:rPr>
          <w:sz w:val="28"/>
          <w:szCs w:val="28"/>
        </w:rPr>
        <w:t xml:space="preserve">considers that </w:t>
      </w:r>
      <w:r w:rsidR="00585268" w:rsidRPr="00585268">
        <w:rPr>
          <w:sz w:val="28"/>
          <w:szCs w:val="28"/>
        </w:rPr>
        <w:t>removing a person’s citizenship</w:t>
      </w:r>
      <w:r w:rsidR="00EF09B4">
        <w:rPr>
          <w:sz w:val="28"/>
          <w:szCs w:val="28"/>
        </w:rPr>
        <w:t xml:space="preserve"> seeks to achieve</w:t>
      </w:r>
      <w:r w:rsidR="00585268" w:rsidRPr="00585268">
        <w:rPr>
          <w:sz w:val="28"/>
          <w:szCs w:val="28"/>
        </w:rPr>
        <w:t xml:space="preserve"> a legitimate objective in that it ensures that there is less prospect of a person engaging in conduct which harms the Australian community</w:t>
      </w:r>
      <w:r w:rsidR="00585268">
        <w:rPr>
          <w:sz w:val="28"/>
          <w:szCs w:val="28"/>
        </w:rPr>
        <w:t xml:space="preserve">. It also considers the measures are effective </w:t>
      </w:r>
      <w:r w:rsidR="00585268">
        <w:rPr>
          <w:sz w:val="28"/>
          <w:szCs w:val="28"/>
        </w:rPr>
        <w:lastRenderedPageBreak/>
        <w:t xml:space="preserve">to achieve (that is, rationally connected) to those objectives based on the </w:t>
      </w:r>
      <w:r w:rsidR="00585268" w:rsidRPr="00585268">
        <w:rPr>
          <w:sz w:val="28"/>
          <w:szCs w:val="28"/>
        </w:rPr>
        <w:t xml:space="preserve">minister's advice, as supported by the Australian Federal </w:t>
      </w:r>
      <w:proofErr w:type="gramStart"/>
      <w:r w:rsidR="00585268" w:rsidRPr="00585268">
        <w:rPr>
          <w:sz w:val="28"/>
          <w:szCs w:val="28"/>
        </w:rPr>
        <w:t>Police  and</w:t>
      </w:r>
      <w:proofErr w:type="gramEnd"/>
      <w:r w:rsidR="00585268" w:rsidRPr="00585268">
        <w:rPr>
          <w:sz w:val="28"/>
          <w:szCs w:val="28"/>
        </w:rPr>
        <w:t xml:space="preserve"> the Australian Security Intelligence Organisation, that the existing citizenship cessation provisions have been effective, in conjunction with other counter-terrorism tools and mechanisms, in protecting the integrity of Australian citizenship and the Australian community</w:t>
      </w:r>
      <w:r w:rsidR="00585268">
        <w:rPr>
          <w:sz w:val="28"/>
          <w:szCs w:val="28"/>
        </w:rPr>
        <w:t xml:space="preserve">. </w:t>
      </w:r>
    </w:p>
    <w:p w:rsidR="00035103" w:rsidRDefault="00585268" w:rsidP="0069556A">
      <w:pPr>
        <w:spacing w:before="100" w:beforeAutospacing="1" w:after="100" w:afterAutospacing="1" w:line="480" w:lineRule="auto"/>
        <w:jc w:val="both"/>
        <w:rPr>
          <w:sz w:val="28"/>
          <w:szCs w:val="28"/>
        </w:rPr>
      </w:pPr>
      <w:r>
        <w:rPr>
          <w:sz w:val="28"/>
          <w:szCs w:val="28"/>
        </w:rPr>
        <w:t xml:space="preserve">Finally, the committee considers </w:t>
      </w:r>
      <w:r w:rsidRPr="00585268">
        <w:rPr>
          <w:sz w:val="28"/>
          <w:szCs w:val="28"/>
        </w:rPr>
        <w:t xml:space="preserve">the measures are proportionate </w:t>
      </w:r>
      <w:r>
        <w:rPr>
          <w:sz w:val="28"/>
          <w:szCs w:val="28"/>
        </w:rPr>
        <w:t xml:space="preserve">as </w:t>
      </w:r>
      <w:r w:rsidRPr="00585268">
        <w:rPr>
          <w:sz w:val="28"/>
          <w:szCs w:val="28"/>
        </w:rPr>
        <w:t xml:space="preserve">the ministerial decision-making model means that </w:t>
      </w:r>
      <w:r w:rsidR="001D4DC6">
        <w:rPr>
          <w:sz w:val="28"/>
          <w:szCs w:val="28"/>
        </w:rPr>
        <w:t xml:space="preserve">the minister will consider </w:t>
      </w:r>
      <w:r w:rsidRPr="00585268">
        <w:rPr>
          <w:sz w:val="28"/>
          <w:szCs w:val="28"/>
        </w:rPr>
        <w:t>individual circumstances in assessing the public interest in whether a person should remain an Australian citizen, which is intended to ensure that any interference with the family, the right to re-enter one's own country, or the right to freedom of movement, is not arbitrary</w:t>
      </w:r>
      <w:r>
        <w:rPr>
          <w:sz w:val="28"/>
          <w:szCs w:val="28"/>
        </w:rPr>
        <w:t xml:space="preserve">. </w:t>
      </w:r>
      <w:r w:rsidR="00035103" w:rsidRPr="00035103">
        <w:rPr>
          <w:sz w:val="28"/>
          <w:szCs w:val="28"/>
        </w:rPr>
        <w:t xml:space="preserve">As such, the committee considers the </w:t>
      </w:r>
      <w:proofErr w:type="gramStart"/>
      <w:r w:rsidR="00035103" w:rsidRPr="00035103">
        <w:rPr>
          <w:sz w:val="28"/>
          <w:szCs w:val="28"/>
        </w:rPr>
        <w:t xml:space="preserve">cessation of citizenship provisions </w:t>
      </w:r>
      <w:r w:rsidR="00035103">
        <w:rPr>
          <w:sz w:val="28"/>
          <w:szCs w:val="28"/>
        </w:rPr>
        <w:t>are</w:t>
      </w:r>
      <w:proofErr w:type="gramEnd"/>
      <w:r w:rsidR="00035103" w:rsidRPr="00035103">
        <w:rPr>
          <w:sz w:val="28"/>
          <w:szCs w:val="28"/>
        </w:rPr>
        <w:t xml:space="preserve"> compatible with the rights to freedom of movement and liberty and the rights of the child and protection of the family.</w:t>
      </w:r>
    </w:p>
    <w:p w:rsidR="00035103" w:rsidRDefault="00035103" w:rsidP="0069556A">
      <w:pPr>
        <w:spacing w:before="100" w:beforeAutospacing="1" w:after="100" w:afterAutospacing="1" w:line="480" w:lineRule="auto"/>
        <w:jc w:val="both"/>
        <w:rPr>
          <w:sz w:val="28"/>
          <w:szCs w:val="28"/>
        </w:rPr>
      </w:pPr>
      <w:r>
        <w:rPr>
          <w:sz w:val="28"/>
          <w:szCs w:val="28"/>
        </w:rPr>
        <w:t>The committee also consider</w:t>
      </w:r>
      <w:r w:rsidR="001D4DC6">
        <w:rPr>
          <w:sz w:val="28"/>
          <w:szCs w:val="28"/>
        </w:rPr>
        <w:t>s</w:t>
      </w:r>
      <w:r>
        <w:rPr>
          <w:sz w:val="28"/>
          <w:szCs w:val="28"/>
        </w:rPr>
        <w:t xml:space="preserve"> that as </w:t>
      </w:r>
      <w:r w:rsidRPr="00035103">
        <w:rPr>
          <w:sz w:val="28"/>
          <w:szCs w:val="28"/>
        </w:rPr>
        <w:t>the power to cease a person’s citizenship</w:t>
      </w:r>
      <w:r w:rsidR="00EF09B4">
        <w:rPr>
          <w:sz w:val="28"/>
          <w:szCs w:val="28"/>
        </w:rPr>
        <w:t>,</w:t>
      </w:r>
      <w:r w:rsidRPr="00035103">
        <w:rPr>
          <w:sz w:val="28"/>
          <w:szCs w:val="28"/>
        </w:rPr>
        <w:t xml:space="preserve"> where the person is in Australia</w:t>
      </w:r>
      <w:r w:rsidR="00EF09B4">
        <w:rPr>
          <w:sz w:val="28"/>
          <w:szCs w:val="28"/>
        </w:rPr>
        <w:t>,</w:t>
      </w:r>
      <w:r w:rsidRPr="00035103">
        <w:rPr>
          <w:sz w:val="28"/>
          <w:szCs w:val="28"/>
        </w:rPr>
        <w:t xml:space="preserve"> will not directly </w:t>
      </w:r>
      <w:proofErr w:type="gramStart"/>
      <w:r w:rsidRPr="00035103">
        <w:rPr>
          <w:sz w:val="28"/>
          <w:szCs w:val="28"/>
        </w:rPr>
        <w:t>result in them being liable for removal from Australia, the</w:t>
      </w:r>
      <w:r>
        <w:rPr>
          <w:sz w:val="28"/>
          <w:szCs w:val="28"/>
        </w:rPr>
        <w:t>se</w:t>
      </w:r>
      <w:r w:rsidRPr="00035103">
        <w:rPr>
          <w:sz w:val="28"/>
          <w:szCs w:val="28"/>
        </w:rPr>
        <w:t xml:space="preserve"> measures </w:t>
      </w:r>
      <w:r>
        <w:rPr>
          <w:sz w:val="28"/>
          <w:szCs w:val="28"/>
        </w:rPr>
        <w:t>do</w:t>
      </w:r>
      <w:proofErr w:type="gramEnd"/>
      <w:r>
        <w:rPr>
          <w:sz w:val="28"/>
          <w:szCs w:val="28"/>
        </w:rPr>
        <w:t xml:space="preserve"> not </w:t>
      </w:r>
      <w:r w:rsidRPr="00035103">
        <w:rPr>
          <w:sz w:val="28"/>
          <w:szCs w:val="28"/>
        </w:rPr>
        <w:t>directly engage the obligations of non-</w:t>
      </w:r>
      <w:proofErr w:type="spellStart"/>
      <w:r w:rsidRPr="00035103">
        <w:rPr>
          <w:sz w:val="28"/>
          <w:szCs w:val="28"/>
        </w:rPr>
        <w:t>refoulement</w:t>
      </w:r>
      <w:proofErr w:type="spellEnd"/>
      <w:r w:rsidRPr="00035103">
        <w:rPr>
          <w:sz w:val="28"/>
          <w:szCs w:val="28"/>
        </w:rPr>
        <w:t xml:space="preserve"> and a right to an effective remedy. The </w:t>
      </w:r>
      <w:r w:rsidRPr="00035103">
        <w:rPr>
          <w:sz w:val="28"/>
          <w:szCs w:val="28"/>
        </w:rPr>
        <w:lastRenderedPageBreak/>
        <w:t>committee welcomes the minister’s commitment to comply with Australia’s non-</w:t>
      </w:r>
      <w:proofErr w:type="spellStart"/>
      <w:r w:rsidRPr="00035103">
        <w:rPr>
          <w:sz w:val="28"/>
          <w:szCs w:val="28"/>
        </w:rPr>
        <w:t>refoulement</w:t>
      </w:r>
      <w:proofErr w:type="spellEnd"/>
      <w:r w:rsidRPr="00035103">
        <w:rPr>
          <w:sz w:val="28"/>
          <w:szCs w:val="28"/>
        </w:rPr>
        <w:t xml:space="preserve"> obligations.</w:t>
      </w:r>
    </w:p>
    <w:p w:rsidR="007E7A81" w:rsidRDefault="007E7A81" w:rsidP="0069556A">
      <w:pPr>
        <w:spacing w:before="100" w:beforeAutospacing="1" w:after="100" w:afterAutospacing="1" w:line="480" w:lineRule="auto"/>
        <w:jc w:val="both"/>
        <w:rPr>
          <w:sz w:val="28"/>
          <w:szCs w:val="28"/>
        </w:rPr>
      </w:pPr>
      <w:r>
        <w:rPr>
          <w:sz w:val="28"/>
          <w:szCs w:val="28"/>
        </w:rPr>
        <w:t xml:space="preserve">The committee </w:t>
      </w:r>
      <w:r w:rsidR="00EF09B4">
        <w:rPr>
          <w:sz w:val="28"/>
          <w:szCs w:val="28"/>
        </w:rPr>
        <w:t xml:space="preserve">has </w:t>
      </w:r>
      <w:r w:rsidR="00845A3D">
        <w:rPr>
          <w:sz w:val="28"/>
          <w:szCs w:val="28"/>
        </w:rPr>
        <w:t xml:space="preserve">also </w:t>
      </w:r>
      <w:r>
        <w:rPr>
          <w:sz w:val="28"/>
          <w:szCs w:val="28"/>
        </w:rPr>
        <w:t xml:space="preserve">concluded its examination of the </w:t>
      </w:r>
      <w:r w:rsidRPr="007E7A81">
        <w:rPr>
          <w:sz w:val="28"/>
          <w:szCs w:val="28"/>
        </w:rPr>
        <w:t>Social Security (Administration) Amendment (Income Management to Cashless Debit Card Transition) Bill 2019</w:t>
      </w:r>
      <w:r w:rsidR="0079697A">
        <w:rPr>
          <w:sz w:val="28"/>
          <w:szCs w:val="28"/>
        </w:rPr>
        <w:t xml:space="preserve">, which </w:t>
      </w:r>
      <w:r w:rsidR="00845A3D">
        <w:rPr>
          <w:sz w:val="28"/>
          <w:szCs w:val="28"/>
        </w:rPr>
        <w:t xml:space="preserve">seeks to expand the operation of the cashless debit card trial. </w:t>
      </w:r>
      <w:r w:rsidR="00845A3D" w:rsidRPr="00845A3D">
        <w:rPr>
          <w:sz w:val="28"/>
          <w:szCs w:val="28"/>
        </w:rPr>
        <w:t xml:space="preserve">The committee considers the bill seeks to achieve a number of legitimate objectives, including reducing immediate hardship and deprivation, reducing violence and harm, encouraging socially responsible behaviour and reducing the likelihood </w:t>
      </w:r>
      <w:proofErr w:type="gramStart"/>
      <w:r w:rsidR="00845A3D" w:rsidRPr="00845A3D">
        <w:rPr>
          <w:sz w:val="28"/>
          <w:szCs w:val="28"/>
        </w:rPr>
        <w:t>that welfare payment recipients</w:t>
      </w:r>
      <w:proofErr w:type="gramEnd"/>
      <w:r w:rsidR="00845A3D" w:rsidRPr="00845A3D">
        <w:rPr>
          <w:sz w:val="28"/>
          <w:szCs w:val="28"/>
        </w:rPr>
        <w:t xml:space="preserve"> will remain on welfare and out of the workforce for extended periods of time. The committee believes it is important to reiterate the engagement of positive human rights in the bill</w:t>
      </w:r>
      <w:r w:rsidR="00EF09B4">
        <w:rPr>
          <w:sz w:val="28"/>
          <w:szCs w:val="28"/>
        </w:rPr>
        <w:t>,</w:t>
      </w:r>
      <w:r w:rsidR="00845A3D" w:rsidRPr="00845A3D">
        <w:rPr>
          <w:sz w:val="28"/>
          <w:szCs w:val="28"/>
        </w:rPr>
        <w:t xml:space="preserve"> including the rights of the child, the right to protection of the family, the right to dignity and the right to health</w:t>
      </w:r>
      <w:r w:rsidR="00845A3D">
        <w:rPr>
          <w:sz w:val="28"/>
          <w:szCs w:val="28"/>
        </w:rPr>
        <w:t xml:space="preserve">. </w:t>
      </w:r>
      <w:r w:rsidR="00CB2009">
        <w:rPr>
          <w:sz w:val="28"/>
          <w:szCs w:val="28"/>
        </w:rPr>
        <w:t>T</w:t>
      </w:r>
      <w:r w:rsidR="00845A3D" w:rsidRPr="00845A3D">
        <w:rPr>
          <w:sz w:val="28"/>
          <w:szCs w:val="28"/>
        </w:rPr>
        <w:t>he</w:t>
      </w:r>
      <w:r w:rsidR="00845A3D">
        <w:rPr>
          <w:sz w:val="28"/>
          <w:szCs w:val="28"/>
        </w:rPr>
        <w:t>se</w:t>
      </w:r>
      <w:r w:rsidR="00845A3D" w:rsidRPr="00845A3D">
        <w:rPr>
          <w:sz w:val="28"/>
          <w:szCs w:val="28"/>
        </w:rPr>
        <w:t xml:space="preserve"> measures provide welfare payment recipients with the ability to ensure that a higher portion of their payments are directed to essential living costs such as food and household bills, while prohibiting expenditure on alcohol and gambling. </w:t>
      </w:r>
      <w:r w:rsidR="00845A3D">
        <w:rPr>
          <w:sz w:val="28"/>
          <w:szCs w:val="28"/>
        </w:rPr>
        <w:t xml:space="preserve">The committee </w:t>
      </w:r>
      <w:r w:rsidR="0086012D">
        <w:rPr>
          <w:sz w:val="28"/>
          <w:szCs w:val="28"/>
        </w:rPr>
        <w:t xml:space="preserve">therefore </w:t>
      </w:r>
      <w:r w:rsidR="00845A3D">
        <w:rPr>
          <w:sz w:val="28"/>
          <w:szCs w:val="28"/>
        </w:rPr>
        <w:t>considers that any limitations on human rights pursuant to this bill are justifiable.</w:t>
      </w:r>
    </w:p>
    <w:p w:rsidR="00845A3D" w:rsidRDefault="00845A3D" w:rsidP="0069556A">
      <w:pPr>
        <w:spacing w:before="100" w:beforeAutospacing="1" w:after="100" w:afterAutospacing="1" w:line="480" w:lineRule="auto"/>
        <w:jc w:val="both"/>
        <w:rPr>
          <w:sz w:val="28"/>
          <w:szCs w:val="28"/>
        </w:rPr>
      </w:pPr>
      <w:r>
        <w:rPr>
          <w:sz w:val="28"/>
          <w:szCs w:val="28"/>
        </w:rPr>
        <w:t>Finally, t</w:t>
      </w:r>
      <w:r w:rsidR="007E7A81">
        <w:rPr>
          <w:sz w:val="28"/>
          <w:szCs w:val="28"/>
        </w:rPr>
        <w:t xml:space="preserve">he committee </w:t>
      </w:r>
      <w:r w:rsidR="0086012D">
        <w:rPr>
          <w:sz w:val="28"/>
          <w:szCs w:val="28"/>
        </w:rPr>
        <w:t xml:space="preserve">has </w:t>
      </w:r>
      <w:r w:rsidR="007E7A81">
        <w:rPr>
          <w:sz w:val="28"/>
          <w:szCs w:val="28"/>
        </w:rPr>
        <w:t>concluded its examination of the</w:t>
      </w:r>
      <w:r w:rsidR="007E7A81" w:rsidRPr="007E7A81">
        <w:t xml:space="preserve"> </w:t>
      </w:r>
      <w:r w:rsidR="007E7A81" w:rsidRPr="007E7A81">
        <w:rPr>
          <w:sz w:val="28"/>
          <w:szCs w:val="28"/>
        </w:rPr>
        <w:t>Social Services Legislation Amendment (Drug Testing Trial) Bill 2019</w:t>
      </w:r>
      <w:r w:rsidR="007E7A81">
        <w:rPr>
          <w:sz w:val="28"/>
          <w:szCs w:val="28"/>
        </w:rPr>
        <w:t xml:space="preserve">. </w:t>
      </w:r>
      <w:r>
        <w:rPr>
          <w:sz w:val="28"/>
          <w:szCs w:val="28"/>
        </w:rPr>
        <w:t xml:space="preserve">This bill </w:t>
      </w:r>
      <w:r w:rsidRPr="00845A3D">
        <w:rPr>
          <w:sz w:val="28"/>
          <w:szCs w:val="28"/>
        </w:rPr>
        <w:t>provide</w:t>
      </w:r>
      <w:r>
        <w:rPr>
          <w:sz w:val="28"/>
          <w:szCs w:val="28"/>
        </w:rPr>
        <w:t>s</w:t>
      </w:r>
      <w:r w:rsidRPr="00845A3D">
        <w:rPr>
          <w:sz w:val="28"/>
          <w:szCs w:val="28"/>
        </w:rPr>
        <w:t xml:space="preserve"> for the </w:t>
      </w:r>
      <w:r w:rsidRPr="00845A3D">
        <w:rPr>
          <w:sz w:val="28"/>
          <w:szCs w:val="28"/>
        </w:rPr>
        <w:lastRenderedPageBreak/>
        <w:t xml:space="preserve">trialling of mandatory drug testing for new recipients of </w:t>
      </w:r>
      <w:proofErr w:type="spellStart"/>
      <w:r w:rsidRPr="00845A3D">
        <w:rPr>
          <w:sz w:val="28"/>
          <w:szCs w:val="28"/>
        </w:rPr>
        <w:t>Newstart</w:t>
      </w:r>
      <w:proofErr w:type="spellEnd"/>
      <w:r w:rsidRPr="00845A3D">
        <w:rPr>
          <w:sz w:val="28"/>
          <w:szCs w:val="28"/>
        </w:rPr>
        <w:t xml:space="preserve"> Allowance and Youth Allowance</w:t>
      </w:r>
      <w:r>
        <w:rPr>
          <w:sz w:val="28"/>
          <w:szCs w:val="28"/>
        </w:rPr>
        <w:t xml:space="preserve">. </w:t>
      </w:r>
      <w:r w:rsidR="00CB2009">
        <w:rPr>
          <w:sz w:val="28"/>
          <w:szCs w:val="28"/>
        </w:rPr>
        <w:t>The committee notes the legal advice that the bill en</w:t>
      </w:r>
      <w:r w:rsidR="0086012D">
        <w:rPr>
          <w:sz w:val="28"/>
          <w:szCs w:val="28"/>
        </w:rPr>
        <w:t xml:space="preserve">gages a number of human rights, including the rights to privacy, social security, an adequate standard of living, and equality. </w:t>
      </w:r>
      <w:r>
        <w:rPr>
          <w:sz w:val="28"/>
          <w:szCs w:val="28"/>
        </w:rPr>
        <w:t xml:space="preserve">The committee </w:t>
      </w:r>
      <w:r w:rsidR="0079697A">
        <w:rPr>
          <w:sz w:val="28"/>
          <w:szCs w:val="28"/>
        </w:rPr>
        <w:t xml:space="preserve">reiterates </w:t>
      </w:r>
      <w:r>
        <w:rPr>
          <w:sz w:val="28"/>
          <w:szCs w:val="28"/>
        </w:rPr>
        <w:t xml:space="preserve">that this </w:t>
      </w:r>
      <w:r w:rsidR="0079697A">
        <w:rPr>
          <w:sz w:val="28"/>
          <w:szCs w:val="28"/>
        </w:rPr>
        <w:t xml:space="preserve">is a </w:t>
      </w:r>
      <w:r>
        <w:rPr>
          <w:sz w:val="28"/>
          <w:szCs w:val="28"/>
        </w:rPr>
        <w:t xml:space="preserve">world first trial </w:t>
      </w:r>
      <w:r w:rsidR="0086012D">
        <w:rPr>
          <w:sz w:val="28"/>
          <w:szCs w:val="28"/>
        </w:rPr>
        <w:t xml:space="preserve">and </w:t>
      </w:r>
      <w:r w:rsidR="0079697A">
        <w:rPr>
          <w:sz w:val="28"/>
          <w:szCs w:val="28"/>
        </w:rPr>
        <w:t xml:space="preserve">as such the committee accepts that there is some inevitable uncertainty as to whether the measures are a proportionate means of achieving the legitimate objectives of the bill. However, the committee considers </w:t>
      </w:r>
      <w:r w:rsidR="001D4DC6">
        <w:rPr>
          <w:sz w:val="28"/>
          <w:szCs w:val="28"/>
        </w:rPr>
        <w:t xml:space="preserve">that </w:t>
      </w:r>
      <w:r w:rsidR="0079697A">
        <w:rPr>
          <w:sz w:val="28"/>
          <w:szCs w:val="28"/>
        </w:rPr>
        <w:t>the trial seeks to achieve the important objective of identifying and supporting individuals who may have drug dependency issues, and assisting them in securing employment</w:t>
      </w:r>
      <w:r w:rsidR="00CB2009">
        <w:rPr>
          <w:sz w:val="28"/>
          <w:szCs w:val="28"/>
        </w:rPr>
        <w:t xml:space="preserve">. </w:t>
      </w:r>
    </w:p>
    <w:p w:rsidR="00256694" w:rsidRPr="000D534B" w:rsidRDefault="0048693A" w:rsidP="0069556A">
      <w:pPr>
        <w:spacing w:before="100" w:beforeAutospacing="1" w:after="100" w:afterAutospacing="1" w:line="480" w:lineRule="auto"/>
        <w:jc w:val="both"/>
        <w:rPr>
          <w:sz w:val="28"/>
          <w:szCs w:val="28"/>
        </w:rPr>
      </w:pPr>
      <w:r w:rsidRPr="0048693A">
        <w:rPr>
          <w:sz w:val="28"/>
          <w:szCs w:val="28"/>
        </w:rPr>
        <w:t xml:space="preserve">With these comments, I </w:t>
      </w:r>
      <w:r w:rsidR="000941DC">
        <w:rPr>
          <w:sz w:val="28"/>
          <w:szCs w:val="28"/>
        </w:rPr>
        <w:t xml:space="preserve">commend the committee's </w:t>
      </w:r>
      <w:r w:rsidR="000941DC" w:rsidRPr="005D5A9F">
        <w:rPr>
          <w:i/>
          <w:sz w:val="28"/>
          <w:szCs w:val="28"/>
        </w:rPr>
        <w:t xml:space="preserve">Report </w:t>
      </w:r>
      <w:r w:rsidR="002C444F">
        <w:rPr>
          <w:i/>
          <w:sz w:val="28"/>
          <w:szCs w:val="28"/>
        </w:rPr>
        <w:t>1</w:t>
      </w:r>
      <w:r w:rsidRPr="005D5A9F">
        <w:rPr>
          <w:i/>
          <w:sz w:val="28"/>
          <w:szCs w:val="28"/>
        </w:rPr>
        <w:t xml:space="preserve"> of 20</w:t>
      </w:r>
      <w:r w:rsidR="002C444F">
        <w:rPr>
          <w:i/>
          <w:sz w:val="28"/>
          <w:szCs w:val="28"/>
        </w:rPr>
        <w:t>20</w:t>
      </w:r>
      <w:r w:rsidRPr="0048693A">
        <w:rPr>
          <w:sz w:val="28"/>
          <w:szCs w:val="28"/>
        </w:rPr>
        <w:t xml:space="preserve"> to the </w:t>
      </w:r>
      <w:r w:rsidR="00860027">
        <w:rPr>
          <w:sz w:val="28"/>
          <w:szCs w:val="28"/>
        </w:rPr>
        <w:t>Senate</w:t>
      </w:r>
      <w:r w:rsidR="00C0697A" w:rsidRPr="000D534B">
        <w:rPr>
          <w:sz w:val="28"/>
          <w:szCs w:val="28"/>
        </w:rPr>
        <w:t>.</w:t>
      </w:r>
    </w:p>
    <w:sectPr w:rsidR="00256694" w:rsidRPr="000D53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66" w:rsidRDefault="00A72A66" w:rsidP="005F0AE5">
      <w:pPr>
        <w:spacing w:after="0" w:line="240" w:lineRule="auto"/>
      </w:pPr>
      <w:r>
        <w:separator/>
      </w:r>
    </w:p>
  </w:endnote>
  <w:endnote w:type="continuationSeparator" w:id="0">
    <w:p w:rsidR="00A72A66" w:rsidRDefault="00A72A66" w:rsidP="005F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44928"/>
      <w:docPartObj>
        <w:docPartGallery w:val="Page Numbers (Bottom of Page)"/>
        <w:docPartUnique/>
      </w:docPartObj>
    </w:sdtPr>
    <w:sdtEndPr>
      <w:rPr>
        <w:noProof/>
      </w:rPr>
    </w:sdtEndPr>
    <w:sdtContent>
      <w:p w:rsidR="005F0AE5" w:rsidRDefault="005F0AE5" w:rsidP="005F0AE5">
        <w:pPr>
          <w:pStyle w:val="Footer"/>
          <w:jc w:val="right"/>
        </w:pPr>
        <w:r>
          <w:fldChar w:fldCharType="begin"/>
        </w:r>
        <w:r>
          <w:instrText xml:space="preserve"> PAGE   \* MERGEFORMAT </w:instrText>
        </w:r>
        <w:r>
          <w:fldChar w:fldCharType="separate"/>
        </w:r>
        <w:r w:rsidR="00E56A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66" w:rsidRDefault="00A72A66" w:rsidP="005F0AE5">
      <w:pPr>
        <w:spacing w:after="0" w:line="240" w:lineRule="auto"/>
      </w:pPr>
      <w:r>
        <w:separator/>
      </w:r>
    </w:p>
  </w:footnote>
  <w:footnote w:type="continuationSeparator" w:id="0">
    <w:p w:rsidR="00A72A66" w:rsidRDefault="00A72A66" w:rsidP="005F0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6C" w:rsidRDefault="0012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211"/>
    <w:multiLevelType w:val="hybridMultilevel"/>
    <w:tmpl w:val="EF5E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52E8E"/>
    <w:multiLevelType w:val="hybridMultilevel"/>
    <w:tmpl w:val="5DF4B3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nsid w:val="116E67AC"/>
    <w:multiLevelType w:val="hybridMultilevel"/>
    <w:tmpl w:val="FD72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0856C0"/>
    <w:multiLevelType w:val="hybridMultilevel"/>
    <w:tmpl w:val="3EDCCEB2"/>
    <w:lvl w:ilvl="0" w:tplc="C2F85AF2">
      <w:start w:val="1"/>
      <w:numFmt w:val="bullet"/>
      <w:lvlText w:val="o"/>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9087565"/>
    <w:multiLevelType w:val="hybridMultilevel"/>
    <w:tmpl w:val="37368A88"/>
    <w:lvl w:ilvl="0" w:tplc="5A7835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F53BAE"/>
    <w:multiLevelType w:val="hybridMultilevel"/>
    <w:tmpl w:val="11AE9AB8"/>
    <w:lvl w:ilvl="0" w:tplc="F264698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4D681F"/>
    <w:multiLevelType w:val="hybridMultilevel"/>
    <w:tmpl w:val="911E9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E8"/>
    <w:rsid w:val="00035103"/>
    <w:rsid w:val="00040B64"/>
    <w:rsid w:val="0004319C"/>
    <w:rsid w:val="00077C4D"/>
    <w:rsid w:val="000802CD"/>
    <w:rsid w:val="0009260F"/>
    <w:rsid w:val="000941DC"/>
    <w:rsid w:val="000A31E9"/>
    <w:rsid w:val="000C6B56"/>
    <w:rsid w:val="000C7976"/>
    <w:rsid w:val="000D534B"/>
    <w:rsid w:val="000E6EA0"/>
    <w:rsid w:val="001031B6"/>
    <w:rsid w:val="00120B99"/>
    <w:rsid w:val="00125111"/>
    <w:rsid w:val="0012516C"/>
    <w:rsid w:val="00133A49"/>
    <w:rsid w:val="00150E56"/>
    <w:rsid w:val="00152BB8"/>
    <w:rsid w:val="00170C25"/>
    <w:rsid w:val="00173FC0"/>
    <w:rsid w:val="00190F46"/>
    <w:rsid w:val="0019151A"/>
    <w:rsid w:val="001A1FC9"/>
    <w:rsid w:val="001C3B2A"/>
    <w:rsid w:val="001D4DC6"/>
    <w:rsid w:val="001E4BAC"/>
    <w:rsid w:val="001E7A38"/>
    <w:rsid w:val="00203C16"/>
    <w:rsid w:val="00214966"/>
    <w:rsid w:val="00216D56"/>
    <w:rsid w:val="0023071B"/>
    <w:rsid w:val="00231C83"/>
    <w:rsid w:val="002332EB"/>
    <w:rsid w:val="0024728B"/>
    <w:rsid w:val="0024738D"/>
    <w:rsid w:val="00256694"/>
    <w:rsid w:val="0025701E"/>
    <w:rsid w:val="0026136E"/>
    <w:rsid w:val="002620FC"/>
    <w:rsid w:val="00267D0C"/>
    <w:rsid w:val="0028357F"/>
    <w:rsid w:val="00286F94"/>
    <w:rsid w:val="002878BC"/>
    <w:rsid w:val="002A040E"/>
    <w:rsid w:val="002B6083"/>
    <w:rsid w:val="002C444F"/>
    <w:rsid w:val="002C61DB"/>
    <w:rsid w:val="002E6E7C"/>
    <w:rsid w:val="002F397F"/>
    <w:rsid w:val="00305931"/>
    <w:rsid w:val="003206F3"/>
    <w:rsid w:val="00353FF4"/>
    <w:rsid w:val="00360FA4"/>
    <w:rsid w:val="0038038A"/>
    <w:rsid w:val="003B0BC3"/>
    <w:rsid w:val="003D379C"/>
    <w:rsid w:val="003F0DE0"/>
    <w:rsid w:val="004234A9"/>
    <w:rsid w:val="004377F5"/>
    <w:rsid w:val="0044241B"/>
    <w:rsid w:val="0048693A"/>
    <w:rsid w:val="004924F6"/>
    <w:rsid w:val="004A519E"/>
    <w:rsid w:val="004D093E"/>
    <w:rsid w:val="004F1AD7"/>
    <w:rsid w:val="004F6CBF"/>
    <w:rsid w:val="00502F02"/>
    <w:rsid w:val="005055C9"/>
    <w:rsid w:val="005263E6"/>
    <w:rsid w:val="00531C64"/>
    <w:rsid w:val="00533E17"/>
    <w:rsid w:val="005361A4"/>
    <w:rsid w:val="0054173B"/>
    <w:rsid w:val="0054483E"/>
    <w:rsid w:val="00557E12"/>
    <w:rsid w:val="005773B3"/>
    <w:rsid w:val="00585268"/>
    <w:rsid w:val="00587C75"/>
    <w:rsid w:val="005B265D"/>
    <w:rsid w:val="005B7C17"/>
    <w:rsid w:val="005C48E1"/>
    <w:rsid w:val="005D226C"/>
    <w:rsid w:val="005D5A9F"/>
    <w:rsid w:val="005D693F"/>
    <w:rsid w:val="005E70B9"/>
    <w:rsid w:val="005F0AE5"/>
    <w:rsid w:val="00604D76"/>
    <w:rsid w:val="006275B6"/>
    <w:rsid w:val="006339C8"/>
    <w:rsid w:val="006421A5"/>
    <w:rsid w:val="00652A87"/>
    <w:rsid w:val="00680779"/>
    <w:rsid w:val="00680F35"/>
    <w:rsid w:val="006867B2"/>
    <w:rsid w:val="0069556A"/>
    <w:rsid w:val="006C0AFB"/>
    <w:rsid w:val="006C0F52"/>
    <w:rsid w:val="006C1966"/>
    <w:rsid w:val="006D6E76"/>
    <w:rsid w:val="006E031B"/>
    <w:rsid w:val="00703ED3"/>
    <w:rsid w:val="00733840"/>
    <w:rsid w:val="00740570"/>
    <w:rsid w:val="00757A64"/>
    <w:rsid w:val="007763FD"/>
    <w:rsid w:val="007779E8"/>
    <w:rsid w:val="00795D2F"/>
    <w:rsid w:val="0079697A"/>
    <w:rsid w:val="007A466D"/>
    <w:rsid w:val="007A743F"/>
    <w:rsid w:val="007D5DFB"/>
    <w:rsid w:val="007E569C"/>
    <w:rsid w:val="007E7610"/>
    <w:rsid w:val="007E7A81"/>
    <w:rsid w:val="00812331"/>
    <w:rsid w:val="00817B79"/>
    <w:rsid w:val="00834901"/>
    <w:rsid w:val="00842BD7"/>
    <w:rsid w:val="00845A3D"/>
    <w:rsid w:val="0085140A"/>
    <w:rsid w:val="00860027"/>
    <w:rsid w:val="0086012D"/>
    <w:rsid w:val="00874507"/>
    <w:rsid w:val="00890747"/>
    <w:rsid w:val="008A25EF"/>
    <w:rsid w:val="00915803"/>
    <w:rsid w:val="009535A7"/>
    <w:rsid w:val="00957BB0"/>
    <w:rsid w:val="0099256A"/>
    <w:rsid w:val="009C00B3"/>
    <w:rsid w:val="009C0C77"/>
    <w:rsid w:val="009D4EE2"/>
    <w:rsid w:val="009D6DA8"/>
    <w:rsid w:val="009E43E8"/>
    <w:rsid w:val="009E7244"/>
    <w:rsid w:val="009E7273"/>
    <w:rsid w:val="00A342DB"/>
    <w:rsid w:val="00A37686"/>
    <w:rsid w:val="00A44BF1"/>
    <w:rsid w:val="00A72A66"/>
    <w:rsid w:val="00A76B37"/>
    <w:rsid w:val="00A85775"/>
    <w:rsid w:val="00AD6744"/>
    <w:rsid w:val="00AE77B0"/>
    <w:rsid w:val="00B11264"/>
    <w:rsid w:val="00B41199"/>
    <w:rsid w:val="00B43F74"/>
    <w:rsid w:val="00B83CE9"/>
    <w:rsid w:val="00B8566B"/>
    <w:rsid w:val="00B940F6"/>
    <w:rsid w:val="00BA3F07"/>
    <w:rsid w:val="00BA7E17"/>
    <w:rsid w:val="00BC0382"/>
    <w:rsid w:val="00BD457A"/>
    <w:rsid w:val="00BF748C"/>
    <w:rsid w:val="00C0697A"/>
    <w:rsid w:val="00C13603"/>
    <w:rsid w:val="00C25E16"/>
    <w:rsid w:val="00C52F78"/>
    <w:rsid w:val="00C54B02"/>
    <w:rsid w:val="00C66246"/>
    <w:rsid w:val="00CA3D14"/>
    <w:rsid w:val="00CB2009"/>
    <w:rsid w:val="00CC3338"/>
    <w:rsid w:val="00CC6ECD"/>
    <w:rsid w:val="00CE3D13"/>
    <w:rsid w:val="00CF0428"/>
    <w:rsid w:val="00D03A92"/>
    <w:rsid w:val="00D12289"/>
    <w:rsid w:val="00D34C35"/>
    <w:rsid w:val="00D55753"/>
    <w:rsid w:val="00D6495B"/>
    <w:rsid w:val="00D85649"/>
    <w:rsid w:val="00DD656D"/>
    <w:rsid w:val="00DD6F40"/>
    <w:rsid w:val="00E31081"/>
    <w:rsid w:val="00E331E4"/>
    <w:rsid w:val="00E4503E"/>
    <w:rsid w:val="00E56AEA"/>
    <w:rsid w:val="00E9494D"/>
    <w:rsid w:val="00ED3FC0"/>
    <w:rsid w:val="00ED65ED"/>
    <w:rsid w:val="00EF09B4"/>
    <w:rsid w:val="00EF18D5"/>
    <w:rsid w:val="00F0287F"/>
    <w:rsid w:val="00F54D64"/>
    <w:rsid w:val="00F605F5"/>
    <w:rsid w:val="00F61653"/>
    <w:rsid w:val="00FE2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AE5"/>
  </w:style>
  <w:style w:type="paragraph" w:styleId="Footer">
    <w:name w:val="footer"/>
    <w:basedOn w:val="Normal"/>
    <w:link w:val="FooterChar"/>
    <w:uiPriority w:val="99"/>
    <w:unhideWhenUsed/>
    <w:rsid w:val="005F0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AE5"/>
  </w:style>
  <w:style w:type="paragraph" w:styleId="ListParagraph">
    <w:name w:val="List Paragraph"/>
    <w:basedOn w:val="Normal"/>
    <w:uiPriority w:val="34"/>
    <w:qFormat/>
    <w:rsid w:val="004377F5"/>
    <w:pPr>
      <w:ind w:left="720"/>
      <w:contextualSpacing/>
    </w:pPr>
  </w:style>
  <w:style w:type="paragraph" w:styleId="BalloonText">
    <w:name w:val="Balloon Text"/>
    <w:basedOn w:val="Normal"/>
    <w:link w:val="BalloonTextChar"/>
    <w:uiPriority w:val="99"/>
    <w:semiHidden/>
    <w:unhideWhenUsed/>
    <w:rsid w:val="0036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A4"/>
    <w:rPr>
      <w:rFonts w:ascii="Tahoma" w:hAnsi="Tahoma" w:cs="Tahoma"/>
      <w:sz w:val="16"/>
      <w:szCs w:val="16"/>
    </w:rPr>
  </w:style>
  <w:style w:type="character" w:styleId="Hyperlink">
    <w:name w:val="Hyperlink"/>
    <w:basedOn w:val="DefaultParagraphFont"/>
    <w:uiPriority w:val="99"/>
    <w:unhideWhenUsed/>
    <w:rsid w:val="0024728B"/>
    <w:rPr>
      <w:color w:val="0000FF" w:themeColor="hyperlink"/>
      <w:u w:val="single"/>
    </w:rPr>
  </w:style>
  <w:style w:type="character" w:styleId="CommentReference">
    <w:name w:val="annotation reference"/>
    <w:basedOn w:val="DefaultParagraphFont"/>
    <w:uiPriority w:val="99"/>
    <w:semiHidden/>
    <w:unhideWhenUsed/>
    <w:rsid w:val="0028357F"/>
    <w:rPr>
      <w:sz w:val="16"/>
      <w:szCs w:val="16"/>
    </w:rPr>
  </w:style>
  <w:style w:type="paragraph" w:styleId="CommentText">
    <w:name w:val="annotation text"/>
    <w:basedOn w:val="Normal"/>
    <w:link w:val="CommentTextChar"/>
    <w:uiPriority w:val="99"/>
    <w:semiHidden/>
    <w:unhideWhenUsed/>
    <w:rsid w:val="0028357F"/>
    <w:pPr>
      <w:spacing w:line="240" w:lineRule="auto"/>
    </w:pPr>
    <w:rPr>
      <w:sz w:val="20"/>
      <w:szCs w:val="20"/>
    </w:rPr>
  </w:style>
  <w:style w:type="character" w:customStyle="1" w:styleId="CommentTextChar">
    <w:name w:val="Comment Text Char"/>
    <w:basedOn w:val="DefaultParagraphFont"/>
    <w:link w:val="CommentText"/>
    <w:uiPriority w:val="99"/>
    <w:semiHidden/>
    <w:rsid w:val="0028357F"/>
    <w:rPr>
      <w:sz w:val="20"/>
      <w:szCs w:val="20"/>
    </w:rPr>
  </w:style>
  <w:style w:type="paragraph" w:styleId="CommentSubject">
    <w:name w:val="annotation subject"/>
    <w:basedOn w:val="CommentText"/>
    <w:next w:val="CommentText"/>
    <w:link w:val="CommentSubjectChar"/>
    <w:uiPriority w:val="99"/>
    <w:semiHidden/>
    <w:unhideWhenUsed/>
    <w:rsid w:val="0028357F"/>
    <w:rPr>
      <w:b/>
      <w:bCs/>
    </w:rPr>
  </w:style>
  <w:style w:type="character" w:customStyle="1" w:styleId="CommentSubjectChar">
    <w:name w:val="Comment Subject Char"/>
    <w:basedOn w:val="CommentTextChar"/>
    <w:link w:val="CommentSubject"/>
    <w:uiPriority w:val="99"/>
    <w:semiHidden/>
    <w:rsid w:val="0028357F"/>
    <w:rPr>
      <w:b/>
      <w:bCs/>
      <w:sz w:val="20"/>
      <w:szCs w:val="20"/>
    </w:rPr>
  </w:style>
  <w:style w:type="paragraph" w:styleId="Revision">
    <w:name w:val="Revision"/>
    <w:hidden/>
    <w:uiPriority w:val="99"/>
    <w:semiHidden/>
    <w:rsid w:val="000C7976"/>
    <w:pPr>
      <w:spacing w:after="0" w:line="240" w:lineRule="auto"/>
    </w:pPr>
  </w:style>
  <w:style w:type="paragraph" w:customStyle="1" w:styleId="Default">
    <w:name w:val="Default"/>
    <w:rsid w:val="009E727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AE5"/>
  </w:style>
  <w:style w:type="paragraph" w:styleId="Footer">
    <w:name w:val="footer"/>
    <w:basedOn w:val="Normal"/>
    <w:link w:val="FooterChar"/>
    <w:uiPriority w:val="99"/>
    <w:unhideWhenUsed/>
    <w:rsid w:val="005F0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AE5"/>
  </w:style>
  <w:style w:type="paragraph" w:styleId="ListParagraph">
    <w:name w:val="List Paragraph"/>
    <w:basedOn w:val="Normal"/>
    <w:uiPriority w:val="34"/>
    <w:qFormat/>
    <w:rsid w:val="004377F5"/>
    <w:pPr>
      <w:ind w:left="720"/>
      <w:contextualSpacing/>
    </w:pPr>
  </w:style>
  <w:style w:type="paragraph" w:styleId="BalloonText">
    <w:name w:val="Balloon Text"/>
    <w:basedOn w:val="Normal"/>
    <w:link w:val="BalloonTextChar"/>
    <w:uiPriority w:val="99"/>
    <w:semiHidden/>
    <w:unhideWhenUsed/>
    <w:rsid w:val="0036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A4"/>
    <w:rPr>
      <w:rFonts w:ascii="Tahoma" w:hAnsi="Tahoma" w:cs="Tahoma"/>
      <w:sz w:val="16"/>
      <w:szCs w:val="16"/>
    </w:rPr>
  </w:style>
  <w:style w:type="character" w:styleId="Hyperlink">
    <w:name w:val="Hyperlink"/>
    <w:basedOn w:val="DefaultParagraphFont"/>
    <w:uiPriority w:val="99"/>
    <w:unhideWhenUsed/>
    <w:rsid w:val="0024728B"/>
    <w:rPr>
      <w:color w:val="0000FF" w:themeColor="hyperlink"/>
      <w:u w:val="single"/>
    </w:rPr>
  </w:style>
  <w:style w:type="character" w:styleId="CommentReference">
    <w:name w:val="annotation reference"/>
    <w:basedOn w:val="DefaultParagraphFont"/>
    <w:uiPriority w:val="99"/>
    <w:semiHidden/>
    <w:unhideWhenUsed/>
    <w:rsid w:val="0028357F"/>
    <w:rPr>
      <w:sz w:val="16"/>
      <w:szCs w:val="16"/>
    </w:rPr>
  </w:style>
  <w:style w:type="paragraph" w:styleId="CommentText">
    <w:name w:val="annotation text"/>
    <w:basedOn w:val="Normal"/>
    <w:link w:val="CommentTextChar"/>
    <w:uiPriority w:val="99"/>
    <w:semiHidden/>
    <w:unhideWhenUsed/>
    <w:rsid w:val="0028357F"/>
    <w:pPr>
      <w:spacing w:line="240" w:lineRule="auto"/>
    </w:pPr>
    <w:rPr>
      <w:sz w:val="20"/>
      <w:szCs w:val="20"/>
    </w:rPr>
  </w:style>
  <w:style w:type="character" w:customStyle="1" w:styleId="CommentTextChar">
    <w:name w:val="Comment Text Char"/>
    <w:basedOn w:val="DefaultParagraphFont"/>
    <w:link w:val="CommentText"/>
    <w:uiPriority w:val="99"/>
    <w:semiHidden/>
    <w:rsid w:val="0028357F"/>
    <w:rPr>
      <w:sz w:val="20"/>
      <w:szCs w:val="20"/>
    </w:rPr>
  </w:style>
  <w:style w:type="paragraph" w:styleId="CommentSubject">
    <w:name w:val="annotation subject"/>
    <w:basedOn w:val="CommentText"/>
    <w:next w:val="CommentText"/>
    <w:link w:val="CommentSubjectChar"/>
    <w:uiPriority w:val="99"/>
    <w:semiHidden/>
    <w:unhideWhenUsed/>
    <w:rsid w:val="0028357F"/>
    <w:rPr>
      <w:b/>
      <w:bCs/>
    </w:rPr>
  </w:style>
  <w:style w:type="character" w:customStyle="1" w:styleId="CommentSubjectChar">
    <w:name w:val="Comment Subject Char"/>
    <w:basedOn w:val="CommentTextChar"/>
    <w:link w:val="CommentSubject"/>
    <w:uiPriority w:val="99"/>
    <w:semiHidden/>
    <w:rsid w:val="0028357F"/>
    <w:rPr>
      <w:b/>
      <w:bCs/>
      <w:sz w:val="20"/>
      <w:szCs w:val="20"/>
    </w:rPr>
  </w:style>
  <w:style w:type="paragraph" w:styleId="Revision">
    <w:name w:val="Revision"/>
    <w:hidden/>
    <w:uiPriority w:val="99"/>
    <w:semiHidden/>
    <w:rsid w:val="000C7976"/>
    <w:pPr>
      <w:spacing w:after="0" w:line="240" w:lineRule="auto"/>
    </w:pPr>
  </w:style>
  <w:style w:type="paragraph" w:customStyle="1" w:styleId="Default">
    <w:name w:val="Default"/>
    <w:rsid w:val="009E727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031">
      <w:bodyDiv w:val="1"/>
      <w:marLeft w:val="0"/>
      <w:marRight w:val="0"/>
      <w:marTop w:val="0"/>
      <w:marBottom w:val="0"/>
      <w:divBdr>
        <w:top w:val="none" w:sz="0" w:space="0" w:color="auto"/>
        <w:left w:val="none" w:sz="0" w:space="0" w:color="auto"/>
        <w:bottom w:val="none" w:sz="0" w:space="0" w:color="auto"/>
        <w:right w:val="none" w:sz="0" w:space="0" w:color="auto"/>
      </w:divBdr>
    </w:div>
    <w:div w:id="542445518">
      <w:bodyDiv w:val="1"/>
      <w:marLeft w:val="0"/>
      <w:marRight w:val="0"/>
      <w:marTop w:val="0"/>
      <w:marBottom w:val="0"/>
      <w:divBdr>
        <w:top w:val="none" w:sz="0" w:space="0" w:color="auto"/>
        <w:left w:val="none" w:sz="0" w:space="0" w:color="auto"/>
        <w:bottom w:val="none" w:sz="0" w:space="0" w:color="auto"/>
        <w:right w:val="none" w:sz="0" w:space="0" w:color="auto"/>
      </w:divBdr>
    </w:div>
    <w:div w:id="971447735">
      <w:bodyDiv w:val="1"/>
      <w:marLeft w:val="0"/>
      <w:marRight w:val="0"/>
      <w:marTop w:val="0"/>
      <w:marBottom w:val="0"/>
      <w:divBdr>
        <w:top w:val="none" w:sz="0" w:space="0" w:color="auto"/>
        <w:left w:val="none" w:sz="0" w:space="0" w:color="auto"/>
        <w:bottom w:val="none" w:sz="0" w:space="0" w:color="auto"/>
        <w:right w:val="none" w:sz="0" w:space="0" w:color="auto"/>
      </w:divBdr>
    </w:div>
    <w:div w:id="1535116250">
      <w:bodyDiv w:val="1"/>
      <w:marLeft w:val="0"/>
      <w:marRight w:val="0"/>
      <w:marTop w:val="0"/>
      <w:marBottom w:val="0"/>
      <w:divBdr>
        <w:top w:val="none" w:sz="0" w:space="0" w:color="auto"/>
        <w:left w:val="none" w:sz="0" w:space="0" w:color="auto"/>
        <w:bottom w:val="none" w:sz="0" w:space="0" w:color="auto"/>
        <w:right w:val="none" w:sz="0" w:space="0" w:color="auto"/>
      </w:divBdr>
    </w:div>
    <w:div w:id="17147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1DD4-F618-4311-BF9B-41400CBA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 Stephanie (SEN)</dc:creator>
  <cp:lastModifiedBy>Coles, Anita (SEN)</cp:lastModifiedBy>
  <cp:revision>15</cp:revision>
  <cp:lastPrinted>2020-02-05T00:41:00Z</cp:lastPrinted>
  <dcterms:created xsi:type="dcterms:W3CDTF">2020-02-05T00:05:00Z</dcterms:created>
  <dcterms:modified xsi:type="dcterms:W3CDTF">2020-02-06T01:34:00Z</dcterms:modified>
</cp:coreProperties>
</file>