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9A" w:rsidRPr="00F0188D" w:rsidRDefault="0070259A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PARLIAMENTARY JOINT COMMITTEE ON HUMAN RIGHTS</w:t>
      </w:r>
    </w:p>
    <w:p w:rsidR="0070259A" w:rsidRPr="00F0188D" w:rsidRDefault="0070259A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CHAIR'S TABLING STATEMENT</w:t>
      </w:r>
    </w:p>
    <w:p w:rsidR="0070259A" w:rsidRPr="00F0188D" w:rsidRDefault="00800E19" w:rsidP="0070259A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</w:t>
      </w:r>
      <w:r w:rsidR="008C52D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uesday </w:t>
      </w:r>
      <w:r w:rsidR="00AD6E4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11 August</w:t>
      </w:r>
      <w:r w:rsidR="00121B6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A50D7F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2015</w:t>
      </w:r>
    </w:p>
    <w:p w:rsidR="0070259A" w:rsidRPr="00F0188D" w:rsidRDefault="0070259A" w:rsidP="0070259A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018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rise to speak to the tabling of the Parliamentary Joint Committee on Human Rights’ </w:t>
      </w:r>
      <w:r w:rsidR="00267B61">
        <w:rPr>
          <w:rFonts w:ascii="Times New Roman" w:hAnsi="Times New Roman" w:cs="Times New Roman"/>
          <w:color w:val="000000" w:themeColor="text1"/>
          <w:sz w:val="32"/>
          <w:szCs w:val="32"/>
        </w:rPr>
        <w:t>Twenty-</w:t>
      </w:r>
      <w:bookmarkStart w:id="0" w:name="_GoBack"/>
      <w:bookmarkEnd w:id="0"/>
      <w:r w:rsidR="008C52D9">
        <w:rPr>
          <w:rFonts w:ascii="Times New Roman" w:hAnsi="Times New Roman" w:cs="Times New Roman"/>
          <w:color w:val="000000" w:themeColor="text1"/>
          <w:sz w:val="32"/>
          <w:szCs w:val="32"/>
        </w:rPr>
        <w:t>f</w:t>
      </w:r>
      <w:r w:rsidR="00AD6E44">
        <w:rPr>
          <w:rFonts w:ascii="Times New Roman" w:hAnsi="Times New Roman" w:cs="Times New Roman"/>
          <w:color w:val="000000" w:themeColor="text1"/>
          <w:sz w:val="32"/>
          <w:szCs w:val="32"/>
        </w:rPr>
        <w:t>ifth</w:t>
      </w:r>
      <w:r w:rsidR="005F68B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45847">
        <w:rPr>
          <w:rFonts w:ascii="Times New Roman" w:hAnsi="Times New Roman" w:cs="Times New Roman"/>
          <w:color w:val="000000" w:themeColor="text1"/>
          <w:sz w:val="32"/>
          <w:szCs w:val="32"/>
        </w:rPr>
        <w:t>Report</w:t>
      </w:r>
      <w:r w:rsidR="00B473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of the 44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 w:rsidR="00B473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Parliament</w:t>
      </w:r>
      <w:r w:rsidR="004A0ED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87298D" w:rsidRDefault="0087298D" w:rsidP="0087298D">
      <w:pPr>
        <w:spacing w:before="24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Pr="00F0188D">
        <w:rPr>
          <w:rFonts w:ascii="Times New Roman" w:hAnsi="Times New Roman" w:cs="Times New Roman"/>
          <w:color w:val="000000" w:themeColor="text1"/>
          <w:sz w:val="32"/>
          <w:szCs w:val="32"/>
        </w:rPr>
        <w:t>h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 committee's </w:t>
      </w:r>
      <w:r w:rsidRPr="00F0188D">
        <w:rPr>
          <w:rFonts w:ascii="Times New Roman" w:hAnsi="Times New Roman" w:cs="Times New Roman"/>
          <w:color w:val="000000" w:themeColor="text1"/>
          <w:sz w:val="32"/>
          <w:szCs w:val="32"/>
        </w:rPr>
        <w:t>report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Pr="00F018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examine</w:t>
      </w:r>
      <w:r w:rsidRPr="00F018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the compatibility of bills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 legislative instruments </w:t>
      </w:r>
      <w:r w:rsidRPr="00F0188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with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Australia's </w:t>
      </w:r>
      <w:r w:rsidRPr="00F0188D">
        <w:rPr>
          <w:rFonts w:ascii="Times New Roman" w:hAnsi="Times New Roman" w:cs="Times New Roman"/>
          <w:color w:val="000000" w:themeColor="text1"/>
          <w:sz w:val="32"/>
          <w:szCs w:val="32"/>
        </w:rPr>
        <w:t>human rights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obligations, and this report considers </w:t>
      </w:r>
      <w:r w:rsidR="00267B61" w:rsidRPr="00267B61">
        <w:rPr>
          <w:rFonts w:ascii="Times New Roman" w:eastAsia="Times New Roman" w:hAnsi="Times New Roman" w:cs="Times New Roman"/>
          <w:sz w:val="32"/>
          <w:szCs w:val="32"/>
        </w:rPr>
        <w:t xml:space="preserve">bills introduced into the Parliament from </w:t>
      </w:r>
      <w:r w:rsidR="00AD6E44">
        <w:rPr>
          <w:rFonts w:ascii="Times New Roman" w:eastAsia="Times New Roman" w:hAnsi="Times New Roman" w:cs="Times New Roman"/>
          <w:sz w:val="32"/>
          <w:szCs w:val="32"/>
        </w:rPr>
        <w:t>22</w:t>
      </w:r>
      <w:r w:rsidR="008C52D9">
        <w:rPr>
          <w:rFonts w:ascii="Times New Roman" w:eastAsia="Times New Roman" w:hAnsi="Times New Roman" w:cs="Times New Roman"/>
          <w:sz w:val="32"/>
          <w:szCs w:val="32"/>
        </w:rPr>
        <w:t xml:space="preserve"> to </w:t>
      </w:r>
      <w:r w:rsidR="00AD6E44">
        <w:rPr>
          <w:rFonts w:ascii="Times New Roman" w:eastAsia="Times New Roman" w:hAnsi="Times New Roman" w:cs="Times New Roman"/>
          <w:sz w:val="32"/>
          <w:szCs w:val="32"/>
        </w:rPr>
        <w:t>25</w:t>
      </w:r>
      <w:r w:rsidR="008C52D9">
        <w:rPr>
          <w:rFonts w:ascii="Times New Roman" w:eastAsia="Times New Roman" w:hAnsi="Times New Roman" w:cs="Times New Roman"/>
          <w:sz w:val="32"/>
          <w:szCs w:val="32"/>
        </w:rPr>
        <w:t xml:space="preserve"> June </w:t>
      </w:r>
      <w:r w:rsidR="00355E7E">
        <w:rPr>
          <w:rFonts w:ascii="Times New Roman" w:eastAsia="Times New Roman" w:hAnsi="Times New Roman" w:cs="Times New Roman"/>
          <w:sz w:val="32"/>
          <w:szCs w:val="32"/>
        </w:rPr>
        <w:t>2015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="00355E7E">
        <w:rPr>
          <w:rFonts w:ascii="Times New Roman" w:eastAsia="Times New Roman" w:hAnsi="Times New Roman" w:cs="Times New Roman"/>
          <w:sz w:val="32"/>
          <w:szCs w:val="32"/>
        </w:rPr>
        <w:t xml:space="preserve"> and</w:t>
      </w:r>
      <w:r w:rsidR="00267B61" w:rsidRPr="00267B61">
        <w:rPr>
          <w:rFonts w:ascii="Times New Roman" w:eastAsia="Times New Roman" w:hAnsi="Times New Roman" w:cs="Times New Roman"/>
          <w:sz w:val="32"/>
          <w:szCs w:val="32"/>
        </w:rPr>
        <w:t xml:space="preserve"> legislative instruments received from </w:t>
      </w:r>
      <w:r w:rsidR="00F62A0E">
        <w:rPr>
          <w:rFonts w:ascii="Times New Roman" w:eastAsia="Times New Roman" w:hAnsi="Times New Roman" w:cs="Times New Roman"/>
          <w:sz w:val="32"/>
          <w:szCs w:val="32"/>
        </w:rPr>
        <w:t>29 May to 11 </w:t>
      </w:r>
      <w:r w:rsidR="00AD6E44">
        <w:rPr>
          <w:rFonts w:ascii="Times New Roman" w:eastAsia="Times New Roman" w:hAnsi="Times New Roman" w:cs="Times New Roman"/>
          <w:sz w:val="32"/>
          <w:szCs w:val="32"/>
        </w:rPr>
        <w:t>June</w:t>
      </w:r>
      <w:r w:rsidR="008C52D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67B61" w:rsidRPr="00267B61">
        <w:rPr>
          <w:rFonts w:ascii="Times New Roman" w:eastAsia="Times New Roman" w:hAnsi="Times New Roman" w:cs="Times New Roman"/>
          <w:sz w:val="32"/>
          <w:szCs w:val="32"/>
        </w:rPr>
        <w:t>2015.</w:t>
      </w:r>
    </w:p>
    <w:p w:rsidR="00267B61" w:rsidRPr="00267B61" w:rsidRDefault="00267B61" w:rsidP="0087298D">
      <w:pPr>
        <w:spacing w:before="24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7B61">
        <w:rPr>
          <w:rFonts w:ascii="Times New Roman" w:eastAsia="Times New Roman" w:hAnsi="Times New Roman" w:cs="Times New Roman"/>
          <w:sz w:val="32"/>
          <w:szCs w:val="32"/>
        </w:rPr>
        <w:t xml:space="preserve">The report also includes the committee's consideration of responses </w:t>
      </w:r>
      <w:r w:rsidR="0087298D">
        <w:rPr>
          <w:rFonts w:ascii="Times New Roman" w:eastAsia="Times New Roman" w:hAnsi="Times New Roman" w:cs="Times New Roman"/>
          <w:sz w:val="32"/>
          <w:szCs w:val="32"/>
        </w:rPr>
        <w:t xml:space="preserve">to matters raised in </w:t>
      </w:r>
      <w:r w:rsidRPr="00267B61">
        <w:rPr>
          <w:rFonts w:ascii="Times New Roman" w:eastAsia="Times New Roman" w:hAnsi="Times New Roman" w:cs="Times New Roman"/>
          <w:sz w:val="32"/>
          <w:szCs w:val="32"/>
        </w:rPr>
        <w:t>previous reports.</w:t>
      </w:r>
    </w:p>
    <w:p w:rsidR="00C87C47" w:rsidRDefault="00C87C47" w:rsidP="00C87C47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A2C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Of the </w:t>
      </w:r>
      <w:r w:rsidR="00AD6E44">
        <w:rPr>
          <w:rFonts w:ascii="Times New Roman" w:hAnsi="Times New Roman" w:cs="Times New Roman"/>
          <w:color w:val="000000" w:themeColor="text1"/>
          <w:sz w:val="32"/>
          <w:szCs w:val="32"/>
        </w:rPr>
        <w:t>22</w:t>
      </w:r>
      <w:r w:rsidRPr="007A2C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bills</w:t>
      </w:r>
      <w:r w:rsidR="008C5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and </w:t>
      </w:r>
      <w:r w:rsidR="00AD6E44">
        <w:rPr>
          <w:rFonts w:ascii="Times New Roman" w:hAnsi="Times New Roman" w:cs="Times New Roman"/>
          <w:color w:val="000000" w:themeColor="text1"/>
          <w:sz w:val="32"/>
          <w:szCs w:val="32"/>
        </w:rPr>
        <w:t>two</w:t>
      </w:r>
      <w:r w:rsidR="008C5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instrument</w:t>
      </w:r>
      <w:r w:rsidR="00AD6E44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8C5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53E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examined </w:t>
      </w:r>
      <w:r w:rsidRPr="007A2C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 this report, </w:t>
      </w:r>
      <w:r w:rsidR="00AD6E4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18 </w:t>
      </w:r>
      <w:r w:rsidRPr="007A2CAB">
        <w:rPr>
          <w:rFonts w:ascii="Times New Roman" w:hAnsi="Times New Roman" w:cs="Times New Roman"/>
          <w:color w:val="000000" w:themeColor="text1"/>
          <w:sz w:val="32"/>
          <w:szCs w:val="32"/>
        </w:rPr>
        <w:t>are assessed as not raising human rights concerns</w:t>
      </w:r>
      <w:r w:rsidR="00D82034" w:rsidRPr="007A2CAB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7A2C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and </w:t>
      </w:r>
      <w:r w:rsidR="00AD6E44">
        <w:rPr>
          <w:rFonts w:ascii="Times New Roman" w:hAnsi="Times New Roman" w:cs="Times New Roman"/>
          <w:color w:val="000000" w:themeColor="text1"/>
          <w:sz w:val="32"/>
          <w:szCs w:val="32"/>
        </w:rPr>
        <w:t>six</w:t>
      </w:r>
      <w:r w:rsidR="00AF24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7A2C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raise matters </w:t>
      </w:r>
      <w:r w:rsidR="0087298D">
        <w:rPr>
          <w:rFonts w:ascii="Times New Roman" w:hAnsi="Times New Roman" w:cs="Times New Roman"/>
          <w:color w:val="000000" w:themeColor="text1"/>
          <w:sz w:val="32"/>
          <w:szCs w:val="32"/>
        </w:rPr>
        <w:t>in relation to which the committee will seek a response from the legislation proponents</w:t>
      </w:r>
      <w:r w:rsidRPr="007A2C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The committee has concluded its examination of </w:t>
      </w:r>
      <w:r w:rsidR="00AD6E44">
        <w:rPr>
          <w:rFonts w:ascii="Times New Roman" w:hAnsi="Times New Roman" w:cs="Times New Roman"/>
          <w:color w:val="000000" w:themeColor="text1"/>
          <w:sz w:val="32"/>
          <w:szCs w:val="32"/>
        </w:rPr>
        <w:t>six</w:t>
      </w:r>
      <w:r w:rsidRPr="007A2C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bills</w:t>
      </w:r>
      <w:r w:rsidR="0087298D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355E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and has </w:t>
      </w:r>
      <w:r w:rsidR="000C5CF2">
        <w:rPr>
          <w:rFonts w:ascii="Times New Roman" w:hAnsi="Times New Roman" w:cs="Times New Roman"/>
          <w:color w:val="000000" w:themeColor="text1"/>
          <w:sz w:val="32"/>
          <w:szCs w:val="32"/>
        </w:rPr>
        <w:t>deferred consideration of one bill.</w:t>
      </w:r>
    </w:p>
    <w:p w:rsidR="000C5CF2" w:rsidRDefault="000C5CF2" w:rsidP="000C5CF2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 number of the bills </w:t>
      </w:r>
      <w:r w:rsidR="00353E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examined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are scheduled for debate during the sitting week commencing 10 August 2015, including:</w:t>
      </w:r>
    </w:p>
    <w:p w:rsidR="000C5CF2" w:rsidRDefault="000C5CF2" w:rsidP="000C5CF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the M</w:t>
      </w:r>
      <w:r w:rsidRPr="000C5CF2">
        <w:rPr>
          <w:rFonts w:ascii="Times New Roman" w:hAnsi="Times New Roman" w:cs="Times New Roman"/>
          <w:color w:val="000000" w:themeColor="text1"/>
          <w:sz w:val="32"/>
          <w:szCs w:val="32"/>
        </w:rPr>
        <w:t>igration Amendment (Strengthening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Biometrics Integrity) Bill; and</w:t>
      </w:r>
    </w:p>
    <w:p w:rsidR="000C5CF2" w:rsidRPr="007D4FF7" w:rsidRDefault="000C5CF2" w:rsidP="000C5CF2">
      <w:pPr>
        <w:pStyle w:val="ListParagraph"/>
        <w:numPr>
          <w:ilvl w:val="0"/>
          <w:numId w:val="19"/>
        </w:numPr>
        <w:spacing w:before="24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the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C5CF2">
        <w:rPr>
          <w:rFonts w:ascii="Times New Roman" w:hAnsi="Times New Roman" w:cs="Times New Roman"/>
          <w:color w:val="000000" w:themeColor="text1"/>
          <w:sz w:val="32"/>
          <w:szCs w:val="32"/>
        </w:rPr>
        <w:t>Social Services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Legislation Amendment Bill.</w:t>
      </w:r>
    </w:p>
    <w:p w:rsidR="00355E7E" w:rsidRDefault="00355E7E" w:rsidP="00355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55E7E" w:rsidRDefault="00BD7D15" w:rsidP="000C5CF2">
      <w:pPr>
        <w:spacing w:before="240"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In this report the committee has </w:t>
      </w:r>
      <w:r w:rsidR="00353E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examined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</w:t>
      </w:r>
      <w:r w:rsidR="00AD6E44">
        <w:rPr>
          <w:rFonts w:ascii="Times New Roman" w:hAnsi="Times New Roman" w:cs="Times New Roman"/>
          <w:color w:val="000000" w:themeColor="text1"/>
          <w:sz w:val="32"/>
          <w:szCs w:val="32"/>
        </w:rPr>
        <w:t>Australian Citizenship (Allegiance to Australia) Bill 2015</w:t>
      </w:r>
      <w:r w:rsidR="00353E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which </w:t>
      </w:r>
      <w:r w:rsidR="00E51C26">
        <w:rPr>
          <w:rFonts w:ascii="Times New Roman" w:hAnsi="Times New Roman" w:cs="Times New Roman"/>
          <w:color w:val="000000" w:themeColor="text1"/>
          <w:sz w:val="32"/>
          <w:szCs w:val="32"/>
        </w:rPr>
        <w:t>is an important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51C2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and complex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bill </w:t>
      </w:r>
      <w:r w:rsidR="00353E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that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raises a number of human rights questions. </w:t>
      </w:r>
      <w:r w:rsidR="00353E7E">
        <w:rPr>
          <w:rFonts w:ascii="Times New Roman" w:hAnsi="Times New Roman" w:cs="Times New Roman"/>
          <w:color w:val="000000" w:themeColor="text1"/>
          <w:sz w:val="32"/>
          <w:szCs w:val="32"/>
        </w:rPr>
        <w:t>In keeping with its usual approach, t</w:t>
      </w:r>
      <w:r w:rsidR="00AE042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he </w:t>
      </w:r>
      <w:r w:rsidR="00E51C2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committee has determined to ask the Minister for Immigration and Border Protection for further information to help </w:t>
      </w:r>
      <w:r w:rsidR="000312AD">
        <w:rPr>
          <w:rFonts w:ascii="Times New Roman" w:hAnsi="Times New Roman" w:cs="Times New Roman"/>
          <w:color w:val="000000" w:themeColor="text1"/>
          <w:sz w:val="32"/>
          <w:szCs w:val="32"/>
        </w:rPr>
        <w:t>the committee assess the human rights compatibility of the bill. In particular, the committee wishes to understand</w:t>
      </w:r>
      <w:r w:rsidR="00355E7E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355E7E" w:rsidRPr="00355E7E" w:rsidRDefault="000312AD" w:rsidP="00355E7E">
      <w:pPr>
        <w:pStyle w:val="ListParagraph"/>
        <w:numPr>
          <w:ilvl w:val="0"/>
          <w:numId w:val="22"/>
        </w:numPr>
        <w:spacing w:before="240"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55E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whether there is reasoning or evidence that establishes that the stated objective </w:t>
      </w:r>
      <w:r w:rsidR="00353E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of the bill </w:t>
      </w:r>
      <w:r w:rsidRPr="00355E7E">
        <w:rPr>
          <w:rFonts w:ascii="Times New Roman" w:hAnsi="Times New Roman" w:cs="Times New Roman"/>
          <w:color w:val="000000" w:themeColor="text1"/>
          <w:sz w:val="32"/>
          <w:szCs w:val="32"/>
        </w:rPr>
        <w:t>addresses a pressing or substantial concern</w:t>
      </w:r>
      <w:r w:rsidR="00355E7E" w:rsidRPr="00355E7E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  <w:r w:rsidRPr="00355E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355E7E" w:rsidRPr="00355E7E" w:rsidRDefault="000312AD" w:rsidP="00355E7E">
      <w:pPr>
        <w:pStyle w:val="ListParagraph"/>
        <w:numPr>
          <w:ilvl w:val="0"/>
          <w:numId w:val="22"/>
        </w:numPr>
        <w:spacing w:before="240"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55E7E">
        <w:rPr>
          <w:rFonts w:ascii="Times New Roman" w:hAnsi="Times New Roman" w:cs="Times New Roman"/>
          <w:color w:val="000000" w:themeColor="text1"/>
          <w:sz w:val="32"/>
          <w:szCs w:val="32"/>
        </w:rPr>
        <w:t>whether there is a rational connection between any limitations on rights and that objective</w:t>
      </w:r>
      <w:r w:rsidR="00355E7E" w:rsidRPr="00355E7E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  <w:r w:rsidRPr="00355E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and </w:t>
      </w:r>
    </w:p>
    <w:p w:rsidR="00355E7E" w:rsidRPr="00355E7E" w:rsidRDefault="000312AD" w:rsidP="00355E7E">
      <w:pPr>
        <w:pStyle w:val="ListParagraph"/>
        <w:numPr>
          <w:ilvl w:val="0"/>
          <w:numId w:val="22"/>
        </w:numPr>
        <w:spacing w:before="240"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355E7E">
        <w:rPr>
          <w:rFonts w:ascii="Times New Roman" w:hAnsi="Times New Roman" w:cs="Times New Roman"/>
          <w:color w:val="000000" w:themeColor="text1"/>
          <w:sz w:val="32"/>
          <w:szCs w:val="32"/>
        </w:rPr>
        <w:t>whether</w:t>
      </w:r>
      <w:proofErr w:type="gramEnd"/>
      <w:r w:rsidRPr="00355E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any limitations on rights are reasonable and proportionate to achieving that objective. </w:t>
      </w:r>
    </w:p>
    <w:p w:rsidR="00AD6E44" w:rsidRDefault="000312AD" w:rsidP="000C5CF2">
      <w:pPr>
        <w:spacing w:before="240"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Th</w:t>
      </w:r>
      <w:r w:rsidR="00353E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ese questions reflect the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analytical framework that the committee has </w:t>
      </w:r>
      <w:r w:rsidR="00353E7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applied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since its inception</w:t>
      </w:r>
      <w:r w:rsidR="00353E7E">
        <w:rPr>
          <w:rFonts w:ascii="Times New Roman" w:hAnsi="Times New Roman" w:cs="Times New Roman"/>
          <w:color w:val="000000" w:themeColor="text1"/>
          <w:sz w:val="32"/>
          <w:szCs w:val="32"/>
        </w:rPr>
        <w:t>, and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E01D4">
        <w:rPr>
          <w:rFonts w:ascii="Times New Roman" w:hAnsi="Times New Roman" w:cs="Times New Roman"/>
          <w:color w:val="000000" w:themeColor="text1"/>
          <w:sz w:val="32"/>
          <w:szCs w:val="32"/>
        </w:rPr>
        <w:t>which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allows the committee to assess whether any limitations on human rights are justifiable.</w:t>
      </w:r>
    </w:p>
    <w:p w:rsidR="00353E7E" w:rsidRDefault="00353E7E" w:rsidP="00AD6E44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In relation to </w:t>
      </w:r>
      <w:r w:rsidRPr="00267B61">
        <w:rPr>
          <w:rFonts w:ascii="Times New Roman" w:eastAsia="Times New Roman" w:hAnsi="Times New Roman" w:cs="Times New Roman"/>
          <w:sz w:val="32"/>
          <w:szCs w:val="32"/>
        </w:rPr>
        <w:t xml:space="preserve">the committee's consideration of responses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to matters raised in </w:t>
      </w:r>
      <w:r w:rsidRPr="00267B61">
        <w:rPr>
          <w:rFonts w:ascii="Times New Roman" w:eastAsia="Times New Roman" w:hAnsi="Times New Roman" w:cs="Times New Roman"/>
          <w:sz w:val="32"/>
          <w:szCs w:val="32"/>
        </w:rPr>
        <w:t>previous reports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 I would like to highlight what is an excellent example of the scrutiny dialogue between the committee and the executive working as intended</w:t>
      </w:r>
      <w:r w:rsidR="00FE61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7E01D4" w:rsidRDefault="00FE6136" w:rsidP="00AD6E44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In its initial examination of the </w:t>
      </w:r>
      <w:r w:rsidR="000312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Safety, Rehabilitation and Compensation Amendment (Improving the </w:t>
      </w:r>
      <w:proofErr w:type="spellStart"/>
      <w:r w:rsidR="000312AD">
        <w:rPr>
          <w:rFonts w:ascii="Times New Roman" w:hAnsi="Times New Roman" w:cs="Times New Roman"/>
          <w:color w:val="000000" w:themeColor="text1"/>
          <w:sz w:val="32"/>
          <w:szCs w:val="32"/>
        </w:rPr>
        <w:t>Comcare</w:t>
      </w:r>
      <w:proofErr w:type="spellEnd"/>
      <w:r w:rsidR="000312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Scheme) Bill 2015,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="005C64B9">
        <w:rPr>
          <w:rFonts w:ascii="Times New Roman" w:hAnsi="Times New Roman" w:cs="Times New Roman"/>
          <w:color w:val="000000" w:themeColor="text1"/>
          <w:sz w:val="32"/>
          <w:szCs w:val="32"/>
        </w:rPr>
        <w:t>he comm</w:t>
      </w:r>
      <w:r w:rsidR="007E01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ittee raised </w:t>
      </w:r>
      <w:r w:rsidR="005C64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concerns about the human rights compatibility of </w:t>
      </w:r>
      <w:r w:rsidR="007E01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 substantial number of measures </w:t>
      </w:r>
      <w:r w:rsidR="005C64B9">
        <w:rPr>
          <w:rFonts w:ascii="Times New Roman" w:hAnsi="Times New Roman" w:cs="Times New Roman"/>
          <w:color w:val="000000" w:themeColor="text1"/>
          <w:sz w:val="32"/>
          <w:szCs w:val="32"/>
        </w:rPr>
        <w:t>in the bill</w:t>
      </w:r>
      <w:r w:rsidR="007E01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In response, t</w:t>
      </w:r>
      <w:r w:rsidR="005C64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minister provided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an </w:t>
      </w:r>
      <w:r w:rsidR="005C64B9">
        <w:rPr>
          <w:rFonts w:ascii="Times New Roman" w:hAnsi="Times New Roman" w:cs="Times New Roman"/>
          <w:color w:val="000000" w:themeColor="text1"/>
          <w:sz w:val="32"/>
          <w:szCs w:val="32"/>
        </w:rPr>
        <w:t>extensive</w:t>
      </w:r>
      <w:proofErr w:type="gramEnd"/>
      <w:r w:rsidR="005C64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and detailed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human rights assessment of the measures, which directly addressed the matters raised by the committee. Clearly referencing the committee's analytical framework and expectations, the </w:t>
      </w:r>
      <w:r w:rsidR="005C64B9">
        <w:rPr>
          <w:rFonts w:ascii="Times New Roman" w:hAnsi="Times New Roman" w:cs="Times New Roman"/>
          <w:color w:val="000000" w:themeColor="text1"/>
          <w:sz w:val="32"/>
          <w:szCs w:val="32"/>
        </w:rPr>
        <w:t>response explained the legitimate objective of the measures</w:t>
      </w:r>
      <w:r w:rsidR="007E01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5C64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set out the safeguards and processes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 place to protect human rights, and provided clear and compelling evidence to underpin this analysis. On the basis of this response, </w:t>
      </w:r>
      <w:r w:rsidR="005C64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committee was able to assess almost all of the </w:t>
      </w:r>
      <w:r w:rsidR="007E01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limitations on rights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as being </w:t>
      </w:r>
      <w:r w:rsidR="007E01D4">
        <w:rPr>
          <w:rFonts w:ascii="Times New Roman" w:hAnsi="Times New Roman" w:cs="Times New Roman"/>
          <w:color w:val="000000" w:themeColor="text1"/>
          <w:sz w:val="32"/>
          <w:szCs w:val="32"/>
        </w:rPr>
        <w:t>reasonable and proportionate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7E01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and therefore</w:t>
      </w:r>
      <w:r w:rsidR="005C64B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compatible with human rights. </w:t>
      </w:r>
    </w:p>
    <w:p w:rsidR="00AD6E44" w:rsidRDefault="005C64B9" w:rsidP="00AD6E44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This can be </w:t>
      </w:r>
      <w:r w:rsidR="00FE613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helpfully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contrasted with the response provided in relation to the Seafarers Rehabilitation and Compensation and Other Legislation Amendment Bill 2015</w:t>
      </w:r>
      <w:r w:rsidR="00FE6136">
        <w:rPr>
          <w:rFonts w:ascii="Times New Roman" w:hAnsi="Times New Roman" w:cs="Times New Roman"/>
          <w:color w:val="000000" w:themeColor="text1"/>
          <w:sz w:val="32"/>
          <w:szCs w:val="32"/>
        </w:rPr>
        <w:t>, which was also considered in this report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The </w:t>
      </w:r>
      <w:r w:rsidR="006C0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response to the committee's inquiry on this bill was very brief,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did </w:t>
      </w:r>
      <w:r w:rsidR="007E01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not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address the specific question asked by the committee</w:t>
      </w:r>
      <w:r w:rsidR="006C0031">
        <w:rPr>
          <w:rFonts w:ascii="Times New Roman" w:hAnsi="Times New Roman" w:cs="Times New Roman"/>
          <w:color w:val="000000" w:themeColor="text1"/>
          <w:sz w:val="32"/>
          <w:szCs w:val="32"/>
        </w:rPr>
        <w:t>, and did not reflect the application of the committee's analytical framework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6C0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Although the response contained an assurance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that amendments to the bill during its passage adequately addressed the committee's concerns</w:t>
      </w:r>
      <w:r w:rsidR="006C0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there was no attempt to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explain </w:t>
      </w:r>
      <w:r w:rsidR="006C0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how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th</w:t>
      </w:r>
      <w:r w:rsidR="006C0031">
        <w:rPr>
          <w:rFonts w:ascii="Times New Roman" w:hAnsi="Times New Roman" w:cs="Times New Roman"/>
          <w:color w:val="000000" w:themeColor="text1"/>
          <w:sz w:val="32"/>
          <w:szCs w:val="32"/>
        </w:rPr>
        <w:t>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se complex amendments </w:t>
      </w:r>
      <w:r w:rsidR="006C0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 fact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addressed </w:t>
      </w:r>
      <w:r w:rsidR="007E01D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</w:t>
      </w:r>
      <w:r w:rsidR="006C0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human rights issues identified by the </w:t>
      </w:r>
      <w:r w:rsidR="007E01D4">
        <w:rPr>
          <w:rFonts w:ascii="Times New Roman" w:hAnsi="Times New Roman" w:cs="Times New Roman"/>
          <w:color w:val="000000" w:themeColor="text1"/>
          <w:sz w:val="32"/>
          <w:szCs w:val="32"/>
        </w:rPr>
        <w:t>committee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6C0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Looking at the substance of those issues, </w:t>
      </w:r>
      <w:r w:rsidR="006C003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i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 </w:t>
      </w:r>
      <w:r w:rsidR="006C0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appears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quite possible that </w:t>
      </w:r>
      <w:r w:rsidR="006C0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 more helpful and informative response </w:t>
      </w:r>
      <w:r w:rsidR="00295845">
        <w:rPr>
          <w:rFonts w:ascii="Times New Roman" w:hAnsi="Times New Roman" w:cs="Times New Roman"/>
          <w:color w:val="000000" w:themeColor="text1"/>
          <w:sz w:val="32"/>
          <w:szCs w:val="32"/>
        </w:rPr>
        <w:t>c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ould have </w:t>
      </w:r>
      <w:r w:rsidR="006C0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enabled the committee to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conclude that the bill was likely to be compatible with human</w:t>
      </w:r>
      <w:r w:rsidR="0029584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rights. However, in the absence of the information </w:t>
      </w:r>
      <w:r w:rsidR="006C0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sought, </w:t>
      </w:r>
      <w:r w:rsidR="0029584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 committee was unable to assess the extent of the limitation on the right to social security and was </w:t>
      </w:r>
      <w:r w:rsidR="006C003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therefore </w:t>
      </w:r>
      <w:r w:rsidR="00295845">
        <w:rPr>
          <w:rFonts w:ascii="Times New Roman" w:hAnsi="Times New Roman" w:cs="Times New Roman"/>
          <w:color w:val="000000" w:themeColor="text1"/>
          <w:sz w:val="32"/>
          <w:szCs w:val="32"/>
        </w:rPr>
        <w:t>unable to conclude that the bill was compatible with that right.</w:t>
      </w:r>
    </w:p>
    <w:p w:rsidR="000C5CF2" w:rsidRDefault="006C0031" w:rsidP="00AD6E44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The</w:t>
      </w:r>
      <w:r w:rsidR="007014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key element of the committee's work is the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scrutiny </w:t>
      </w:r>
      <w:r w:rsidR="007014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dialogue it maintains with executive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departments and </w:t>
      </w:r>
      <w:r w:rsidR="0070142F">
        <w:rPr>
          <w:rFonts w:ascii="Times New Roman" w:hAnsi="Times New Roman" w:cs="Times New Roman"/>
          <w:color w:val="000000" w:themeColor="text1"/>
          <w:sz w:val="32"/>
          <w:szCs w:val="32"/>
        </w:rPr>
        <w:t>agencies regarding the consideration of human rights in the development of policies and legislation.</w:t>
      </w:r>
      <w:r w:rsidR="0029584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As this tale of two responses demonstrates, the committee's ability to </w:t>
      </w:r>
      <w:r w:rsidR="00A048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appropriately </w:t>
      </w:r>
      <w:r w:rsidR="00295845">
        <w:rPr>
          <w:rFonts w:ascii="Times New Roman" w:hAnsi="Times New Roman" w:cs="Times New Roman"/>
          <w:color w:val="000000" w:themeColor="text1"/>
          <w:sz w:val="32"/>
          <w:szCs w:val="32"/>
        </w:rPr>
        <w:t>perform its scrutiny function in assessing bills and instruments for compatibility with human rights</w:t>
      </w:r>
      <w:r w:rsidR="00A048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is greatly influenced by the quality of the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dialogue </w:t>
      </w:r>
      <w:r w:rsidR="00A048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it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undertakes </w:t>
      </w:r>
      <w:r w:rsidR="00A048EF">
        <w:rPr>
          <w:rFonts w:ascii="Times New Roman" w:hAnsi="Times New Roman" w:cs="Times New Roman"/>
          <w:color w:val="000000" w:themeColor="text1"/>
          <w:sz w:val="32"/>
          <w:szCs w:val="32"/>
        </w:rPr>
        <w:t>with the proponent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s of legislation</w:t>
      </w:r>
      <w:r w:rsidR="00A048EF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AE0425" w:rsidRDefault="006C0031" w:rsidP="00AD6E44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As always, </w:t>
      </w:r>
      <w:r w:rsidR="00EC37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</w:t>
      </w:r>
      <w:r w:rsidR="00DC1468" w:rsidRPr="009B54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encourage my fellow </w:t>
      </w:r>
      <w:r w:rsidR="00DC1468">
        <w:rPr>
          <w:rFonts w:ascii="Times New Roman" w:hAnsi="Times New Roman" w:cs="Times New Roman"/>
          <w:color w:val="000000" w:themeColor="text1"/>
          <w:sz w:val="32"/>
          <w:szCs w:val="32"/>
        </w:rPr>
        <w:t>Members and others</w:t>
      </w:r>
      <w:r w:rsidR="00DC1468" w:rsidRPr="009B549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to </w:t>
      </w:r>
      <w:r w:rsidR="00DC14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examine </w:t>
      </w:r>
      <w:r w:rsidR="00DC1468" w:rsidRPr="009B5491">
        <w:rPr>
          <w:rFonts w:ascii="Times New Roman" w:hAnsi="Times New Roman" w:cs="Times New Roman"/>
          <w:color w:val="000000" w:themeColor="text1"/>
          <w:sz w:val="32"/>
          <w:szCs w:val="32"/>
        </w:rPr>
        <w:t>the committee's report to</w:t>
      </w:r>
      <w:r w:rsidR="00DC146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C1468" w:rsidRPr="003427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better inform their </w:t>
      </w:r>
      <w:r w:rsidR="00EC37E5">
        <w:rPr>
          <w:rFonts w:ascii="Times New Roman" w:hAnsi="Times New Roman" w:cs="Times New Roman"/>
          <w:color w:val="000000" w:themeColor="text1"/>
          <w:sz w:val="32"/>
          <w:szCs w:val="32"/>
        </w:rPr>
        <w:t>understanding of the committee's deliberations.</w:t>
      </w:r>
      <w:r w:rsidR="00EC37E5" w:rsidRPr="00EC37E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934C5E" w:rsidRPr="00F0188D" w:rsidRDefault="00A048EF" w:rsidP="00F74300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W</w:t>
      </w:r>
      <w:r w:rsidR="00F36D4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ith 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>these comments</w:t>
      </w:r>
      <w:r w:rsidR="00F36D4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 commend the committee's </w:t>
      </w:r>
      <w:r w:rsidR="005F68BA">
        <w:rPr>
          <w:rFonts w:ascii="Times New Roman" w:hAnsi="Times New Roman" w:cs="Times New Roman"/>
          <w:color w:val="000000" w:themeColor="text1"/>
          <w:sz w:val="32"/>
          <w:szCs w:val="32"/>
        </w:rPr>
        <w:t>Twent</w:t>
      </w:r>
      <w:r w:rsidR="00267B61">
        <w:rPr>
          <w:rFonts w:ascii="Times New Roman" w:hAnsi="Times New Roman" w:cs="Times New Roman"/>
          <w:color w:val="000000" w:themeColor="text1"/>
          <w:sz w:val="32"/>
          <w:szCs w:val="32"/>
        </w:rPr>
        <w:t>y-</w:t>
      </w:r>
      <w:r w:rsidR="008C52D9">
        <w:rPr>
          <w:rFonts w:ascii="Times New Roman" w:hAnsi="Times New Roman" w:cs="Times New Roman"/>
          <w:color w:val="000000" w:themeColor="text1"/>
          <w:sz w:val="32"/>
          <w:szCs w:val="32"/>
        </w:rPr>
        <w:t>f</w:t>
      </w:r>
      <w:r w:rsidR="00AD6E44">
        <w:rPr>
          <w:rFonts w:ascii="Times New Roman" w:hAnsi="Times New Roman" w:cs="Times New Roman"/>
          <w:color w:val="000000" w:themeColor="text1"/>
          <w:sz w:val="32"/>
          <w:szCs w:val="32"/>
        </w:rPr>
        <w:t>ifth</w:t>
      </w:r>
      <w:r w:rsidR="003427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>Report of the 44</w:t>
      </w:r>
      <w:r w:rsidR="00B47363" w:rsidRPr="008C52D9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th</w:t>
      </w:r>
      <w:r w:rsidR="008C52D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Parliament to the </w:t>
      </w:r>
      <w:r w:rsidR="008A5DE0">
        <w:rPr>
          <w:rFonts w:ascii="Times New Roman" w:hAnsi="Times New Roman" w:cs="Times New Roman"/>
          <w:color w:val="000000" w:themeColor="text1"/>
          <w:sz w:val="32"/>
          <w:szCs w:val="32"/>
        </w:rPr>
        <w:t>House</w:t>
      </w:r>
      <w:r w:rsidR="00B47363" w:rsidRPr="00B4736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sectPr w:rsidR="00934C5E" w:rsidRPr="00F0188D" w:rsidSect="002143C3">
      <w:footerReference w:type="default" r:id="rId9"/>
      <w:pgSz w:w="11906" w:h="16838" w:code="9"/>
      <w:pgMar w:top="1440" w:right="1440" w:bottom="1134" w:left="1440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91" w:rsidRDefault="00392191">
      <w:pPr>
        <w:spacing w:after="0" w:line="240" w:lineRule="auto"/>
      </w:pPr>
      <w:r>
        <w:separator/>
      </w:r>
    </w:p>
  </w:endnote>
  <w:endnote w:type="continuationSeparator" w:id="0">
    <w:p w:rsidR="00392191" w:rsidRDefault="0039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75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6FAE" w:rsidRDefault="00B815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A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6FAE" w:rsidRDefault="00F62A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91" w:rsidRDefault="00392191">
      <w:pPr>
        <w:spacing w:after="0" w:line="240" w:lineRule="auto"/>
      </w:pPr>
      <w:r>
        <w:separator/>
      </w:r>
    </w:p>
  </w:footnote>
  <w:footnote w:type="continuationSeparator" w:id="0">
    <w:p w:rsidR="00392191" w:rsidRDefault="00392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178DB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BF3BA0"/>
    <w:multiLevelType w:val="hybridMultilevel"/>
    <w:tmpl w:val="6FCE8A7C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E793B"/>
    <w:multiLevelType w:val="hybridMultilevel"/>
    <w:tmpl w:val="56DE0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A10C1"/>
    <w:multiLevelType w:val="hybridMultilevel"/>
    <w:tmpl w:val="F928FBB6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160D2890"/>
    <w:multiLevelType w:val="hybridMultilevel"/>
    <w:tmpl w:val="CBD401B0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87646"/>
    <w:multiLevelType w:val="singleLevel"/>
    <w:tmpl w:val="807C9A06"/>
    <w:lvl w:ilvl="0">
      <w:start w:val="1"/>
      <w:numFmt w:val="bullet"/>
      <w:pStyle w:val="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0"/>
      </w:rPr>
    </w:lvl>
  </w:abstractNum>
  <w:abstractNum w:abstractNumId="6">
    <w:nsid w:val="26816F4E"/>
    <w:multiLevelType w:val="hybridMultilevel"/>
    <w:tmpl w:val="93D4B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67E87"/>
    <w:multiLevelType w:val="hybridMultilevel"/>
    <w:tmpl w:val="96D4BCAE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219EB"/>
    <w:multiLevelType w:val="hybridMultilevel"/>
    <w:tmpl w:val="0764E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A58CC"/>
    <w:multiLevelType w:val="hybridMultilevel"/>
    <w:tmpl w:val="92EA9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859EF"/>
    <w:multiLevelType w:val="hybridMultilevel"/>
    <w:tmpl w:val="E99EF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37044"/>
    <w:multiLevelType w:val="hybridMultilevel"/>
    <w:tmpl w:val="7E62D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F0B6B"/>
    <w:multiLevelType w:val="hybridMultilevel"/>
    <w:tmpl w:val="62EA4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233E9"/>
    <w:multiLevelType w:val="hybridMultilevel"/>
    <w:tmpl w:val="D938F722"/>
    <w:lvl w:ilvl="0" w:tplc="48788DA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2471F"/>
    <w:multiLevelType w:val="multilevel"/>
    <w:tmpl w:val="E1DA1B70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707162D5"/>
    <w:multiLevelType w:val="hybridMultilevel"/>
    <w:tmpl w:val="A8DED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C49C6"/>
    <w:multiLevelType w:val="multilevel"/>
    <w:tmpl w:val="6750F752"/>
    <w:lvl w:ilvl="0">
      <w:start w:val="1"/>
      <w:numFmt w:val="decimal"/>
      <w:lvlText w:val="1.%1"/>
      <w:lvlJc w:val="left"/>
      <w:pPr>
        <w:tabs>
          <w:tab w:val="num" w:pos="85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567"/>
      </w:p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984" w:hanging="567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77DA297E"/>
    <w:multiLevelType w:val="hybridMultilevel"/>
    <w:tmpl w:val="2892D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B661E"/>
    <w:multiLevelType w:val="hybridMultilevel"/>
    <w:tmpl w:val="BE8EB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4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17"/>
  </w:num>
  <w:num w:numId="10">
    <w:abstractNumId w:val="8"/>
  </w:num>
  <w:num w:numId="11">
    <w:abstractNumId w:val="9"/>
  </w:num>
  <w:num w:numId="12">
    <w:abstractNumId w:val="5"/>
  </w:num>
  <w:num w:numId="13">
    <w:abstractNumId w:val="14"/>
  </w:num>
  <w:num w:numId="14">
    <w:abstractNumId w:val="12"/>
  </w:num>
  <w:num w:numId="15">
    <w:abstractNumId w:val="16"/>
  </w:num>
  <w:num w:numId="16">
    <w:abstractNumId w:val="5"/>
  </w:num>
  <w:num w:numId="17">
    <w:abstractNumId w:val="5"/>
  </w:num>
  <w:num w:numId="18">
    <w:abstractNumId w:val="5"/>
  </w:num>
  <w:num w:numId="19">
    <w:abstractNumId w:val="11"/>
  </w:num>
  <w:num w:numId="20">
    <w:abstractNumId w:val="6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9A"/>
    <w:rsid w:val="0000315E"/>
    <w:rsid w:val="00004340"/>
    <w:rsid w:val="000230C4"/>
    <w:rsid w:val="00030FAD"/>
    <w:rsid w:val="000312AD"/>
    <w:rsid w:val="000361C8"/>
    <w:rsid w:val="00046F48"/>
    <w:rsid w:val="000555F2"/>
    <w:rsid w:val="00064829"/>
    <w:rsid w:val="0006498B"/>
    <w:rsid w:val="000675A1"/>
    <w:rsid w:val="00076CCB"/>
    <w:rsid w:val="000805D9"/>
    <w:rsid w:val="0009051A"/>
    <w:rsid w:val="000938E0"/>
    <w:rsid w:val="00095371"/>
    <w:rsid w:val="000A6CEF"/>
    <w:rsid w:val="000B1206"/>
    <w:rsid w:val="000B30DA"/>
    <w:rsid w:val="000C5CF2"/>
    <w:rsid w:val="000C6B25"/>
    <w:rsid w:val="000D4A85"/>
    <w:rsid w:val="000E3E92"/>
    <w:rsid w:val="000E6E50"/>
    <w:rsid w:val="000F01B8"/>
    <w:rsid w:val="000F225D"/>
    <w:rsid w:val="000F50F4"/>
    <w:rsid w:val="00104A71"/>
    <w:rsid w:val="00105B4B"/>
    <w:rsid w:val="0011060C"/>
    <w:rsid w:val="001155FE"/>
    <w:rsid w:val="00115F28"/>
    <w:rsid w:val="00120597"/>
    <w:rsid w:val="00120A9F"/>
    <w:rsid w:val="0012101F"/>
    <w:rsid w:val="001216FC"/>
    <w:rsid w:val="00121B65"/>
    <w:rsid w:val="001278AB"/>
    <w:rsid w:val="0015351B"/>
    <w:rsid w:val="0015462C"/>
    <w:rsid w:val="00157A74"/>
    <w:rsid w:val="001667B6"/>
    <w:rsid w:val="00173F90"/>
    <w:rsid w:val="001824D5"/>
    <w:rsid w:val="00185D55"/>
    <w:rsid w:val="001A1F10"/>
    <w:rsid w:val="001B3348"/>
    <w:rsid w:val="001B61A1"/>
    <w:rsid w:val="001B7119"/>
    <w:rsid w:val="001B7AA7"/>
    <w:rsid w:val="001C28ED"/>
    <w:rsid w:val="001C3F99"/>
    <w:rsid w:val="001D472F"/>
    <w:rsid w:val="001D521F"/>
    <w:rsid w:val="001E47B7"/>
    <w:rsid w:val="001F62F3"/>
    <w:rsid w:val="00200A5C"/>
    <w:rsid w:val="0020399A"/>
    <w:rsid w:val="002143C3"/>
    <w:rsid w:val="00221E3C"/>
    <w:rsid w:val="00235AD9"/>
    <w:rsid w:val="0024188A"/>
    <w:rsid w:val="00245847"/>
    <w:rsid w:val="00246F26"/>
    <w:rsid w:val="00261520"/>
    <w:rsid w:val="00262036"/>
    <w:rsid w:val="002666FF"/>
    <w:rsid w:val="00267B61"/>
    <w:rsid w:val="002740E8"/>
    <w:rsid w:val="00281755"/>
    <w:rsid w:val="00283268"/>
    <w:rsid w:val="00283664"/>
    <w:rsid w:val="00285A7F"/>
    <w:rsid w:val="002945B2"/>
    <w:rsid w:val="0029533C"/>
    <w:rsid w:val="00295845"/>
    <w:rsid w:val="002A0D12"/>
    <w:rsid w:val="002A1C71"/>
    <w:rsid w:val="002A49C6"/>
    <w:rsid w:val="002B0520"/>
    <w:rsid w:val="002C3D79"/>
    <w:rsid w:val="002D3808"/>
    <w:rsid w:val="002F1C2E"/>
    <w:rsid w:val="003160FF"/>
    <w:rsid w:val="00322641"/>
    <w:rsid w:val="003252EF"/>
    <w:rsid w:val="003265E1"/>
    <w:rsid w:val="00337939"/>
    <w:rsid w:val="0034277A"/>
    <w:rsid w:val="0035288C"/>
    <w:rsid w:val="00353E7E"/>
    <w:rsid w:val="00354381"/>
    <w:rsid w:val="00355E7E"/>
    <w:rsid w:val="00357E85"/>
    <w:rsid w:val="00367515"/>
    <w:rsid w:val="00373D94"/>
    <w:rsid w:val="003745AB"/>
    <w:rsid w:val="00392191"/>
    <w:rsid w:val="00392DAD"/>
    <w:rsid w:val="00394013"/>
    <w:rsid w:val="003952D8"/>
    <w:rsid w:val="00395DB6"/>
    <w:rsid w:val="003B1EF9"/>
    <w:rsid w:val="003C1542"/>
    <w:rsid w:val="003E021A"/>
    <w:rsid w:val="003E0FBF"/>
    <w:rsid w:val="003E1CE5"/>
    <w:rsid w:val="00411501"/>
    <w:rsid w:val="00413EA4"/>
    <w:rsid w:val="0041434B"/>
    <w:rsid w:val="00434692"/>
    <w:rsid w:val="004370E4"/>
    <w:rsid w:val="00437199"/>
    <w:rsid w:val="00437D5D"/>
    <w:rsid w:val="0044188E"/>
    <w:rsid w:val="00460219"/>
    <w:rsid w:val="00474554"/>
    <w:rsid w:val="004802AE"/>
    <w:rsid w:val="00480DB7"/>
    <w:rsid w:val="00487231"/>
    <w:rsid w:val="004872ED"/>
    <w:rsid w:val="004A0ED3"/>
    <w:rsid w:val="004C77F3"/>
    <w:rsid w:val="004D5240"/>
    <w:rsid w:val="004D6FB7"/>
    <w:rsid w:val="004D7845"/>
    <w:rsid w:val="004E7E55"/>
    <w:rsid w:val="004F047D"/>
    <w:rsid w:val="004F34C2"/>
    <w:rsid w:val="004F4E4B"/>
    <w:rsid w:val="004F5AED"/>
    <w:rsid w:val="0050181F"/>
    <w:rsid w:val="00501FE5"/>
    <w:rsid w:val="005129F7"/>
    <w:rsid w:val="005247D4"/>
    <w:rsid w:val="00553928"/>
    <w:rsid w:val="0056474D"/>
    <w:rsid w:val="0057332C"/>
    <w:rsid w:val="0057380F"/>
    <w:rsid w:val="005843A1"/>
    <w:rsid w:val="005940EF"/>
    <w:rsid w:val="0059424C"/>
    <w:rsid w:val="0059490F"/>
    <w:rsid w:val="005A1E0B"/>
    <w:rsid w:val="005A772E"/>
    <w:rsid w:val="005C4D30"/>
    <w:rsid w:val="005C64B9"/>
    <w:rsid w:val="005E51F8"/>
    <w:rsid w:val="005E78F9"/>
    <w:rsid w:val="005F68BA"/>
    <w:rsid w:val="005F7B90"/>
    <w:rsid w:val="00601E4C"/>
    <w:rsid w:val="00603BC8"/>
    <w:rsid w:val="006042F3"/>
    <w:rsid w:val="006166B5"/>
    <w:rsid w:val="00635951"/>
    <w:rsid w:val="00642D3A"/>
    <w:rsid w:val="00644A44"/>
    <w:rsid w:val="00653B74"/>
    <w:rsid w:val="00654889"/>
    <w:rsid w:val="00654B8D"/>
    <w:rsid w:val="00671E13"/>
    <w:rsid w:val="00676249"/>
    <w:rsid w:val="0067717B"/>
    <w:rsid w:val="006863BF"/>
    <w:rsid w:val="006915D3"/>
    <w:rsid w:val="006A0422"/>
    <w:rsid w:val="006A337F"/>
    <w:rsid w:val="006A5DF3"/>
    <w:rsid w:val="006A659F"/>
    <w:rsid w:val="006C0031"/>
    <w:rsid w:val="006E7050"/>
    <w:rsid w:val="006F50C9"/>
    <w:rsid w:val="006F659A"/>
    <w:rsid w:val="0070142F"/>
    <w:rsid w:val="0070259A"/>
    <w:rsid w:val="007029A5"/>
    <w:rsid w:val="007317A5"/>
    <w:rsid w:val="007379A1"/>
    <w:rsid w:val="00740FE0"/>
    <w:rsid w:val="00743F4F"/>
    <w:rsid w:val="00744C6D"/>
    <w:rsid w:val="0075375C"/>
    <w:rsid w:val="00767B39"/>
    <w:rsid w:val="00770306"/>
    <w:rsid w:val="00770A5D"/>
    <w:rsid w:val="00774457"/>
    <w:rsid w:val="007803E3"/>
    <w:rsid w:val="00791580"/>
    <w:rsid w:val="007918A5"/>
    <w:rsid w:val="007936F8"/>
    <w:rsid w:val="00794E33"/>
    <w:rsid w:val="007A2CAB"/>
    <w:rsid w:val="007A3297"/>
    <w:rsid w:val="007C04C4"/>
    <w:rsid w:val="007C3C6F"/>
    <w:rsid w:val="007C3DFB"/>
    <w:rsid w:val="007C49FE"/>
    <w:rsid w:val="007D014C"/>
    <w:rsid w:val="007D22F6"/>
    <w:rsid w:val="007D4FF7"/>
    <w:rsid w:val="007E01D4"/>
    <w:rsid w:val="007F001C"/>
    <w:rsid w:val="007F098A"/>
    <w:rsid w:val="007F621D"/>
    <w:rsid w:val="00800E19"/>
    <w:rsid w:val="0082259C"/>
    <w:rsid w:val="00826351"/>
    <w:rsid w:val="008273AD"/>
    <w:rsid w:val="008302E8"/>
    <w:rsid w:val="00831666"/>
    <w:rsid w:val="0083541D"/>
    <w:rsid w:val="00843638"/>
    <w:rsid w:val="008454F2"/>
    <w:rsid w:val="00850750"/>
    <w:rsid w:val="00851B14"/>
    <w:rsid w:val="008568F9"/>
    <w:rsid w:val="00860622"/>
    <w:rsid w:val="00865AA6"/>
    <w:rsid w:val="0087298D"/>
    <w:rsid w:val="00875545"/>
    <w:rsid w:val="00882A9E"/>
    <w:rsid w:val="008867DD"/>
    <w:rsid w:val="00890734"/>
    <w:rsid w:val="00894B5C"/>
    <w:rsid w:val="008A5DE0"/>
    <w:rsid w:val="008B6F74"/>
    <w:rsid w:val="008C05E4"/>
    <w:rsid w:val="008C2095"/>
    <w:rsid w:val="008C4E1B"/>
    <w:rsid w:val="008C52D9"/>
    <w:rsid w:val="008E1505"/>
    <w:rsid w:val="008F22E2"/>
    <w:rsid w:val="0090230B"/>
    <w:rsid w:val="00907FB0"/>
    <w:rsid w:val="00912B9C"/>
    <w:rsid w:val="00912CAE"/>
    <w:rsid w:val="00913492"/>
    <w:rsid w:val="00934C5E"/>
    <w:rsid w:val="00945320"/>
    <w:rsid w:val="0096368B"/>
    <w:rsid w:val="0097215D"/>
    <w:rsid w:val="00972E7E"/>
    <w:rsid w:val="00975CB1"/>
    <w:rsid w:val="009825E9"/>
    <w:rsid w:val="00990A63"/>
    <w:rsid w:val="00991912"/>
    <w:rsid w:val="00996CEB"/>
    <w:rsid w:val="009A07EA"/>
    <w:rsid w:val="009A1565"/>
    <w:rsid w:val="009B104B"/>
    <w:rsid w:val="009B166D"/>
    <w:rsid w:val="009B35DB"/>
    <w:rsid w:val="009B5491"/>
    <w:rsid w:val="009D262B"/>
    <w:rsid w:val="009D43A5"/>
    <w:rsid w:val="009E1917"/>
    <w:rsid w:val="009E2EB9"/>
    <w:rsid w:val="009F3FB0"/>
    <w:rsid w:val="00A048EF"/>
    <w:rsid w:val="00A056A7"/>
    <w:rsid w:val="00A1460F"/>
    <w:rsid w:val="00A16C3E"/>
    <w:rsid w:val="00A348E5"/>
    <w:rsid w:val="00A37989"/>
    <w:rsid w:val="00A408CF"/>
    <w:rsid w:val="00A40C8B"/>
    <w:rsid w:val="00A41DD6"/>
    <w:rsid w:val="00A50D7F"/>
    <w:rsid w:val="00A542D9"/>
    <w:rsid w:val="00A54777"/>
    <w:rsid w:val="00A57FFD"/>
    <w:rsid w:val="00A62F84"/>
    <w:rsid w:val="00A70AFB"/>
    <w:rsid w:val="00A716B7"/>
    <w:rsid w:val="00A7191F"/>
    <w:rsid w:val="00AA605C"/>
    <w:rsid w:val="00AB07A2"/>
    <w:rsid w:val="00AB4EE2"/>
    <w:rsid w:val="00AC39F7"/>
    <w:rsid w:val="00AC7B4B"/>
    <w:rsid w:val="00AD0D8C"/>
    <w:rsid w:val="00AD6C76"/>
    <w:rsid w:val="00AD6E44"/>
    <w:rsid w:val="00AD7845"/>
    <w:rsid w:val="00AE009F"/>
    <w:rsid w:val="00AE0425"/>
    <w:rsid w:val="00AE21B6"/>
    <w:rsid w:val="00AE50D2"/>
    <w:rsid w:val="00AE51E0"/>
    <w:rsid w:val="00AF2458"/>
    <w:rsid w:val="00AF5476"/>
    <w:rsid w:val="00AF7C94"/>
    <w:rsid w:val="00B032EC"/>
    <w:rsid w:val="00B179EC"/>
    <w:rsid w:val="00B21B00"/>
    <w:rsid w:val="00B3220A"/>
    <w:rsid w:val="00B47363"/>
    <w:rsid w:val="00B640EB"/>
    <w:rsid w:val="00B75F41"/>
    <w:rsid w:val="00B81592"/>
    <w:rsid w:val="00B84E64"/>
    <w:rsid w:val="00B92B96"/>
    <w:rsid w:val="00BA0F03"/>
    <w:rsid w:val="00BA455F"/>
    <w:rsid w:val="00BB03E9"/>
    <w:rsid w:val="00BC0F04"/>
    <w:rsid w:val="00BD7D15"/>
    <w:rsid w:val="00BF270F"/>
    <w:rsid w:val="00BF2824"/>
    <w:rsid w:val="00BF48CE"/>
    <w:rsid w:val="00C070E6"/>
    <w:rsid w:val="00C12BDA"/>
    <w:rsid w:val="00C2067D"/>
    <w:rsid w:val="00C21D40"/>
    <w:rsid w:val="00C352E7"/>
    <w:rsid w:val="00C4128C"/>
    <w:rsid w:val="00C428A4"/>
    <w:rsid w:val="00C639F9"/>
    <w:rsid w:val="00C674AF"/>
    <w:rsid w:val="00C87C47"/>
    <w:rsid w:val="00C95657"/>
    <w:rsid w:val="00C96EDA"/>
    <w:rsid w:val="00CC1676"/>
    <w:rsid w:val="00CC3520"/>
    <w:rsid w:val="00CC7388"/>
    <w:rsid w:val="00CC7AA5"/>
    <w:rsid w:val="00CD439E"/>
    <w:rsid w:val="00CD5E10"/>
    <w:rsid w:val="00CE39E5"/>
    <w:rsid w:val="00CF6C34"/>
    <w:rsid w:val="00D060D1"/>
    <w:rsid w:val="00D071AF"/>
    <w:rsid w:val="00D10104"/>
    <w:rsid w:val="00D10CDD"/>
    <w:rsid w:val="00D15CC2"/>
    <w:rsid w:val="00D16620"/>
    <w:rsid w:val="00D20112"/>
    <w:rsid w:val="00D21B05"/>
    <w:rsid w:val="00D279E6"/>
    <w:rsid w:val="00D37256"/>
    <w:rsid w:val="00D6547A"/>
    <w:rsid w:val="00D74B14"/>
    <w:rsid w:val="00D82034"/>
    <w:rsid w:val="00DA64F1"/>
    <w:rsid w:val="00DC1468"/>
    <w:rsid w:val="00DC1EC4"/>
    <w:rsid w:val="00DC1FB1"/>
    <w:rsid w:val="00DC5067"/>
    <w:rsid w:val="00DE1947"/>
    <w:rsid w:val="00DE7153"/>
    <w:rsid w:val="00DF6EDE"/>
    <w:rsid w:val="00E01F61"/>
    <w:rsid w:val="00E10F77"/>
    <w:rsid w:val="00E11CD3"/>
    <w:rsid w:val="00E168AE"/>
    <w:rsid w:val="00E21455"/>
    <w:rsid w:val="00E36AE2"/>
    <w:rsid w:val="00E44009"/>
    <w:rsid w:val="00E46BD7"/>
    <w:rsid w:val="00E51C26"/>
    <w:rsid w:val="00E6582C"/>
    <w:rsid w:val="00E666CF"/>
    <w:rsid w:val="00E81699"/>
    <w:rsid w:val="00E825CC"/>
    <w:rsid w:val="00E8606A"/>
    <w:rsid w:val="00E93ECC"/>
    <w:rsid w:val="00EA29A4"/>
    <w:rsid w:val="00EB08A9"/>
    <w:rsid w:val="00EB3FF1"/>
    <w:rsid w:val="00EB4898"/>
    <w:rsid w:val="00EB628B"/>
    <w:rsid w:val="00EC0346"/>
    <w:rsid w:val="00EC37E5"/>
    <w:rsid w:val="00EC616F"/>
    <w:rsid w:val="00EF25CA"/>
    <w:rsid w:val="00EF5434"/>
    <w:rsid w:val="00EF7953"/>
    <w:rsid w:val="00EF7B4A"/>
    <w:rsid w:val="00F00E3C"/>
    <w:rsid w:val="00F0188D"/>
    <w:rsid w:val="00F01952"/>
    <w:rsid w:val="00F07105"/>
    <w:rsid w:val="00F07A28"/>
    <w:rsid w:val="00F10DD2"/>
    <w:rsid w:val="00F1781A"/>
    <w:rsid w:val="00F203FE"/>
    <w:rsid w:val="00F2089F"/>
    <w:rsid w:val="00F311DE"/>
    <w:rsid w:val="00F3157D"/>
    <w:rsid w:val="00F36D41"/>
    <w:rsid w:val="00F37C9C"/>
    <w:rsid w:val="00F44CA3"/>
    <w:rsid w:val="00F57608"/>
    <w:rsid w:val="00F62A0E"/>
    <w:rsid w:val="00F62B3F"/>
    <w:rsid w:val="00F74091"/>
    <w:rsid w:val="00F74300"/>
    <w:rsid w:val="00F75358"/>
    <w:rsid w:val="00F84D31"/>
    <w:rsid w:val="00F938AA"/>
    <w:rsid w:val="00F94845"/>
    <w:rsid w:val="00F95C0B"/>
    <w:rsid w:val="00FA4A8B"/>
    <w:rsid w:val="00FB1221"/>
    <w:rsid w:val="00FB2F1D"/>
    <w:rsid w:val="00FD4705"/>
    <w:rsid w:val="00FE03F4"/>
    <w:rsid w:val="00FE0EDF"/>
    <w:rsid w:val="00FE6136"/>
    <w:rsid w:val="00FE764D"/>
    <w:rsid w:val="00FF2802"/>
    <w:rsid w:val="00FF2B8B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9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491"/>
    <w:pPr>
      <w:keepNext/>
      <w:numPr>
        <w:ilvl w:val="3"/>
        <w:numId w:val="13"/>
      </w:numPr>
      <w:spacing w:before="120" w:after="120" w:line="240" w:lineRule="auto"/>
      <w:jc w:val="both"/>
      <w:outlineLvl w:val="3"/>
    </w:pPr>
    <w:rPr>
      <w:rFonts w:ascii="Times New (W1)" w:eastAsia="Times New Roman" w:hAnsi="Times New (W1)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491"/>
    <w:pPr>
      <w:keepNext/>
      <w:numPr>
        <w:ilvl w:val="4"/>
        <w:numId w:val="13"/>
      </w:numPr>
      <w:spacing w:before="120" w:after="120" w:line="240" w:lineRule="auto"/>
      <w:outlineLvl w:val="4"/>
    </w:pPr>
    <w:rPr>
      <w:rFonts w:ascii="Times New (W1)" w:eastAsia="Times New Roman" w:hAnsi="Times New (W1)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491"/>
    <w:pPr>
      <w:numPr>
        <w:ilvl w:val="5"/>
        <w:numId w:val="13"/>
      </w:numPr>
      <w:spacing w:before="240" w:after="60" w:line="240" w:lineRule="auto"/>
      <w:jc w:val="both"/>
      <w:outlineLvl w:val="5"/>
    </w:pPr>
    <w:rPr>
      <w:rFonts w:ascii="Times New (W1)" w:eastAsia="Times New Roman" w:hAnsi="Times New (W1)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B5491"/>
    <w:pPr>
      <w:numPr>
        <w:ilvl w:val="6"/>
        <w:numId w:val="1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B5491"/>
    <w:pPr>
      <w:numPr>
        <w:ilvl w:val="7"/>
        <w:numId w:val="1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B5491"/>
    <w:pPr>
      <w:numPr>
        <w:ilvl w:val="8"/>
        <w:numId w:val="1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A"/>
  </w:style>
  <w:style w:type="paragraph" w:styleId="Footer">
    <w:name w:val="footer"/>
    <w:basedOn w:val="Normal"/>
    <w:link w:val="Foot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A"/>
  </w:style>
  <w:style w:type="paragraph" w:styleId="ListParagraph">
    <w:name w:val="List Paragraph"/>
    <w:basedOn w:val="Normal"/>
    <w:uiPriority w:val="34"/>
    <w:qFormat/>
    <w:rsid w:val="001C3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6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2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3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3B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863BF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9B5491"/>
    <w:rPr>
      <w:rFonts w:ascii="Times New (W1)" w:eastAsia="Times New Roman" w:hAnsi="Times New (W1)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9B5491"/>
    <w:rPr>
      <w:rFonts w:ascii="Times New (W1)" w:eastAsia="Times New Roman" w:hAnsi="Times New (W1)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9B5491"/>
    <w:rPr>
      <w:rFonts w:ascii="Times New (W1)" w:eastAsia="Times New Roman" w:hAnsi="Times New (W1)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9B5491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B5491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B5491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uiPriority w:val="99"/>
    <w:rsid w:val="009B5491"/>
    <w:pPr>
      <w:numPr>
        <w:numId w:val="13"/>
      </w:numPr>
      <w:spacing w:before="120"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Level2">
    <w:name w:val="Level2"/>
    <w:basedOn w:val="Normal"/>
    <w:uiPriority w:val="99"/>
    <w:rsid w:val="009B5491"/>
    <w:pPr>
      <w:numPr>
        <w:ilvl w:val="1"/>
        <w:numId w:val="13"/>
      </w:numPr>
      <w:spacing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Level3">
    <w:name w:val="Level3"/>
    <w:basedOn w:val="Normal"/>
    <w:uiPriority w:val="99"/>
    <w:rsid w:val="009B5491"/>
    <w:pPr>
      <w:numPr>
        <w:ilvl w:val="2"/>
        <w:numId w:val="13"/>
      </w:numPr>
      <w:spacing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Bullet2">
    <w:name w:val="Bullet2"/>
    <w:basedOn w:val="Normal"/>
    <w:rsid w:val="009B5491"/>
    <w:pPr>
      <w:numPr>
        <w:numId w:val="12"/>
      </w:numPr>
      <w:tabs>
        <w:tab w:val="clear" w:pos="1134"/>
        <w:tab w:val="left" w:pos="1418"/>
      </w:tabs>
      <w:spacing w:after="120" w:line="240" w:lineRule="auto"/>
      <w:ind w:left="1418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Bullet1">
    <w:name w:val="Bullet1"/>
    <w:basedOn w:val="Bullet2"/>
    <w:rsid w:val="009B5491"/>
    <w:pPr>
      <w:tabs>
        <w:tab w:val="clear" w:pos="1418"/>
        <w:tab w:val="left" w:pos="851"/>
        <w:tab w:val="num" w:pos="1134"/>
      </w:tabs>
      <w:ind w:left="1134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D5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Number2">
    <w:name w:val="List Number 2"/>
    <w:basedOn w:val="Normal"/>
    <w:semiHidden/>
    <w:rsid w:val="007F621D"/>
    <w:pPr>
      <w:numPr>
        <w:numId w:val="21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9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E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491"/>
    <w:pPr>
      <w:keepNext/>
      <w:numPr>
        <w:ilvl w:val="3"/>
        <w:numId w:val="13"/>
      </w:numPr>
      <w:spacing w:before="120" w:after="120" w:line="240" w:lineRule="auto"/>
      <w:jc w:val="both"/>
      <w:outlineLvl w:val="3"/>
    </w:pPr>
    <w:rPr>
      <w:rFonts w:ascii="Times New (W1)" w:eastAsia="Times New Roman" w:hAnsi="Times New (W1)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491"/>
    <w:pPr>
      <w:keepNext/>
      <w:numPr>
        <w:ilvl w:val="4"/>
        <w:numId w:val="13"/>
      </w:numPr>
      <w:spacing w:before="120" w:after="120" w:line="240" w:lineRule="auto"/>
      <w:outlineLvl w:val="4"/>
    </w:pPr>
    <w:rPr>
      <w:rFonts w:ascii="Times New (W1)" w:eastAsia="Times New Roman" w:hAnsi="Times New (W1)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491"/>
    <w:pPr>
      <w:numPr>
        <w:ilvl w:val="5"/>
        <w:numId w:val="13"/>
      </w:numPr>
      <w:spacing w:before="240" w:after="60" w:line="240" w:lineRule="auto"/>
      <w:jc w:val="both"/>
      <w:outlineLvl w:val="5"/>
    </w:pPr>
    <w:rPr>
      <w:rFonts w:ascii="Times New (W1)" w:eastAsia="Times New Roman" w:hAnsi="Times New (W1)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B5491"/>
    <w:pPr>
      <w:numPr>
        <w:ilvl w:val="6"/>
        <w:numId w:val="1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B5491"/>
    <w:pPr>
      <w:numPr>
        <w:ilvl w:val="7"/>
        <w:numId w:val="1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B5491"/>
    <w:pPr>
      <w:numPr>
        <w:ilvl w:val="8"/>
        <w:numId w:val="1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A"/>
  </w:style>
  <w:style w:type="paragraph" w:styleId="Footer">
    <w:name w:val="footer"/>
    <w:basedOn w:val="Normal"/>
    <w:link w:val="FooterChar"/>
    <w:uiPriority w:val="99"/>
    <w:unhideWhenUsed/>
    <w:rsid w:val="0070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A"/>
  </w:style>
  <w:style w:type="paragraph" w:styleId="ListParagraph">
    <w:name w:val="List Paragraph"/>
    <w:basedOn w:val="Normal"/>
    <w:uiPriority w:val="34"/>
    <w:qFormat/>
    <w:rsid w:val="001C3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6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F2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3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3B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863BF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9B5491"/>
    <w:rPr>
      <w:rFonts w:ascii="Times New (W1)" w:eastAsia="Times New Roman" w:hAnsi="Times New (W1)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9B5491"/>
    <w:rPr>
      <w:rFonts w:ascii="Times New (W1)" w:eastAsia="Times New Roman" w:hAnsi="Times New (W1)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9B5491"/>
    <w:rPr>
      <w:rFonts w:ascii="Times New (W1)" w:eastAsia="Times New Roman" w:hAnsi="Times New (W1)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9B5491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B5491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B5491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uiPriority w:val="99"/>
    <w:rsid w:val="009B5491"/>
    <w:pPr>
      <w:numPr>
        <w:numId w:val="13"/>
      </w:numPr>
      <w:spacing w:before="120"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Level2">
    <w:name w:val="Level2"/>
    <w:basedOn w:val="Normal"/>
    <w:uiPriority w:val="99"/>
    <w:rsid w:val="009B5491"/>
    <w:pPr>
      <w:numPr>
        <w:ilvl w:val="1"/>
        <w:numId w:val="13"/>
      </w:numPr>
      <w:spacing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Level3">
    <w:name w:val="Level3"/>
    <w:basedOn w:val="Normal"/>
    <w:uiPriority w:val="99"/>
    <w:rsid w:val="009B5491"/>
    <w:pPr>
      <w:numPr>
        <w:ilvl w:val="2"/>
        <w:numId w:val="13"/>
      </w:numPr>
      <w:spacing w:after="120" w:line="240" w:lineRule="auto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Bullet2">
    <w:name w:val="Bullet2"/>
    <w:basedOn w:val="Normal"/>
    <w:rsid w:val="009B5491"/>
    <w:pPr>
      <w:numPr>
        <w:numId w:val="12"/>
      </w:numPr>
      <w:tabs>
        <w:tab w:val="clear" w:pos="1134"/>
        <w:tab w:val="left" w:pos="1418"/>
      </w:tabs>
      <w:spacing w:after="120" w:line="240" w:lineRule="auto"/>
      <w:ind w:left="1418"/>
      <w:jc w:val="both"/>
    </w:pPr>
    <w:rPr>
      <w:rFonts w:ascii="Times New (W1)" w:eastAsia="Times New Roman" w:hAnsi="Times New (W1)" w:cs="Times New Roman"/>
      <w:sz w:val="26"/>
      <w:szCs w:val="20"/>
    </w:rPr>
  </w:style>
  <w:style w:type="paragraph" w:customStyle="1" w:styleId="Bullet1">
    <w:name w:val="Bullet1"/>
    <w:basedOn w:val="Bullet2"/>
    <w:rsid w:val="009B5491"/>
    <w:pPr>
      <w:tabs>
        <w:tab w:val="clear" w:pos="1418"/>
        <w:tab w:val="left" w:pos="851"/>
        <w:tab w:val="num" w:pos="1134"/>
      </w:tabs>
      <w:ind w:left="1134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D5E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Number2">
    <w:name w:val="List Number 2"/>
    <w:basedOn w:val="Normal"/>
    <w:semiHidden/>
    <w:rsid w:val="007F621D"/>
    <w:pPr>
      <w:numPr>
        <w:numId w:val="21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38CB-AFC4-4F30-817E-60803D6A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774</Words>
  <Characters>4414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powelli</dc:creator>
  <cp:lastModifiedBy>Coles, Anita (SEN)</cp:lastModifiedBy>
  <cp:revision>2</cp:revision>
  <cp:lastPrinted>2015-06-18T05:10:00Z</cp:lastPrinted>
  <dcterms:created xsi:type="dcterms:W3CDTF">2015-08-11T01:10:00Z</dcterms:created>
  <dcterms:modified xsi:type="dcterms:W3CDTF">2015-08-11T01:10:00Z</dcterms:modified>
</cp:coreProperties>
</file>