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FB56C4" w:rsidRDefault="00995F7D" w:rsidP="0070047F">
      <w:pPr>
        <w:tabs>
          <w:tab w:val="center" w:pos="4856"/>
        </w:tabs>
        <w:suppressAutoHyphens/>
        <w:jc w:val="center"/>
        <w:rPr>
          <w:b/>
          <w:spacing w:val="-2"/>
          <w:sz w:val="28"/>
          <w:szCs w:val="28"/>
        </w:rPr>
      </w:pPr>
      <w:r w:rsidRPr="00FB56C4">
        <w:rPr>
          <w:b/>
          <w:spacing w:val="-2"/>
          <w:sz w:val="28"/>
          <w:szCs w:val="28"/>
          <w:u w:val="single"/>
        </w:rPr>
        <w:t>20</w:t>
      </w:r>
      <w:r w:rsidR="00FB56C4" w:rsidRPr="00FB56C4">
        <w:rPr>
          <w:b/>
          <w:spacing w:val="-2"/>
          <w:sz w:val="28"/>
          <w:szCs w:val="28"/>
          <w:u w:val="single"/>
        </w:rPr>
        <w:t>18</w:t>
      </w:r>
    </w:p>
    <w:p w:rsidR="0070047F" w:rsidRPr="00FB56C4" w:rsidRDefault="0070047F" w:rsidP="0070047F">
      <w:pPr>
        <w:tabs>
          <w:tab w:val="center" w:pos="4856"/>
        </w:tabs>
        <w:suppressAutoHyphens/>
        <w:jc w:val="center"/>
        <w:rPr>
          <w:b/>
          <w:spacing w:val="-2"/>
          <w:sz w:val="28"/>
          <w:szCs w:val="28"/>
        </w:rPr>
      </w:pPr>
      <w:r w:rsidRPr="00FB56C4">
        <w:rPr>
          <w:b/>
          <w:spacing w:val="-2"/>
          <w:sz w:val="28"/>
          <w:szCs w:val="28"/>
        </w:rPr>
        <w:t xml:space="preserve">INDEX OF </w:t>
      </w:r>
      <w:r w:rsidR="00D41CF1" w:rsidRPr="00FB56C4">
        <w:rPr>
          <w:b/>
          <w:spacing w:val="-2"/>
          <w:sz w:val="28"/>
          <w:szCs w:val="28"/>
        </w:rPr>
        <w:t>INSTRUMENTS</w:t>
      </w:r>
      <w:r w:rsidR="00363913" w:rsidRPr="00FB56C4">
        <w:rPr>
          <w:b/>
          <w:spacing w:val="-2"/>
          <w:sz w:val="28"/>
          <w:szCs w:val="28"/>
        </w:rPr>
        <w:t xml:space="preserve"> </w:t>
      </w:r>
      <w:r w:rsidRPr="00FB56C4">
        <w:rPr>
          <w:b/>
          <w:spacing w:val="-2"/>
          <w:sz w:val="28"/>
          <w:szCs w:val="28"/>
        </w:rPr>
        <w:t>CONSIDERED BY THE COMMITTEE</w:t>
      </w:r>
    </w:p>
    <w:p w:rsidR="00363913" w:rsidRPr="00FB56C4" w:rsidRDefault="00363913" w:rsidP="00363913">
      <w:pPr>
        <w:tabs>
          <w:tab w:val="center" w:pos="4856"/>
        </w:tabs>
        <w:suppressAutoHyphens/>
        <w:jc w:val="center"/>
        <w:rPr>
          <w:b/>
          <w:spacing w:val="-2"/>
          <w:sz w:val="28"/>
          <w:szCs w:val="28"/>
        </w:rPr>
      </w:pPr>
      <w:r w:rsidRPr="00FB56C4">
        <w:rPr>
          <w:b/>
          <w:spacing w:val="-2"/>
          <w:sz w:val="28"/>
          <w:szCs w:val="28"/>
        </w:rPr>
        <w:t xml:space="preserve">As at </w:t>
      </w:r>
      <w:r w:rsidR="00102D5E">
        <w:rPr>
          <w:b/>
          <w:spacing w:val="-2"/>
          <w:sz w:val="28"/>
          <w:szCs w:val="28"/>
        </w:rPr>
        <w:t>12 February 2019</w:t>
      </w:r>
      <w:bookmarkStart w:id="0" w:name="_GoBack"/>
      <w:bookmarkEnd w:id="0"/>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A72115">
      <w:pPr>
        <w:tabs>
          <w:tab w:val="left" w:pos="709"/>
          <w:tab w:val="left" w:pos="1276"/>
          <w:tab w:val="left" w:pos="3686"/>
          <w:tab w:val="left" w:pos="4536"/>
          <w:tab w:val="left" w:pos="5103"/>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FB56C4" w:rsidP="009729CA">
            <w:pPr>
              <w:spacing w:before="60" w:after="60"/>
              <w:rPr>
                <w:rFonts w:ascii="Calibri" w:eastAsia="Times New Roman" w:hAnsi="Calibri" w:cs="Times New Roman"/>
                <w:color w:val="000000"/>
                <w:lang w:eastAsia="en-AU"/>
              </w:rPr>
            </w:pPr>
            <w:r w:rsidRPr="00FB56C4">
              <w:rPr>
                <w:rFonts w:ascii="Calibri" w:eastAsia="Times New Roman" w:hAnsi="Calibri" w:cs="Times New Roman"/>
                <w:color w:val="000000"/>
                <w:lang w:eastAsia="en-AU"/>
              </w:rPr>
              <w:t>Anti-Money Laundering and Counter-Terrorism Financing Rules Amendment Instrument 2017 (No. 4) [F2017L01678]</w:t>
            </w:r>
          </w:p>
        </w:tc>
        <w:tc>
          <w:tcPr>
            <w:tcW w:w="1134" w:type="dxa"/>
          </w:tcPr>
          <w:p w:rsidR="0057151D" w:rsidRDefault="00FB56C4"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9" w:history="1">
              <w:r w:rsidR="00FB56C4" w:rsidRPr="00395780">
                <w:rPr>
                  <w:rStyle w:val="Hyperlink"/>
                </w:rPr>
                <w:t>3/18</w:t>
              </w:r>
            </w:hyperlink>
          </w:p>
          <w:p w:rsidR="00395780"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10" w:history="1">
              <w:r w:rsidR="00395780" w:rsidRPr="00395780">
                <w:rPr>
                  <w:rStyle w:val="Hyperlink"/>
                </w:rPr>
                <w:t>5/18</w:t>
              </w:r>
            </w:hyperlink>
          </w:p>
        </w:tc>
        <w:tc>
          <w:tcPr>
            <w:tcW w:w="3544" w:type="dxa"/>
          </w:tcPr>
          <w:p w:rsidR="0057151D" w:rsidRPr="00056817" w:rsidRDefault="00FB56C4"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w:t>
            </w:r>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395780" w:rsidP="009729CA">
            <w:pPr>
              <w:spacing w:before="60" w:after="60"/>
              <w:rPr>
                <w:rFonts w:ascii="Calibri" w:eastAsia="Times New Roman" w:hAnsi="Calibri" w:cs="Times New Roman"/>
                <w:color w:val="000000"/>
                <w:lang w:eastAsia="en-AU"/>
              </w:rPr>
            </w:pPr>
            <w:r w:rsidRPr="00395780">
              <w:rPr>
                <w:rFonts w:ascii="Calibri" w:eastAsia="Times New Roman" w:hAnsi="Calibri" w:cs="Times New Roman"/>
                <w:color w:val="000000"/>
                <w:lang w:eastAsia="en-AU"/>
              </w:rPr>
              <w:t>Australian Federal Police Regulations 2018 [F2018L01121]</w:t>
            </w:r>
          </w:p>
        </w:tc>
        <w:tc>
          <w:tcPr>
            <w:tcW w:w="1134" w:type="dxa"/>
          </w:tcPr>
          <w:p w:rsidR="00995F7D" w:rsidRDefault="00A97581"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95F7D"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11" w:history="1">
              <w:r w:rsidR="00395780" w:rsidRPr="00395780">
                <w:rPr>
                  <w:rStyle w:val="Hyperlink"/>
                </w:rPr>
                <w:t>10/18</w:t>
              </w:r>
            </w:hyperlink>
          </w:p>
          <w:p w:rsidR="00395780"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12" w:history="1">
              <w:r w:rsidR="00395780" w:rsidRPr="00395780">
                <w:rPr>
                  <w:rStyle w:val="Hyperlink"/>
                </w:rPr>
                <w:t>12/18</w:t>
              </w:r>
            </w:hyperlink>
          </w:p>
        </w:tc>
        <w:tc>
          <w:tcPr>
            <w:tcW w:w="3544" w:type="dxa"/>
          </w:tcPr>
          <w:p w:rsidR="00995F7D" w:rsidRPr="00056817" w:rsidRDefault="00395780" w:rsidP="009729CA">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DA2122"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75548F">
              <w:rPr>
                <w:rFonts w:ascii="Calibri" w:eastAsia="Times New Roman" w:hAnsi="Calibri" w:cs="Times New Roman"/>
                <w:color w:val="000000"/>
                <w:lang w:eastAsia="en-AU"/>
              </w:rPr>
              <w:t>Autonomous Sanctions (Designated Persons and Entities – Democratic People’s Republic of Korea) Amendment List 2017 (No. 2) [F2017L01063]</w:t>
            </w:r>
          </w:p>
        </w:tc>
        <w:tc>
          <w:tcPr>
            <w:tcW w:w="1134" w:type="dxa"/>
          </w:tcPr>
          <w:p w:rsidR="00DA2122" w:rsidRDefault="00DA2122"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13" w:history="1">
              <w:r w:rsidR="00DA2122" w:rsidRPr="00395780">
                <w:rPr>
                  <w:rStyle w:val="Hyperlink"/>
                </w:rPr>
                <w:t>3/18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14" w:history="1">
              <w:r w:rsidR="00DA2122" w:rsidRPr="00282FA0">
                <w:rPr>
                  <w:rStyle w:val="Hyperlink"/>
                </w:rPr>
                <w:t>4/18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15" w:history="1">
              <w:r w:rsidR="00DA2122" w:rsidRPr="00EC4CDB">
                <w:rPr>
                  <w:rStyle w:val="Hyperlink"/>
                </w:rPr>
                <w:t>6/18</w:t>
              </w:r>
            </w:hyperlink>
          </w:p>
        </w:tc>
        <w:tc>
          <w:tcPr>
            <w:tcW w:w="3544" w:type="dxa"/>
          </w:tcPr>
          <w:p w:rsidR="00DA2122" w:rsidRDefault="00DA2122"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Persons and Entities – Democratic People's Republic of Korea) Amendment List 2017 (No.3) [F2017L01592]</w:t>
            </w:r>
          </w:p>
        </w:tc>
        <w:tc>
          <w:tcPr>
            <w:tcW w:w="1134" w:type="dxa"/>
          </w:tcPr>
          <w:p w:rsidR="00DA2122" w:rsidRDefault="00DA2122"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16" w:history="1">
              <w:r w:rsidR="00DA2122" w:rsidRPr="00395780">
                <w:rPr>
                  <w:rStyle w:val="Hyperlink"/>
                </w:rPr>
                <w:t>3/18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17" w:history="1">
              <w:r w:rsidR="00DA2122" w:rsidRPr="00282FA0">
                <w:rPr>
                  <w:rStyle w:val="Hyperlink"/>
                </w:rPr>
                <w:t>4/18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18" w:history="1">
              <w:r w:rsidR="00DA2122" w:rsidRPr="00EC4CDB">
                <w:rPr>
                  <w:rStyle w:val="Hyperlink"/>
                </w:rPr>
                <w:t>6/18</w:t>
              </w:r>
            </w:hyperlink>
          </w:p>
        </w:tc>
        <w:tc>
          <w:tcPr>
            <w:tcW w:w="3544" w:type="dxa"/>
          </w:tcPr>
          <w:p w:rsidR="00DA2122" w:rsidRDefault="00DA2122" w:rsidP="009729CA">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Persons and Entities and Declared Persons – Syria) List 2017 [F2017L01080]</w:t>
            </w:r>
          </w:p>
        </w:tc>
        <w:tc>
          <w:tcPr>
            <w:tcW w:w="1134" w:type="dxa"/>
          </w:tcPr>
          <w:p w:rsidR="00DA2122" w:rsidRDefault="00DA2122"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19" w:history="1">
              <w:r w:rsidR="00DA2122" w:rsidRPr="00395780">
                <w:rPr>
                  <w:rStyle w:val="Hyperlink"/>
                </w:rPr>
                <w:t>3/18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20" w:history="1">
              <w:r w:rsidR="00DA2122" w:rsidRPr="00282FA0">
                <w:rPr>
                  <w:rStyle w:val="Hyperlink"/>
                </w:rPr>
                <w:t>4/18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21" w:history="1">
              <w:r w:rsidR="00DA2122" w:rsidRPr="00EC4CDB">
                <w:rPr>
                  <w:rStyle w:val="Hyperlink"/>
                </w:rPr>
                <w:t>6/18</w:t>
              </w:r>
            </w:hyperlink>
          </w:p>
        </w:tc>
        <w:tc>
          <w:tcPr>
            <w:tcW w:w="3544" w:type="dxa"/>
          </w:tcPr>
          <w:p w:rsidR="00DA2122" w:rsidRDefault="00DA2122"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lastRenderedPageBreak/>
              <w:t>Autonomous Sanctions (Designated Persons and Entities – Democratic People's Republic of Korea) Continuing Effect Declaration 2018 [F2018L00049]</w:t>
            </w:r>
          </w:p>
        </w:tc>
        <w:tc>
          <w:tcPr>
            <w:tcW w:w="1134" w:type="dxa"/>
          </w:tcPr>
          <w:p w:rsidR="00DA2122" w:rsidRDefault="00DA2122"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22" w:history="1">
              <w:r w:rsidR="00DA2122" w:rsidRPr="00395780">
                <w:rPr>
                  <w:rStyle w:val="Hyperlink"/>
                </w:rPr>
                <w:t>3/18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23" w:history="1">
              <w:r w:rsidR="00DA2122" w:rsidRPr="00282FA0">
                <w:rPr>
                  <w:rStyle w:val="Hyperlink"/>
                </w:rPr>
                <w:t>4/18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24" w:history="1">
              <w:r w:rsidR="00DA2122" w:rsidRPr="00EC4CDB">
                <w:rPr>
                  <w:rStyle w:val="Hyperlink"/>
                </w:rPr>
                <w:t>6/18</w:t>
              </w:r>
            </w:hyperlink>
          </w:p>
        </w:tc>
        <w:tc>
          <w:tcPr>
            <w:tcW w:w="3544" w:type="dxa"/>
          </w:tcPr>
          <w:p w:rsidR="00DA2122" w:rsidRDefault="00DA2122" w:rsidP="009729CA">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Persons and Entities and Declared Persons – Zimbabwe) Continuing Effect Declaration 2018 [F2018L00108]</w:t>
            </w:r>
          </w:p>
        </w:tc>
        <w:tc>
          <w:tcPr>
            <w:tcW w:w="1134" w:type="dxa"/>
          </w:tcPr>
          <w:p w:rsidR="00DA2122" w:rsidRDefault="00DA2122"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25" w:history="1">
              <w:r w:rsidR="00DA2122" w:rsidRPr="00395780">
                <w:rPr>
                  <w:rStyle w:val="Hyperlink"/>
                </w:rPr>
                <w:t>3/18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26" w:history="1">
              <w:r w:rsidR="00DA2122" w:rsidRPr="00282FA0">
                <w:rPr>
                  <w:rStyle w:val="Hyperlink"/>
                </w:rPr>
                <w:t>4/18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27" w:history="1">
              <w:r w:rsidR="00DA2122" w:rsidRPr="00EC4CDB">
                <w:rPr>
                  <w:rStyle w:val="Hyperlink"/>
                </w:rPr>
                <w:t>6/18</w:t>
              </w:r>
            </w:hyperlink>
          </w:p>
        </w:tc>
        <w:tc>
          <w:tcPr>
            <w:tcW w:w="3544" w:type="dxa"/>
          </w:tcPr>
          <w:p w:rsidR="00DA2122" w:rsidRDefault="00DA2122"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Persons and Entities and Declared Persons – Iran) Continuing Effect Declaration 2018 [F2018L00102]</w:t>
            </w:r>
          </w:p>
        </w:tc>
        <w:tc>
          <w:tcPr>
            <w:tcW w:w="1134" w:type="dxa"/>
          </w:tcPr>
          <w:p w:rsidR="00DA2122" w:rsidRDefault="00DA2122"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28" w:history="1">
              <w:r w:rsidR="00DA2122" w:rsidRPr="00395780">
                <w:rPr>
                  <w:rStyle w:val="Hyperlink"/>
                </w:rPr>
                <w:t>3/18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29" w:history="1">
              <w:r w:rsidR="00DA2122" w:rsidRPr="00282FA0">
                <w:rPr>
                  <w:rStyle w:val="Hyperlink"/>
                </w:rPr>
                <w:t>4/18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30" w:history="1">
              <w:r w:rsidR="00DA2122" w:rsidRPr="00EC4CDB">
                <w:rPr>
                  <w:rStyle w:val="Hyperlink"/>
                </w:rPr>
                <w:t>6/18</w:t>
              </w:r>
            </w:hyperlink>
          </w:p>
        </w:tc>
        <w:tc>
          <w:tcPr>
            <w:tcW w:w="3544" w:type="dxa"/>
          </w:tcPr>
          <w:p w:rsidR="00DA2122" w:rsidRDefault="00DA2122" w:rsidP="009729CA">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Persons and Entities and Declared Persons – Libya) Continuing Effect Declaration and Revocation Instrument 2018 [F2018L00101]</w:t>
            </w:r>
          </w:p>
        </w:tc>
        <w:tc>
          <w:tcPr>
            <w:tcW w:w="1134" w:type="dxa"/>
          </w:tcPr>
          <w:p w:rsidR="00DA2122" w:rsidRDefault="00DA2122"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1" w:history="1">
              <w:r w:rsidR="00DA2122" w:rsidRPr="00395780">
                <w:rPr>
                  <w:rStyle w:val="Hyperlink"/>
                </w:rPr>
                <w:t>3/18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2" w:history="1">
              <w:r w:rsidR="00DA2122" w:rsidRPr="00282FA0">
                <w:rPr>
                  <w:rStyle w:val="Hyperlink"/>
                </w:rPr>
                <w:t>4/18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3" w:history="1">
              <w:r w:rsidR="00DA2122" w:rsidRPr="00EC4CDB">
                <w:rPr>
                  <w:rStyle w:val="Hyperlink"/>
                </w:rPr>
                <w:t>6/18</w:t>
              </w:r>
            </w:hyperlink>
          </w:p>
        </w:tc>
        <w:tc>
          <w:tcPr>
            <w:tcW w:w="3544" w:type="dxa"/>
          </w:tcPr>
          <w:p w:rsidR="00DA2122" w:rsidRDefault="00DA2122"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DA2122" w:rsidP="009729CA">
            <w:pPr>
              <w:spacing w:before="60" w:after="6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Autonomous Sanctions (Designated and Declared Persons – Former Federal Republic of Yugoslavia) Continuing Effect Declaration and Revocation Instrument 2018 [F2018L00099]</w:t>
            </w:r>
          </w:p>
        </w:tc>
        <w:tc>
          <w:tcPr>
            <w:tcW w:w="1134" w:type="dxa"/>
          </w:tcPr>
          <w:p w:rsidR="00DA2122" w:rsidRDefault="00DA2122"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34" w:history="1">
              <w:r w:rsidR="00DA2122" w:rsidRPr="00395780">
                <w:rPr>
                  <w:rStyle w:val="Hyperlink"/>
                </w:rPr>
                <w:t>3/18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35" w:history="1">
              <w:r w:rsidR="00DA2122" w:rsidRPr="00282FA0">
                <w:rPr>
                  <w:rStyle w:val="Hyperlink"/>
                </w:rPr>
                <w:t>4/18</w:t>
              </w:r>
            </w:hyperlink>
          </w:p>
          <w:p w:rsidR="00DA2122"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36" w:history="1">
              <w:r w:rsidR="00DA2122" w:rsidRPr="00EC4CDB">
                <w:rPr>
                  <w:rStyle w:val="Hyperlink"/>
                </w:rPr>
                <w:t>6/18</w:t>
              </w:r>
            </w:hyperlink>
          </w:p>
        </w:tc>
        <w:tc>
          <w:tcPr>
            <w:tcW w:w="3544" w:type="dxa"/>
          </w:tcPr>
          <w:p w:rsidR="00DA2122" w:rsidRDefault="00DA2122" w:rsidP="009729CA">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DA2122"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A2122" w:rsidRPr="00395780" w:rsidRDefault="001F098B" w:rsidP="009729CA">
            <w:pPr>
              <w:spacing w:before="60" w:after="60"/>
              <w:rPr>
                <w:rFonts w:ascii="Calibri" w:eastAsia="Times New Roman" w:hAnsi="Calibri" w:cs="Times New Roman"/>
                <w:color w:val="000000"/>
                <w:lang w:eastAsia="en-AU"/>
              </w:rPr>
            </w:pPr>
            <w:r w:rsidRPr="001F098B">
              <w:rPr>
                <w:rFonts w:ascii="Calibri" w:eastAsia="Times New Roman" w:hAnsi="Calibri" w:cs="Times New Roman"/>
                <w:color w:val="000000"/>
                <w:lang w:eastAsia="en-AU"/>
              </w:rPr>
              <w:t>Autonomous Sanctions (Designated Persons and Entities and Declared Persons – Syria) Continuing Effect Declaration and Revocation Instrument 2018 [F2018L00100]</w:t>
            </w:r>
          </w:p>
        </w:tc>
        <w:tc>
          <w:tcPr>
            <w:tcW w:w="1134" w:type="dxa"/>
          </w:tcPr>
          <w:p w:rsidR="00DA2122" w:rsidRDefault="00DA2122"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7" w:history="1">
              <w:r w:rsidR="00DA2122" w:rsidRPr="00395780">
                <w:rPr>
                  <w:rStyle w:val="Hyperlink"/>
                </w:rPr>
                <w:t>3/18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8" w:history="1">
              <w:r w:rsidR="00DA2122" w:rsidRPr="00282FA0">
                <w:rPr>
                  <w:rStyle w:val="Hyperlink"/>
                </w:rPr>
                <w:t>4/18</w:t>
              </w:r>
            </w:hyperlink>
          </w:p>
          <w:p w:rsidR="00DA2122"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39" w:history="1">
              <w:r w:rsidR="00DA2122" w:rsidRPr="00EC4CDB">
                <w:rPr>
                  <w:rStyle w:val="Hyperlink"/>
                </w:rPr>
                <w:t>6/18</w:t>
              </w:r>
            </w:hyperlink>
          </w:p>
        </w:tc>
        <w:tc>
          <w:tcPr>
            <w:tcW w:w="3544" w:type="dxa"/>
          </w:tcPr>
          <w:p w:rsidR="00DA2122" w:rsidRDefault="00DA2122" w:rsidP="009729CA">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A2122">
              <w:rPr>
                <w:rFonts w:ascii="Calibri" w:eastAsia="Times New Roman" w:hAnsi="Calibri" w:cs="Times New Roman"/>
                <w:color w:val="000000"/>
                <w:lang w:eastAsia="en-AU"/>
              </w:rPr>
              <w:t>Adequate standard of living; Effective remedy; Equality and non-discrimination (indirect); Fair hearing; Freedom of movement; Non-</w:t>
            </w:r>
            <w:proofErr w:type="spellStart"/>
            <w:r w:rsidRPr="00DA2122">
              <w:rPr>
                <w:rFonts w:ascii="Calibri" w:eastAsia="Times New Roman" w:hAnsi="Calibri" w:cs="Times New Roman"/>
                <w:color w:val="000000"/>
                <w:lang w:eastAsia="en-AU"/>
              </w:rPr>
              <w:t>refoulement</w:t>
            </w:r>
            <w:proofErr w:type="spellEnd"/>
            <w:r w:rsidRPr="00DA2122">
              <w:rPr>
                <w:rFonts w:ascii="Calibri" w:eastAsia="Times New Roman" w:hAnsi="Calibri" w:cs="Times New Roman"/>
                <w:color w:val="000000"/>
                <w:lang w:eastAsia="en-AU"/>
              </w:rPr>
              <w:t>; Privacy; Protection of the family</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90E47"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9729CA" w:rsidRDefault="00395780" w:rsidP="009729CA">
            <w:pPr>
              <w:spacing w:before="60" w:after="6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Charter of the United Nations (Sanctions—Democratic People’s Republic of Korea) (Documents) Amendment Instrument 2017 (No. 1) [F2017L01456]</w:t>
            </w:r>
          </w:p>
        </w:tc>
        <w:tc>
          <w:tcPr>
            <w:tcW w:w="1134" w:type="dxa"/>
          </w:tcPr>
          <w:p w:rsidR="00A90E47" w:rsidRPr="009729CA" w:rsidRDefault="00395780"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RR</w:t>
            </w:r>
          </w:p>
        </w:tc>
        <w:tc>
          <w:tcPr>
            <w:tcW w:w="1134" w:type="dxa"/>
          </w:tcPr>
          <w:p w:rsidR="00A90E47" w:rsidRPr="009729CA"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40" w:history="1">
              <w:r w:rsidR="00395780" w:rsidRPr="009729CA">
                <w:rPr>
                  <w:rStyle w:val="Hyperlink"/>
                </w:rPr>
                <w:t>1/18</w:t>
              </w:r>
            </w:hyperlink>
          </w:p>
          <w:p w:rsidR="00395780" w:rsidRPr="009729CA"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41" w:history="1">
              <w:r w:rsidR="00395780" w:rsidRPr="009729CA">
                <w:rPr>
                  <w:rStyle w:val="Hyperlink"/>
                </w:rPr>
                <w:t>3/18</w:t>
              </w:r>
            </w:hyperlink>
          </w:p>
        </w:tc>
        <w:tc>
          <w:tcPr>
            <w:tcW w:w="3544" w:type="dxa"/>
          </w:tcPr>
          <w:p w:rsidR="00A90E47" w:rsidRPr="009729CA" w:rsidRDefault="00395780" w:rsidP="009729CA">
            <w:pPr>
              <w:pStyle w:val="Default"/>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9729CA">
              <w:rPr>
                <w:sz w:val="22"/>
                <w:szCs w:val="22"/>
              </w:rPr>
              <w:t>Fair trial; Liberty; Quality of law</w:t>
            </w:r>
          </w:p>
        </w:tc>
      </w:tr>
      <w:tr w:rsidR="001F098B" w:rsidRPr="009729CA"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F098B" w:rsidRPr="009729CA" w:rsidRDefault="00C81C71" w:rsidP="009729CA">
            <w:pPr>
              <w:spacing w:before="60" w:after="6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Coral Sea Marine Park Management Plan 2018 [F2018L00327]</w:t>
            </w:r>
          </w:p>
        </w:tc>
        <w:tc>
          <w:tcPr>
            <w:tcW w:w="1134" w:type="dxa"/>
          </w:tcPr>
          <w:p w:rsidR="001F098B" w:rsidRPr="009729CA" w:rsidRDefault="001F098B"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RR</w:t>
            </w:r>
          </w:p>
        </w:tc>
        <w:tc>
          <w:tcPr>
            <w:tcW w:w="1134" w:type="dxa"/>
          </w:tcPr>
          <w:p w:rsidR="001F098B" w:rsidRPr="009729CA"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42" w:history="1">
              <w:r w:rsidR="001F098B" w:rsidRPr="009729CA">
                <w:rPr>
                  <w:rStyle w:val="Hyperlink"/>
                </w:rPr>
                <w:t>5/18</w:t>
              </w:r>
            </w:hyperlink>
          </w:p>
          <w:p w:rsidR="001F098B" w:rsidRPr="009729CA"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43" w:history="1">
              <w:r w:rsidR="001F098B" w:rsidRPr="009729CA">
                <w:rPr>
                  <w:rStyle w:val="Hyperlink"/>
                </w:rPr>
                <w:t>7/18</w:t>
              </w:r>
            </w:hyperlink>
          </w:p>
        </w:tc>
        <w:tc>
          <w:tcPr>
            <w:tcW w:w="3544" w:type="dxa"/>
          </w:tcPr>
          <w:p w:rsidR="001F098B" w:rsidRPr="009729CA" w:rsidRDefault="001F098B" w:rsidP="009729CA">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9729CA">
              <w:rPr>
                <w:sz w:val="22"/>
                <w:szCs w:val="22"/>
              </w:rPr>
              <w:t>Freedom of expression</w:t>
            </w:r>
          </w:p>
        </w:tc>
      </w:tr>
      <w:tr w:rsidR="0057151D"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9729CA" w:rsidRDefault="00A97581" w:rsidP="009729CA">
            <w:pPr>
              <w:spacing w:before="60" w:after="6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lastRenderedPageBreak/>
              <w:t>Court and Tribunal Legislation Amendment (Fees and Juror Remuneration) Regulations 2018 [F2018L00819]</w:t>
            </w:r>
          </w:p>
        </w:tc>
        <w:tc>
          <w:tcPr>
            <w:tcW w:w="1134" w:type="dxa"/>
          </w:tcPr>
          <w:p w:rsidR="0057151D" w:rsidRPr="009729CA" w:rsidRDefault="00A97581" w:rsidP="009729CA">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RR</w:t>
            </w:r>
          </w:p>
        </w:tc>
        <w:tc>
          <w:tcPr>
            <w:tcW w:w="1134" w:type="dxa"/>
          </w:tcPr>
          <w:p w:rsidR="0057151D" w:rsidRPr="009729CA"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44" w:history="1">
              <w:r w:rsidR="00A97581" w:rsidRPr="009729CA">
                <w:rPr>
                  <w:rStyle w:val="Hyperlink"/>
                </w:rPr>
                <w:t>9/18</w:t>
              </w:r>
            </w:hyperlink>
          </w:p>
          <w:p w:rsidR="00A97581" w:rsidRPr="009729CA" w:rsidRDefault="00102D5E" w:rsidP="009729CA">
            <w:pPr>
              <w:spacing w:before="60" w:after="60"/>
              <w:jc w:val="center"/>
              <w:cnfStyle w:val="000000000000" w:firstRow="0" w:lastRow="0" w:firstColumn="0" w:lastColumn="0" w:oddVBand="0" w:evenVBand="0" w:oddHBand="0" w:evenHBand="0" w:firstRowFirstColumn="0" w:firstRowLastColumn="0" w:lastRowFirstColumn="0" w:lastRowLastColumn="0"/>
            </w:pPr>
            <w:hyperlink r:id="rId45" w:history="1">
              <w:r w:rsidR="00A97581" w:rsidRPr="009729CA">
                <w:rPr>
                  <w:rStyle w:val="Hyperlink"/>
                </w:rPr>
                <w:t>11/18</w:t>
              </w:r>
            </w:hyperlink>
          </w:p>
        </w:tc>
        <w:tc>
          <w:tcPr>
            <w:tcW w:w="3544" w:type="dxa"/>
          </w:tcPr>
          <w:p w:rsidR="0057151D" w:rsidRPr="009729CA" w:rsidRDefault="001F098B" w:rsidP="009729CA">
            <w:pPr>
              <w:pStyle w:val="Default"/>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9729CA">
              <w:rPr>
                <w:sz w:val="22"/>
                <w:szCs w:val="22"/>
              </w:rPr>
              <w:t>Fair hearing; effective remedy</w:t>
            </w:r>
          </w:p>
        </w:tc>
      </w:tr>
      <w:tr w:rsidR="00A97581" w:rsidRPr="009729CA"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7581" w:rsidRPr="009729CA" w:rsidRDefault="00A97581" w:rsidP="009729CA">
            <w:pPr>
              <w:spacing w:before="60" w:after="6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 xml:space="preserve">Criminal Code (Foreign Incursions and Recruitment— Declared Areas) Declaration 2018—Mosul District, </w:t>
            </w:r>
            <w:proofErr w:type="spellStart"/>
            <w:r w:rsidRPr="009729CA">
              <w:rPr>
                <w:rFonts w:ascii="Calibri" w:eastAsia="Times New Roman" w:hAnsi="Calibri" w:cs="Times New Roman"/>
                <w:color w:val="000000"/>
                <w:lang w:eastAsia="en-AU"/>
              </w:rPr>
              <w:t>Ninewa</w:t>
            </w:r>
            <w:proofErr w:type="spellEnd"/>
            <w:r w:rsidRPr="009729CA">
              <w:rPr>
                <w:rFonts w:ascii="Calibri" w:eastAsia="Times New Roman" w:hAnsi="Calibri" w:cs="Times New Roman"/>
                <w:color w:val="000000"/>
                <w:lang w:eastAsia="en-AU"/>
              </w:rPr>
              <w:t xml:space="preserve"> Province, Iraq [F2018L00176]</w:t>
            </w:r>
          </w:p>
        </w:tc>
        <w:tc>
          <w:tcPr>
            <w:tcW w:w="1134" w:type="dxa"/>
          </w:tcPr>
          <w:p w:rsidR="00A97581" w:rsidRPr="009729CA" w:rsidRDefault="00282FA0" w:rsidP="009729CA">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AO</w:t>
            </w:r>
          </w:p>
        </w:tc>
        <w:tc>
          <w:tcPr>
            <w:tcW w:w="1134" w:type="dxa"/>
          </w:tcPr>
          <w:p w:rsidR="00A97581" w:rsidRPr="009729CA" w:rsidRDefault="00102D5E" w:rsidP="009729CA">
            <w:pPr>
              <w:spacing w:before="60" w:after="60"/>
              <w:jc w:val="center"/>
              <w:cnfStyle w:val="000000100000" w:firstRow="0" w:lastRow="0" w:firstColumn="0" w:lastColumn="0" w:oddVBand="0" w:evenVBand="0" w:oddHBand="1" w:evenHBand="0" w:firstRowFirstColumn="0" w:firstRowLastColumn="0" w:lastRowFirstColumn="0" w:lastRowLastColumn="0"/>
            </w:pPr>
            <w:hyperlink r:id="rId46" w:history="1">
              <w:r w:rsidR="00282FA0" w:rsidRPr="009729CA">
                <w:rPr>
                  <w:rStyle w:val="Hyperlink"/>
                </w:rPr>
                <w:t>4/18</w:t>
              </w:r>
            </w:hyperlink>
          </w:p>
        </w:tc>
        <w:tc>
          <w:tcPr>
            <w:tcW w:w="3544" w:type="dxa"/>
          </w:tcPr>
          <w:p w:rsidR="00A97581" w:rsidRPr="009729CA" w:rsidRDefault="00282FA0" w:rsidP="009729CA">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9729CA">
              <w:rPr>
                <w:sz w:val="22"/>
                <w:szCs w:val="22"/>
              </w:rPr>
              <w:t>Equality and non-discrimination (indirect); Fair trial (presumption of innocence); Freedom of movement; Liberty (arbitrary detention)</w:t>
            </w:r>
          </w:p>
        </w:tc>
      </w:tr>
      <w:tr w:rsidR="0057151D" w:rsidRPr="002C2B55" w:rsidTr="00AB4C9E">
        <w:trPr>
          <w:trHeight w:val="48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90E4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282FA0" w:rsidP="009729CA">
            <w:pPr>
              <w:spacing w:afterLines="60" w:after="144"/>
              <w:rPr>
                <w:rFonts w:ascii="Calibri" w:eastAsia="Times New Roman" w:hAnsi="Calibri" w:cs="Times New Roman"/>
                <w:color w:val="000000"/>
                <w:lang w:eastAsia="en-AU"/>
              </w:rPr>
            </w:pPr>
            <w:r w:rsidRPr="00282FA0">
              <w:rPr>
                <w:rFonts w:ascii="Calibri" w:eastAsia="Times New Roman" w:hAnsi="Calibri" w:cs="Times New Roman"/>
                <w:color w:val="000000"/>
                <w:lang w:eastAsia="en-AU"/>
              </w:rPr>
              <w:t>Defence (Inquiry) Regulations 2018 [F2018L00316]</w:t>
            </w:r>
          </w:p>
        </w:tc>
        <w:tc>
          <w:tcPr>
            <w:tcW w:w="1134" w:type="dxa"/>
          </w:tcPr>
          <w:p w:rsidR="00A90E47" w:rsidRDefault="00282FA0" w:rsidP="009729CA">
            <w:pPr>
              <w:spacing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102D5E" w:rsidP="009729CA">
            <w:pPr>
              <w:spacing w:afterLines="60" w:after="144"/>
              <w:jc w:val="center"/>
              <w:cnfStyle w:val="000000100000" w:firstRow="0" w:lastRow="0" w:firstColumn="0" w:lastColumn="0" w:oddVBand="0" w:evenVBand="0" w:oddHBand="1" w:evenHBand="0" w:firstRowFirstColumn="0" w:firstRowLastColumn="0" w:lastRowFirstColumn="0" w:lastRowLastColumn="0"/>
            </w:pPr>
            <w:hyperlink r:id="rId47" w:history="1">
              <w:r w:rsidR="00282FA0" w:rsidRPr="00395780">
                <w:rPr>
                  <w:rStyle w:val="Hyperlink"/>
                </w:rPr>
                <w:t>5/18</w:t>
              </w:r>
            </w:hyperlink>
          </w:p>
          <w:p w:rsidR="00282FA0" w:rsidRDefault="00102D5E" w:rsidP="009729CA">
            <w:pPr>
              <w:spacing w:afterLines="60" w:after="144"/>
              <w:jc w:val="center"/>
              <w:cnfStyle w:val="000000100000" w:firstRow="0" w:lastRow="0" w:firstColumn="0" w:lastColumn="0" w:oddVBand="0" w:evenVBand="0" w:oddHBand="1" w:evenHBand="0" w:firstRowFirstColumn="0" w:firstRowLastColumn="0" w:lastRowFirstColumn="0" w:lastRowLastColumn="0"/>
            </w:pPr>
            <w:hyperlink r:id="rId48" w:history="1">
              <w:r w:rsidR="00282FA0" w:rsidRPr="00282FA0">
                <w:rPr>
                  <w:rStyle w:val="Hyperlink"/>
                </w:rPr>
                <w:t>7/18</w:t>
              </w:r>
            </w:hyperlink>
          </w:p>
        </w:tc>
        <w:tc>
          <w:tcPr>
            <w:tcW w:w="3544" w:type="dxa"/>
          </w:tcPr>
          <w:p w:rsidR="00A90E47" w:rsidRDefault="00282FA0" w:rsidP="009729CA">
            <w:pPr>
              <w:pStyle w:val="Default"/>
              <w:spacing w:afterLines="60" w:after="144"/>
              <w:cnfStyle w:val="000000100000" w:firstRow="0" w:lastRow="0" w:firstColumn="0" w:lastColumn="0" w:oddVBand="0" w:evenVBand="0" w:oddHBand="1" w:evenHBand="0" w:firstRowFirstColumn="0" w:firstRowLastColumn="0" w:lastRowFirstColumn="0" w:lastRowLastColumn="0"/>
              <w:rPr>
                <w:sz w:val="23"/>
                <w:szCs w:val="23"/>
              </w:rPr>
            </w:pPr>
            <w:r w:rsidRPr="00282FA0">
              <w:rPr>
                <w:sz w:val="23"/>
                <w:szCs w:val="23"/>
              </w:rPr>
              <w:t>Fair trial; Fair trial (presumption of innocence); Fair trial (self-incrimination; Privacy</w:t>
            </w:r>
          </w:p>
        </w:tc>
      </w:tr>
      <w:tr w:rsidR="0057151D" w:rsidRPr="002C2B55" w:rsidTr="00FB56C4">
        <w:trPr>
          <w:trHeight w:val="573"/>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501A68" w:rsidRDefault="00282FA0" w:rsidP="009729CA">
            <w:pPr>
              <w:spacing w:before="60" w:afterLines="60" w:after="144"/>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Extradition (El Salvador) Regulations 2017 [F2017L01581]</w:t>
            </w:r>
          </w:p>
        </w:tc>
        <w:tc>
          <w:tcPr>
            <w:tcW w:w="1134" w:type="dxa"/>
          </w:tcPr>
          <w:p w:rsidR="0057151D" w:rsidRDefault="00282FA0"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82FA0"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49" w:history="1">
              <w:r w:rsidR="00282FA0" w:rsidRPr="00395780">
                <w:rPr>
                  <w:rStyle w:val="Hyperlink"/>
                </w:rPr>
                <w:t>3/18</w:t>
              </w:r>
            </w:hyperlink>
          </w:p>
          <w:p w:rsidR="0057151D"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50" w:history="1">
              <w:r w:rsidR="00282FA0" w:rsidRPr="00395780">
                <w:rPr>
                  <w:rStyle w:val="Hyperlink"/>
                </w:rPr>
                <w:t>5/18</w:t>
              </w:r>
            </w:hyperlink>
          </w:p>
        </w:tc>
        <w:tc>
          <w:tcPr>
            <w:tcW w:w="3544" w:type="dxa"/>
          </w:tcPr>
          <w:p w:rsidR="0057151D" w:rsidRPr="00EF64D8" w:rsidRDefault="00282FA0"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282FA0">
              <w:rPr>
                <w:rFonts w:ascii="Calibri" w:eastAsia="Times New Roman" w:hAnsi="Calibri" w:cs="Times New Roman"/>
                <w:color w:val="000000"/>
                <w:lang w:eastAsia="en-AU"/>
              </w:rPr>
              <w:t>Equality and non-discrimination (indirect); Fair hearing; Fair trial; Liberty; Life; Torture, cruel, inhuman or degrading treatment</w:t>
            </w:r>
          </w:p>
        </w:tc>
      </w:tr>
      <w:tr w:rsidR="0057151D" w:rsidRPr="002C2B55" w:rsidTr="00AB4C9E">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7151D" w:rsidRPr="006A2D11" w:rsidRDefault="00282FA0" w:rsidP="009729CA">
            <w:pPr>
              <w:spacing w:before="60" w:afterLines="60" w:after="144"/>
              <w:rPr>
                <w:rFonts w:ascii="Calibri" w:eastAsia="Times New Roman" w:hAnsi="Calibri" w:cs="Times New Roman"/>
                <w:color w:val="000000"/>
                <w:lang w:eastAsia="en-AU"/>
              </w:rPr>
            </w:pPr>
            <w:r w:rsidRPr="00282FA0">
              <w:rPr>
                <w:rFonts w:ascii="Calibri" w:eastAsia="Times New Roman" w:hAnsi="Calibri" w:cs="Times New Roman"/>
                <w:color w:val="000000"/>
                <w:lang w:eastAsia="en-AU"/>
              </w:rPr>
              <w:t>Extradition Legislation Amendment (2017 Measures No. 1) Regulations 2017[F2017L01575]</w:t>
            </w:r>
          </w:p>
        </w:tc>
        <w:tc>
          <w:tcPr>
            <w:tcW w:w="1134" w:type="dxa"/>
          </w:tcPr>
          <w:p w:rsidR="0057151D" w:rsidRDefault="00501A68"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01A68"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1" w:history="1">
              <w:r w:rsidR="00501A68" w:rsidRPr="00395780">
                <w:rPr>
                  <w:rStyle w:val="Hyperlink"/>
                </w:rPr>
                <w:t>3/18</w:t>
              </w:r>
            </w:hyperlink>
          </w:p>
          <w:p w:rsidR="0057151D"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52" w:history="1">
              <w:r w:rsidR="00501A68" w:rsidRPr="00395780">
                <w:rPr>
                  <w:rStyle w:val="Hyperlink"/>
                </w:rPr>
                <w:t>5/18</w:t>
              </w:r>
            </w:hyperlink>
          </w:p>
        </w:tc>
        <w:tc>
          <w:tcPr>
            <w:tcW w:w="3544" w:type="dxa"/>
          </w:tcPr>
          <w:p w:rsidR="0057151D" w:rsidRPr="00EF64D8" w:rsidRDefault="00501A68"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Equality and non-discrimination (indirect); Fair hearing; Fair trial; Liberty; Life; Torture, cruel, inhuman or degrading treatment</w:t>
            </w:r>
          </w:p>
        </w:tc>
      </w:tr>
      <w:tr w:rsidR="0057151D" w:rsidRPr="002C2B55" w:rsidTr="00FB56C4">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501A68" w:rsidP="009729CA">
            <w:pPr>
              <w:spacing w:before="60" w:afterLines="60" w:after="144"/>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Family Assistance (Public Interest Certificate Guidelines) (Education) Determination 2018 [F2018L00464]</w:t>
            </w:r>
          </w:p>
        </w:tc>
        <w:tc>
          <w:tcPr>
            <w:tcW w:w="1134" w:type="dxa"/>
          </w:tcPr>
          <w:p w:rsidR="002276DE" w:rsidRDefault="002276D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tcPr>
          <w:p w:rsidR="002276DE"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3" w:history="1">
              <w:r w:rsidR="00501A68" w:rsidRPr="00282FA0">
                <w:rPr>
                  <w:rStyle w:val="Hyperlink"/>
                </w:rPr>
                <w:t>7/18</w:t>
              </w:r>
            </w:hyperlink>
          </w:p>
          <w:p w:rsidR="00501A68"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4" w:history="1">
              <w:r w:rsidR="00501A68" w:rsidRPr="00501A68">
                <w:rPr>
                  <w:rStyle w:val="Hyperlink"/>
                </w:rPr>
                <w:t>13/18</w:t>
              </w:r>
            </w:hyperlink>
          </w:p>
        </w:tc>
        <w:tc>
          <w:tcPr>
            <w:tcW w:w="3544" w:type="dxa"/>
          </w:tcPr>
          <w:p w:rsidR="002276DE" w:rsidRPr="00056817" w:rsidRDefault="00501A68"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Children's rights; Privacy</w:t>
            </w:r>
          </w:p>
        </w:tc>
      </w:tr>
      <w:tr w:rsidR="0057151D" w:rsidRPr="002C2B55" w:rsidTr="00FB56C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rsidR="0057151D" w:rsidRPr="0091507E" w:rsidRDefault="0057151D" w:rsidP="0091507E">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501A68" w:rsidP="009729CA">
            <w:pPr>
              <w:spacing w:before="60" w:afterLines="60" w:after="144"/>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 xml:space="preserve">Legislation (Deferral of </w:t>
            </w:r>
            <w:proofErr w:type="spellStart"/>
            <w:r w:rsidRPr="00501A68">
              <w:rPr>
                <w:rFonts w:ascii="Calibri" w:eastAsia="Times New Roman" w:hAnsi="Calibri" w:cs="Times New Roman"/>
                <w:color w:val="000000"/>
                <w:lang w:eastAsia="en-AU"/>
              </w:rPr>
              <w:t>Sunsetting</w:t>
            </w:r>
            <w:proofErr w:type="spellEnd"/>
            <w:r w:rsidRPr="00501A68">
              <w:rPr>
                <w:rFonts w:ascii="Calibri" w:eastAsia="Times New Roman" w:hAnsi="Calibri" w:cs="Times New Roman"/>
                <w:color w:val="000000"/>
                <w:lang w:eastAsia="en-AU"/>
              </w:rPr>
              <w:t>—Australian Crime Commission Regulations) Certificate 2017 [F2017L01709]</w:t>
            </w:r>
          </w:p>
        </w:tc>
        <w:tc>
          <w:tcPr>
            <w:tcW w:w="1134" w:type="dxa"/>
          </w:tcPr>
          <w:p w:rsidR="001E7D66" w:rsidRDefault="00501A68"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5" w:history="1">
              <w:r w:rsidR="00501A68" w:rsidRPr="00395780">
                <w:rPr>
                  <w:rStyle w:val="Hyperlink"/>
                </w:rPr>
                <w:t>3/18</w:t>
              </w:r>
            </w:hyperlink>
          </w:p>
          <w:p w:rsidR="00501A68"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6" w:history="1">
              <w:r w:rsidR="00501A68" w:rsidRPr="00282FA0">
                <w:rPr>
                  <w:rStyle w:val="Hyperlink"/>
                </w:rPr>
                <w:t>4/18</w:t>
              </w:r>
            </w:hyperlink>
          </w:p>
        </w:tc>
        <w:tc>
          <w:tcPr>
            <w:tcW w:w="3544" w:type="dxa"/>
          </w:tcPr>
          <w:p w:rsidR="001E7D66" w:rsidRPr="00056817" w:rsidRDefault="00501A68"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Effective remedy; Fair hearing; Fair trial; Liberty; Privacy; Torture, cruel, inhuman or degrading treatment</w:t>
            </w:r>
          </w:p>
        </w:tc>
      </w:tr>
      <w:tr w:rsidR="0057151D" w:rsidRPr="002C2B55" w:rsidTr="00FB56C4">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501A68" w:rsidP="009729CA">
            <w:pPr>
              <w:spacing w:before="60" w:afterLines="60" w:after="144"/>
              <w:rPr>
                <w:rFonts w:ascii="Calibri" w:eastAsia="Times New Roman" w:hAnsi="Calibri" w:cs="Times New Roman"/>
                <w:color w:val="000000"/>
                <w:lang w:eastAsia="en-AU"/>
              </w:rPr>
            </w:pPr>
            <w:r w:rsidRPr="00501A68">
              <w:rPr>
                <w:rFonts w:ascii="Calibri" w:eastAsia="Times New Roman" w:hAnsi="Calibri" w:cs="Times New Roman"/>
                <w:color w:val="000000"/>
                <w:lang w:eastAsia="en-AU"/>
              </w:rPr>
              <w:t>Migration (IMMI 18/003: Specified courses and exams for registration as a migration agent) Instrument 2018 [F2017L01708]</w:t>
            </w:r>
          </w:p>
        </w:tc>
        <w:tc>
          <w:tcPr>
            <w:tcW w:w="1134" w:type="dxa"/>
          </w:tcPr>
          <w:p w:rsidR="001E7D66" w:rsidRDefault="000571C1"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571C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7" w:history="1">
              <w:r w:rsidR="000571C1" w:rsidRPr="00395780">
                <w:rPr>
                  <w:rStyle w:val="Hyperlink"/>
                </w:rPr>
                <w:t>3/18</w:t>
              </w:r>
            </w:hyperlink>
          </w:p>
          <w:p w:rsidR="001E7D66"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8" w:history="1">
              <w:r w:rsidR="000571C1" w:rsidRPr="00282FA0">
                <w:rPr>
                  <w:rStyle w:val="Hyperlink"/>
                </w:rPr>
                <w:t>4/18</w:t>
              </w:r>
            </w:hyperlink>
          </w:p>
          <w:p w:rsidR="000571C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59" w:history="1">
              <w:r w:rsidR="000571C1" w:rsidRPr="00395780">
                <w:rPr>
                  <w:rStyle w:val="Hyperlink"/>
                </w:rPr>
                <w:t>5/18</w:t>
              </w:r>
            </w:hyperlink>
          </w:p>
        </w:tc>
        <w:tc>
          <w:tcPr>
            <w:tcW w:w="3544" w:type="dxa"/>
          </w:tcPr>
          <w:p w:rsidR="001E7D66" w:rsidRPr="00056817" w:rsidRDefault="000571C1"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571C1">
              <w:rPr>
                <w:rFonts w:ascii="Calibri" w:eastAsia="Times New Roman" w:hAnsi="Calibri" w:cs="Times New Roman"/>
                <w:color w:val="000000"/>
                <w:lang w:eastAsia="en-AU"/>
              </w:rPr>
              <w:t>Equality and non-discrimination (indirect)</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0571C1" w:rsidP="009729CA">
            <w:pPr>
              <w:spacing w:before="60" w:afterLines="60" w:after="144"/>
              <w:rPr>
                <w:rFonts w:ascii="Calibri" w:eastAsia="Times New Roman" w:hAnsi="Calibri" w:cs="Times New Roman"/>
                <w:color w:val="000000"/>
                <w:lang w:eastAsia="en-AU"/>
              </w:rPr>
            </w:pPr>
            <w:r w:rsidRPr="000571C1">
              <w:rPr>
                <w:rFonts w:ascii="Calibri" w:eastAsia="Times New Roman" w:hAnsi="Calibri" w:cs="Times New Roman"/>
                <w:color w:val="000000"/>
                <w:lang w:eastAsia="en-AU"/>
              </w:rPr>
              <w:lastRenderedPageBreak/>
              <w:t>Migration (IMMI 18/019: Fast Track Applicant Class) Instrument 2018 [F2018L00672]</w:t>
            </w:r>
          </w:p>
        </w:tc>
        <w:tc>
          <w:tcPr>
            <w:tcW w:w="1134" w:type="dxa"/>
          </w:tcPr>
          <w:p w:rsidR="001E7D66" w:rsidRDefault="000571C1"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60" w:history="1">
              <w:r w:rsidR="000571C1" w:rsidRPr="000571C1">
                <w:rPr>
                  <w:rStyle w:val="Hyperlink"/>
                </w:rPr>
                <w:t>8/18</w:t>
              </w:r>
            </w:hyperlink>
          </w:p>
        </w:tc>
        <w:tc>
          <w:tcPr>
            <w:tcW w:w="3544" w:type="dxa"/>
          </w:tcPr>
          <w:p w:rsidR="001E7D66" w:rsidRPr="00056817" w:rsidRDefault="000571C1"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0571C1">
              <w:rPr>
                <w:rFonts w:ascii="Calibri" w:eastAsia="Times New Roman" w:hAnsi="Calibri" w:cs="Times New Roman"/>
                <w:color w:val="000000"/>
                <w:lang w:eastAsia="en-AU"/>
              </w:rPr>
              <w:t>Children's rights (best interest of child); Effective remedy; Fair hearing; Non-</w:t>
            </w:r>
            <w:proofErr w:type="spellStart"/>
            <w:r w:rsidRPr="000571C1">
              <w:rPr>
                <w:rFonts w:ascii="Calibri" w:eastAsia="Times New Roman" w:hAnsi="Calibri" w:cs="Times New Roman"/>
                <w:color w:val="000000"/>
                <w:lang w:eastAsia="en-AU"/>
              </w:rPr>
              <w:t>refoulement</w:t>
            </w:r>
            <w:proofErr w:type="spellEnd"/>
          </w:p>
        </w:tc>
      </w:tr>
      <w:tr w:rsidR="000571C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571C1" w:rsidRPr="000571C1" w:rsidRDefault="000571C1" w:rsidP="009729CA">
            <w:pPr>
              <w:spacing w:before="60" w:afterLines="60" w:after="144"/>
              <w:rPr>
                <w:rFonts w:ascii="Calibri" w:eastAsia="Times New Roman" w:hAnsi="Calibri" w:cs="Times New Roman"/>
                <w:color w:val="000000"/>
                <w:lang w:eastAsia="en-AU"/>
              </w:rPr>
            </w:pPr>
            <w:r w:rsidRPr="000571C1">
              <w:rPr>
                <w:rFonts w:ascii="Calibri" w:eastAsia="Times New Roman" w:hAnsi="Calibri" w:cs="Times New Roman"/>
                <w:color w:val="000000"/>
                <w:lang w:eastAsia="en-AU"/>
              </w:rPr>
              <w:t>Migration (IMMI 18/046: Determination of Designated Migration Law) Instrument 2018 [F2018L00446]</w:t>
            </w:r>
          </w:p>
        </w:tc>
        <w:tc>
          <w:tcPr>
            <w:tcW w:w="1134" w:type="dxa"/>
          </w:tcPr>
          <w:p w:rsidR="000571C1" w:rsidRDefault="000571C1"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571C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1" w:history="1">
              <w:r w:rsidR="000571C1" w:rsidRPr="00282FA0">
                <w:rPr>
                  <w:rStyle w:val="Hyperlink"/>
                </w:rPr>
                <w:t>7/18</w:t>
              </w:r>
            </w:hyperlink>
          </w:p>
          <w:p w:rsidR="000571C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2" w:history="1">
              <w:r w:rsidR="000571C1" w:rsidRPr="000571C1">
                <w:rPr>
                  <w:rStyle w:val="Hyperlink"/>
                </w:rPr>
                <w:t>11/18</w:t>
              </w:r>
            </w:hyperlink>
          </w:p>
        </w:tc>
        <w:tc>
          <w:tcPr>
            <w:tcW w:w="3544" w:type="dxa"/>
          </w:tcPr>
          <w:p w:rsidR="000571C1" w:rsidRPr="000571C1" w:rsidRDefault="000571C1"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Liberty</w:t>
            </w:r>
          </w:p>
        </w:tc>
      </w:tr>
      <w:tr w:rsidR="000571C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571C1" w:rsidRPr="000571C1" w:rsidRDefault="000571C1" w:rsidP="009729CA">
            <w:pPr>
              <w:spacing w:before="60" w:afterLines="60" w:after="144"/>
              <w:rPr>
                <w:rFonts w:ascii="Calibri" w:eastAsia="Times New Roman" w:hAnsi="Calibri" w:cs="Times New Roman"/>
                <w:color w:val="000000"/>
                <w:lang w:eastAsia="en-AU"/>
              </w:rPr>
            </w:pPr>
            <w:r w:rsidRPr="000571C1">
              <w:rPr>
                <w:rFonts w:ascii="Calibri" w:eastAsia="Times New Roman" w:hAnsi="Calibri" w:cs="Times New Roman"/>
                <w:color w:val="000000"/>
                <w:lang w:eastAsia="en-AU"/>
              </w:rPr>
              <w:t>Migration Legislation Amendment (2017 Measures No. 4) Regulations 2017 [F2017L01425]</w:t>
            </w:r>
          </w:p>
        </w:tc>
        <w:tc>
          <w:tcPr>
            <w:tcW w:w="1134" w:type="dxa"/>
          </w:tcPr>
          <w:p w:rsidR="000571C1" w:rsidRDefault="000571C1"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571C1"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63" w:history="1">
              <w:r w:rsidR="000571C1" w:rsidRPr="00395780">
                <w:rPr>
                  <w:rStyle w:val="Hyperlink"/>
                </w:rPr>
                <w:t>3/18</w:t>
              </w:r>
            </w:hyperlink>
          </w:p>
        </w:tc>
        <w:tc>
          <w:tcPr>
            <w:tcW w:w="3544" w:type="dxa"/>
          </w:tcPr>
          <w:p w:rsidR="000571C1" w:rsidRDefault="001024C9"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024C9">
              <w:rPr>
                <w:rFonts w:ascii="Calibri" w:eastAsia="Times New Roman" w:hAnsi="Calibri" w:cs="Times New Roman"/>
                <w:color w:val="000000"/>
                <w:lang w:eastAsia="en-AU"/>
              </w:rPr>
              <w:t>Freedom of assembly; Freedom of expression; Freedom of movement; Liberty; Protection of the family</w:t>
            </w:r>
          </w:p>
        </w:tc>
      </w:tr>
      <w:tr w:rsidR="001024C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024C9" w:rsidRPr="000571C1" w:rsidRDefault="001024C9" w:rsidP="009729CA">
            <w:pPr>
              <w:spacing w:before="60" w:afterLines="60" w:after="144"/>
              <w:rPr>
                <w:rFonts w:ascii="Calibri" w:eastAsia="Times New Roman" w:hAnsi="Calibri" w:cs="Times New Roman"/>
                <w:color w:val="000000"/>
                <w:lang w:eastAsia="en-AU"/>
              </w:rPr>
            </w:pPr>
            <w:r w:rsidRPr="001024C9">
              <w:rPr>
                <w:rFonts w:ascii="Calibri" w:eastAsia="Times New Roman" w:hAnsi="Calibri" w:cs="Times New Roman"/>
                <w:color w:val="000000"/>
                <w:lang w:eastAsia="en-AU"/>
              </w:rPr>
              <w:t>Migration Legislation Amendment (Temporary Skill Shortage Visa and Complementary Reforms) Regulations 2018 [F2018L00262]</w:t>
            </w:r>
          </w:p>
        </w:tc>
        <w:tc>
          <w:tcPr>
            <w:tcW w:w="1134" w:type="dxa"/>
          </w:tcPr>
          <w:p w:rsidR="001024C9" w:rsidRDefault="001024C9"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024C9"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4" w:history="1">
              <w:r w:rsidR="001024C9" w:rsidRPr="00395780">
                <w:rPr>
                  <w:rStyle w:val="Hyperlink"/>
                </w:rPr>
                <w:t>5/18</w:t>
              </w:r>
            </w:hyperlink>
          </w:p>
          <w:p w:rsidR="001024C9"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5" w:history="1">
              <w:r w:rsidR="001024C9" w:rsidRPr="00282FA0">
                <w:rPr>
                  <w:rStyle w:val="Hyperlink"/>
                </w:rPr>
                <w:t>7/18</w:t>
              </w:r>
            </w:hyperlink>
          </w:p>
        </w:tc>
        <w:tc>
          <w:tcPr>
            <w:tcW w:w="3544" w:type="dxa"/>
          </w:tcPr>
          <w:p w:rsidR="001024C9" w:rsidRPr="001024C9" w:rsidRDefault="001024C9"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association</w:t>
            </w:r>
          </w:p>
        </w:tc>
      </w:tr>
      <w:tr w:rsidR="0030183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301831" w:rsidRPr="001024C9" w:rsidRDefault="00301831" w:rsidP="009729CA">
            <w:pPr>
              <w:spacing w:before="60" w:afterLines="60" w:after="144"/>
              <w:rPr>
                <w:rFonts w:ascii="Calibri" w:eastAsia="Times New Roman" w:hAnsi="Calibri" w:cs="Times New Roman"/>
                <w:color w:val="000000"/>
                <w:lang w:eastAsia="en-AU"/>
              </w:rPr>
            </w:pPr>
            <w:r w:rsidRPr="00301831">
              <w:rPr>
                <w:rFonts w:ascii="Calibri" w:eastAsia="Times New Roman" w:hAnsi="Calibri" w:cs="Times New Roman"/>
                <w:color w:val="000000"/>
                <w:lang w:eastAsia="en-AU"/>
              </w:rPr>
              <w:t>Migration Regulations (IMMI 17/129: Specification of Regional Areas for a Safe Haven Enterprise Visa) Instrument 2017 [F2017L01607]</w:t>
            </w:r>
          </w:p>
        </w:tc>
        <w:tc>
          <w:tcPr>
            <w:tcW w:w="1134" w:type="dxa"/>
          </w:tcPr>
          <w:p w:rsidR="00301831" w:rsidRDefault="00301831"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301831"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66" w:history="1">
              <w:r w:rsidR="00301831" w:rsidRPr="00395780">
                <w:rPr>
                  <w:rStyle w:val="Hyperlink"/>
                </w:rPr>
                <w:t>3/18</w:t>
              </w:r>
            </w:hyperlink>
          </w:p>
        </w:tc>
        <w:tc>
          <w:tcPr>
            <w:tcW w:w="3544" w:type="dxa"/>
          </w:tcPr>
          <w:p w:rsidR="00301831" w:rsidRDefault="00301831"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301831">
              <w:rPr>
                <w:rFonts w:ascii="Calibri" w:eastAsia="Times New Roman" w:hAnsi="Calibri" w:cs="Times New Roman"/>
                <w:color w:val="000000"/>
                <w:lang w:eastAsia="en-AU"/>
              </w:rPr>
              <w:t>Freedom of movement; Non-</w:t>
            </w:r>
            <w:proofErr w:type="spellStart"/>
            <w:r w:rsidRPr="00301831">
              <w:rPr>
                <w:rFonts w:ascii="Calibri" w:eastAsia="Times New Roman" w:hAnsi="Calibri" w:cs="Times New Roman"/>
                <w:color w:val="000000"/>
                <w:lang w:eastAsia="en-AU"/>
              </w:rPr>
              <w:t>refoulement</w:t>
            </w:r>
            <w:proofErr w:type="spellEnd"/>
          </w:p>
        </w:tc>
      </w:tr>
      <w:tr w:rsidR="0030183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301831" w:rsidRPr="00301831" w:rsidRDefault="00301831" w:rsidP="009729CA">
            <w:pPr>
              <w:spacing w:before="60" w:afterLines="60" w:after="144"/>
              <w:rPr>
                <w:rFonts w:ascii="Calibri" w:eastAsia="Times New Roman" w:hAnsi="Calibri" w:cs="Times New Roman"/>
                <w:color w:val="000000"/>
                <w:lang w:eastAsia="en-AU"/>
              </w:rPr>
            </w:pPr>
            <w:r w:rsidRPr="00301831">
              <w:rPr>
                <w:rFonts w:ascii="Calibri" w:eastAsia="Times New Roman" w:hAnsi="Calibri" w:cs="Times New Roman"/>
                <w:color w:val="000000"/>
                <w:lang w:eastAsia="en-AU"/>
              </w:rPr>
              <w:t>My Health Records (National Application) Rules 2017 [F2017L01558]</w:t>
            </w:r>
          </w:p>
        </w:tc>
        <w:tc>
          <w:tcPr>
            <w:tcW w:w="1134" w:type="dxa"/>
          </w:tcPr>
          <w:p w:rsidR="00301831" w:rsidRDefault="00301831"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30183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7" w:history="1">
              <w:r w:rsidR="00301831" w:rsidRPr="00395780">
                <w:rPr>
                  <w:rStyle w:val="Hyperlink"/>
                </w:rPr>
                <w:t>1/18</w:t>
              </w:r>
            </w:hyperlink>
          </w:p>
          <w:p w:rsidR="00301831"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68" w:history="1">
              <w:r w:rsidR="00301831" w:rsidRPr="00282FA0">
                <w:rPr>
                  <w:rStyle w:val="Hyperlink"/>
                </w:rPr>
                <w:t>4/18</w:t>
              </w:r>
            </w:hyperlink>
          </w:p>
        </w:tc>
        <w:tc>
          <w:tcPr>
            <w:tcW w:w="3544" w:type="dxa"/>
          </w:tcPr>
          <w:p w:rsidR="00301831" w:rsidRPr="00301831" w:rsidRDefault="00301831"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FB56C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0239C5"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9729CA" w:rsidRDefault="0030183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Disability Insurance Scheme (Complaints Management and Resolution) Rules 2018 [F2018L00634]</w:t>
            </w:r>
          </w:p>
        </w:tc>
        <w:tc>
          <w:tcPr>
            <w:tcW w:w="1134" w:type="dxa"/>
          </w:tcPr>
          <w:p w:rsidR="001E7D66" w:rsidRPr="009729CA" w:rsidRDefault="00301831"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1E7D66"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69" w:history="1">
              <w:r w:rsidR="00301831" w:rsidRPr="009729CA">
                <w:rPr>
                  <w:rStyle w:val="Hyperlink"/>
                </w:rPr>
                <w:t>7/18</w:t>
              </w:r>
            </w:hyperlink>
          </w:p>
          <w:p w:rsidR="0030183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70" w:history="1">
              <w:r w:rsidR="00301831" w:rsidRPr="009729CA">
                <w:rPr>
                  <w:rStyle w:val="Hyperlink"/>
                </w:rPr>
                <w:t>9/18</w:t>
              </w:r>
            </w:hyperlink>
          </w:p>
        </w:tc>
        <w:tc>
          <w:tcPr>
            <w:tcW w:w="3544" w:type="dxa"/>
          </w:tcPr>
          <w:p w:rsidR="001E7D66" w:rsidRPr="009729CA" w:rsidRDefault="005716E1" w:rsidP="009729CA">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Fair hearing; Persons with a disability; Privacy</w:t>
            </w:r>
          </w:p>
        </w:tc>
      </w:tr>
      <w:tr w:rsidR="005716E1" w:rsidRPr="009729CA" w:rsidTr="00A0593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6E1" w:rsidRPr="009729CA" w:rsidRDefault="005716E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Disability Insurance Scheme (Incident Management and Reportable Incidents) Rules 2018 [F2018L00633]</w:t>
            </w:r>
          </w:p>
        </w:tc>
        <w:tc>
          <w:tcPr>
            <w:tcW w:w="1134" w:type="dxa"/>
          </w:tcPr>
          <w:p w:rsidR="005716E1" w:rsidRPr="009729CA" w:rsidRDefault="005716E1"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71" w:history="1">
              <w:r w:rsidR="005716E1" w:rsidRPr="009729CA">
                <w:rPr>
                  <w:rStyle w:val="Hyperlink"/>
                </w:rPr>
                <w:t>7/18</w:t>
              </w:r>
            </w:hyperlink>
          </w:p>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72" w:history="1">
              <w:r w:rsidR="005716E1" w:rsidRPr="009729CA">
                <w:rPr>
                  <w:rStyle w:val="Hyperlink"/>
                </w:rPr>
                <w:t>9/18</w:t>
              </w:r>
            </w:hyperlink>
          </w:p>
        </w:tc>
        <w:tc>
          <w:tcPr>
            <w:tcW w:w="3544" w:type="dxa"/>
          </w:tcPr>
          <w:p w:rsidR="005716E1" w:rsidRPr="009729CA" w:rsidRDefault="005716E1" w:rsidP="009729CA">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Fair hearing; Persons with a disability; Privacy</w:t>
            </w:r>
          </w:p>
        </w:tc>
      </w:tr>
      <w:tr w:rsidR="005716E1" w:rsidRPr="009729CA" w:rsidTr="00A0593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6E1" w:rsidRPr="009729CA" w:rsidRDefault="005716E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Disability Insurance Scheme (Protection and Disclosure of Information—Commissioner) Rules 2018 [F2018L00635]</w:t>
            </w:r>
          </w:p>
        </w:tc>
        <w:tc>
          <w:tcPr>
            <w:tcW w:w="1134" w:type="dxa"/>
          </w:tcPr>
          <w:p w:rsidR="005716E1" w:rsidRPr="009729CA" w:rsidRDefault="005716E1"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5716E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73" w:history="1">
              <w:r w:rsidR="005716E1" w:rsidRPr="009729CA">
                <w:rPr>
                  <w:rStyle w:val="Hyperlink"/>
                </w:rPr>
                <w:t>7/18</w:t>
              </w:r>
            </w:hyperlink>
          </w:p>
          <w:p w:rsidR="005716E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74" w:history="1">
              <w:r w:rsidR="005716E1" w:rsidRPr="009729CA">
                <w:rPr>
                  <w:rStyle w:val="Hyperlink"/>
                </w:rPr>
                <w:t>9/18</w:t>
              </w:r>
            </w:hyperlink>
          </w:p>
        </w:tc>
        <w:tc>
          <w:tcPr>
            <w:tcW w:w="3544" w:type="dxa"/>
          </w:tcPr>
          <w:p w:rsidR="005716E1" w:rsidRPr="009729CA" w:rsidRDefault="005716E1" w:rsidP="009729CA">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Privacy</w:t>
            </w:r>
          </w:p>
        </w:tc>
      </w:tr>
      <w:tr w:rsidR="005716E1" w:rsidRPr="009729CA" w:rsidTr="00A0593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6E1" w:rsidRPr="009729CA" w:rsidRDefault="005716E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Disability Insurance Scheme (Restrictive Practice and Behaviour Support) Rules 2018 [F2018L00632]</w:t>
            </w:r>
          </w:p>
        </w:tc>
        <w:tc>
          <w:tcPr>
            <w:tcW w:w="1134" w:type="dxa"/>
          </w:tcPr>
          <w:p w:rsidR="005716E1" w:rsidRPr="009729CA" w:rsidRDefault="005716E1"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75" w:history="1">
              <w:r w:rsidR="005716E1" w:rsidRPr="009729CA">
                <w:rPr>
                  <w:rStyle w:val="Hyperlink"/>
                </w:rPr>
                <w:t>7/18</w:t>
              </w:r>
            </w:hyperlink>
          </w:p>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76" w:history="1">
              <w:r w:rsidR="005716E1" w:rsidRPr="009729CA">
                <w:rPr>
                  <w:rStyle w:val="Hyperlink"/>
                </w:rPr>
                <w:t>9/18</w:t>
              </w:r>
            </w:hyperlink>
          </w:p>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77" w:history="1">
              <w:r w:rsidR="005716E1" w:rsidRPr="009729CA">
                <w:rPr>
                  <w:rStyle w:val="Hyperlink"/>
                </w:rPr>
                <w:t>13/18</w:t>
              </w:r>
            </w:hyperlink>
          </w:p>
        </w:tc>
        <w:tc>
          <w:tcPr>
            <w:tcW w:w="3544" w:type="dxa"/>
          </w:tcPr>
          <w:p w:rsidR="005716E1" w:rsidRPr="009729CA" w:rsidRDefault="005716E1" w:rsidP="009729CA">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Liberty; Persons with a disability; Torture, cruel, inhuman or degrading treatment</w:t>
            </w:r>
          </w:p>
        </w:tc>
      </w:tr>
      <w:tr w:rsidR="001E7D66"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9729CA" w:rsidRDefault="005716E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Health (Privacy) Rules 2018 [F2018L01427]</w:t>
            </w:r>
          </w:p>
        </w:tc>
        <w:tc>
          <w:tcPr>
            <w:tcW w:w="1134" w:type="dxa"/>
          </w:tcPr>
          <w:p w:rsidR="001E7D66" w:rsidRPr="009729CA" w:rsidRDefault="005716E1"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1E7D66"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78" w:history="1">
              <w:r w:rsidR="005716E1" w:rsidRPr="009729CA">
                <w:rPr>
                  <w:rStyle w:val="Hyperlink"/>
                </w:rPr>
                <w:t>13/18</w:t>
              </w:r>
            </w:hyperlink>
          </w:p>
          <w:p w:rsidR="005716E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79" w:history="1">
              <w:r w:rsidR="005716E1" w:rsidRPr="009729CA">
                <w:rPr>
                  <w:rStyle w:val="Hyperlink"/>
                </w:rPr>
                <w:t>1/19</w:t>
              </w:r>
            </w:hyperlink>
          </w:p>
        </w:tc>
        <w:tc>
          <w:tcPr>
            <w:tcW w:w="3544" w:type="dxa"/>
          </w:tcPr>
          <w:p w:rsidR="001E7D66" w:rsidRPr="009729CA" w:rsidRDefault="005716E1" w:rsidP="009729CA">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Privacy (informational privacy)</w:t>
            </w:r>
          </w:p>
        </w:tc>
      </w:tr>
      <w:tr w:rsidR="005716E1" w:rsidRPr="009729CA"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6E1" w:rsidRPr="009729CA" w:rsidRDefault="00F944C0"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lastRenderedPageBreak/>
              <w:t>National Redress Scheme for Institutional Child Sexual Abuse Assessment Framework 2018 [F2018L00969]</w:t>
            </w:r>
          </w:p>
        </w:tc>
        <w:tc>
          <w:tcPr>
            <w:tcW w:w="1134" w:type="dxa"/>
          </w:tcPr>
          <w:p w:rsidR="005716E1" w:rsidRPr="009729CA" w:rsidRDefault="00F944C0"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AO</w:t>
            </w:r>
          </w:p>
        </w:tc>
        <w:tc>
          <w:tcPr>
            <w:tcW w:w="1134" w:type="dxa"/>
          </w:tcPr>
          <w:p w:rsidR="005716E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80" w:history="1">
              <w:r w:rsidR="00F944C0" w:rsidRPr="009729CA">
                <w:rPr>
                  <w:rStyle w:val="Hyperlink"/>
                </w:rPr>
                <w:t>9/18</w:t>
              </w:r>
            </w:hyperlink>
          </w:p>
        </w:tc>
        <w:tc>
          <w:tcPr>
            <w:tcW w:w="3544" w:type="dxa"/>
          </w:tcPr>
          <w:p w:rsidR="005716E1" w:rsidRPr="009729CA" w:rsidRDefault="00F944C0" w:rsidP="009729CA">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Effective remedy; Equality and non-discrimination (indirect); Fair hearing; Privacy</w:t>
            </w:r>
          </w:p>
        </w:tc>
      </w:tr>
      <w:tr w:rsidR="00F944C0"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Pr="009729CA" w:rsidRDefault="00F944C0"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Redress Scheme for Institutional Child Sexual Abuse Direct Personal Response Framework 2018 [F2018L00970]</w:t>
            </w:r>
          </w:p>
        </w:tc>
        <w:tc>
          <w:tcPr>
            <w:tcW w:w="1134" w:type="dxa"/>
          </w:tcPr>
          <w:p w:rsidR="00F944C0" w:rsidRPr="009729CA" w:rsidRDefault="00F944C0"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AO</w:t>
            </w:r>
          </w:p>
        </w:tc>
        <w:tc>
          <w:tcPr>
            <w:tcW w:w="1134" w:type="dxa"/>
          </w:tcPr>
          <w:p w:rsidR="00F944C0"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81" w:history="1">
              <w:r w:rsidR="00F944C0" w:rsidRPr="009729CA">
                <w:rPr>
                  <w:rStyle w:val="Hyperlink"/>
                </w:rPr>
                <w:t>9/18</w:t>
              </w:r>
            </w:hyperlink>
          </w:p>
        </w:tc>
        <w:tc>
          <w:tcPr>
            <w:tcW w:w="3544" w:type="dxa"/>
          </w:tcPr>
          <w:p w:rsidR="00F944C0" w:rsidRPr="009729CA" w:rsidRDefault="00F944C0" w:rsidP="009729CA">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Effective remedy; Equality and non-discrimination (indirect); Fair hearing; Privacy</w:t>
            </w:r>
          </w:p>
        </w:tc>
      </w:tr>
      <w:tr w:rsidR="00F944C0" w:rsidRPr="009729CA"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Pr="009729CA" w:rsidRDefault="00F944C0"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National Redress Scheme for Institutional Child Sexual Abuse Rules 2018 [F2018L00975]</w:t>
            </w:r>
          </w:p>
        </w:tc>
        <w:tc>
          <w:tcPr>
            <w:tcW w:w="1134" w:type="dxa"/>
          </w:tcPr>
          <w:p w:rsidR="00F944C0" w:rsidRPr="009729CA" w:rsidRDefault="00F944C0"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AO</w:t>
            </w:r>
          </w:p>
        </w:tc>
        <w:tc>
          <w:tcPr>
            <w:tcW w:w="1134" w:type="dxa"/>
          </w:tcPr>
          <w:p w:rsidR="00F944C0"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82" w:history="1">
              <w:r w:rsidR="00F944C0" w:rsidRPr="009729CA">
                <w:rPr>
                  <w:rStyle w:val="Hyperlink"/>
                </w:rPr>
                <w:t>9/18</w:t>
              </w:r>
            </w:hyperlink>
          </w:p>
        </w:tc>
        <w:tc>
          <w:tcPr>
            <w:tcW w:w="3544" w:type="dxa"/>
          </w:tcPr>
          <w:p w:rsidR="00F944C0" w:rsidRPr="009729CA" w:rsidRDefault="00F944C0" w:rsidP="009729CA">
            <w:pPr>
              <w:spacing w:beforeLines="60" w:before="144" w:afterLines="60" w:after="144"/>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Effective remedy; Equality and non-discrimination (indirect); Fair hearing; Privacy</w:t>
            </w:r>
          </w:p>
        </w:tc>
      </w:tr>
      <w:tr w:rsidR="00F944C0" w:rsidRPr="009729CA"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Pr="009729CA" w:rsidRDefault="00F944C0"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Norfolk Island Legislation Amendment (Protecting Vulnerable People) Ordinance 2018 [F2018L01377]</w:t>
            </w:r>
          </w:p>
        </w:tc>
        <w:tc>
          <w:tcPr>
            <w:tcW w:w="1134" w:type="dxa"/>
          </w:tcPr>
          <w:p w:rsidR="00F944C0" w:rsidRPr="009729CA" w:rsidRDefault="00F944C0"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F944C0"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83" w:history="1">
              <w:r w:rsidR="00F944C0" w:rsidRPr="009729CA">
                <w:rPr>
                  <w:rStyle w:val="Hyperlink"/>
                </w:rPr>
                <w:t>13/18</w:t>
              </w:r>
            </w:hyperlink>
          </w:p>
          <w:p w:rsidR="00F944C0"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84" w:history="1">
              <w:r w:rsidR="00F944C0" w:rsidRPr="009729CA">
                <w:rPr>
                  <w:rStyle w:val="Hyperlink"/>
                </w:rPr>
                <w:t>1/19</w:t>
              </w:r>
            </w:hyperlink>
          </w:p>
        </w:tc>
        <w:tc>
          <w:tcPr>
            <w:tcW w:w="3544" w:type="dxa"/>
          </w:tcPr>
          <w:p w:rsidR="00F944C0" w:rsidRPr="009729CA" w:rsidRDefault="00F944C0" w:rsidP="009729CA">
            <w:pPr>
              <w:spacing w:beforeLines="60" w:before="144" w:afterLines="60" w:after="144"/>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Fair trial (presumption of innocence)</w:t>
            </w:r>
          </w:p>
        </w:tc>
      </w:tr>
      <w:tr w:rsidR="00C81C71" w:rsidRPr="009729CA"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81C71" w:rsidRPr="009729CA" w:rsidRDefault="00C81C7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North-West Marine Parks Network Management Plan 2018 [F2018L00322]</w:t>
            </w:r>
          </w:p>
        </w:tc>
        <w:tc>
          <w:tcPr>
            <w:tcW w:w="1134" w:type="dxa"/>
          </w:tcPr>
          <w:p w:rsidR="00C81C71" w:rsidRPr="009729CA" w:rsidRDefault="00C81C71"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C81C7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85" w:history="1">
              <w:r w:rsidR="00C81C71" w:rsidRPr="009729CA">
                <w:rPr>
                  <w:rStyle w:val="Hyperlink"/>
                </w:rPr>
                <w:t>5/18</w:t>
              </w:r>
            </w:hyperlink>
          </w:p>
          <w:p w:rsidR="00C81C71" w:rsidRPr="009729CA" w:rsidRDefault="00102D5E" w:rsidP="009729CA">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pPr>
            <w:hyperlink r:id="rId86" w:history="1">
              <w:r w:rsidR="00C81C71" w:rsidRPr="009729CA">
                <w:rPr>
                  <w:rStyle w:val="Hyperlink"/>
                </w:rPr>
                <w:t>7/18</w:t>
              </w:r>
            </w:hyperlink>
          </w:p>
        </w:tc>
        <w:tc>
          <w:tcPr>
            <w:tcW w:w="3544" w:type="dxa"/>
          </w:tcPr>
          <w:p w:rsidR="00C81C71" w:rsidRPr="009729CA" w:rsidRDefault="00C81C71" w:rsidP="009729CA">
            <w:pPr>
              <w:pStyle w:val="Default"/>
              <w:spacing w:beforeLines="60" w:before="144" w:afterLines="60" w:after="144"/>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729CA">
              <w:rPr>
                <w:rFonts w:asciiTheme="minorHAnsi" w:hAnsiTheme="minorHAnsi"/>
                <w:sz w:val="22"/>
                <w:szCs w:val="22"/>
              </w:rPr>
              <w:t>Freedom of expression</w:t>
            </w:r>
          </w:p>
        </w:tc>
      </w:tr>
      <w:tr w:rsidR="00C81C71" w:rsidRPr="009729CA"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81C71" w:rsidRPr="009729CA" w:rsidRDefault="00C81C71" w:rsidP="009729CA">
            <w:pPr>
              <w:spacing w:beforeLines="60" w:before="144" w:afterLines="60" w:after="144"/>
              <w:rPr>
                <w:rFonts w:eastAsia="Times New Roman" w:cs="Times New Roman"/>
                <w:color w:val="000000"/>
                <w:lang w:eastAsia="en-AU"/>
              </w:rPr>
            </w:pPr>
            <w:r w:rsidRPr="009729CA">
              <w:rPr>
                <w:rFonts w:eastAsia="Times New Roman" w:cs="Times New Roman"/>
                <w:color w:val="000000"/>
                <w:lang w:eastAsia="en-AU"/>
              </w:rPr>
              <w:t>North Marine Parks Network Management Plan 2018 [F2018L00324]</w:t>
            </w:r>
          </w:p>
        </w:tc>
        <w:tc>
          <w:tcPr>
            <w:tcW w:w="1134" w:type="dxa"/>
          </w:tcPr>
          <w:p w:rsidR="00C81C71" w:rsidRPr="009729CA" w:rsidRDefault="00C81C71"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9729CA">
              <w:rPr>
                <w:rFonts w:eastAsia="Times New Roman" w:cs="Times New Roman"/>
                <w:color w:val="000000"/>
                <w:lang w:eastAsia="en-AU"/>
              </w:rPr>
              <w:t>RR</w:t>
            </w:r>
          </w:p>
        </w:tc>
        <w:tc>
          <w:tcPr>
            <w:tcW w:w="1134" w:type="dxa"/>
          </w:tcPr>
          <w:p w:rsidR="00C81C7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87" w:history="1">
              <w:r w:rsidR="00C81C71" w:rsidRPr="009729CA">
                <w:rPr>
                  <w:rStyle w:val="Hyperlink"/>
                </w:rPr>
                <w:t>5/18</w:t>
              </w:r>
            </w:hyperlink>
          </w:p>
          <w:p w:rsidR="00C81C71" w:rsidRPr="009729CA" w:rsidRDefault="00102D5E" w:rsidP="009729CA">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pPr>
            <w:hyperlink r:id="rId88" w:history="1">
              <w:r w:rsidR="00C81C71" w:rsidRPr="009729CA">
                <w:rPr>
                  <w:rStyle w:val="Hyperlink"/>
                </w:rPr>
                <w:t>7/18</w:t>
              </w:r>
            </w:hyperlink>
          </w:p>
        </w:tc>
        <w:tc>
          <w:tcPr>
            <w:tcW w:w="3544" w:type="dxa"/>
          </w:tcPr>
          <w:p w:rsidR="00C81C71" w:rsidRPr="009729CA" w:rsidRDefault="00C81C71" w:rsidP="009729CA">
            <w:pPr>
              <w:pStyle w:val="Default"/>
              <w:spacing w:beforeLines="60" w:before="144" w:afterLines="60" w:after="1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729CA">
              <w:rPr>
                <w:rFonts w:asciiTheme="minorHAnsi" w:hAnsiTheme="minorHAnsi"/>
                <w:sz w:val="22"/>
                <w:szCs w:val="22"/>
              </w:rPr>
              <w:t>Freedom of expression</w:t>
            </w:r>
          </w:p>
        </w:tc>
      </w:tr>
      <w:tr w:rsidR="00F944C0" w:rsidRPr="002C2B55" w:rsidTr="00FB56C4">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F944C0" w:rsidRPr="00EE7910" w:rsidRDefault="00F944C0"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F944C0" w:rsidRPr="009419EA" w:rsidRDefault="00F944C0"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F944C0" w:rsidRPr="00056817" w:rsidRDefault="00F944C0"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944C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Default="00F944C0" w:rsidP="009729CA">
            <w:pPr>
              <w:spacing w:before="60" w:afterLines="60" w:after="144"/>
              <w:rPr>
                <w:rFonts w:ascii="Calibri" w:eastAsia="Times New Roman" w:hAnsi="Calibri" w:cs="Times New Roman"/>
                <w:color w:val="000000"/>
                <w:lang w:eastAsia="en-AU"/>
              </w:rPr>
            </w:pPr>
            <w:r w:rsidRPr="00F944C0">
              <w:rPr>
                <w:rFonts w:ascii="Calibri" w:eastAsia="Times New Roman" w:hAnsi="Calibri" w:cs="Times New Roman"/>
                <w:color w:val="000000"/>
                <w:lang w:eastAsia="en-AU"/>
              </w:rPr>
              <w:t>Parliamentary Service Amendment (Managing Recruitment Activity and Other Measures) Determination 2017 [F2017L01353]</w:t>
            </w:r>
          </w:p>
        </w:tc>
        <w:tc>
          <w:tcPr>
            <w:tcW w:w="1134" w:type="dxa"/>
          </w:tcPr>
          <w:p w:rsidR="00F944C0" w:rsidRDefault="00F944C0"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944C0"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89" w:history="1">
              <w:r w:rsidR="00F944C0" w:rsidRPr="00395780">
                <w:rPr>
                  <w:rStyle w:val="Hyperlink"/>
                </w:rPr>
                <w:t>1/18</w:t>
              </w:r>
            </w:hyperlink>
          </w:p>
          <w:p w:rsidR="00F944C0"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0" w:history="1">
              <w:r w:rsidR="00F944C0" w:rsidRPr="00395780">
                <w:rPr>
                  <w:rStyle w:val="Hyperlink"/>
                </w:rPr>
                <w:t>3/18</w:t>
              </w:r>
            </w:hyperlink>
          </w:p>
        </w:tc>
        <w:tc>
          <w:tcPr>
            <w:tcW w:w="3544" w:type="dxa"/>
          </w:tcPr>
          <w:p w:rsidR="00F944C0" w:rsidRPr="00056817" w:rsidRDefault="00F944C0"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F944C0" w:rsidRPr="002C2B55" w:rsidTr="00FB56C4">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F944C0" w:rsidRPr="00EE7910" w:rsidRDefault="00F944C0"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F944C0" w:rsidRPr="009419EA" w:rsidRDefault="00F944C0"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FB56C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F944C0" w:rsidRPr="00056817" w:rsidRDefault="00F944C0"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944C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Default="00F944C0" w:rsidP="009729CA">
            <w:pPr>
              <w:spacing w:before="60" w:afterLines="60" w:after="144"/>
              <w:rPr>
                <w:rFonts w:ascii="Calibri" w:eastAsia="Times New Roman" w:hAnsi="Calibri" w:cs="Times New Roman"/>
                <w:color w:val="000000"/>
                <w:lang w:eastAsia="en-AU"/>
              </w:rPr>
            </w:pPr>
            <w:r w:rsidRPr="00F944C0">
              <w:rPr>
                <w:rFonts w:ascii="Calibri" w:eastAsia="Times New Roman" w:hAnsi="Calibri" w:cs="Times New Roman"/>
                <w:color w:val="000000"/>
                <w:lang w:eastAsia="en-AU"/>
              </w:rPr>
              <w:t>Social Security (Administration) (Recognised State/Territory Authority – Northern Territory Department of Health) Determination 2017 [F2017L01371]</w:t>
            </w:r>
          </w:p>
        </w:tc>
        <w:tc>
          <w:tcPr>
            <w:tcW w:w="1134" w:type="dxa"/>
          </w:tcPr>
          <w:p w:rsidR="00F944C0" w:rsidRDefault="00F944C0"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944C0"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1" w:history="1">
              <w:r w:rsidR="00EC4CDB" w:rsidRPr="00EC4CDB">
                <w:rPr>
                  <w:rStyle w:val="Hyperlink"/>
                </w:rPr>
                <w:t>2/18</w:t>
              </w:r>
            </w:hyperlink>
          </w:p>
        </w:tc>
        <w:tc>
          <w:tcPr>
            <w:tcW w:w="3544" w:type="dxa"/>
          </w:tcPr>
          <w:p w:rsidR="00F944C0" w:rsidRPr="00056817" w:rsidRDefault="00EC4CDB"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C4CDB">
              <w:rPr>
                <w:rFonts w:ascii="Calibri" w:eastAsia="Times New Roman" w:hAnsi="Calibri" w:cs="Times New Roman"/>
                <w:color w:val="000000"/>
                <w:lang w:eastAsia="en-AU"/>
              </w:rPr>
              <w:t>Multiple rights</w:t>
            </w:r>
          </w:p>
        </w:tc>
      </w:tr>
      <w:tr w:rsidR="00F944C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Default="00EC4CDB" w:rsidP="009729CA">
            <w:pPr>
              <w:spacing w:before="60" w:afterLines="60" w:after="144"/>
              <w:rPr>
                <w:rFonts w:ascii="Calibri" w:eastAsia="Times New Roman" w:hAnsi="Calibri" w:cs="Times New Roman"/>
                <w:color w:val="000000"/>
                <w:lang w:eastAsia="en-AU"/>
              </w:rPr>
            </w:pPr>
            <w:r w:rsidRPr="00EC4CDB">
              <w:rPr>
                <w:rFonts w:ascii="Calibri" w:eastAsia="Times New Roman" w:hAnsi="Calibri" w:cs="Times New Roman"/>
                <w:color w:val="000000"/>
                <w:lang w:eastAsia="en-AU"/>
              </w:rPr>
              <w:t>Social Security (Administration) (Trial – Declinable Transactions and Welfare Restricted Bank Account) Determination 2018 [F2018L00251]</w:t>
            </w:r>
          </w:p>
        </w:tc>
        <w:tc>
          <w:tcPr>
            <w:tcW w:w="1134" w:type="dxa"/>
          </w:tcPr>
          <w:p w:rsidR="00F944C0" w:rsidRDefault="00EC4CDB"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944C0"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92" w:history="1">
              <w:r w:rsidR="00EC4CDB" w:rsidRPr="00EC4CDB">
                <w:rPr>
                  <w:rStyle w:val="Hyperlink"/>
                </w:rPr>
                <w:t>6/18</w:t>
              </w:r>
            </w:hyperlink>
          </w:p>
          <w:p w:rsidR="00EC4CDB"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93" w:history="1">
              <w:r w:rsidR="00EC4CDB" w:rsidRPr="00EC4CDB">
                <w:rPr>
                  <w:rStyle w:val="Hyperlink"/>
                </w:rPr>
                <w:t>8/18</w:t>
              </w:r>
            </w:hyperlink>
          </w:p>
        </w:tc>
        <w:tc>
          <w:tcPr>
            <w:tcW w:w="3544" w:type="dxa"/>
          </w:tcPr>
          <w:p w:rsidR="00F944C0" w:rsidRPr="00056817" w:rsidRDefault="00EC4CDB"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C4CDB">
              <w:rPr>
                <w:rFonts w:ascii="Calibri" w:eastAsia="Times New Roman" w:hAnsi="Calibri" w:cs="Times New Roman"/>
                <w:color w:val="000000"/>
                <w:lang w:eastAsia="en-AU"/>
              </w:rPr>
              <w:t>Equality and non-discrimination (indirect); Privacy (private life); Protection of the family; Social security</w:t>
            </w:r>
          </w:p>
        </w:tc>
      </w:tr>
      <w:tr w:rsidR="00EC4CDB" w:rsidRPr="002C2B55" w:rsidTr="00A0593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C4CDB" w:rsidRDefault="00EC4CDB" w:rsidP="009729CA">
            <w:pPr>
              <w:spacing w:before="60" w:afterLines="60" w:after="144"/>
              <w:rPr>
                <w:rFonts w:ascii="Calibri" w:eastAsia="Times New Roman" w:hAnsi="Calibri" w:cs="Times New Roman"/>
                <w:color w:val="000000"/>
                <w:lang w:eastAsia="en-AU"/>
              </w:rPr>
            </w:pPr>
            <w:r w:rsidRPr="00EC4CDB">
              <w:rPr>
                <w:rFonts w:ascii="Calibri" w:eastAsia="Times New Roman" w:hAnsi="Calibri" w:cs="Times New Roman"/>
                <w:color w:val="000000"/>
                <w:lang w:eastAsia="en-AU"/>
              </w:rPr>
              <w:t>Social Security (Administration) (Trial of Cashless Welfare Arrangements) Determination 2018 [F2018L00245]</w:t>
            </w:r>
          </w:p>
        </w:tc>
        <w:tc>
          <w:tcPr>
            <w:tcW w:w="1134" w:type="dxa"/>
          </w:tcPr>
          <w:p w:rsidR="00EC4CDB" w:rsidRDefault="00EC4CDB"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EC4CDB"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4" w:history="1">
              <w:r w:rsidR="00EC4CDB" w:rsidRPr="00EC4CDB">
                <w:rPr>
                  <w:rStyle w:val="Hyperlink"/>
                </w:rPr>
                <w:t>6/18</w:t>
              </w:r>
            </w:hyperlink>
          </w:p>
          <w:p w:rsidR="00EC4CDB"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5" w:history="1">
              <w:r w:rsidR="00EC4CDB" w:rsidRPr="00EC4CDB">
                <w:rPr>
                  <w:rStyle w:val="Hyperlink"/>
                </w:rPr>
                <w:t>8/18</w:t>
              </w:r>
            </w:hyperlink>
          </w:p>
        </w:tc>
        <w:tc>
          <w:tcPr>
            <w:tcW w:w="3544" w:type="dxa"/>
          </w:tcPr>
          <w:p w:rsidR="00EC4CDB" w:rsidRPr="00056817" w:rsidRDefault="00EC4CDB"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C4CDB">
              <w:rPr>
                <w:rFonts w:ascii="Calibri" w:eastAsia="Times New Roman" w:hAnsi="Calibri" w:cs="Times New Roman"/>
                <w:color w:val="000000"/>
                <w:lang w:eastAsia="en-AU"/>
              </w:rPr>
              <w:t>Equality and non-discrimination (indirect); Privacy (private life); Protection of the family; Social security</w:t>
            </w:r>
          </w:p>
        </w:tc>
      </w:tr>
      <w:tr w:rsidR="00A05937" w:rsidRPr="002C2B55" w:rsidTr="00A0593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05937" w:rsidRPr="00EC4CDB" w:rsidRDefault="00A05937" w:rsidP="009729CA">
            <w:pPr>
              <w:spacing w:before="60" w:afterLines="60" w:after="144"/>
              <w:rPr>
                <w:rFonts w:ascii="Calibri" w:eastAsia="Times New Roman" w:hAnsi="Calibri" w:cs="Times New Roman"/>
                <w:color w:val="000000"/>
                <w:lang w:eastAsia="en-AU"/>
              </w:rPr>
            </w:pPr>
            <w:r w:rsidRPr="00A05937">
              <w:rPr>
                <w:rFonts w:ascii="Calibri" w:eastAsia="Times New Roman" w:hAnsi="Calibri" w:cs="Times New Roman"/>
                <w:color w:val="000000"/>
                <w:lang w:eastAsia="en-AU"/>
              </w:rPr>
              <w:lastRenderedPageBreak/>
              <w:t>Social Security (Assurances of Support) Amendment Determination 2018 [F2018L00650]</w:t>
            </w:r>
          </w:p>
        </w:tc>
        <w:tc>
          <w:tcPr>
            <w:tcW w:w="1134" w:type="dxa"/>
          </w:tcPr>
          <w:p w:rsidR="00A05937" w:rsidRDefault="00A05937"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05937"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96" w:history="1">
              <w:r w:rsidR="00A05937" w:rsidRPr="00395780">
                <w:rPr>
                  <w:rStyle w:val="Hyperlink"/>
                </w:rPr>
                <w:t>5/18</w:t>
              </w:r>
            </w:hyperlink>
          </w:p>
          <w:p w:rsidR="00A05937"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97" w:history="1">
              <w:r w:rsidR="00A05937" w:rsidRPr="00282FA0">
                <w:rPr>
                  <w:rStyle w:val="Hyperlink"/>
                </w:rPr>
                <w:t>7/18</w:t>
              </w:r>
            </w:hyperlink>
          </w:p>
        </w:tc>
        <w:tc>
          <w:tcPr>
            <w:tcW w:w="3544" w:type="dxa"/>
          </w:tcPr>
          <w:p w:rsidR="00A05937" w:rsidRPr="00EC4CDB" w:rsidRDefault="00A05937"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A05937">
              <w:rPr>
                <w:rFonts w:ascii="Calibri" w:eastAsia="Times New Roman" w:hAnsi="Calibri" w:cs="Times New Roman"/>
                <w:color w:val="000000"/>
                <w:lang w:eastAsia="en-AU"/>
              </w:rPr>
              <w:t>Protection of the family</w:t>
            </w:r>
          </w:p>
        </w:tc>
      </w:tr>
      <w:tr w:rsidR="00EC4CD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C4CDB" w:rsidRPr="00EC4CDB" w:rsidRDefault="00A05937" w:rsidP="009729CA">
            <w:pPr>
              <w:spacing w:before="60" w:afterLines="60" w:after="144"/>
              <w:rPr>
                <w:rFonts w:ascii="Calibri" w:eastAsia="Times New Roman" w:hAnsi="Calibri" w:cs="Times New Roman"/>
                <w:color w:val="000000"/>
                <w:lang w:eastAsia="en-AU"/>
              </w:rPr>
            </w:pPr>
            <w:r w:rsidRPr="00A05937">
              <w:rPr>
                <w:rFonts w:ascii="Calibri" w:eastAsia="Times New Roman" w:hAnsi="Calibri" w:cs="Times New Roman"/>
                <w:color w:val="000000"/>
                <w:lang w:eastAsia="en-AU"/>
              </w:rPr>
              <w:t>Social Security (Assurances of Support) Determination 2018 [F2018L00425]</w:t>
            </w:r>
          </w:p>
        </w:tc>
        <w:tc>
          <w:tcPr>
            <w:tcW w:w="1134" w:type="dxa"/>
          </w:tcPr>
          <w:p w:rsidR="00EC4CDB" w:rsidRDefault="00A05937"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05937"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8" w:history="1">
              <w:r w:rsidR="00A05937" w:rsidRPr="00395780">
                <w:rPr>
                  <w:rStyle w:val="Hyperlink"/>
                </w:rPr>
                <w:t>5/18</w:t>
              </w:r>
            </w:hyperlink>
          </w:p>
          <w:p w:rsidR="00EC4CDB"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99" w:history="1">
              <w:r w:rsidR="00A05937" w:rsidRPr="00282FA0">
                <w:rPr>
                  <w:rStyle w:val="Hyperlink"/>
                </w:rPr>
                <w:t>7/18</w:t>
              </w:r>
            </w:hyperlink>
          </w:p>
        </w:tc>
        <w:tc>
          <w:tcPr>
            <w:tcW w:w="3544" w:type="dxa"/>
          </w:tcPr>
          <w:p w:rsidR="00EC4CDB" w:rsidRPr="00EC4CDB" w:rsidRDefault="00A05937"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A05937">
              <w:rPr>
                <w:rFonts w:ascii="Calibri" w:eastAsia="Times New Roman" w:hAnsi="Calibri" w:cs="Times New Roman"/>
                <w:color w:val="000000"/>
                <w:lang w:eastAsia="en-AU"/>
              </w:rPr>
              <w:t>Protection of the family</w:t>
            </w:r>
          </w:p>
        </w:tc>
      </w:tr>
      <w:tr w:rsidR="00C36F8A"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6F8A" w:rsidRPr="00A05937" w:rsidRDefault="00C36F8A" w:rsidP="009729CA">
            <w:pPr>
              <w:spacing w:before="60" w:afterLines="60" w:after="144"/>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Social Security (Administration) (Reasonable Excuse – Participation Payments) Determination 2018 [F2018L00779]</w:t>
            </w:r>
          </w:p>
        </w:tc>
        <w:tc>
          <w:tcPr>
            <w:tcW w:w="1134" w:type="dxa"/>
          </w:tcPr>
          <w:p w:rsidR="00C36F8A" w:rsidRDefault="00C36F8A"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6F8A"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100" w:history="1">
              <w:r w:rsidR="00C36F8A" w:rsidRPr="00EC4CDB">
                <w:rPr>
                  <w:rStyle w:val="Hyperlink"/>
                </w:rPr>
                <w:t>8/18</w:t>
              </w:r>
            </w:hyperlink>
          </w:p>
        </w:tc>
        <w:tc>
          <w:tcPr>
            <w:tcW w:w="3544" w:type="dxa"/>
          </w:tcPr>
          <w:p w:rsidR="00C36F8A" w:rsidRPr="00A05937" w:rsidRDefault="00C36F8A"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Adequate standard of living; Equality and non-discrimination (indirect); Social security</w:t>
            </w:r>
          </w:p>
        </w:tc>
      </w:tr>
      <w:tr w:rsidR="00C36F8A" w:rsidRPr="002C2B55"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6F8A" w:rsidRPr="00A05937" w:rsidRDefault="00C36F8A" w:rsidP="009729CA">
            <w:pPr>
              <w:spacing w:before="60" w:afterLines="60" w:after="144"/>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Social Security (Administration) Legislation Amendment and Repeal (Reasonable Excuse – Participation Payments) Determination 2018 [F2018L00783]</w:t>
            </w:r>
          </w:p>
        </w:tc>
        <w:tc>
          <w:tcPr>
            <w:tcW w:w="1134" w:type="dxa"/>
          </w:tcPr>
          <w:p w:rsidR="00C36F8A" w:rsidRDefault="00C36F8A"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6F8A"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101" w:history="1">
              <w:r w:rsidR="00C36F8A" w:rsidRPr="00EC4CDB">
                <w:rPr>
                  <w:rStyle w:val="Hyperlink"/>
                </w:rPr>
                <w:t>8/18</w:t>
              </w:r>
            </w:hyperlink>
          </w:p>
        </w:tc>
        <w:tc>
          <w:tcPr>
            <w:tcW w:w="3544" w:type="dxa"/>
          </w:tcPr>
          <w:p w:rsidR="00C36F8A" w:rsidRPr="00A05937" w:rsidRDefault="00C36F8A"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Adequate standard of living; Equality and non-discrimination (indirect); Social security</w:t>
            </w:r>
          </w:p>
        </w:tc>
      </w:tr>
      <w:tr w:rsidR="00C36F8A"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6F8A" w:rsidRPr="00A05937" w:rsidRDefault="00C36F8A" w:rsidP="009729CA">
            <w:pPr>
              <w:spacing w:before="60" w:afterLines="60" w:after="144"/>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Social Security (Declared Program Participant) Determination 2018 [F2018L00777]</w:t>
            </w:r>
          </w:p>
        </w:tc>
        <w:tc>
          <w:tcPr>
            <w:tcW w:w="1134" w:type="dxa"/>
          </w:tcPr>
          <w:p w:rsidR="00C36F8A" w:rsidRDefault="00C36F8A"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6F8A"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102" w:history="1">
              <w:r w:rsidR="00C36F8A" w:rsidRPr="00EC4CDB">
                <w:rPr>
                  <w:rStyle w:val="Hyperlink"/>
                </w:rPr>
                <w:t>8/18</w:t>
              </w:r>
            </w:hyperlink>
          </w:p>
        </w:tc>
        <w:tc>
          <w:tcPr>
            <w:tcW w:w="3544" w:type="dxa"/>
          </w:tcPr>
          <w:p w:rsidR="00C36F8A" w:rsidRPr="00A05937" w:rsidRDefault="00C36F8A"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Adequate standard of living; Equality and non-discrimination (indirect); Social security</w:t>
            </w:r>
          </w:p>
        </w:tc>
      </w:tr>
      <w:tr w:rsidR="00C36F8A"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6F8A" w:rsidRPr="00A05937" w:rsidRDefault="00C36F8A" w:rsidP="009729CA">
            <w:pPr>
              <w:spacing w:before="60" w:afterLines="60" w:after="144"/>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Social Security (Administration) (Non-Compliance) Determination 2018 (No. 1) [F2018L00795]</w:t>
            </w:r>
          </w:p>
        </w:tc>
        <w:tc>
          <w:tcPr>
            <w:tcW w:w="1134" w:type="dxa"/>
          </w:tcPr>
          <w:p w:rsidR="00C36F8A" w:rsidRDefault="00C36F8A"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6F8A"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103" w:history="1">
              <w:r w:rsidR="00C36F8A" w:rsidRPr="00EC4CDB">
                <w:rPr>
                  <w:rStyle w:val="Hyperlink"/>
                </w:rPr>
                <w:t>8/18</w:t>
              </w:r>
            </w:hyperlink>
          </w:p>
        </w:tc>
        <w:tc>
          <w:tcPr>
            <w:tcW w:w="3544" w:type="dxa"/>
          </w:tcPr>
          <w:p w:rsidR="00C36F8A" w:rsidRPr="00A05937" w:rsidRDefault="00C36F8A" w:rsidP="009729CA">
            <w:pPr>
              <w:spacing w:before="60" w:afterLines="60" w:after="14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36F8A">
              <w:rPr>
                <w:rFonts w:ascii="Calibri" w:eastAsia="Times New Roman" w:hAnsi="Calibri" w:cs="Times New Roman"/>
                <w:color w:val="000000"/>
                <w:lang w:eastAsia="en-AU"/>
              </w:rPr>
              <w:t>Adequate standard of living; Equality and non-discrimination (indirect); Social security</w:t>
            </w:r>
          </w:p>
        </w:tc>
      </w:tr>
      <w:tr w:rsidR="00C81C71" w:rsidRPr="002C2B55" w:rsidTr="00D37F2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81C71" w:rsidRPr="00395780" w:rsidRDefault="00C81C71" w:rsidP="009729CA">
            <w:pPr>
              <w:spacing w:before="60" w:afterLines="60" w:after="144"/>
              <w:rPr>
                <w:rFonts w:ascii="Calibri" w:eastAsia="Times New Roman" w:hAnsi="Calibri" w:cs="Times New Roman"/>
                <w:color w:val="000000"/>
                <w:lang w:eastAsia="en-AU"/>
              </w:rPr>
            </w:pPr>
            <w:r w:rsidRPr="00C81C71">
              <w:rPr>
                <w:rFonts w:ascii="Calibri" w:eastAsia="Times New Roman" w:hAnsi="Calibri" w:cs="Times New Roman"/>
                <w:color w:val="000000"/>
                <w:lang w:eastAsia="en-AU"/>
              </w:rPr>
              <w:t>South-West Marine Parks Network Management Plan 2018 [F2018L00326]</w:t>
            </w:r>
          </w:p>
        </w:tc>
        <w:tc>
          <w:tcPr>
            <w:tcW w:w="1134" w:type="dxa"/>
          </w:tcPr>
          <w:p w:rsidR="00C81C71" w:rsidRDefault="00C81C71"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81C71"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104" w:history="1">
              <w:r w:rsidR="00C81C71" w:rsidRPr="00395780">
                <w:rPr>
                  <w:rStyle w:val="Hyperlink"/>
                </w:rPr>
                <w:t>5/18</w:t>
              </w:r>
            </w:hyperlink>
          </w:p>
          <w:p w:rsidR="00C81C71"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105" w:history="1">
              <w:r w:rsidR="00C81C71" w:rsidRPr="00282FA0">
                <w:rPr>
                  <w:rStyle w:val="Hyperlink"/>
                </w:rPr>
                <w:t>7/18</w:t>
              </w:r>
            </w:hyperlink>
          </w:p>
        </w:tc>
        <w:tc>
          <w:tcPr>
            <w:tcW w:w="3544" w:type="dxa"/>
          </w:tcPr>
          <w:p w:rsidR="00C81C71" w:rsidRPr="00395780" w:rsidRDefault="00C81C71" w:rsidP="009729CA">
            <w:pPr>
              <w:pStyle w:val="Default"/>
              <w:spacing w:before="60" w:afterLines="60" w:after="144"/>
              <w:cnfStyle w:val="000000100000" w:firstRow="0" w:lastRow="0" w:firstColumn="0" w:lastColumn="0" w:oddVBand="0" w:evenVBand="0" w:oddHBand="1" w:evenHBand="0" w:firstRowFirstColumn="0" w:firstRowLastColumn="0" w:lastRowFirstColumn="0" w:lastRowLastColumn="0"/>
              <w:rPr>
                <w:sz w:val="23"/>
                <w:szCs w:val="23"/>
              </w:rPr>
            </w:pPr>
            <w:r w:rsidRPr="001F098B">
              <w:rPr>
                <w:sz w:val="23"/>
                <w:szCs w:val="23"/>
              </w:rPr>
              <w:t>Freedom of expression</w:t>
            </w:r>
          </w:p>
        </w:tc>
      </w:tr>
      <w:tr w:rsidR="00F944C0" w:rsidRPr="002C2B55" w:rsidTr="00FB56C4">
        <w:trPr>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F944C0" w:rsidRPr="00EE7910" w:rsidRDefault="00F944C0"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rsidR="00F944C0" w:rsidRPr="009419EA" w:rsidRDefault="00F944C0"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F944C0" w:rsidRDefault="00F944C0" w:rsidP="00FB56C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F944C0" w:rsidRPr="00056817" w:rsidRDefault="00F944C0"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944C0" w:rsidRPr="009729CA"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944C0" w:rsidRPr="009729CA" w:rsidRDefault="00A05937" w:rsidP="009729CA">
            <w:pPr>
              <w:spacing w:before="60" w:afterLines="60" w:after="144"/>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Telecommunications (Interception and Access) Regulations 2017 [F2017L01701]</w:t>
            </w:r>
          </w:p>
        </w:tc>
        <w:tc>
          <w:tcPr>
            <w:tcW w:w="1134" w:type="dxa"/>
          </w:tcPr>
          <w:p w:rsidR="00F944C0" w:rsidRPr="009729CA" w:rsidRDefault="00A05937"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AO</w:t>
            </w:r>
          </w:p>
        </w:tc>
        <w:tc>
          <w:tcPr>
            <w:tcW w:w="1134" w:type="dxa"/>
          </w:tcPr>
          <w:p w:rsidR="00F944C0" w:rsidRPr="009729CA" w:rsidRDefault="00102D5E" w:rsidP="009729CA">
            <w:pPr>
              <w:spacing w:before="60" w:afterLines="60" w:after="144"/>
              <w:jc w:val="center"/>
              <w:cnfStyle w:val="000000100000" w:firstRow="0" w:lastRow="0" w:firstColumn="0" w:lastColumn="0" w:oddVBand="0" w:evenVBand="0" w:oddHBand="1" w:evenHBand="0" w:firstRowFirstColumn="0" w:firstRowLastColumn="0" w:lastRowFirstColumn="0" w:lastRowLastColumn="0"/>
            </w:pPr>
            <w:hyperlink r:id="rId106" w:history="1">
              <w:r w:rsidR="00A05937" w:rsidRPr="009729CA">
                <w:rPr>
                  <w:rStyle w:val="Hyperlink"/>
                </w:rPr>
                <w:t>3/18</w:t>
              </w:r>
            </w:hyperlink>
          </w:p>
        </w:tc>
        <w:tc>
          <w:tcPr>
            <w:tcW w:w="3544" w:type="dxa"/>
          </w:tcPr>
          <w:p w:rsidR="00F944C0" w:rsidRPr="009729CA" w:rsidRDefault="00A05937" w:rsidP="009729CA">
            <w:pPr>
              <w:spacing w:before="60" w:afterLines="60" w:after="144"/>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Effective remedy; Fair hearing; Freedom of expression; Privacy</w:t>
            </w:r>
          </w:p>
        </w:tc>
      </w:tr>
      <w:tr w:rsidR="00C81C71" w:rsidRPr="009729CA" w:rsidTr="00D37F2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81C71" w:rsidRPr="009729CA" w:rsidRDefault="00C81C71" w:rsidP="009729CA">
            <w:pPr>
              <w:spacing w:before="60" w:afterLines="60" w:after="144"/>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Temperate East Marine Parks Network Management Plan 2018 [F2018L00321]</w:t>
            </w:r>
          </w:p>
        </w:tc>
        <w:tc>
          <w:tcPr>
            <w:tcW w:w="1134" w:type="dxa"/>
          </w:tcPr>
          <w:p w:rsidR="00C81C71" w:rsidRPr="009729CA" w:rsidRDefault="00C81C71"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729CA">
              <w:rPr>
                <w:rFonts w:ascii="Calibri" w:eastAsia="Times New Roman" w:hAnsi="Calibri" w:cs="Times New Roman"/>
                <w:color w:val="000000"/>
                <w:lang w:eastAsia="en-AU"/>
              </w:rPr>
              <w:t>RR</w:t>
            </w:r>
          </w:p>
        </w:tc>
        <w:tc>
          <w:tcPr>
            <w:tcW w:w="1134" w:type="dxa"/>
          </w:tcPr>
          <w:p w:rsidR="00C81C71" w:rsidRPr="009729CA"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107" w:history="1">
              <w:r w:rsidR="00C81C71" w:rsidRPr="009729CA">
                <w:rPr>
                  <w:rStyle w:val="Hyperlink"/>
                </w:rPr>
                <w:t>5/18</w:t>
              </w:r>
            </w:hyperlink>
          </w:p>
          <w:p w:rsidR="00C81C71" w:rsidRPr="009729CA" w:rsidRDefault="00102D5E" w:rsidP="009729CA">
            <w:pPr>
              <w:spacing w:before="60" w:afterLines="60" w:after="144"/>
              <w:jc w:val="center"/>
              <w:cnfStyle w:val="000000000000" w:firstRow="0" w:lastRow="0" w:firstColumn="0" w:lastColumn="0" w:oddVBand="0" w:evenVBand="0" w:oddHBand="0" w:evenHBand="0" w:firstRowFirstColumn="0" w:firstRowLastColumn="0" w:lastRowFirstColumn="0" w:lastRowLastColumn="0"/>
            </w:pPr>
            <w:hyperlink r:id="rId108" w:history="1">
              <w:r w:rsidR="00C81C71" w:rsidRPr="009729CA">
                <w:rPr>
                  <w:rStyle w:val="Hyperlink"/>
                </w:rPr>
                <w:t>7/18</w:t>
              </w:r>
            </w:hyperlink>
          </w:p>
        </w:tc>
        <w:tc>
          <w:tcPr>
            <w:tcW w:w="3544" w:type="dxa"/>
          </w:tcPr>
          <w:p w:rsidR="00C81C71" w:rsidRPr="009729CA" w:rsidRDefault="00C81C71" w:rsidP="009729CA">
            <w:pPr>
              <w:pStyle w:val="Default"/>
              <w:spacing w:before="60" w:afterLines="60" w:after="144"/>
              <w:cnfStyle w:val="000000000000" w:firstRow="0" w:lastRow="0" w:firstColumn="0" w:lastColumn="0" w:oddVBand="0" w:evenVBand="0" w:oddHBand="0" w:evenHBand="0" w:firstRowFirstColumn="0" w:firstRowLastColumn="0" w:lastRowFirstColumn="0" w:lastRowLastColumn="0"/>
              <w:rPr>
                <w:sz w:val="22"/>
                <w:szCs w:val="22"/>
              </w:rPr>
            </w:pPr>
            <w:r w:rsidRPr="009729CA">
              <w:rPr>
                <w:sz w:val="22"/>
                <w:szCs w:val="22"/>
              </w:rPr>
              <w:t>Freedom of expression</w:t>
            </w:r>
          </w:p>
        </w:tc>
      </w:tr>
    </w:tbl>
    <w:p w:rsidR="00E62F03" w:rsidRDefault="00E62F03" w:rsidP="00C214A8">
      <w:pPr>
        <w:tabs>
          <w:tab w:val="left" w:pos="-142"/>
        </w:tabs>
      </w:pPr>
    </w:p>
    <w:sectPr w:rsidR="00E62F03" w:rsidSect="00910B90">
      <w:footerReference w:type="default" r:id="rId109"/>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37" w:rsidRDefault="00A05937" w:rsidP="00A22A95">
      <w:pPr>
        <w:spacing w:after="0" w:line="240" w:lineRule="auto"/>
      </w:pPr>
      <w:r>
        <w:separator/>
      </w:r>
    </w:p>
  </w:endnote>
  <w:endnote w:type="continuationSeparator" w:id="0">
    <w:p w:rsidR="00A05937" w:rsidRDefault="00A05937"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A05937" w:rsidRDefault="00A05937">
        <w:pPr>
          <w:pStyle w:val="Footer"/>
          <w:jc w:val="right"/>
        </w:pPr>
        <w:r>
          <w:fldChar w:fldCharType="begin"/>
        </w:r>
        <w:r>
          <w:instrText xml:space="preserve"> PAGE   \* MERGEFORMAT </w:instrText>
        </w:r>
        <w:r>
          <w:fldChar w:fldCharType="separate"/>
        </w:r>
        <w:r w:rsidR="00102D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37" w:rsidRDefault="00A05937" w:rsidP="00A22A95">
      <w:pPr>
        <w:spacing w:after="0" w:line="240" w:lineRule="auto"/>
      </w:pPr>
      <w:r>
        <w:separator/>
      </w:r>
    </w:p>
  </w:footnote>
  <w:footnote w:type="continuationSeparator" w:id="0">
    <w:p w:rsidR="00A05937" w:rsidRDefault="00A05937" w:rsidP="00A22A95">
      <w:pPr>
        <w:spacing w:after="0" w:line="240" w:lineRule="auto"/>
      </w:pPr>
      <w:r>
        <w:continuationSeparator/>
      </w:r>
    </w:p>
  </w:footnote>
  <w:footnote w:id="1">
    <w:p w:rsidR="00A05937" w:rsidRDefault="00A05937">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571C1"/>
    <w:rsid w:val="0006100A"/>
    <w:rsid w:val="000616F4"/>
    <w:rsid w:val="00061BD3"/>
    <w:rsid w:val="000766E8"/>
    <w:rsid w:val="00080099"/>
    <w:rsid w:val="00080F74"/>
    <w:rsid w:val="00081CA7"/>
    <w:rsid w:val="00081E79"/>
    <w:rsid w:val="00081F44"/>
    <w:rsid w:val="00093161"/>
    <w:rsid w:val="000940F3"/>
    <w:rsid w:val="00094E56"/>
    <w:rsid w:val="00095571"/>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24C9"/>
    <w:rsid w:val="00102D5E"/>
    <w:rsid w:val="00103260"/>
    <w:rsid w:val="00112BE7"/>
    <w:rsid w:val="00115EEA"/>
    <w:rsid w:val="00116CB3"/>
    <w:rsid w:val="001172D1"/>
    <w:rsid w:val="001254FB"/>
    <w:rsid w:val="0012648E"/>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98B"/>
    <w:rsid w:val="001F0EC3"/>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82FA0"/>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831"/>
    <w:rsid w:val="00301C8D"/>
    <w:rsid w:val="00302357"/>
    <w:rsid w:val="003038B7"/>
    <w:rsid w:val="003054B1"/>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5780"/>
    <w:rsid w:val="00397C23"/>
    <w:rsid w:val="003A4898"/>
    <w:rsid w:val="003A50A1"/>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1A68"/>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151D"/>
    <w:rsid w:val="005716E1"/>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685A"/>
    <w:rsid w:val="0075044B"/>
    <w:rsid w:val="00750E71"/>
    <w:rsid w:val="00751366"/>
    <w:rsid w:val="00753677"/>
    <w:rsid w:val="0075548F"/>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666B"/>
    <w:rsid w:val="008E6707"/>
    <w:rsid w:val="008F1812"/>
    <w:rsid w:val="008F6635"/>
    <w:rsid w:val="008F6732"/>
    <w:rsid w:val="008F7F29"/>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729CA"/>
    <w:rsid w:val="00980701"/>
    <w:rsid w:val="009845E4"/>
    <w:rsid w:val="00987522"/>
    <w:rsid w:val="00991DDD"/>
    <w:rsid w:val="0099539A"/>
    <w:rsid w:val="009955ED"/>
    <w:rsid w:val="00995F7D"/>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5937"/>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4B9A"/>
    <w:rsid w:val="00A95E71"/>
    <w:rsid w:val="00A962C8"/>
    <w:rsid w:val="00A97581"/>
    <w:rsid w:val="00A97B4D"/>
    <w:rsid w:val="00AA1942"/>
    <w:rsid w:val="00AA449B"/>
    <w:rsid w:val="00AB3F61"/>
    <w:rsid w:val="00AB4C9E"/>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36F8A"/>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1C71"/>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4925"/>
    <w:rsid w:val="00CB7E2D"/>
    <w:rsid w:val="00CC0946"/>
    <w:rsid w:val="00CC159A"/>
    <w:rsid w:val="00CC1C80"/>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30BEA"/>
    <w:rsid w:val="00D32C29"/>
    <w:rsid w:val="00D41CF1"/>
    <w:rsid w:val="00D46E08"/>
    <w:rsid w:val="00D50CCE"/>
    <w:rsid w:val="00D54AF7"/>
    <w:rsid w:val="00D55CF7"/>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2122"/>
    <w:rsid w:val="00DA33D6"/>
    <w:rsid w:val="00DA6431"/>
    <w:rsid w:val="00DB3324"/>
    <w:rsid w:val="00DB545C"/>
    <w:rsid w:val="00DB606B"/>
    <w:rsid w:val="00DB6765"/>
    <w:rsid w:val="00DC18F0"/>
    <w:rsid w:val="00DC1A8D"/>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C06"/>
    <w:rsid w:val="00E825E4"/>
    <w:rsid w:val="00E84BC3"/>
    <w:rsid w:val="00E850AB"/>
    <w:rsid w:val="00E87D06"/>
    <w:rsid w:val="00E963B3"/>
    <w:rsid w:val="00E96EB4"/>
    <w:rsid w:val="00EA07EC"/>
    <w:rsid w:val="00EA438A"/>
    <w:rsid w:val="00EA4530"/>
    <w:rsid w:val="00EA72FD"/>
    <w:rsid w:val="00EA7391"/>
    <w:rsid w:val="00EB29EF"/>
    <w:rsid w:val="00EB5B00"/>
    <w:rsid w:val="00EC27ED"/>
    <w:rsid w:val="00EC4CDB"/>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44C0"/>
    <w:rsid w:val="00F96BE3"/>
    <w:rsid w:val="00FA14FE"/>
    <w:rsid w:val="00FA4F01"/>
    <w:rsid w:val="00FA5306"/>
    <w:rsid w:val="00FB2B1F"/>
    <w:rsid w:val="00FB2DA5"/>
    <w:rsid w:val="00FB4407"/>
    <w:rsid w:val="00FB56C4"/>
    <w:rsid w:val="00FB78AF"/>
    <w:rsid w:val="00FC1353"/>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media/Committees/Senate/committee/humanrights_ctte/reports/2018/Report_4/Report4.pdf?la=en&amp;hash=3606CB1540633DD2AAF3DFB2602052BE0B175233" TargetMode="External"/><Relationship Id="rId21" Type="http://schemas.openxmlformats.org/officeDocument/2006/relationships/hyperlink" Target="https://www.aph.gov.au/-/media/Committees/Senate/committee/humanrights_ctte/reports/2018/Report_6/Report6.pdf?la=en&amp;hash=DC52CFCE0C44674EFE296C8FAB73ACA30C704177" TargetMode="External"/><Relationship Id="rId42" Type="http://schemas.openxmlformats.org/officeDocument/2006/relationships/hyperlink" Target="https://www.aph.gov.au/-/media/Committees/Senate/committee/humanrights_ctte/reports/2018/Report_5/Report5.pdf?la=en&amp;hash=E0CC7B5F19A5DC3BEEC9204D855C6A9E7D7D4AE3" TargetMode="External"/><Relationship Id="rId47" Type="http://schemas.openxmlformats.org/officeDocument/2006/relationships/hyperlink" Target="https://www.aph.gov.au/-/media/Committees/Senate/committee/humanrights_ctte/reports/2018/Report_5/Report5.pdf?la=en&amp;hash=E0CC7B5F19A5DC3BEEC9204D855C6A9E7D7D4AE3" TargetMode="External"/><Relationship Id="rId63" Type="http://schemas.openxmlformats.org/officeDocument/2006/relationships/hyperlink" Target="https://www.aph.gov.au/-/media/Committees/Senate/committee/humanrights_ctte/reports/2018/Report_3/Report3.pdf?la=en&amp;hash=67AFEC0CC661F03DB14D121F29E4CC3F844B1CCF" TargetMode="External"/><Relationship Id="rId68" Type="http://schemas.openxmlformats.org/officeDocument/2006/relationships/hyperlink" Target="https://www.aph.gov.au/-/media/Committees/Senate/committee/humanrights_ctte/reports/2018/Report_4/Report4.pdf?la=en&amp;hash=3606CB1540633DD2AAF3DFB2602052BE0B175233" TargetMode="External"/><Relationship Id="rId84" Type="http://schemas.openxmlformats.org/officeDocument/2006/relationships/hyperlink" Target="https://www.aph.gov.au/-/media/Committees/Senate/committee/humanrights_ctte/reports/2019/Report_1/Report_1_of_2019.pdf?la=en&amp;hash=76C4C03852A945AAE4C9AC1FD3102527E2E1A754" TargetMode="External"/><Relationship Id="rId89" Type="http://schemas.openxmlformats.org/officeDocument/2006/relationships/hyperlink" Target="https://www.aph.gov.au/-/media/Committees/Senate/committee/humanrights_ctte/reports/2018/Report_1/Report1.pdf?la=en&amp;hash=81035DB7C6AA807D3835CD8D66DE5327C253E949" TargetMode="Externa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18/Report_3/Report3.pdf?la=en&amp;hash=67AFEC0CC661F03DB14D121F29E4CC3F844B1CCF" TargetMode="External"/><Relationship Id="rId29" Type="http://schemas.openxmlformats.org/officeDocument/2006/relationships/hyperlink" Target="https://www.aph.gov.au/-/media/Committees/Senate/committee/humanrights_ctte/reports/2018/Report_4/Report4.pdf?la=en&amp;hash=3606CB1540633DD2AAF3DFB2602052BE0B175233" TargetMode="External"/><Relationship Id="rId107" Type="http://schemas.openxmlformats.org/officeDocument/2006/relationships/hyperlink" Target="https://www.aph.gov.au/-/media/Committees/Senate/committee/humanrights_ctte/reports/2018/Report_5/Report5.pdf?la=en&amp;hash=E0CC7B5F19A5DC3BEEC9204D855C6A9E7D7D4AE3" TargetMode="External"/><Relationship Id="rId11" Type="http://schemas.openxmlformats.org/officeDocument/2006/relationships/hyperlink" Target="https://www.aph.gov.au/-/media/Committees/Senate/committee/humanrights_ctte/reports/2018/Report_10/Report10.pdf?la=en&amp;hash=CE7F8A02282CF05921D5EFD096FA185816E3FB5D" TargetMode="External"/><Relationship Id="rId24" Type="http://schemas.openxmlformats.org/officeDocument/2006/relationships/hyperlink" Target="https://www.aph.gov.au/-/media/Committees/Senate/committee/humanrights_ctte/reports/2018/Report_6/Report6.pdf?la=en&amp;hash=DC52CFCE0C44674EFE296C8FAB73ACA30C704177" TargetMode="External"/><Relationship Id="rId32" Type="http://schemas.openxmlformats.org/officeDocument/2006/relationships/hyperlink" Target="https://www.aph.gov.au/-/media/Committees/Senate/committee/humanrights_ctte/reports/2018/Report_4/Report4.pdf?la=en&amp;hash=3606CB1540633DD2AAF3DFB2602052BE0B175233" TargetMode="External"/><Relationship Id="rId37" Type="http://schemas.openxmlformats.org/officeDocument/2006/relationships/hyperlink" Target="https://www.aph.gov.au/-/media/Committees/Senate/committee/humanrights_ctte/reports/2018/Report_3/Report3.pdf?la=en&amp;hash=67AFEC0CC661F03DB14D121F29E4CC3F844B1CCF" TargetMode="External"/><Relationship Id="rId40" Type="http://schemas.openxmlformats.org/officeDocument/2006/relationships/hyperlink" Target="https://www.aph.gov.au/-/media/Committees/Senate/committee/humanrights_ctte/reports/2018/Report_1/Report1.pdf?la=en&amp;hash=81035DB7C6AA807D3835CD8D66DE5327C253E949" TargetMode="External"/><Relationship Id="rId45" Type="http://schemas.openxmlformats.org/officeDocument/2006/relationships/hyperlink" Target="https://www.aph.gov.au/-/media/Committees/Senate/committee/humanrights_ctte/reports/2018/Report_11/Report11.pdf?la=en&amp;hash=D668FE4FEB9928A1F15E379ACAAE97605E5A4984" TargetMode="External"/><Relationship Id="rId53" Type="http://schemas.openxmlformats.org/officeDocument/2006/relationships/hyperlink" Target="https://www.aph.gov.au/-/media/Committees/Senate/committee/humanrights_ctte/reports/2018/Report_7/Report7.pdf?la=en&amp;hash=1A0B39DA5A260151EB75E0F9139D495B1F09D23B" TargetMode="External"/><Relationship Id="rId58" Type="http://schemas.openxmlformats.org/officeDocument/2006/relationships/hyperlink" Target="https://www.aph.gov.au/-/media/Committees/Senate/committee/humanrights_ctte/reports/2018/Report_4/Report4.pdf?la=en&amp;hash=3606CB1540633DD2AAF3DFB2602052BE0B175233" TargetMode="External"/><Relationship Id="rId66" Type="http://schemas.openxmlformats.org/officeDocument/2006/relationships/hyperlink" Target="https://www.aph.gov.au/-/media/Committees/Senate/committee/humanrights_ctte/reports/2018/Report_3/Report3.pdf?la=en&amp;hash=67AFEC0CC661F03DB14D121F29E4CC3F844B1CCF" TargetMode="External"/><Relationship Id="rId74" Type="http://schemas.openxmlformats.org/officeDocument/2006/relationships/hyperlink" Target="https://www.aph.gov.au/-/media/Committees/Senate/committee/humanrights_ctte/reports/2018/Report_9/Report9.pdf?la=en&amp;hash=6C3F82D3F76C4BC3DCF847BA252EE2AB3D597AA5" TargetMode="External"/><Relationship Id="rId79" Type="http://schemas.openxmlformats.org/officeDocument/2006/relationships/hyperlink" Target="https://www.aph.gov.au/-/media/Committees/Senate/committee/humanrights_ctte/reports/2019/Report_1/Report_1_of_2019.pdf?la=en&amp;hash=76C4C03852A945AAE4C9AC1FD3102527E2E1A754" TargetMode="External"/><Relationship Id="rId87" Type="http://schemas.openxmlformats.org/officeDocument/2006/relationships/hyperlink" Target="https://www.aph.gov.au/-/media/Committees/Senate/committee/humanrights_ctte/reports/2018/Report_5/Report5.pdf?la=en&amp;hash=E0CC7B5F19A5DC3BEEC9204D855C6A9E7D7D4AE3" TargetMode="External"/><Relationship Id="rId102" Type="http://schemas.openxmlformats.org/officeDocument/2006/relationships/hyperlink" Target="https://www.aph.gov.au/-/media/Committees/Senate/committee/humanrights_ctte/reports/2018/Report_8/Report8.pdf?la=en&amp;hash=E2378775830241979264EBC53E746887E785285C"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aph.gov.au/-/media/Committees/Senate/committee/humanrights_ctte/reports/2018/Report_7/Report7.pdf?la=en&amp;hash=1A0B39DA5A260151EB75E0F9139D495B1F09D23B" TargetMode="External"/><Relationship Id="rId82" Type="http://schemas.openxmlformats.org/officeDocument/2006/relationships/hyperlink" Target="https://www.aph.gov.au/-/media/Committees/Senate/committee/humanrights_ctte/reports/2018/Report_9/Report9.pdf?la=en&amp;hash=6C3F82D3F76C4BC3DCF847BA252EE2AB3D597AA5" TargetMode="External"/><Relationship Id="rId90" Type="http://schemas.openxmlformats.org/officeDocument/2006/relationships/hyperlink" Target="https://www.aph.gov.au/-/media/Committees/Senate/committee/humanrights_ctte/reports/2018/Report_3/Report3.pdf?la=en&amp;hash=67AFEC0CC661F03DB14D121F29E4CC3F844B1CCF" TargetMode="External"/><Relationship Id="rId95" Type="http://schemas.openxmlformats.org/officeDocument/2006/relationships/hyperlink" Target="https://www.aph.gov.au/-/media/Committees/Senate/committee/humanrights_ctte/reports/2018/Report_8/Report8.pdf?la=en&amp;hash=E2378775830241979264EBC53E746887E785285C" TargetMode="External"/><Relationship Id="rId19" Type="http://schemas.openxmlformats.org/officeDocument/2006/relationships/hyperlink" Target="https://www.aph.gov.au/-/media/Committees/Senate/committee/humanrights_ctte/reports/2018/Report_3/Report3.pdf?la=en&amp;hash=67AFEC0CC661F03DB14D121F29E4CC3F844B1CCF" TargetMode="External"/><Relationship Id="rId14" Type="http://schemas.openxmlformats.org/officeDocument/2006/relationships/hyperlink" Target="https://www.aph.gov.au/-/media/Committees/Senate/committee/humanrights_ctte/reports/2018/Report_4/Report4.pdf?la=en&amp;hash=3606CB1540633DD2AAF3DFB2602052BE0B175233" TargetMode="External"/><Relationship Id="rId22" Type="http://schemas.openxmlformats.org/officeDocument/2006/relationships/hyperlink" Target="https://www.aph.gov.au/-/media/Committees/Senate/committee/humanrights_ctte/reports/2018/Report_3/Report3.pdf?la=en&amp;hash=67AFEC0CC661F03DB14D121F29E4CC3F844B1CCF" TargetMode="External"/><Relationship Id="rId27" Type="http://schemas.openxmlformats.org/officeDocument/2006/relationships/hyperlink" Target="https://www.aph.gov.au/-/media/Committees/Senate/committee/humanrights_ctte/reports/2018/Report_6/Report6.pdf?la=en&amp;hash=DC52CFCE0C44674EFE296C8FAB73ACA30C704177" TargetMode="External"/><Relationship Id="rId30" Type="http://schemas.openxmlformats.org/officeDocument/2006/relationships/hyperlink" Target="https://www.aph.gov.au/-/media/Committees/Senate/committee/humanrights_ctte/reports/2018/Report_6/Report6.pdf?la=en&amp;hash=DC52CFCE0C44674EFE296C8FAB73ACA30C704177" TargetMode="External"/><Relationship Id="rId35" Type="http://schemas.openxmlformats.org/officeDocument/2006/relationships/hyperlink" Target="https://www.aph.gov.au/-/media/Committees/Senate/committee/humanrights_ctte/reports/2018/Report_4/Report4.pdf?la=en&amp;hash=3606CB1540633DD2AAF3DFB2602052BE0B175233" TargetMode="External"/><Relationship Id="rId43" Type="http://schemas.openxmlformats.org/officeDocument/2006/relationships/hyperlink" Target="https://www.aph.gov.au/-/media/Committees/Senate/committee/humanrights_ctte/reports/2018/Report_7/Report7.pdf?la=en&amp;hash=1A0B39DA5A260151EB75E0F9139D495B1F09D23B" TargetMode="External"/><Relationship Id="rId48" Type="http://schemas.openxmlformats.org/officeDocument/2006/relationships/hyperlink" Target="https://www.aph.gov.au/-/media/Committees/Senate/committee/humanrights_ctte/reports/2018/Report_7/Report7.pdf?la=en&amp;hash=1A0B39DA5A260151EB75E0F9139D495B1F09D23B" TargetMode="External"/><Relationship Id="rId56" Type="http://schemas.openxmlformats.org/officeDocument/2006/relationships/hyperlink" Target="https://www.aph.gov.au/-/media/Committees/Senate/committee/humanrights_ctte/reports/2018/Report_4/Report4.pdf?la=en&amp;hash=3606CB1540633DD2AAF3DFB2602052BE0B175233" TargetMode="External"/><Relationship Id="rId64" Type="http://schemas.openxmlformats.org/officeDocument/2006/relationships/hyperlink" Target="https://www.aph.gov.au/-/media/Committees/Senate/committee/humanrights_ctte/reports/2018/Report_5/Report5.pdf?la=en&amp;hash=E0CC7B5F19A5DC3BEEC9204D855C6A9E7D7D4AE3" TargetMode="External"/><Relationship Id="rId69" Type="http://schemas.openxmlformats.org/officeDocument/2006/relationships/hyperlink" Target="https://www.aph.gov.au/-/media/Committees/Senate/committee/humanrights_ctte/reports/2018/Report_7/Report7.pdf?la=en&amp;hash=1A0B39DA5A260151EB75E0F9139D495B1F09D23B" TargetMode="External"/><Relationship Id="rId77" Type="http://schemas.openxmlformats.org/officeDocument/2006/relationships/hyperlink" Target="https://www.aph.gov.au/-/media/Committees/Senate/committee/humanrights_ctte/reports/2018/Report_13/Report_13_of_2018.pdf?la=en&amp;hash=4B90F48EF9E5A6255A43EDAA78EB54A0DE02D573" TargetMode="External"/><Relationship Id="rId100" Type="http://schemas.openxmlformats.org/officeDocument/2006/relationships/hyperlink" Target="https://www.aph.gov.au/-/media/Committees/Senate/committee/humanrights_ctte/reports/2018/Report_8/Report8.pdf?la=en&amp;hash=E2378775830241979264EBC53E746887E785285C" TargetMode="External"/><Relationship Id="rId105" Type="http://schemas.openxmlformats.org/officeDocument/2006/relationships/hyperlink" Target="https://www.aph.gov.au/-/media/Committees/Senate/committee/humanrights_ctte/reports/2018/Report_7/Report7.pdf?la=en&amp;hash=1A0B39DA5A260151EB75E0F9139D495B1F09D23B" TargetMode="External"/><Relationship Id="rId8" Type="http://schemas.openxmlformats.org/officeDocument/2006/relationships/endnotes" Target="endnotes.xml"/><Relationship Id="rId51" Type="http://schemas.openxmlformats.org/officeDocument/2006/relationships/hyperlink" Target="https://www.aph.gov.au/-/media/Committees/Senate/committee/humanrights_ctte/reports/2018/Report_3/Report3.pdf?la=en&amp;hash=67AFEC0CC661F03DB14D121F29E4CC3F844B1CCF" TargetMode="External"/><Relationship Id="rId72" Type="http://schemas.openxmlformats.org/officeDocument/2006/relationships/hyperlink" Target="https://www.aph.gov.au/-/media/Committees/Senate/committee/humanrights_ctte/reports/2018/Report_9/Report9.pdf?la=en&amp;hash=6C3F82D3F76C4BC3DCF847BA252EE2AB3D597AA5" TargetMode="External"/><Relationship Id="rId80" Type="http://schemas.openxmlformats.org/officeDocument/2006/relationships/hyperlink" Target="https://www.aph.gov.au/-/media/Committees/Senate/committee/humanrights_ctte/reports/2018/Report_9/Report9.pdf?la=en&amp;hash=6C3F82D3F76C4BC3DCF847BA252EE2AB3D597AA5" TargetMode="External"/><Relationship Id="rId85" Type="http://schemas.openxmlformats.org/officeDocument/2006/relationships/hyperlink" Target="https://www.aph.gov.au/-/media/Committees/Senate/committee/humanrights_ctte/reports/2018/Report_5/Report5.pdf?la=en&amp;hash=E0CC7B5F19A5DC3BEEC9204D855C6A9E7D7D4AE3" TargetMode="External"/><Relationship Id="rId93" Type="http://schemas.openxmlformats.org/officeDocument/2006/relationships/hyperlink" Target="https://www.aph.gov.au/-/media/Committees/Senate/committee/humanrights_ctte/reports/2018/Report_8/Report8.pdf?la=en&amp;hash=E2378775830241979264EBC53E746887E785285C" TargetMode="External"/><Relationship Id="rId98" Type="http://schemas.openxmlformats.org/officeDocument/2006/relationships/hyperlink" Target="https://www.aph.gov.au/-/media/Committees/Senate/committee/humanrights_ctte/reports/2018/Report_5/Report5.pdf?la=en&amp;hash=E0CC7B5F19A5DC3BEEC9204D855C6A9E7D7D4AE3" TargetMode="External"/><Relationship Id="rId3" Type="http://schemas.openxmlformats.org/officeDocument/2006/relationships/styles" Target="styles.xml"/><Relationship Id="rId12" Type="http://schemas.openxmlformats.org/officeDocument/2006/relationships/hyperlink" Target="https://www.aph.gov.au/-/media/Committees/Senate/committee/humanrights_ctte/reports/2018/Report_12/report12.pdf?la=en&amp;hash=2633275EFAEECBDBB037151AB7005F627B31E663" TargetMode="External"/><Relationship Id="rId17" Type="http://schemas.openxmlformats.org/officeDocument/2006/relationships/hyperlink" Target="https://www.aph.gov.au/-/media/Committees/Senate/committee/humanrights_ctte/reports/2018/Report_4/Report4.pdf?la=en&amp;hash=3606CB1540633DD2AAF3DFB2602052BE0B175233" TargetMode="External"/><Relationship Id="rId25" Type="http://schemas.openxmlformats.org/officeDocument/2006/relationships/hyperlink" Target="https://www.aph.gov.au/-/media/Committees/Senate/committee/humanrights_ctte/reports/2018/Report_3/Report3.pdf?la=en&amp;hash=67AFEC0CC661F03DB14D121F29E4CC3F844B1CCF" TargetMode="External"/><Relationship Id="rId33" Type="http://schemas.openxmlformats.org/officeDocument/2006/relationships/hyperlink" Target="https://www.aph.gov.au/-/media/Committees/Senate/committee/humanrights_ctte/reports/2018/Report_6/Report6.pdf?la=en&amp;hash=DC52CFCE0C44674EFE296C8FAB73ACA30C704177" TargetMode="External"/><Relationship Id="rId38" Type="http://schemas.openxmlformats.org/officeDocument/2006/relationships/hyperlink" Target="https://www.aph.gov.au/-/media/Committees/Senate/committee/humanrights_ctte/reports/2018/Report_4/Report4.pdf?la=en&amp;hash=3606CB1540633DD2AAF3DFB2602052BE0B175233" TargetMode="External"/><Relationship Id="rId46" Type="http://schemas.openxmlformats.org/officeDocument/2006/relationships/hyperlink" Target="https://www.aph.gov.au/-/media/Committees/Senate/committee/humanrights_ctte/reports/2018/Report_4/Report4.pdf?la=en&amp;hash=3606CB1540633DD2AAF3DFB2602052BE0B175233" TargetMode="External"/><Relationship Id="rId59" Type="http://schemas.openxmlformats.org/officeDocument/2006/relationships/hyperlink" Target="https://www.aph.gov.au/-/media/Committees/Senate/committee/humanrights_ctte/reports/2018/Report_5/Report5.pdf?la=en&amp;hash=E0CC7B5F19A5DC3BEEC9204D855C6A9E7D7D4AE3" TargetMode="External"/><Relationship Id="rId67" Type="http://schemas.openxmlformats.org/officeDocument/2006/relationships/hyperlink" Target="https://www.aph.gov.au/-/media/Committees/Senate/committee/humanrights_ctte/reports/2018/Report_1/Report1.pdf?la=en&amp;hash=81035DB7C6AA807D3835CD8D66DE5327C253E949" TargetMode="External"/><Relationship Id="rId103" Type="http://schemas.openxmlformats.org/officeDocument/2006/relationships/hyperlink" Target="https://www.aph.gov.au/-/media/Committees/Senate/committee/humanrights_ctte/reports/2018/Report_8/Report8.pdf?la=en&amp;hash=E2378775830241979264EBC53E746887E785285C" TargetMode="External"/><Relationship Id="rId108" Type="http://schemas.openxmlformats.org/officeDocument/2006/relationships/hyperlink" Target="https://www.aph.gov.au/-/media/Committees/Senate/committee/humanrights_ctte/reports/2018/Report_7/Report7.pdf?la=en&amp;hash=1A0B39DA5A260151EB75E0F9139D495B1F09D23B" TargetMode="External"/><Relationship Id="rId20" Type="http://schemas.openxmlformats.org/officeDocument/2006/relationships/hyperlink" Target="https://www.aph.gov.au/-/media/Committees/Senate/committee/humanrights_ctte/reports/2018/Report_4/Report4.pdf?la=en&amp;hash=3606CB1540633DD2AAF3DFB2602052BE0B175233" TargetMode="External"/><Relationship Id="rId41" Type="http://schemas.openxmlformats.org/officeDocument/2006/relationships/hyperlink" Target="https://www.aph.gov.au/-/media/Committees/Senate/committee/humanrights_ctte/reports/2018/Report_3/Report3.pdf?la=en&amp;hash=67AFEC0CC661F03DB14D121F29E4CC3F844B1CCF" TargetMode="External"/><Relationship Id="rId54" Type="http://schemas.openxmlformats.org/officeDocument/2006/relationships/hyperlink" Target="https://www.aph.gov.au/-/media/Committees/Senate/committee/humanrights_ctte/reports/2018/Report_13/Report_13_of_2018.pdf?la=en&amp;hash=4B90F48EF9E5A6255A43EDAA78EB54A0DE02D573" TargetMode="External"/><Relationship Id="rId62" Type="http://schemas.openxmlformats.org/officeDocument/2006/relationships/hyperlink" Target="https://www.aph.gov.au/-/media/Committees/Senate/committee/humanrights_ctte/reports/2018/Report_11/Report11.pdf?la=en&amp;hash=D668FE4FEB9928A1F15E379ACAAE97605E5A4984" TargetMode="External"/><Relationship Id="rId70" Type="http://schemas.openxmlformats.org/officeDocument/2006/relationships/hyperlink" Target="https://www.aph.gov.au/-/media/Committees/Senate/committee/humanrights_ctte/reports/2018/Report_9/Report9.pdf?la=en&amp;hash=6C3F82D3F76C4BC3DCF847BA252EE2AB3D597AA5" TargetMode="External"/><Relationship Id="rId75" Type="http://schemas.openxmlformats.org/officeDocument/2006/relationships/hyperlink" Target="https://www.aph.gov.au/-/media/Committees/Senate/committee/humanrights_ctte/reports/2018/Report_7/Report7.pdf?la=en&amp;hash=1A0B39DA5A260151EB75E0F9139D495B1F09D23B" TargetMode="External"/><Relationship Id="rId83" Type="http://schemas.openxmlformats.org/officeDocument/2006/relationships/hyperlink" Target="https://www.aph.gov.au/-/media/Committees/Senate/committee/humanrights_ctte/reports/2018/Report_13/Report_13_of_2018.pdf?la=en&amp;hash=4B90F48EF9E5A6255A43EDAA78EB54A0DE02D573" TargetMode="External"/><Relationship Id="rId88" Type="http://schemas.openxmlformats.org/officeDocument/2006/relationships/hyperlink" Target="https://www.aph.gov.au/-/media/Committees/Senate/committee/humanrights_ctte/reports/2018/Report_7/Report7.pdf?la=en&amp;hash=1A0B39DA5A260151EB75E0F9139D495B1F09D23B" TargetMode="External"/><Relationship Id="rId91" Type="http://schemas.openxmlformats.org/officeDocument/2006/relationships/hyperlink" Target="https://www.aph.gov.au/-/media/Committees/Senate/committee/humanrights_ctte/reports/2018/Report_2/Report2.pdf?la=en&amp;hash=C34A80DF48EC09689CB6021C92C877751722038D" TargetMode="External"/><Relationship Id="rId96" Type="http://schemas.openxmlformats.org/officeDocument/2006/relationships/hyperlink" Target="https://www.aph.gov.au/-/media/Committees/Senate/committee/humanrights_ctte/reports/2018/Report_5/Report5.pdf?la=en&amp;hash=E0CC7B5F19A5DC3BEEC9204D855C6A9E7D7D4AE3"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ph.gov.au/-/media/Committees/Senate/committee/humanrights_ctte/reports/2018/Report_6/Report6.pdf?la=en&amp;hash=DC52CFCE0C44674EFE296C8FAB73ACA30C704177" TargetMode="External"/><Relationship Id="rId23" Type="http://schemas.openxmlformats.org/officeDocument/2006/relationships/hyperlink" Target="https://www.aph.gov.au/-/media/Committees/Senate/committee/humanrights_ctte/reports/2018/Report_4/Report4.pdf?la=en&amp;hash=3606CB1540633DD2AAF3DFB2602052BE0B175233" TargetMode="External"/><Relationship Id="rId28" Type="http://schemas.openxmlformats.org/officeDocument/2006/relationships/hyperlink" Target="https://www.aph.gov.au/-/media/Committees/Senate/committee/humanrights_ctte/reports/2018/Report_3/Report3.pdf?la=en&amp;hash=67AFEC0CC661F03DB14D121F29E4CC3F844B1CCF" TargetMode="External"/><Relationship Id="rId36" Type="http://schemas.openxmlformats.org/officeDocument/2006/relationships/hyperlink" Target="https://www.aph.gov.au/-/media/Committees/Senate/committee/humanrights_ctte/reports/2018/Report_6/Report6.pdf?la=en&amp;hash=DC52CFCE0C44674EFE296C8FAB73ACA30C704177" TargetMode="External"/><Relationship Id="rId49" Type="http://schemas.openxmlformats.org/officeDocument/2006/relationships/hyperlink" Target="https://www.aph.gov.au/-/media/Committees/Senate/committee/humanrights_ctte/reports/2018/Report_3/Report3.pdf?la=en&amp;hash=67AFEC0CC661F03DB14D121F29E4CC3F844B1CCF" TargetMode="External"/><Relationship Id="rId57" Type="http://schemas.openxmlformats.org/officeDocument/2006/relationships/hyperlink" Target="https://www.aph.gov.au/-/media/Committees/Senate/committee/humanrights_ctte/reports/2018/Report_3/Report3.pdf?la=en&amp;hash=67AFEC0CC661F03DB14D121F29E4CC3F844B1CCF" TargetMode="External"/><Relationship Id="rId106" Type="http://schemas.openxmlformats.org/officeDocument/2006/relationships/hyperlink" Target="https://www.aph.gov.au/-/media/Committees/Senate/committee/humanrights_ctte/reports/2018/Report_3/Report3.pdf?la=en&amp;hash=67AFEC0CC661F03DB14D121F29E4CC3F844B1CCF" TargetMode="External"/><Relationship Id="rId10" Type="http://schemas.openxmlformats.org/officeDocument/2006/relationships/hyperlink" Target="https://www.aph.gov.au/-/media/Committees/Senate/committee/humanrights_ctte/reports/2018/Report_5/Report5.pdf?la=en&amp;hash=E0CC7B5F19A5DC3BEEC9204D855C6A9E7D7D4AE3" TargetMode="External"/><Relationship Id="rId31" Type="http://schemas.openxmlformats.org/officeDocument/2006/relationships/hyperlink" Target="https://www.aph.gov.au/-/media/Committees/Senate/committee/humanrights_ctte/reports/2018/Report_3/Report3.pdf?la=en&amp;hash=67AFEC0CC661F03DB14D121F29E4CC3F844B1CCF" TargetMode="External"/><Relationship Id="rId44" Type="http://schemas.openxmlformats.org/officeDocument/2006/relationships/hyperlink" Target="https://www.aph.gov.au/-/media/Committees/Senate/committee/humanrights_ctte/reports/2018/Report_9/Report9.pdf?la=en&amp;hash=6C3F82D3F76C4BC3DCF847BA252EE2AB3D597AA5" TargetMode="External"/><Relationship Id="rId52" Type="http://schemas.openxmlformats.org/officeDocument/2006/relationships/hyperlink" Target="https://www.aph.gov.au/-/media/Committees/Senate/committee/humanrights_ctte/reports/2018/Report_5/Report5.pdf?la=en&amp;hash=E0CC7B5F19A5DC3BEEC9204D855C6A9E7D7D4AE3" TargetMode="External"/><Relationship Id="rId60" Type="http://schemas.openxmlformats.org/officeDocument/2006/relationships/hyperlink" Target="https://www.aph.gov.au/-/media/Committees/Senate/committee/humanrights_ctte/reports/2018/Report_8/Report8.pdf?la=en&amp;hash=E2378775830241979264EBC53E746887E785285C" TargetMode="External"/><Relationship Id="rId65" Type="http://schemas.openxmlformats.org/officeDocument/2006/relationships/hyperlink" Target="https://www.aph.gov.au/-/media/Committees/Senate/committee/humanrights_ctte/reports/2018/Report_7/Report7.pdf?la=en&amp;hash=1A0B39DA5A260151EB75E0F9139D495B1F09D23B" TargetMode="External"/><Relationship Id="rId73" Type="http://schemas.openxmlformats.org/officeDocument/2006/relationships/hyperlink" Target="https://www.aph.gov.au/-/media/Committees/Senate/committee/humanrights_ctte/reports/2018/Report_7/Report7.pdf?la=en&amp;hash=1A0B39DA5A260151EB75E0F9139D495B1F09D23B" TargetMode="External"/><Relationship Id="rId78" Type="http://schemas.openxmlformats.org/officeDocument/2006/relationships/hyperlink" Target="https://www.aph.gov.au/-/media/Committees/Senate/committee/humanrights_ctte/reports/2018/Report_13/Report_13_of_2018.pdf?la=en&amp;hash=4B90F48EF9E5A6255A43EDAA78EB54A0DE02D573" TargetMode="External"/><Relationship Id="rId81" Type="http://schemas.openxmlformats.org/officeDocument/2006/relationships/hyperlink" Target="https://www.aph.gov.au/-/media/Committees/Senate/committee/humanrights_ctte/reports/2018/Report_9/Report9.pdf?la=en&amp;hash=6C3F82D3F76C4BC3DCF847BA252EE2AB3D597AA5" TargetMode="External"/><Relationship Id="rId86" Type="http://schemas.openxmlformats.org/officeDocument/2006/relationships/hyperlink" Target="https://www.aph.gov.au/-/media/Committees/Senate/committee/humanrights_ctte/reports/2018/Report_7/Report7.pdf?la=en&amp;hash=1A0B39DA5A260151EB75E0F9139D495B1F09D23B" TargetMode="External"/><Relationship Id="rId94" Type="http://schemas.openxmlformats.org/officeDocument/2006/relationships/hyperlink" Target="https://www.aph.gov.au/-/media/Committees/Senate/committee/humanrights_ctte/reports/2018/Report_6/Report6.pdf?la=en&amp;hash=DC52CFCE0C44674EFE296C8FAB73ACA30C704177" TargetMode="External"/><Relationship Id="rId99" Type="http://schemas.openxmlformats.org/officeDocument/2006/relationships/hyperlink" Target="https://www.aph.gov.au/-/media/Committees/Senate/committee/humanrights_ctte/reports/2018/Report_7/Report7.pdf?la=en&amp;hash=1A0B39DA5A260151EB75E0F9139D495B1F09D23B" TargetMode="External"/><Relationship Id="rId101" Type="http://schemas.openxmlformats.org/officeDocument/2006/relationships/hyperlink" Target="https://www.aph.gov.au/-/media/Committees/Senate/committee/humanrights_ctte/reports/2018/Report_8/Report8.pdf?la=en&amp;hash=E2378775830241979264EBC53E746887E785285C" TargetMode="External"/><Relationship Id="rId4" Type="http://schemas.microsoft.com/office/2007/relationships/stylesWithEffects" Target="stylesWithEffects.xml"/><Relationship Id="rId9" Type="http://schemas.openxmlformats.org/officeDocument/2006/relationships/hyperlink" Target="https://www.aph.gov.au/-/media/Committees/Senate/committee/humanrights_ctte/reports/2018/Report_3/Report3.pdf?la=en&amp;hash=67AFEC0CC661F03DB14D121F29E4CC3F844B1CCF" TargetMode="External"/><Relationship Id="rId13" Type="http://schemas.openxmlformats.org/officeDocument/2006/relationships/hyperlink" Target="https://www.aph.gov.au/-/media/Committees/Senate/committee/humanrights_ctte/reports/2018/Report_3/Report3.pdf?la=en&amp;hash=67AFEC0CC661F03DB14D121F29E4CC3F844B1CCF" TargetMode="External"/><Relationship Id="rId18" Type="http://schemas.openxmlformats.org/officeDocument/2006/relationships/hyperlink" Target="https://www.aph.gov.au/-/media/Committees/Senate/committee/humanrights_ctte/reports/2018/Report_6/Report6.pdf?la=en&amp;hash=DC52CFCE0C44674EFE296C8FAB73ACA30C704177" TargetMode="External"/><Relationship Id="rId39" Type="http://schemas.openxmlformats.org/officeDocument/2006/relationships/hyperlink" Target="https://www.aph.gov.au/-/media/Committees/Senate/committee/humanrights_ctte/reports/2018/Report_6/Report6.pdf?la=en&amp;hash=DC52CFCE0C44674EFE296C8FAB73ACA30C704177" TargetMode="External"/><Relationship Id="rId109" Type="http://schemas.openxmlformats.org/officeDocument/2006/relationships/footer" Target="footer1.xml"/><Relationship Id="rId34" Type="http://schemas.openxmlformats.org/officeDocument/2006/relationships/hyperlink" Target="https://www.aph.gov.au/-/media/Committees/Senate/committee/humanrights_ctte/reports/2018/Report_3/Report3.pdf?la=en&amp;hash=67AFEC0CC661F03DB14D121F29E4CC3F844B1CCF" TargetMode="External"/><Relationship Id="rId50" Type="http://schemas.openxmlformats.org/officeDocument/2006/relationships/hyperlink" Target="https://www.aph.gov.au/-/media/Committees/Senate/committee/humanrights_ctte/reports/2018/Report_5/Report5.pdf?la=en&amp;hash=E0CC7B5F19A5DC3BEEC9204D855C6A9E7D7D4AE3" TargetMode="External"/><Relationship Id="rId55" Type="http://schemas.openxmlformats.org/officeDocument/2006/relationships/hyperlink" Target="https://www.aph.gov.au/-/media/Committees/Senate/committee/humanrights_ctte/reports/2018/Report_3/Report3.pdf?la=en&amp;hash=67AFEC0CC661F03DB14D121F29E4CC3F844B1CCF" TargetMode="External"/><Relationship Id="rId76" Type="http://schemas.openxmlformats.org/officeDocument/2006/relationships/hyperlink" Target="https://www.aph.gov.au/-/media/Committees/Senate/committee/humanrights_ctte/reports/2018/Report_9/Report9.pdf?la=en&amp;hash=6C3F82D3F76C4BC3DCF847BA252EE2AB3D597AA5" TargetMode="External"/><Relationship Id="rId97" Type="http://schemas.openxmlformats.org/officeDocument/2006/relationships/hyperlink" Target="https://www.aph.gov.au/-/media/Committees/Senate/committee/humanrights_ctte/reports/2018/Report_7/Report7.pdf?la=en&amp;hash=1A0B39DA5A260151EB75E0F9139D495B1F09D23B" TargetMode="External"/><Relationship Id="rId104" Type="http://schemas.openxmlformats.org/officeDocument/2006/relationships/hyperlink" Target="https://www.aph.gov.au/-/media/Committees/Senate/committee/humanrights_ctte/reports/2018/Report_5/Report5.pdf?la=en&amp;hash=E0CC7B5F19A5DC3BEEC9204D855C6A9E7D7D4AE3" TargetMode="External"/><Relationship Id="rId7" Type="http://schemas.openxmlformats.org/officeDocument/2006/relationships/footnotes" Target="footnotes.xml"/><Relationship Id="rId71" Type="http://schemas.openxmlformats.org/officeDocument/2006/relationships/hyperlink" Target="https://www.aph.gov.au/-/media/Committees/Senate/committee/humanrights_ctte/reports/2018/Report_7/Report7.pdf?la=en&amp;hash=1A0B39DA5A260151EB75E0F9139D495B1F09D23B" TargetMode="External"/><Relationship Id="rId92" Type="http://schemas.openxmlformats.org/officeDocument/2006/relationships/hyperlink" Target="https://www.aph.gov.au/-/media/Committees/Senate/committee/humanrights_ctte/reports/2018/Report_6/Report6.pdf?la=en&amp;hash=DC52CFCE0C44674EFE296C8FAB73ACA30C7041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7BF4-24B3-4E01-B00B-ABDED0D0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3563</Words>
  <Characters>24870</Characters>
  <Application>Microsoft Office Word</Application>
  <DocSecurity>0</DocSecurity>
  <Lines>1462</Lines>
  <Paragraphs>836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7</cp:revision>
  <cp:lastPrinted>2020-01-27T23:52:00Z</cp:lastPrinted>
  <dcterms:created xsi:type="dcterms:W3CDTF">2020-01-24T02:53:00Z</dcterms:created>
  <dcterms:modified xsi:type="dcterms:W3CDTF">2020-09-22T01:17:00Z</dcterms:modified>
</cp:coreProperties>
</file>