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950E03" w:rsidRDefault="00995F7D" w:rsidP="0070047F">
      <w:pPr>
        <w:tabs>
          <w:tab w:val="center" w:pos="4856"/>
        </w:tabs>
        <w:suppressAutoHyphens/>
        <w:jc w:val="center"/>
        <w:rPr>
          <w:b/>
          <w:spacing w:val="-2"/>
          <w:sz w:val="28"/>
          <w:szCs w:val="28"/>
        </w:rPr>
      </w:pPr>
      <w:r w:rsidRPr="00950E03">
        <w:rPr>
          <w:b/>
          <w:spacing w:val="-2"/>
          <w:sz w:val="28"/>
          <w:szCs w:val="28"/>
          <w:u w:val="single"/>
        </w:rPr>
        <w:t>20</w:t>
      </w:r>
      <w:r w:rsidR="00950E03">
        <w:rPr>
          <w:b/>
          <w:spacing w:val="-2"/>
          <w:sz w:val="28"/>
          <w:szCs w:val="28"/>
          <w:u w:val="single"/>
        </w:rPr>
        <w:t>13</w:t>
      </w:r>
    </w:p>
    <w:p w:rsidR="0070047F" w:rsidRPr="00950E03" w:rsidRDefault="0070047F" w:rsidP="0070047F">
      <w:pPr>
        <w:tabs>
          <w:tab w:val="center" w:pos="4856"/>
        </w:tabs>
        <w:suppressAutoHyphens/>
        <w:jc w:val="center"/>
        <w:rPr>
          <w:b/>
          <w:spacing w:val="-2"/>
          <w:sz w:val="28"/>
          <w:szCs w:val="28"/>
        </w:rPr>
      </w:pPr>
      <w:r w:rsidRPr="00950E03">
        <w:rPr>
          <w:b/>
          <w:spacing w:val="-2"/>
          <w:sz w:val="28"/>
          <w:szCs w:val="28"/>
        </w:rPr>
        <w:t xml:space="preserve">INDEX OF </w:t>
      </w:r>
      <w:r w:rsidR="00D41CF1" w:rsidRPr="00950E03">
        <w:rPr>
          <w:b/>
          <w:spacing w:val="-2"/>
          <w:sz w:val="28"/>
          <w:szCs w:val="28"/>
        </w:rPr>
        <w:t>INSTRUMENTS</w:t>
      </w:r>
      <w:r w:rsidR="00363913" w:rsidRPr="00950E03">
        <w:rPr>
          <w:b/>
          <w:spacing w:val="-2"/>
          <w:sz w:val="28"/>
          <w:szCs w:val="28"/>
        </w:rPr>
        <w:t xml:space="preserve"> </w:t>
      </w:r>
      <w:r w:rsidRPr="00950E03">
        <w:rPr>
          <w:b/>
          <w:spacing w:val="-2"/>
          <w:sz w:val="28"/>
          <w:szCs w:val="28"/>
        </w:rPr>
        <w:t>CONSIDERED BY THE COMMITTEE</w:t>
      </w:r>
    </w:p>
    <w:p w:rsidR="00363913" w:rsidRPr="00950E03" w:rsidRDefault="00363913" w:rsidP="00363913">
      <w:pPr>
        <w:tabs>
          <w:tab w:val="center" w:pos="4856"/>
        </w:tabs>
        <w:suppressAutoHyphens/>
        <w:jc w:val="center"/>
        <w:rPr>
          <w:b/>
          <w:spacing w:val="-2"/>
          <w:sz w:val="28"/>
          <w:szCs w:val="28"/>
        </w:rPr>
      </w:pPr>
      <w:r w:rsidRPr="00950E03">
        <w:rPr>
          <w:b/>
          <w:spacing w:val="-2"/>
          <w:sz w:val="28"/>
          <w:szCs w:val="28"/>
        </w:rPr>
        <w:t xml:space="preserve">As at </w:t>
      </w:r>
      <w:r w:rsidR="00B12185">
        <w:rPr>
          <w:b/>
          <w:spacing w:val="-2"/>
          <w:sz w:val="28"/>
          <w:szCs w:val="28"/>
        </w:rPr>
        <w:t>1</w:t>
      </w:r>
      <w:r w:rsidR="007235E7">
        <w:rPr>
          <w:b/>
          <w:spacing w:val="-2"/>
          <w:sz w:val="28"/>
          <w:szCs w:val="28"/>
        </w:rPr>
        <w:t>3</w:t>
      </w:r>
      <w:r w:rsidR="00301130">
        <w:rPr>
          <w:b/>
          <w:spacing w:val="-2"/>
          <w:sz w:val="28"/>
          <w:szCs w:val="28"/>
        </w:rPr>
        <w:t xml:space="preserve"> Ma</w:t>
      </w:r>
      <w:r w:rsidR="00020A56">
        <w:rPr>
          <w:b/>
          <w:spacing w:val="-2"/>
          <w:sz w:val="28"/>
          <w:szCs w:val="28"/>
        </w:rPr>
        <w:t>y</w:t>
      </w:r>
      <w:r w:rsidR="00B12185">
        <w:rPr>
          <w:b/>
          <w:spacing w:val="-2"/>
          <w:sz w:val="28"/>
          <w:szCs w:val="28"/>
        </w:rPr>
        <w:t xml:space="preserve"> 201</w:t>
      </w:r>
      <w:r w:rsidR="007235E7">
        <w:rPr>
          <w:b/>
          <w:spacing w:val="-2"/>
          <w:sz w:val="28"/>
          <w:szCs w:val="28"/>
        </w:rPr>
        <w:t>5</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276F1F">
      <w:pPr>
        <w:tabs>
          <w:tab w:val="left" w:pos="709"/>
          <w:tab w:val="left" w:pos="1276"/>
          <w:tab w:val="left" w:pos="3686"/>
          <w:tab w:val="left" w:pos="5812"/>
          <w:tab w:val="left" w:pos="6379"/>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276F1F">
        <w:rPr>
          <w:spacing w:val="-2"/>
          <w:sz w:val="20"/>
        </w:rPr>
        <w:t xml:space="preserve"> (includes advisory letters) </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F733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733F" w:rsidRPr="00BF3D3D" w:rsidRDefault="005F733F" w:rsidP="003620C8">
            <w:pPr>
              <w:rPr>
                <w:rFonts w:ascii="Calibri" w:eastAsia="Times New Roman" w:hAnsi="Calibri" w:cs="Times New Roman"/>
                <w:color w:val="000000"/>
                <w:lang w:eastAsia="en-AU"/>
              </w:rPr>
            </w:pPr>
            <w:r w:rsidRPr="005F733F">
              <w:rPr>
                <w:rFonts w:ascii="Calibri" w:eastAsia="Times New Roman" w:hAnsi="Calibri" w:cs="Times New Roman"/>
                <w:color w:val="000000"/>
                <w:lang w:eastAsia="en-AU"/>
              </w:rPr>
              <w:t>AASB 2012-10 -  Amendments to Australian Accounting Standards - Transition Guidance and Other Amendments - December 2012</w:t>
            </w:r>
            <w:r w:rsidR="002A1D43">
              <w:rPr>
                <w:rFonts w:ascii="Calibri" w:eastAsia="Times New Roman" w:hAnsi="Calibri" w:cs="Times New Roman"/>
                <w:color w:val="000000"/>
                <w:lang w:eastAsia="en-AU"/>
              </w:rPr>
              <w:t xml:space="preserve"> [</w:t>
            </w:r>
            <w:r w:rsidR="002A1D43" w:rsidRPr="002A1D43">
              <w:rPr>
                <w:rFonts w:ascii="Calibri" w:eastAsia="Times New Roman" w:hAnsi="Calibri" w:cs="Times New Roman"/>
                <w:color w:val="000000"/>
                <w:lang w:eastAsia="en-AU"/>
              </w:rPr>
              <w:t>F2013L00080</w:t>
            </w:r>
            <w:r w:rsidR="002A1D43">
              <w:rPr>
                <w:rFonts w:ascii="Calibri" w:eastAsia="Times New Roman" w:hAnsi="Calibri" w:cs="Times New Roman"/>
                <w:color w:val="000000"/>
                <w:lang w:eastAsia="en-AU"/>
              </w:rPr>
              <w:t>]</w:t>
            </w:r>
          </w:p>
        </w:tc>
        <w:tc>
          <w:tcPr>
            <w:tcW w:w="1134" w:type="dxa"/>
          </w:tcPr>
          <w:p w:rsidR="005F733F" w:rsidRDefault="005F733F"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F733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9" w:history="1">
              <w:r w:rsidR="005F733F" w:rsidRPr="001635F1">
                <w:rPr>
                  <w:rStyle w:val="Hyperlink"/>
                </w:rPr>
                <w:t>3/13</w:t>
              </w:r>
            </w:hyperlink>
          </w:p>
        </w:tc>
        <w:tc>
          <w:tcPr>
            <w:tcW w:w="3544" w:type="dxa"/>
          </w:tcPr>
          <w:p w:rsidR="005F733F" w:rsidRPr="00056817" w:rsidRDefault="005F733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F733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F733F" w:rsidRPr="005F733F"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AASB 2012-11 -  Amendments to Australian Accounting Standards - Reduced Disclosure Requirements and Other Amendments - December 2012</w:t>
            </w:r>
            <w:r>
              <w:rPr>
                <w:rFonts w:ascii="Calibri" w:eastAsia="Times New Roman" w:hAnsi="Calibri" w:cs="Times New Roman"/>
                <w:color w:val="000000"/>
                <w:lang w:eastAsia="en-AU"/>
              </w:rPr>
              <w:t xml:space="preserve"> [</w:t>
            </w:r>
            <w:r w:rsidRPr="002A1D43">
              <w:rPr>
                <w:rFonts w:ascii="Calibri" w:eastAsia="Times New Roman" w:hAnsi="Calibri" w:cs="Times New Roman"/>
                <w:color w:val="000000"/>
                <w:lang w:eastAsia="en-AU"/>
              </w:rPr>
              <w:t>F2013L00075</w:t>
            </w:r>
            <w:r>
              <w:rPr>
                <w:rFonts w:ascii="Calibri" w:eastAsia="Times New Roman" w:hAnsi="Calibri" w:cs="Times New Roman"/>
                <w:color w:val="000000"/>
                <w:lang w:eastAsia="en-AU"/>
              </w:rPr>
              <w:t>]</w:t>
            </w:r>
          </w:p>
        </w:tc>
        <w:tc>
          <w:tcPr>
            <w:tcW w:w="1134" w:type="dxa"/>
          </w:tcPr>
          <w:p w:rsidR="005F733F" w:rsidRDefault="002A1D43"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F733F"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10" w:history="1">
              <w:r w:rsidR="002A1D43" w:rsidRPr="001635F1">
                <w:rPr>
                  <w:rStyle w:val="Hyperlink"/>
                </w:rPr>
                <w:t>3/13</w:t>
              </w:r>
            </w:hyperlink>
          </w:p>
        </w:tc>
        <w:tc>
          <w:tcPr>
            <w:tcW w:w="3544" w:type="dxa"/>
          </w:tcPr>
          <w:p w:rsidR="005F733F" w:rsidRPr="00056817" w:rsidRDefault="005F733F"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A1D4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A1D43" w:rsidRPr="002A1D43"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AASB 2012-9 - Amendment to AASB 1048 arising from the Withdrawal of Australian Interpretation 1039 - January 2013</w:t>
            </w:r>
            <w:r>
              <w:rPr>
                <w:rFonts w:ascii="Calibri" w:eastAsia="Times New Roman" w:hAnsi="Calibri" w:cs="Times New Roman"/>
                <w:color w:val="000000"/>
                <w:lang w:eastAsia="en-AU"/>
              </w:rPr>
              <w:t xml:space="preserve"> [</w:t>
            </w:r>
            <w:r w:rsidRPr="002A1D43">
              <w:rPr>
                <w:rFonts w:ascii="Calibri" w:eastAsia="Times New Roman" w:hAnsi="Calibri" w:cs="Times New Roman"/>
                <w:color w:val="000000"/>
                <w:lang w:eastAsia="en-AU"/>
              </w:rPr>
              <w:t>F2013L00073</w:t>
            </w:r>
            <w:r>
              <w:rPr>
                <w:rFonts w:ascii="Calibri" w:eastAsia="Times New Roman" w:hAnsi="Calibri" w:cs="Times New Roman"/>
                <w:color w:val="000000"/>
                <w:lang w:eastAsia="en-AU"/>
              </w:rPr>
              <w:t>]</w:t>
            </w:r>
          </w:p>
        </w:tc>
        <w:tc>
          <w:tcPr>
            <w:tcW w:w="1134" w:type="dxa"/>
          </w:tcPr>
          <w:p w:rsidR="002A1D43" w:rsidRDefault="002A1D4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A1D43"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11" w:history="1">
              <w:r w:rsidR="002A1D43" w:rsidRPr="001635F1">
                <w:rPr>
                  <w:rStyle w:val="Hyperlink"/>
                </w:rPr>
                <w:t>3/13</w:t>
              </w:r>
            </w:hyperlink>
          </w:p>
        </w:tc>
        <w:tc>
          <w:tcPr>
            <w:tcW w:w="3544" w:type="dxa"/>
          </w:tcPr>
          <w:p w:rsidR="002A1D43" w:rsidRPr="00056817" w:rsidRDefault="002A1D4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F3D3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BF3D3D" w:rsidRPr="004B0979" w:rsidRDefault="00BF3D3D" w:rsidP="003620C8">
            <w:pPr>
              <w:rPr>
                <w:rFonts w:ascii="Calibri" w:eastAsia="Times New Roman" w:hAnsi="Calibri" w:cs="Times New Roman"/>
                <w:color w:val="000000"/>
                <w:lang w:eastAsia="en-AU"/>
              </w:rPr>
            </w:pPr>
            <w:r w:rsidRPr="00BF3D3D">
              <w:rPr>
                <w:rFonts w:ascii="Calibri" w:eastAsia="Times New Roman" w:hAnsi="Calibri" w:cs="Times New Roman"/>
                <w:color w:val="000000"/>
                <w:lang w:eastAsia="en-AU"/>
              </w:rPr>
              <w:t xml:space="preserve">AD/EC 135/10 </w:t>
            </w:r>
            <w:proofErr w:type="spellStart"/>
            <w:r w:rsidRPr="00BF3D3D">
              <w:rPr>
                <w:rFonts w:ascii="Calibri" w:eastAsia="Times New Roman" w:hAnsi="Calibri" w:cs="Times New Roman"/>
                <w:color w:val="000000"/>
                <w:lang w:eastAsia="en-AU"/>
              </w:rPr>
              <w:t>Amdt</w:t>
            </w:r>
            <w:proofErr w:type="spellEnd"/>
            <w:r w:rsidRPr="00BF3D3D">
              <w:rPr>
                <w:rFonts w:ascii="Calibri" w:eastAsia="Times New Roman" w:hAnsi="Calibri" w:cs="Times New Roman"/>
                <w:color w:val="000000"/>
                <w:lang w:eastAsia="en-AU"/>
              </w:rPr>
              <w:t xml:space="preserve"> 1 - Main Rotor - Sliding Sleeve</w:t>
            </w:r>
            <w:r>
              <w:rPr>
                <w:rFonts w:ascii="Calibri" w:eastAsia="Times New Roman" w:hAnsi="Calibri" w:cs="Times New Roman"/>
                <w:color w:val="000000"/>
                <w:lang w:eastAsia="en-AU"/>
              </w:rPr>
              <w:t xml:space="preserve"> [</w:t>
            </w:r>
            <w:r w:rsidRPr="00BF3D3D">
              <w:rPr>
                <w:rFonts w:ascii="Calibri" w:eastAsia="Times New Roman" w:hAnsi="Calibri" w:cs="Times New Roman"/>
                <w:color w:val="000000"/>
                <w:lang w:eastAsia="en-AU"/>
              </w:rPr>
              <w:t>F2012L02319</w:t>
            </w:r>
            <w:r>
              <w:rPr>
                <w:rFonts w:ascii="Calibri" w:eastAsia="Times New Roman" w:hAnsi="Calibri" w:cs="Times New Roman"/>
                <w:color w:val="000000"/>
                <w:lang w:eastAsia="en-AU"/>
              </w:rPr>
              <w:t>]</w:t>
            </w:r>
          </w:p>
        </w:tc>
        <w:tc>
          <w:tcPr>
            <w:tcW w:w="1134" w:type="dxa"/>
          </w:tcPr>
          <w:p w:rsidR="00BF3D3D" w:rsidRDefault="00BF3D3D"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3D3D"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12" w:history="1">
              <w:r w:rsidR="00BF3D3D" w:rsidRPr="00A93BAC">
                <w:rPr>
                  <w:rStyle w:val="Hyperlink"/>
                </w:rPr>
                <w:t>1/13</w:t>
              </w:r>
            </w:hyperlink>
          </w:p>
        </w:tc>
        <w:tc>
          <w:tcPr>
            <w:tcW w:w="3544" w:type="dxa"/>
          </w:tcPr>
          <w:p w:rsidR="00BF3D3D" w:rsidRPr="00056817" w:rsidRDefault="00BF3D3D"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4F6E3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4F6E3B" w:rsidRPr="00BF3D3D" w:rsidRDefault="004F6E3B" w:rsidP="003620C8">
            <w:pPr>
              <w:rPr>
                <w:rFonts w:ascii="Calibri" w:eastAsia="Times New Roman" w:hAnsi="Calibri" w:cs="Times New Roman"/>
                <w:color w:val="000000"/>
                <w:lang w:eastAsia="en-AU"/>
              </w:rPr>
            </w:pPr>
            <w:r w:rsidRPr="004F6E3B">
              <w:rPr>
                <w:rFonts w:ascii="Calibri" w:eastAsia="Times New Roman" w:hAnsi="Calibri" w:cs="Times New Roman"/>
                <w:color w:val="000000"/>
                <w:lang w:eastAsia="en-AU"/>
              </w:rPr>
              <w:t xml:space="preserve">AD/TPE 331/63 </w:t>
            </w:r>
            <w:proofErr w:type="spellStart"/>
            <w:r w:rsidRPr="004F6E3B">
              <w:rPr>
                <w:rFonts w:ascii="Calibri" w:eastAsia="Times New Roman" w:hAnsi="Calibri" w:cs="Times New Roman"/>
                <w:color w:val="000000"/>
                <w:lang w:eastAsia="en-AU"/>
              </w:rPr>
              <w:t>Amdt</w:t>
            </w:r>
            <w:proofErr w:type="spellEnd"/>
            <w:r w:rsidRPr="004F6E3B">
              <w:rPr>
                <w:rFonts w:ascii="Calibri" w:eastAsia="Times New Roman" w:hAnsi="Calibri" w:cs="Times New Roman"/>
                <w:color w:val="000000"/>
                <w:lang w:eastAsia="en-AU"/>
              </w:rPr>
              <w:t xml:space="preserve"> 2 - Fuel Control Unit Drive Spline</w:t>
            </w:r>
            <w:r>
              <w:rPr>
                <w:rFonts w:ascii="Calibri" w:eastAsia="Times New Roman" w:hAnsi="Calibri" w:cs="Times New Roman"/>
                <w:color w:val="000000"/>
                <w:lang w:eastAsia="en-AU"/>
              </w:rPr>
              <w:t xml:space="preserve"> [</w:t>
            </w:r>
            <w:r w:rsidRPr="004F6E3B">
              <w:rPr>
                <w:rFonts w:ascii="Calibri" w:eastAsia="Times New Roman" w:hAnsi="Calibri" w:cs="Times New Roman"/>
                <w:color w:val="000000"/>
                <w:lang w:eastAsia="en-AU"/>
              </w:rPr>
              <w:t>F2012L02317</w:t>
            </w:r>
            <w:r>
              <w:rPr>
                <w:rFonts w:ascii="Calibri" w:eastAsia="Times New Roman" w:hAnsi="Calibri" w:cs="Times New Roman"/>
                <w:color w:val="000000"/>
                <w:lang w:eastAsia="en-AU"/>
              </w:rPr>
              <w:t>]</w:t>
            </w:r>
          </w:p>
        </w:tc>
        <w:tc>
          <w:tcPr>
            <w:tcW w:w="1134" w:type="dxa"/>
          </w:tcPr>
          <w:p w:rsidR="004F6E3B" w:rsidRDefault="004F6E3B"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F6E3B"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13" w:history="1">
              <w:r w:rsidR="004F6E3B" w:rsidRPr="00A93BAC">
                <w:rPr>
                  <w:rStyle w:val="Hyperlink"/>
                </w:rPr>
                <w:t>1/13</w:t>
              </w:r>
            </w:hyperlink>
          </w:p>
        </w:tc>
        <w:tc>
          <w:tcPr>
            <w:tcW w:w="3544" w:type="dxa"/>
          </w:tcPr>
          <w:p w:rsidR="004F6E3B" w:rsidRPr="00056817" w:rsidRDefault="004F6E3B"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4F6E3B"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4F6E3B" w:rsidRPr="004F6E3B" w:rsidRDefault="004F6E3B" w:rsidP="003620C8">
            <w:pPr>
              <w:rPr>
                <w:rFonts w:ascii="Calibri" w:eastAsia="Times New Roman" w:hAnsi="Calibri" w:cs="Times New Roman"/>
                <w:color w:val="000000"/>
                <w:lang w:eastAsia="en-AU"/>
              </w:rPr>
            </w:pPr>
            <w:r w:rsidRPr="004F6E3B">
              <w:rPr>
                <w:rFonts w:ascii="Calibri" w:eastAsia="Times New Roman" w:hAnsi="Calibri" w:cs="Times New Roman"/>
                <w:color w:val="000000"/>
                <w:lang w:eastAsia="en-AU"/>
              </w:rPr>
              <w:t>Agricultural and Veterinary Chemicals Code Instrument No. 4 (MRL Standard) 2012</w:t>
            </w:r>
            <w:r>
              <w:rPr>
                <w:rFonts w:ascii="Calibri" w:eastAsia="Times New Roman" w:hAnsi="Calibri" w:cs="Times New Roman"/>
                <w:color w:val="000000"/>
                <w:lang w:eastAsia="en-AU"/>
              </w:rPr>
              <w:t xml:space="preserve"> [</w:t>
            </w:r>
            <w:r w:rsidR="00D1478F" w:rsidRPr="00D1478F">
              <w:rPr>
                <w:rFonts w:ascii="Calibri" w:eastAsia="Times New Roman" w:hAnsi="Calibri" w:cs="Times New Roman"/>
                <w:color w:val="000000"/>
                <w:lang w:eastAsia="en-AU"/>
              </w:rPr>
              <w:t>F2012L02501</w:t>
            </w:r>
            <w:r w:rsidR="00D1478F">
              <w:rPr>
                <w:rFonts w:ascii="Calibri" w:eastAsia="Times New Roman" w:hAnsi="Calibri" w:cs="Times New Roman"/>
                <w:color w:val="000000"/>
                <w:lang w:eastAsia="en-AU"/>
              </w:rPr>
              <w:t>]</w:t>
            </w:r>
          </w:p>
        </w:tc>
        <w:tc>
          <w:tcPr>
            <w:tcW w:w="1134" w:type="dxa"/>
          </w:tcPr>
          <w:p w:rsidR="004F6E3B" w:rsidRDefault="00D1478F"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4F6E3B"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14" w:history="1">
              <w:r w:rsidR="00D1478F" w:rsidRPr="00A93BAC">
                <w:rPr>
                  <w:rStyle w:val="Hyperlink"/>
                </w:rPr>
                <w:t>1/13</w:t>
              </w:r>
            </w:hyperlink>
          </w:p>
        </w:tc>
        <w:tc>
          <w:tcPr>
            <w:tcW w:w="3544" w:type="dxa"/>
          </w:tcPr>
          <w:p w:rsidR="004F6E3B" w:rsidRPr="00056817" w:rsidRDefault="004F6E3B"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1478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78F" w:rsidRPr="004F6E3B" w:rsidRDefault="00D1478F" w:rsidP="003620C8">
            <w:pPr>
              <w:rPr>
                <w:rFonts w:ascii="Calibri" w:eastAsia="Times New Roman" w:hAnsi="Calibri" w:cs="Times New Roman"/>
                <w:color w:val="000000"/>
                <w:lang w:eastAsia="en-AU"/>
              </w:rPr>
            </w:pPr>
            <w:r w:rsidRPr="00D1478F">
              <w:rPr>
                <w:rFonts w:ascii="Calibri" w:eastAsia="Times New Roman" w:hAnsi="Calibri" w:cs="Times New Roman"/>
                <w:color w:val="000000"/>
                <w:lang w:eastAsia="en-AU"/>
              </w:rPr>
              <w:lastRenderedPageBreak/>
              <w:t>Amendment - List of Specimens taken to be Suitable for Live Import (13/11/2012)</w:t>
            </w:r>
            <w:r>
              <w:rPr>
                <w:rFonts w:ascii="Calibri" w:eastAsia="Times New Roman" w:hAnsi="Calibri" w:cs="Times New Roman"/>
                <w:color w:val="000000"/>
                <w:lang w:eastAsia="en-AU"/>
              </w:rPr>
              <w:t xml:space="preserve"> [</w:t>
            </w:r>
            <w:r w:rsidRPr="00D1478F">
              <w:rPr>
                <w:rFonts w:ascii="Calibri" w:eastAsia="Times New Roman" w:hAnsi="Calibri" w:cs="Times New Roman"/>
                <w:color w:val="000000"/>
                <w:lang w:eastAsia="en-AU"/>
              </w:rPr>
              <w:t>F2012L02312</w:t>
            </w:r>
            <w:r>
              <w:rPr>
                <w:rFonts w:ascii="Calibri" w:eastAsia="Times New Roman" w:hAnsi="Calibri" w:cs="Times New Roman"/>
                <w:color w:val="000000"/>
                <w:lang w:eastAsia="en-AU"/>
              </w:rPr>
              <w:t>]</w:t>
            </w:r>
          </w:p>
        </w:tc>
        <w:tc>
          <w:tcPr>
            <w:tcW w:w="1134" w:type="dxa"/>
          </w:tcPr>
          <w:p w:rsidR="00D1478F" w:rsidRDefault="00D1478F"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78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15" w:history="1">
              <w:r w:rsidR="00D1478F" w:rsidRPr="00A93BAC">
                <w:rPr>
                  <w:rStyle w:val="Hyperlink"/>
                </w:rPr>
                <w:t>1/13</w:t>
              </w:r>
            </w:hyperlink>
          </w:p>
        </w:tc>
        <w:tc>
          <w:tcPr>
            <w:tcW w:w="3544" w:type="dxa"/>
          </w:tcPr>
          <w:p w:rsidR="00D1478F" w:rsidRPr="00056817" w:rsidRDefault="00D1478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1478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78F" w:rsidRPr="00D1478F" w:rsidRDefault="00D1478F" w:rsidP="003620C8">
            <w:pPr>
              <w:rPr>
                <w:rFonts w:ascii="Calibri" w:eastAsia="Times New Roman" w:hAnsi="Calibri" w:cs="Times New Roman"/>
                <w:color w:val="000000"/>
                <w:lang w:eastAsia="en-AU"/>
              </w:rPr>
            </w:pPr>
            <w:r w:rsidRPr="00D1478F">
              <w:rPr>
                <w:rFonts w:ascii="Calibri" w:eastAsia="Times New Roman" w:hAnsi="Calibri" w:cs="Times New Roman"/>
                <w:color w:val="000000"/>
                <w:lang w:eastAsia="en-AU"/>
              </w:rPr>
              <w:t>Amendment of List of Exempt Native Specimens - Australian High Seas Fisheries (14/11/2012)</w:t>
            </w:r>
            <w:r>
              <w:rPr>
                <w:rFonts w:ascii="Calibri" w:eastAsia="Times New Roman" w:hAnsi="Calibri" w:cs="Times New Roman"/>
                <w:color w:val="000000"/>
                <w:lang w:eastAsia="en-AU"/>
              </w:rPr>
              <w:t xml:space="preserve"> [</w:t>
            </w:r>
            <w:r w:rsidRPr="00D1478F">
              <w:rPr>
                <w:rFonts w:ascii="Calibri" w:eastAsia="Times New Roman" w:hAnsi="Calibri" w:cs="Times New Roman"/>
                <w:color w:val="000000"/>
                <w:lang w:eastAsia="en-AU"/>
              </w:rPr>
              <w:t>F2012L02196</w:t>
            </w:r>
            <w:r>
              <w:rPr>
                <w:rFonts w:ascii="Calibri" w:eastAsia="Times New Roman" w:hAnsi="Calibri" w:cs="Times New Roman"/>
                <w:color w:val="000000"/>
                <w:lang w:eastAsia="en-AU"/>
              </w:rPr>
              <w:t>]</w:t>
            </w:r>
          </w:p>
        </w:tc>
        <w:tc>
          <w:tcPr>
            <w:tcW w:w="1134" w:type="dxa"/>
          </w:tcPr>
          <w:p w:rsidR="00D1478F" w:rsidRDefault="00D1478F"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78F"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16" w:history="1">
              <w:r w:rsidR="00D1478F" w:rsidRPr="00A93BAC">
                <w:rPr>
                  <w:rStyle w:val="Hyperlink"/>
                </w:rPr>
                <w:t>1/13</w:t>
              </w:r>
            </w:hyperlink>
          </w:p>
        </w:tc>
        <w:tc>
          <w:tcPr>
            <w:tcW w:w="3544" w:type="dxa"/>
          </w:tcPr>
          <w:p w:rsidR="00D1478F" w:rsidRPr="00056817" w:rsidRDefault="00D1478F"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1478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78F" w:rsidRPr="00D1478F" w:rsidRDefault="007125B3" w:rsidP="003620C8">
            <w:pPr>
              <w:rPr>
                <w:rFonts w:ascii="Calibri" w:eastAsia="Times New Roman" w:hAnsi="Calibri" w:cs="Times New Roman"/>
                <w:color w:val="000000"/>
                <w:lang w:eastAsia="en-AU"/>
              </w:rPr>
            </w:pPr>
            <w:r w:rsidRPr="007125B3">
              <w:rPr>
                <w:rFonts w:ascii="Calibri" w:eastAsia="Times New Roman" w:hAnsi="Calibri" w:cs="Times New Roman"/>
                <w:color w:val="000000"/>
                <w:lang w:eastAsia="en-AU"/>
              </w:rPr>
              <w:t>Amendment of List of Exempt Native Specimens - Northern Territory Aquarium Fishery (12/12/2012) (deletion)</w:t>
            </w:r>
            <w:r>
              <w:rPr>
                <w:rFonts w:ascii="Calibri" w:eastAsia="Times New Roman" w:hAnsi="Calibri" w:cs="Times New Roman"/>
                <w:color w:val="000000"/>
                <w:lang w:eastAsia="en-AU"/>
              </w:rPr>
              <w:t xml:space="preserve"> [</w:t>
            </w:r>
            <w:r w:rsidRPr="007125B3">
              <w:rPr>
                <w:rFonts w:ascii="Calibri" w:eastAsia="Times New Roman" w:hAnsi="Calibri" w:cs="Times New Roman"/>
                <w:color w:val="000000"/>
                <w:lang w:eastAsia="en-AU"/>
              </w:rPr>
              <w:t>F2012L02433</w:t>
            </w:r>
            <w:r>
              <w:rPr>
                <w:rFonts w:ascii="Calibri" w:eastAsia="Times New Roman" w:hAnsi="Calibri" w:cs="Times New Roman"/>
                <w:color w:val="000000"/>
                <w:lang w:eastAsia="en-AU"/>
              </w:rPr>
              <w:t>]</w:t>
            </w:r>
          </w:p>
        </w:tc>
        <w:tc>
          <w:tcPr>
            <w:tcW w:w="1134" w:type="dxa"/>
          </w:tcPr>
          <w:p w:rsidR="00D1478F" w:rsidRDefault="007125B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78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17" w:history="1">
              <w:r w:rsidR="007125B3" w:rsidRPr="00A93BAC">
                <w:rPr>
                  <w:rStyle w:val="Hyperlink"/>
                </w:rPr>
                <w:t>1/13</w:t>
              </w:r>
            </w:hyperlink>
          </w:p>
        </w:tc>
        <w:tc>
          <w:tcPr>
            <w:tcW w:w="3544" w:type="dxa"/>
          </w:tcPr>
          <w:p w:rsidR="00D1478F" w:rsidRPr="00056817" w:rsidRDefault="00D1478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125B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125B3" w:rsidRPr="007125B3" w:rsidRDefault="007125B3" w:rsidP="003620C8">
            <w:pPr>
              <w:rPr>
                <w:rFonts w:ascii="Calibri" w:eastAsia="Times New Roman" w:hAnsi="Calibri" w:cs="Times New Roman"/>
                <w:color w:val="000000"/>
                <w:lang w:eastAsia="en-AU"/>
              </w:rPr>
            </w:pPr>
            <w:r w:rsidRPr="007125B3">
              <w:rPr>
                <w:rFonts w:ascii="Calibri" w:eastAsia="Times New Roman" w:hAnsi="Calibri" w:cs="Times New Roman"/>
                <w:color w:val="000000"/>
                <w:lang w:eastAsia="en-AU"/>
              </w:rPr>
              <w:t>Amendment of List of Exempt Native Specimens - Northern Territory Aquarium Fishery (12/12/2012) (inclusion)</w:t>
            </w:r>
            <w:r>
              <w:rPr>
                <w:rFonts w:ascii="Calibri" w:eastAsia="Times New Roman" w:hAnsi="Calibri" w:cs="Times New Roman"/>
                <w:color w:val="000000"/>
                <w:lang w:eastAsia="en-AU"/>
              </w:rPr>
              <w:t xml:space="preserve"> [</w:t>
            </w:r>
            <w:r w:rsidRPr="007125B3">
              <w:rPr>
                <w:rFonts w:ascii="Calibri" w:eastAsia="Times New Roman" w:hAnsi="Calibri" w:cs="Times New Roman"/>
                <w:color w:val="000000"/>
                <w:lang w:eastAsia="en-AU"/>
              </w:rPr>
              <w:t>F2012L02436</w:t>
            </w:r>
            <w:r>
              <w:rPr>
                <w:rFonts w:ascii="Calibri" w:eastAsia="Times New Roman" w:hAnsi="Calibri" w:cs="Times New Roman"/>
                <w:color w:val="000000"/>
                <w:lang w:eastAsia="en-AU"/>
              </w:rPr>
              <w:t>]</w:t>
            </w:r>
          </w:p>
        </w:tc>
        <w:tc>
          <w:tcPr>
            <w:tcW w:w="1134" w:type="dxa"/>
          </w:tcPr>
          <w:p w:rsidR="007125B3" w:rsidRDefault="007125B3"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125B3"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18" w:history="1">
              <w:r w:rsidR="007125B3" w:rsidRPr="00A93BAC">
                <w:rPr>
                  <w:rStyle w:val="Hyperlink"/>
                </w:rPr>
                <w:t>1/13</w:t>
              </w:r>
            </w:hyperlink>
          </w:p>
        </w:tc>
        <w:tc>
          <w:tcPr>
            <w:tcW w:w="3544" w:type="dxa"/>
          </w:tcPr>
          <w:p w:rsidR="007125B3" w:rsidRPr="00056817" w:rsidRDefault="007125B3"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F385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F3853" w:rsidRPr="007125B3" w:rsidRDefault="001F3853" w:rsidP="003620C8">
            <w:pPr>
              <w:rPr>
                <w:rFonts w:ascii="Calibri" w:eastAsia="Times New Roman" w:hAnsi="Calibri" w:cs="Times New Roman"/>
                <w:color w:val="000000"/>
                <w:lang w:eastAsia="en-AU"/>
              </w:rPr>
            </w:pPr>
            <w:r w:rsidRPr="001F3853">
              <w:rPr>
                <w:rFonts w:ascii="Calibri" w:eastAsia="Times New Roman" w:hAnsi="Calibri" w:cs="Times New Roman"/>
                <w:color w:val="000000"/>
                <w:lang w:eastAsia="en-AU"/>
              </w:rPr>
              <w:t>Amendment of List of Exempt Native Specimens - Queensland Gulf of Carpentaria Inshore Fin Fish Fishery</w:t>
            </w:r>
            <w:r>
              <w:rPr>
                <w:rFonts w:ascii="Calibri" w:eastAsia="Times New Roman" w:hAnsi="Calibri" w:cs="Times New Roman"/>
                <w:color w:val="000000"/>
                <w:lang w:eastAsia="en-AU"/>
              </w:rPr>
              <w:t xml:space="preserve"> [</w:t>
            </w:r>
            <w:r w:rsidRPr="001F3853">
              <w:rPr>
                <w:rFonts w:ascii="Calibri" w:eastAsia="Times New Roman" w:hAnsi="Calibri" w:cs="Times New Roman"/>
                <w:color w:val="000000"/>
                <w:lang w:eastAsia="en-AU"/>
              </w:rPr>
              <w:t>F2012L02389</w:t>
            </w:r>
            <w:r>
              <w:rPr>
                <w:rFonts w:ascii="Calibri" w:eastAsia="Times New Roman" w:hAnsi="Calibri" w:cs="Times New Roman"/>
                <w:color w:val="000000"/>
                <w:lang w:eastAsia="en-AU"/>
              </w:rPr>
              <w:t>]</w:t>
            </w:r>
          </w:p>
        </w:tc>
        <w:tc>
          <w:tcPr>
            <w:tcW w:w="1134" w:type="dxa"/>
          </w:tcPr>
          <w:p w:rsidR="001F3853" w:rsidRDefault="001F385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F3853"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19" w:history="1">
              <w:r w:rsidR="001F3853" w:rsidRPr="00A93BAC">
                <w:rPr>
                  <w:rStyle w:val="Hyperlink"/>
                </w:rPr>
                <w:t>1/13</w:t>
              </w:r>
            </w:hyperlink>
          </w:p>
        </w:tc>
        <w:tc>
          <w:tcPr>
            <w:tcW w:w="3544" w:type="dxa"/>
          </w:tcPr>
          <w:p w:rsidR="001F3853" w:rsidRPr="00056817" w:rsidRDefault="001F385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F385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F3853" w:rsidRPr="001F3853" w:rsidRDefault="001F3853" w:rsidP="003620C8">
            <w:pPr>
              <w:rPr>
                <w:rFonts w:ascii="Calibri" w:eastAsia="Times New Roman" w:hAnsi="Calibri" w:cs="Times New Roman"/>
                <w:color w:val="000000"/>
                <w:lang w:eastAsia="en-AU"/>
              </w:rPr>
            </w:pPr>
            <w:r w:rsidRPr="001F3853">
              <w:rPr>
                <w:rFonts w:ascii="Calibri" w:eastAsia="Times New Roman" w:hAnsi="Calibri" w:cs="Times New Roman"/>
                <w:color w:val="000000"/>
                <w:lang w:eastAsia="en-AU"/>
              </w:rPr>
              <w:t>Amendment of List of Exempt Native Specimens - Queensland Mud Crab Fishery (17/10/2012)</w:t>
            </w:r>
            <w:r>
              <w:rPr>
                <w:rFonts w:ascii="Calibri" w:eastAsia="Times New Roman" w:hAnsi="Calibri" w:cs="Times New Roman"/>
                <w:color w:val="000000"/>
                <w:lang w:eastAsia="en-AU"/>
              </w:rPr>
              <w:t xml:space="preserve"> [</w:t>
            </w:r>
            <w:r w:rsidRPr="001F3853">
              <w:rPr>
                <w:rFonts w:ascii="Calibri" w:eastAsia="Times New Roman" w:hAnsi="Calibri" w:cs="Times New Roman"/>
                <w:color w:val="000000"/>
                <w:lang w:eastAsia="en-AU"/>
              </w:rPr>
              <w:t>F2012L02195</w:t>
            </w:r>
            <w:r>
              <w:rPr>
                <w:rFonts w:ascii="Calibri" w:eastAsia="Times New Roman" w:hAnsi="Calibri" w:cs="Times New Roman"/>
                <w:color w:val="000000"/>
                <w:lang w:eastAsia="en-AU"/>
              </w:rPr>
              <w:t>]</w:t>
            </w:r>
          </w:p>
        </w:tc>
        <w:tc>
          <w:tcPr>
            <w:tcW w:w="1134" w:type="dxa"/>
          </w:tcPr>
          <w:p w:rsidR="001F3853" w:rsidRDefault="001F3853"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F3853"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20" w:history="1">
              <w:r w:rsidR="001F3853" w:rsidRPr="00A93BAC">
                <w:rPr>
                  <w:rStyle w:val="Hyperlink"/>
                </w:rPr>
                <w:t>1/13</w:t>
              </w:r>
            </w:hyperlink>
          </w:p>
        </w:tc>
        <w:tc>
          <w:tcPr>
            <w:tcW w:w="3544" w:type="dxa"/>
          </w:tcPr>
          <w:p w:rsidR="001F3853" w:rsidRPr="00056817" w:rsidRDefault="001F3853"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F385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F3853" w:rsidRPr="001F3853" w:rsidRDefault="001F3853" w:rsidP="003620C8">
            <w:pPr>
              <w:rPr>
                <w:rFonts w:ascii="Calibri" w:eastAsia="Times New Roman" w:hAnsi="Calibri" w:cs="Times New Roman"/>
                <w:color w:val="000000"/>
                <w:lang w:eastAsia="en-AU"/>
              </w:rPr>
            </w:pPr>
            <w:r w:rsidRPr="001F3853">
              <w:rPr>
                <w:rFonts w:ascii="Calibri" w:eastAsia="Times New Roman" w:hAnsi="Calibri" w:cs="Times New Roman"/>
                <w:color w:val="000000"/>
                <w:lang w:eastAsia="en-AU"/>
              </w:rPr>
              <w:t>Amendment of List of Exempt Native Specimens - Torres Strait Finfish Fishery (14/11/2012)</w:t>
            </w:r>
            <w:r>
              <w:rPr>
                <w:rFonts w:ascii="Calibri" w:eastAsia="Times New Roman" w:hAnsi="Calibri" w:cs="Times New Roman"/>
                <w:color w:val="000000"/>
                <w:lang w:eastAsia="en-AU"/>
              </w:rPr>
              <w:t xml:space="preserve"> [</w:t>
            </w:r>
            <w:r w:rsidRPr="001F3853">
              <w:rPr>
                <w:rFonts w:ascii="Calibri" w:eastAsia="Times New Roman" w:hAnsi="Calibri" w:cs="Times New Roman"/>
                <w:color w:val="000000"/>
                <w:lang w:eastAsia="en-AU"/>
              </w:rPr>
              <w:t>F2012L02197</w:t>
            </w:r>
            <w:r>
              <w:rPr>
                <w:rFonts w:ascii="Calibri" w:eastAsia="Times New Roman" w:hAnsi="Calibri" w:cs="Times New Roman"/>
                <w:color w:val="000000"/>
                <w:lang w:eastAsia="en-AU"/>
              </w:rPr>
              <w:t>]</w:t>
            </w:r>
          </w:p>
        </w:tc>
        <w:tc>
          <w:tcPr>
            <w:tcW w:w="1134" w:type="dxa"/>
          </w:tcPr>
          <w:p w:rsidR="001F3853" w:rsidRDefault="001F385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F3853"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21" w:history="1">
              <w:r w:rsidR="001F3853" w:rsidRPr="00A93BAC">
                <w:rPr>
                  <w:rStyle w:val="Hyperlink"/>
                </w:rPr>
                <w:t>1/13</w:t>
              </w:r>
            </w:hyperlink>
          </w:p>
        </w:tc>
        <w:tc>
          <w:tcPr>
            <w:tcW w:w="3544" w:type="dxa"/>
          </w:tcPr>
          <w:p w:rsidR="001F3853" w:rsidRPr="00056817" w:rsidRDefault="001F385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F385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F3853" w:rsidRPr="001F3853" w:rsidRDefault="001F3853" w:rsidP="003620C8">
            <w:pPr>
              <w:rPr>
                <w:rFonts w:ascii="Calibri" w:eastAsia="Times New Roman" w:hAnsi="Calibri" w:cs="Times New Roman"/>
                <w:color w:val="000000"/>
                <w:lang w:eastAsia="en-AU"/>
              </w:rPr>
            </w:pPr>
            <w:r w:rsidRPr="001F3853">
              <w:rPr>
                <w:rFonts w:ascii="Calibri" w:eastAsia="Times New Roman" w:hAnsi="Calibri" w:cs="Times New Roman"/>
                <w:color w:val="000000"/>
                <w:lang w:eastAsia="en-AU"/>
              </w:rPr>
              <w:t>Amendment of List of Exempt Native Specimens - Western Deepwater Trawl Fishery and North West Slope Trawl Fishery (28/11/2012)</w:t>
            </w:r>
            <w:r>
              <w:rPr>
                <w:rFonts w:ascii="Calibri" w:eastAsia="Times New Roman" w:hAnsi="Calibri" w:cs="Times New Roman"/>
                <w:color w:val="000000"/>
                <w:lang w:eastAsia="en-AU"/>
              </w:rPr>
              <w:t xml:space="preserve"> [</w:t>
            </w:r>
            <w:r w:rsidRPr="001F3853">
              <w:rPr>
                <w:rFonts w:ascii="Calibri" w:eastAsia="Times New Roman" w:hAnsi="Calibri" w:cs="Times New Roman"/>
                <w:color w:val="000000"/>
                <w:lang w:eastAsia="en-AU"/>
              </w:rPr>
              <w:t>F2012L02392</w:t>
            </w:r>
            <w:r>
              <w:rPr>
                <w:rFonts w:ascii="Calibri" w:eastAsia="Times New Roman" w:hAnsi="Calibri" w:cs="Times New Roman"/>
                <w:color w:val="000000"/>
                <w:lang w:eastAsia="en-AU"/>
              </w:rPr>
              <w:t>]</w:t>
            </w:r>
          </w:p>
        </w:tc>
        <w:tc>
          <w:tcPr>
            <w:tcW w:w="1134" w:type="dxa"/>
          </w:tcPr>
          <w:p w:rsidR="001F3853" w:rsidRDefault="001F3853"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F3853"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22" w:history="1">
              <w:r w:rsidR="001F3853" w:rsidRPr="00A93BAC">
                <w:rPr>
                  <w:rStyle w:val="Hyperlink"/>
                </w:rPr>
                <w:t>1/13</w:t>
              </w:r>
            </w:hyperlink>
          </w:p>
        </w:tc>
        <w:tc>
          <w:tcPr>
            <w:tcW w:w="3544" w:type="dxa"/>
          </w:tcPr>
          <w:p w:rsidR="001F3853" w:rsidRPr="00056817" w:rsidRDefault="001F3853"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A1D4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A1D43" w:rsidRPr="001F3853"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Amendment - List of Specimens Taken to be suitable for Live Import (03/01/2013)</w:t>
            </w:r>
            <w:r>
              <w:rPr>
                <w:rFonts w:ascii="Calibri" w:eastAsia="Times New Roman" w:hAnsi="Calibri" w:cs="Times New Roman"/>
                <w:color w:val="000000"/>
                <w:lang w:eastAsia="en-AU"/>
              </w:rPr>
              <w:t xml:space="preserve"> [</w:t>
            </w:r>
            <w:r w:rsidRPr="002A1D43">
              <w:rPr>
                <w:rFonts w:ascii="Calibri" w:eastAsia="Times New Roman" w:hAnsi="Calibri" w:cs="Times New Roman"/>
                <w:color w:val="000000"/>
                <w:lang w:eastAsia="en-AU"/>
              </w:rPr>
              <w:t>F2013L00105</w:t>
            </w:r>
            <w:r>
              <w:rPr>
                <w:rFonts w:ascii="Calibri" w:eastAsia="Times New Roman" w:hAnsi="Calibri" w:cs="Times New Roman"/>
                <w:color w:val="000000"/>
                <w:lang w:eastAsia="en-AU"/>
              </w:rPr>
              <w:t>]</w:t>
            </w:r>
          </w:p>
        </w:tc>
        <w:tc>
          <w:tcPr>
            <w:tcW w:w="1134" w:type="dxa"/>
          </w:tcPr>
          <w:p w:rsidR="002A1D43" w:rsidRDefault="002A1D4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A1D43"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23" w:history="1">
              <w:r w:rsidR="002A1D43" w:rsidRPr="001635F1">
                <w:rPr>
                  <w:rStyle w:val="Hyperlink"/>
                </w:rPr>
                <w:t>3/13</w:t>
              </w:r>
            </w:hyperlink>
          </w:p>
        </w:tc>
        <w:tc>
          <w:tcPr>
            <w:tcW w:w="3544" w:type="dxa"/>
          </w:tcPr>
          <w:p w:rsidR="002A1D43" w:rsidRPr="00056817" w:rsidRDefault="002A1D4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A1D4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A1D43" w:rsidRPr="002A1D43"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Amendment - List of Specimens Taken to be Suitable for Live Import (30/01/2013)</w:t>
            </w:r>
            <w:r>
              <w:rPr>
                <w:rFonts w:ascii="Calibri" w:eastAsia="Times New Roman" w:hAnsi="Calibri" w:cs="Times New Roman"/>
                <w:color w:val="000000"/>
                <w:lang w:eastAsia="en-AU"/>
              </w:rPr>
              <w:t xml:space="preserve"> [</w:t>
            </w:r>
            <w:r w:rsidRPr="002A1D43">
              <w:rPr>
                <w:rFonts w:ascii="Calibri" w:eastAsia="Times New Roman" w:hAnsi="Calibri" w:cs="Times New Roman"/>
                <w:color w:val="000000"/>
                <w:lang w:eastAsia="en-AU"/>
              </w:rPr>
              <w:t>F2013L00181</w:t>
            </w:r>
            <w:r>
              <w:rPr>
                <w:rFonts w:ascii="Calibri" w:eastAsia="Times New Roman" w:hAnsi="Calibri" w:cs="Times New Roman"/>
                <w:color w:val="000000"/>
                <w:lang w:eastAsia="en-AU"/>
              </w:rPr>
              <w:t>]</w:t>
            </w:r>
          </w:p>
        </w:tc>
        <w:tc>
          <w:tcPr>
            <w:tcW w:w="1134" w:type="dxa"/>
          </w:tcPr>
          <w:p w:rsidR="002A1D43" w:rsidRDefault="002A1D43"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A1D43"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24" w:history="1">
              <w:r w:rsidR="002A1D43" w:rsidRPr="001635F1">
                <w:rPr>
                  <w:rStyle w:val="Hyperlink"/>
                </w:rPr>
                <w:t>3/13</w:t>
              </w:r>
            </w:hyperlink>
          </w:p>
        </w:tc>
        <w:tc>
          <w:tcPr>
            <w:tcW w:w="3544" w:type="dxa"/>
          </w:tcPr>
          <w:p w:rsidR="002A1D43" w:rsidRPr="00056817" w:rsidRDefault="002A1D43"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2A1D4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A1D43" w:rsidRPr="002A1D43"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Amendment of List of Exempt Native Specimens - Northern Territory Spanish Mackerel Fishery (25/01/2013)</w:t>
            </w:r>
            <w:r>
              <w:rPr>
                <w:rFonts w:ascii="Calibri" w:eastAsia="Times New Roman" w:hAnsi="Calibri" w:cs="Times New Roman"/>
                <w:color w:val="000000"/>
                <w:lang w:eastAsia="en-AU"/>
              </w:rPr>
              <w:t xml:space="preserve"> [</w:t>
            </w:r>
            <w:r w:rsidRPr="002A1D43">
              <w:rPr>
                <w:rFonts w:ascii="Calibri" w:eastAsia="Times New Roman" w:hAnsi="Calibri" w:cs="Times New Roman"/>
                <w:color w:val="000000"/>
                <w:lang w:eastAsia="en-AU"/>
              </w:rPr>
              <w:t>F2013L00152</w:t>
            </w:r>
            <w:r>
              <w:rPr>
                <w:rFonts w:ascii="Calibri" w:eastAsia="Times New Roman" w:hAnsi="Calibri" w:cs="Times New Roman"/>
                <w:color w:val="000000"/>
                <w:lang w:eastAsia="en-AU"/>
              </w:rPr>
              <w:t>]</w:t>
            </w:r>
          </w:p>
        </w:tc>
        <w:tc>
          <w:tcPr>
            <w:tcW w:w="1134" w:type="dxa"/>
          </w:tcPr>
          <w:p w:rsidR="002A1D43" w:rsidRDefault="002A1D43"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A1D43"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25" w:history="1">
              <w:r w:rsidR="002A1D43" w:rsidRPr="001635F1">
                <w:rPr>
                  <w:rStyle w:val="Hyperlink"/>
                </w:rPr>
                <w:t>3/13</w:t>
              </w:r>
            </w:hyperlink>
          </w:p>
        </w:tc>
        <w:tc>
          <w:tcPr>
            <w:tcW w:w="3544" w:type="dxa"/>
          </w:tcPr>
          <w:p w:rsidR="002A1D43" w:rsidRPr="00056817" w:rsidRDefault="002A1D4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A1D4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A1D43" w:rsidRPr="002A1D43" w:rsidRDefault="002A1D43" w:rsidP="003620C8">
            <w:pPr>
              <w:rPr>
                <w:rFonts w:ascii="Calibri" w:eastAsia="Times New Roman" w:hAnsi="Calibri" w:cs="Times New Roman"/>
                <w:color w:val="000000"/>
                <w:lang w:eastAsia="en-AU"/>
              </w:rPr>
            </w:pPr>
            <w:r w:rsidRPr="002A1D43">
              <w:rPr>
                <w:rFonts w:ascii="Calibri" w:eastAsia="Times New Roman" w:hAnsi="Calibri" w:cs="Times New Roman"/>
                <w:color w:val="000000"/>
                <w:lang w:eastAsia="en-AU"/>
              </w:rPr>
              <w:t>Amendment of List of Exempt Native Specimens - Pandanus spiralis (18/12/2012)</w:t>
            </w:r>
            <w:r>
              <w:rPr>
                <w:rFonts w:ascii="Calibri" w:eastAsia="Times New Roman" w:hAnsi="Calibri" w:cs="Times New Roman"/>
                <w:color w:val="000000"/>
                <w:lang w:eastAsia="en-AU"/>
              </w:rPr>
              <w:t xml:space="preserve"> [</w:t>
            </w:r>
            <w:r w:rsidR="00767AB7" w:rsidRPr="00767AB7">
              <w:rPr>
                <w:rFonts w:ascii="Calibri" w:eastAsia="Times New Roman" w:hAnsi="Calibri" w:cs="Times New Roman"/>
                <w:color w:val="000000"/>
                <w:lang w:eastAsia="en-AU"/>
              </w:rPr>
              <w:t>F2013L00107</w:t>
            </w:r>
            <w:r w:rsidR="00767AB7">
              <w:rPr>
                <w:rFonts w:ascii="Calibri" w:eastAsia="Times New Roman" w:hAnsi="Calibri" w:cs="Times New Roman"/>
                <w:color w:val="000000"/>
                <w:lang w:eastAsia="en-AU"/>
              </w:rPr>
              <w:t>]</w:t>
            </w:r>
          </w:p>
        </w:tc>
        <w:tc>
          <w:tcPr>
            <w:tcW w:w="1134" w:type="dxa"/>
          </w:tcPr>
          <w:p w:rsidR="002A1D43" w:rsidRDefault="00767AB7"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A1D43"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26" w:history="1">
              <w:r w:rsidR="00767AB7" w:rsidRPr="001635F1">
                <w:rPr>
                  <w:rStyle w:val="Hyperlink"/>
                </w:rPr>
                <w:t>3/13</w:t>
              </w:r>
            </w:hyperlink>
          </w:p>
        </w:tc>
        <w:tc>
          <w:tcPr>
            <w:tcW w:w="3544" w:type="dxa"/>
          </w:tcPr>
          <w:p w:rsidR="002A1D43" w:rsidRPr="00056817" w:rsidRDefault="002A1D43"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2A1D43"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t>Amendment of List of Exempt Native Specimens - Western Australian Marine Aquarium Fish Managed Fishery (21/12/2012) (deletion)</w:t>
            </w:r>
            <w:r>
              <w:rPr>
                <w:rFonts w:ascii="Calibri" w:eastAsia="Times New Roman" w:hAnsi="Calibri" w:cs="Times New Roman"/>
                <w:color w:val="000000"/>
                <w:lang w:eastAsia="en-AU"/>
              </w:rPr>
              <w:t xml:space="preserve"> [</w:t>
            </w:r>
            <w:r w:rsidRPr="00767AB7">
              <w:rPr>
                <w:rFonts w:ascii="Calibri" w:eastAsia="Times New Roman" w:hAnsi="Calibri" w:cs="Times New Roman"/>
                <w:color w:val="000000"/>
                <w:lang w:eastAsia="en-AU"/>
              </w:rPr>
              <w:t>F2013L00008</w:t>
            </w:r>
            <w:r>
              <w:rPr>
                <w:rFonts w:ascii="Calibri" w:eastAsia="Times New Roman" w:hAnsi="Calibri" w:cs="Times New Roman"/>
                <w:color w:val="000000"/>
                <w:lang w:eastAsia="en-AU"/>
              </w:rPr>
              <w:t>]</w:t>
            </w:r>
          </w:p>
        </w:tc>
        <w:tc>
          <w:tcPr>
            <w:tcW w:w="1134" w:type="dxa"/>
          </w:tcPr>
          <w:p w:rsidR="00767AB7" w:rsidRDefault="00767AB7"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27" w:history="1">
              <w:r w:rsidR="00767AB7" w:rsidRPr="001635F1">
                <w:rPr>
                  <w:rStyle w:val="Hyperlink"/>
                </w:rPr>
                <w:t>3/13</w:t>
              </w:r>
            </w:hyperlink>
          </w:p>
        </w:tc>
        <w:tc>
          <w:tcPr>
            <w:tcW w:w="3544" w:type="dxa"/>
          </w:tcPr>
          <w:p w:rsidR="00767AB7" w:rsidRPr="00056817" w:rsidRDefault="00767AB7"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767AB7"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lastRenderedPageBreak/>
              <w:t>Amendment of List of Exempt Native Specimens - Western Australian Marine Aquarium Fish Managed Fishery (21/12/2012) (inclusion)</w:t>
            </w:r>
            <w:r>
              <w:rPr>
                <w:rFonts w:ascii="Calibri" w:eastAsia="Times New Roman" w:hAnsi="Calibri" w:cs="Times New Roman"/>
                <w:color w:val="000000"/>
                <w:lang w:eastAsia="en-AU"/>
              </w:rPr>
              <w:t xml:space="preserve"> [</w:t>
            </w:r>
            <w:r w:rsidRPr="00767AB7">
              <w:rPr>
                <w:rFonts w:ascii="Calibri" w:eastAsia="Times New Roman" w:hAnsi="Calibri" w:cs="Times New Roman"/>
                <w:color w:val="000000"/>
                <w:lang w:eastAsia="en-AU"/>
              </w:rPr>
              <w:t>F2013L00007</w:t>
            </w:r>
            <w:r>
              <w:rPr>
                <w:rFonts w:ascii="Calibri" w:eastAsia="Times New Roman" w:hAnsi="Calibri" w:cs="Times New Roman"/>
                <w:color w:val="000000"/>
                <w:lang w:eastAsia="en-AU"/>
              </w:rPr>
              <w:t>]</w:t>
            </w:r>
          </w:p>
        </w:tc>
        <w:tc>
          <w:tcPr>
            <w:tcW w:w="1134" w:type="dxa"/>
          </w:tcPr>
          <w:p w:rsidR="00767AB7" w:rsidRDefault="00767AB7"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28" w:history="1">
              <w:r w:rsidR="00767AB7" w:rsidRPr="001635F1">
                <w:rPr>
                  <w:rStyle w:val="Hyperlink"/>
                </w:rPr>
                <w:t>3/13</w:t>
              </w:r>
            </w:hyperlink>
          </w:p>
        </w:tc>
        <w:tc>
          <w:tcPr>
            <w:tcW w:w="3544" w:type="dxa"/>
          </w:tcPr>
          <w:p w:rsidR="00767AB7" w:rsidRPr="00056817" w:rsidRDefault="00767AB7"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767AB7"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t>Amendment of List of Exempt Native Specimens - Western Australian West Coast Rock Lobster Managed Fishery (22/01/2013)</w:t>
            </w:r>
            <w:r>
              <w:rPr>
                <w:rFonts w:ascii="Calibri" w:eastAsia="Times New Roman" w:hAnsi="Calibri" w:cs="Times New Roman"/>
                <w:color w:val="000000"/>
                <w:lang w:eastAsia="en-AU"/>
              </w:rPr>
              <w:t xml:space="preserve"> [</w:t>
            </w:r>
            <w:r w:rsidRPr="00767AB7">
              <w:rPr>
                <w:rFonts w:ascii="Calibri" w:eastAsia="Times New Roman" w:hAnsi="Calibri" w:cs="Times New Roman"/>
                <w:color w:val="000000"/>
                <w:lang w:eastAsia="en-AU"/>
              </w:rPr>
              <w:t>F2013L00089</w:t>
            </w:r>
            <w:r>
              <w:rPr>
                <w:rFonts w:ascii="Calibri" w:eastAsia="Times New Roman" w:hAnsi="Calibri" w:cs="Times New Roman"/>
                <w:color w:val="000000"/>
                <w:lang w:eastAsia="en-AU"/>
              </w:rPr>
              <w:t>]</w:t>
            </w:r>
          </w:p>
        </w:tc>
        <w:tc>
          <w:tcPr>
            <w:tcW w:w="1134" w:type="dxa"/>
          </w:tcPr>
          <w:p w:rsidR="00767AB7" w:rsidRDefault="00767AB7"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29" w:history="1">
              <w:r w:rsidR="00767AB7" w:rsidRPr="001635F1">
                <w:rPr>
                  <w:rStyle w:val="Hyperlink"/>
                </w:rPr>
                <w:t>3/13</w:t>
              </w:r>
            </w:hyperlink>
          </w:p>
        </w:tc>
        <w:tc>
          <w:tcPr>
            <w:tcW w:w="3544" w:type="dxa"/>
          </w:tcPr>
          <w:p w:rsidR="00767AB7" w:rsidRPr="00056817" w:rsidRDefault="00767AB7"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767AB7"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t>Amendment of List of Exempt Native Specimens - Western Australian Western Rock Lobster Fishery (22/01/2013)</w:t>
            </w:r>
            <w:r>
              <w:rPr>
                <w:rFonts w:ascii="Calibri" w:eastAsia="Times New Roman" w:hAnsi="Calibri" w:cs="Times New Roman"/>
                <w:color w:val="000000"/>
                <w:lang w:eastAsia="en-AU"/>
              </w:rPr>
              <w:t xml:space="preserve"> [</w:t>
            </w:r>
            <w:r w:rsidRPr="00767AB7">
              <w:rPr>
                <w:rFonts w:ascii="Calibri" w:eastAsia="Times New Roman" w:hAnsi="Calibri" w:cs="Times New Roman"/>
                <w:color w:val="000000"/>
                <w:lang w:eastAsia="en-AU"/>
              </w:rPr>
              <w:t>F2013L00090</w:t>
            </w:r>
            <w:r>
              <w:rPr>
                <w:rFonts w:ascii="Calibri" w:eastAsia="Times New Roman" w:hAnsi="Calibri" w:cs="Times New Roman"/>
                <w:color w:val="000000"/>
                <w:lang w:eastAsia="en-AU"/>
              </w:rPr>
              <w:t>]</w:t>
            </w:r>
          </w:p>
        </w:tc>
        <w:tc>
          <w:tcPr>
            <w:tcW w:w="1134" w:type="dxa"/>
          </w:tcPr>
          <w:p w:rsidR="00767AB7" w:rsidRDefault="00767AB7"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30" w:history="1">
              <w:r w:rsidR="00767AB7" w:rsidRPr="001635F1">
                <w:rPr>
                  <w:rStyle w:val="Hyperlink"/>
                </w:rPr>
                <w:t>3/13</w:t>
              </w:r>
            </w:hyperlink>
          </w:p>
        </w:tc>
        <w:tc>
          <w:tcPr>
            <w:tcW w:w="3544" w:type="dxa"/>
          </w:tcPr>
          <w:p w:rsidR="00767AB7" w:rsidRPr="00056817" w:rsidRDefault="00767AB7"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767AB7"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t>Amendment of List of Exempt Native Specimens - Western Australian Shark Bay Prawn Managed Fishery (28/01/2013) (deletion)</w:t>
            </w:r>
            <w:r>
              <w:rPr>
                <w:rFonts w:ascii="Calibri" w:eastAsia="Times New Roman" w:hAnsi="Calibri" w:cs="Times New Roman"/>
                <w:color w:val="000000"/>
                <w:lang w:eastAsia="en-AU"/>
              </w:rPr>
              <w:t xml:space="preserve"> [</w:t>
            </w:r>
            <w:r w:rsidRPr="00767AB7">
              <w:rPr>
                <w:rFonts w:ascii="Calibri" w:eastAsia="Times New Roman" w:hAnsi="Calibri" w:cs="Times New Roman"/>
                <w:color w:val="000000"/>
                <w:lang w:eastAsia="en-AU"/>
              </w:rPr>
              <w:t>F2013L00129</w:t>
            </w:r>
            <w:r>
              <w:rPr>
                <w:rFonts w:ascii="Calibri" w:eastAsia="Times New Roman" w:hAnsi="Calibri" w:cs="Times New Roman"/>
                <w:color w:val="000000"/>
                <w:lang w:eastAsia="en-AU"/>
              </w:rPr>
              <w:t>]</w:t>
            </w:r>
          </w:p>
        </w:tc>
        <w:tc>
          <w:tcPr>
            <w:tcW w:w="1134" w:type="dxa"/>
          </w:tcPr>
          <w:p w:rsidR="00767AB7" w:rsidRDefault="00767AB7"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31" w:history="1">
              <w:r w:rsidR="00767AB7" w:rsidRPr="001635F1">
                <w:rPr>
                  <w:rStyle w:val="Hyperlink"/>
                </w:rPr>
                <w:t>3/13</w:t>
              </w:r>
            </w:hyperlink>
          </w:p>
        </w:tc>
        <w:tc>
          <w:tcPr>
            <w:tcW w:w="3544" w:type="dxa"/>
          </w:tcPr>
          <w:p w:rsidR="00767AB7" w:rsidRPr="00056817" w:rsidRDefault="00767AB7"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767AB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767AB7" w:rsidRPr="00767AB7" w:rsidRDefault="00767AB7" w:rsidP="003620C8">
            <w:pPr>
              <w:rPr>
                <w:rFonts w:ascii="Calibri" w:eastAsia="Times New Roman" w:hAnsi="Calibri" w:cs="Times New Roman"/>
                <w:color w:val="000000"/>
                <w:lang w:eastAsia="en-AU"/>
              </w:rPr>
            </w:pPr>
            <w:r w:rsidRPr="00767AB7">
              <w:rPr>
                <w:rFonts w:ascii="Calibri" w:eastAsia="Times New Roman" w:hAnsi="Calibri" w:cs="Times New Roman"/>
                <w:color w:val="000000"/>
                <w:lang w:eastAsia="en-AU"/>
              </w:rPr>
              <w:t>Amendment of List of Exempt Native Specimens - Western Australian Shark Bay Prawn Managed Fishery (28/01/2013) (inclusion)</w:t>
            </w:r>
            <w:r>
              <w:rPr>
                <w:rFonts w:ascii="Calibri" w:eastAsia="Times New Roman" w:hAnsi="Calibri" w:cs="Times New Roman"/>
                <w:color w:val="000000"/>
                <w:lang w:eastAsia="en-AU"/>
              </w:rPr>
              <w:t xml:space="preserve"> [</w:t>
            </w:r>
            <w:r w:rsidR="009067DF" w:rsidRPr="009067DF">
              <w:rPr>
                <w:rFonts w:ascii="Calibri" w:eastAsia="Times New Roman" w:hAnsi="Calibri" w:cs="Times New Roman"/>
                <w:color w:val="000000"/>
                <w:lang w:eastAsia="en-AU"/>
              </w:rPr>
              <w:t>F2013L00128</w:t>
            </w:r>
            <w:r w:rsidR="009067DF">
              <w:rPr>
                <w:rFonts w:ascii="Calibri" w:eastAsia="Times New Roman" w:hAnsi="Calibri" w:cs="Times New Roman"/>
                <w:color w:val="000000"/>
                <w:lang w:eastAsia="en-AU"/>
              </w:rPr>
              <w:t>]</w:t>
            </w:r>
          </w:p>
        </w:tc>
        <w:tc>
          <w:tcPr>
            <w:tcW w:w="1134" w:type="dxa"/>
          </w:tcPr>
          <w:p w:rsidR="00767AB7" w:rsidRDefault="009067DF"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767AB7"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32" w:history="1">
              <w:r w:rsidR="009067DF" w:rsidRPr="001635F1">
                <w:rPr>
                  <w:rStyle w:val="Hyperlink"/>
                </w:rPr>
                <w:t>3/13</w:t>
              </w:r>
            </w:hyperlink>
          </w:p>
        </w:tc>
        <w:tc>
          <w:tcPr>
            <w:tcW w:w="3544" w:type="dxa"/>
          </w:tcPr>
          <w:p w:rsidR="00767AB7" w:rsidRPr="00056817" w:rsidRDefault="00767AB7"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767AB7" w:rsidRDefault="009067DF" w:rsidP="003620C8">
            <w:pPr>
              <w:rPr>
                <w:rFonts w:ascii="Calibri" w:eastAsia="Times New Roman" w:hAnsi="Calibri" w:cs="Times New Roman"/>
                <w:color w:val="000000"/>
                <w:lang w:eastAsia="en-AU"/>
              </w:rPr>
            </w:pPr>
            <w:r w:rsidRPr="009067DF">
              <w:rPr>
                <w:rFonts w:ascii="Calibri" w:eastAsia="Times New Roman" w:hAnsi="Calibri" w:cs="Times New Roman"/>
                <w:color w:val="000000"/>
                <w:lang w:eastAsia="en-AU"/>
              </w:rPr>
              <w:t>Amendment of List of Exempt Native Specimens - Western Australian Shark Bay Scallop Managed Fishery (28/01/2013) (deletion)</w:t>
            </w:r>
            <w:r>
              <w:rPr>
                <w:rFonts w:ascii="Calibri" w:eastAsia="Times New Roman" w:hAnsi="Calibri" w:cs="Times New Roman"/>
                <w:color w:val="000000"/>
                <w:lang w:eastAsia="en-AU"/>
              </w:rPr>
              <w:t xml:space="preserve"> [</w:t>
            </w:r>
            <w:r w:rsidRPr="009067DF">
              <w:rPr>
                <w:rFonts w:ascii="Calibri" w:eastAsia="Times New Roman" w:hAnsi="Calibri" w:cs="Times New Roman"/>
                <w:color w:val="000000"/>
                <w:lang w:eastAsia="en-AU"/>
              </w:rPr>
              <w:t>F2013L00127</w:t>
            </w:r>
            <w:r>
              <w:rPr>
                <w:rFonts w:ascii="Calibri" w:eastAsia="Times New Roman" w:hAnsi="Calibri" w:cs="Times New Roman"/>
                <w:color w:val="000000"/>
                <w:lang w:eastAsia="en-AU"/>
              </w:rPr>
              <w:t>]</w:t>
            </w:r>
          </w:p>
        </w:tc>
        <w:tc>
          <w:tcPr>
            <w:tcW w:w="1134" w:type="dxa"/>
          </w:tcPr>
          <w:p w:rsidR="009067DF" w:rsidRDefault="009067DF"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33" w:history="1">
              <w:r w:rsidR="009067DF" w:rsidRPr="001635F1">
                <w:rPr>
                  <w:rStyle w:val="Hyperlink"/>
                </w:rPr>
                <w:t>3/13</w:t>
              </w:r>
            </w:hyperlink>
          </w:p>
        </w:tc>
        <w:tc>
          <w:tcPr>
            <w:tcW w:w="3544" w:type="dxa"/>
          </w:tcPr>
          <w:p w:rsidR="009067DF" w:rsidRPr="00056817" w:rsidRDefault="009067D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9067DF" w:rsidRDefault="009067DF" w:rsidP="003620C8">
            <w:pPr>
              <w:rPr>
                <w:rFonts w:ascii="Calibri" w:eastAsia="Times New Roman" w:hAnsi="Calibri" w:cs="Times New Roman"/>
                <w:color w:val="000000"/>
                <w:lang w:eastAsia="en-AU"/>
              </w:rPr>
            </w:pPr>
            <w:r w:rsidRPr="009067DF">
              <w:rPr>
                <w:rFonts w:ascii="Calibri" w:eastAsia="Times New Roman" w:hAnsi="Calibri" w:cs="Times New Roman"/>
                <w:color w:val="000000"/>
                <w:lang w:eastAsia="en-AU"/>
              </w:rPr>
              <w:t>Amendment of List of Exempt Native Specimens - Western Australian Shark Bay Scallop Managed Fishery (28/01/2013) (inclusion)</w:t>
            </w:r>
            <w:r>
              <w:rPr>
                <w:rFonts w:ascii="Calibri" w:eastAsia="Times New Roman" w:hAnsi="Calibri" w:cs="Times New Roman"/>
                <w:color w:val="000000"/>
                <w:lang w:eastAsia="en-AU"/>
              </w:rPr>
              <w:t xml:space="preserve"> [</w:t>
            </w:r>
            <w:r w:rsidRPr="009067DF">
              <w:rPr>
                <w:rFonts w:ascii="Calibri" w:eastAsia="Times New Roman" w:hAnsi="Calibri" w:cs="Times New Roman"/>
                <w:color w:val="000000"/>
                <w:lang w:eastAsia="en-AU"/>
              </w:rPr>
              <w:t>F2013L00126</w:t>
            </w:r>
            <w:r>
              <w:rPr>
                <w:rFonts w:ascii="Calibri" w:eastAsia="Times New Roman" w:hAnsi="Calibri" w:cs="Times New Roman"/>
                <w:color w:val="000000"/>
                <w:lang w:eastAsia="en-AU"/>
              </w:rPr>
              <w:t>]</w:t>
            </w:r>
          </w:p>
        </w:tc>
        <w:tc>
          <w:tcPr>
            <w:tcW w:w="1134" w:type="dxa"/>
          </w:tcPr>
          <w:p w:rsidR="009067DF" w:rsidRDefault="009067DF"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34" w:history="1">
              <w:r w:rsidR="009067DF" w:rsidRPr="001635F1">
                <w:rPr>
                  <w:rStyle w:val="Hyperlink"/>
                </w:rPr>
                <w:t>3/13</w:t>
              </w:r>
            </w:hyperlink>
          </w:p>
        </w:tc>
        <w:tc>
          <w:tcPr>
            <w:tcW w:w="3544" w:type="dxa"/>
          </w:tcPr>
          <w:p w:rsidR="009067DF" w:rsidRPr="00056817" w:rsidRDefault="009067DF"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9067DF" w:rsidRDefault="009067DF" w:rsidP="003620C8">
            <w:pPr>
              <w:rPr>
                <w:rFonts w:ascii="Calibri" w:eastAsia="Times New Roman" w:hAnsi="Calibri" w:cs="Times New Roman"/>
                <w:color w:val="000000"/>
                <w:lang w:eastAsia="en-AU"/>
              </w:rPr>
            </w:pPr>
            <w:r w:rsidRPr="009067DF">
              <w:rPr>
                <w:rFonts w:ascii="Calibri" w:eastAsia="Times New Roman" w:hAnsi="Calibri" w:cs="Times New Roman"/>
                <w:color w:val="000000"/>
                <w:lang w:eastAsia="en-AU"/>
              </w:rPr>
              <w:t>Amendment of List of Exempt Native Specimens - Western Australian Exmouth Gulf Prawn Managed Fishery (04/02/2013)</w:t>
            </w:r>
            <w:r>
              <w:rPr>
                <w:rFonts w:ascii="Calibri" w:eastAsia="Times New Roman" w:hAnsi="Calibri" w:cs="Times New Roman"/>
                <w:color w:val="000000"/>
                <w:lang w:eastAsia="en-AU"/>
              </w:rPr>
              <w:t xml:space="preserve"> [</w:t>
            </w:r>
            <w:r w:rsidRPr="009067DF">
              <w:rPr>
                <w:rFonts w:ascii="Calibri" w:eastAsia="Times New Roman" w:hAnsi="Calibri" w:cs="Times New Roman"/>
                <w:color w:val="000000"/>
                <w:lang w:eastAsia="en-AU"/>
              </w:rPr>
              <w:t>F2013L00171</w:t>
            </w:r>
            <w:r>
              <w:rPr>
                <w:rFonts w:ascii="Calibri" w:eastAsia="Times New Roman" w:hAnsi="Calibri" w:cs="Times New Roman"/>
                <w:color w:val="000000"/>
                <w:lang w:eastAsia="en-AU"/>
              </w:rPr>
              <w:t>]</w:t>
            </w:r>
          </w:p>
        </w:tc>
        <w:tc>
          <w:tcPr>
            <w:tcW w:w="1134" w:type="dxa"/>
          </w:tcPr>
          <w:p w:rsidR="009067DF" w:rsidRDefault="009067DF"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35" w:history="1">
              <w:r w:rsidR="009067DF" w:rsidRPr="001635F1">
                <w:rPr>
                  <w:rStyle w:val="Hyperlink"/>
                </w:rPr>
                <w:t>3/13</w:t>
              </w:r>
            </w:hyperlink>
          </w:p>
        </w:tc>
        <w:tc>
          <w:tcPr>
            <w:tcW w:w="3544" w:type="dxa"/>
          </w:tcPr>
          <w:p w:rsidR="009067DF" w:rsidRPr="00056817" w:rsidRDefault="009067D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C5995"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5995" w:rsidRPr="001F3853" w:rsidRDefault="00CC5995" w:rsidP="003620C8">
            <w:pPr>
              <w:rPr>
                <w:rFonts w:ascii="Calibri" w:eastAsia="Times New Roman" w:hAnsi="Calibri" w:cs="Times New Roman"/>
                <w:color w:val="000000"/>
                <w:lang w:eastAsia="en-AU"/>
              </w:rPr>
            </w:pPr>
            <w:r w:rsidRPr="00CC5995">
              <w:rPr>
                <w:rFonts w:ascii="Calibri" w:eastAsia="Times New Roman" w:hAnsi="Calibri" w:cs="Times New Roman"/>
                <w:color w:val="000000"/>
                <w:lang w:eastAsia="en-AU"/>
              </w:rPr>
              <w:t>ASIC Class Order [CO 12/1592]</w:t>
            </w:r>
            <w:r>
              <w:rPr>
                <w:rFonts w:ascii="Calibri" w:eastAsia="Times New Roman" w:hAnsi="Calibri" w:cs="Times New Roman"/>
                <w:color w:val="000000"/>
                <w:lang w:eastAsia="en-AU"/>
              </w:rPr>
              <w:t xml:space="preserve"> [</w:t>
            </w:r>
            <w:r w:rsidRPr="00CC5995">
              <w:rPr>
                <w:rFonts w:ascii="Calibri" w:eastAsia="Times New Roman" w:hAnsi="Calibri" w:cs="Times New Roman"/>
                <w:color w:val="000000"/>
                <w:lang w:eastAsia="en-AU"/>
              </w:rPr>
              <w:t>F2012L02299</w:t>
            </w:r>
            <w:r>
              <w:rPr>
                <w:rFonts w:ascii="Calibri" w:eastAsia="Times New Roman" w:hAnsi="Calibri" w:cs="Times New Roman"/>
                <w:color w:val="000000"/>
                <w:lang w:eastAsia="en-AU"/>
              </w:rPr>
              <w:t>]</w:t>
            </w:r>
          </w:p>
        </w:tc>
        <w:tc>
          <w:tcPr>
            <w:tcW w:w="1134" w:type="dxa"/>
          </w:tcPr>
          <w:p w:rsidR="00CC5995" w:rsidRDefault="00CC5995"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5995"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36" w:history="1">
              <w:r w:rsidR="00CC5995" w:rsidRPr="00A93BAC">
                <w:rPr>
                  <w:rStyle w:val="Hyperlink"/>
                </w:rPr>
                <w:t>1/13</w:t>
              </w:r>
            </w:hyperlink>
          </w:p>
        </w:tc>
        <w:tc>
          <w:tcPr>
            <w:tcW w:w="3544" w:type="dxa"/>
          </w:tcPr>
          <w:p w:rsidR="00CC5995" w:rsidRPr="00056817" w:rsidRDefault="00CC5995"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5869BC">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CC5995" w:rsidRDefault="009067DF" w:rsidP="005869BC">
            <w:pPr>
              <w:rPr>
                <w:rFonts w:ascii="Calibri" w:eastAsia="Times New Roman" w:hAnsi="Calibri" w:cs="Times New Roman"/>
                <w:color w:val="000000"/>
                <w:lang w:eastAsia="en-AU"/>
              </w:rPr>
            </w:pPr>
            <w:r w:rsidRPr="009067DF">
              <w:rPr>
                <w:rFonts w:ascii="Calibri" w:eastAsia="Times New Roman" w:hAnsi="Calibri" w:cs="Times New Roman"/>
                <w:color w:val="000000"/>
                <w:lang w:eastAsia="en-AU"/>
              </w:rPr>
              <w:t>ASIC Class Order [CO 12/1687]</w:t>
            </w:r>
            <w:r>
              <w:rPr>
                <w:rFonts w:ascii="Calibri" w:eastAsia="Times New Roman" w:hAnsi="Calibri" w:cs="Times New Roman"/>
                <w:color w:val="000000"/>
                <w:lang w:eastAsia="en-AU"/>
              </w:rPr>
              <w:t xml:space="preserve"> [</w:t>
            </w:r>
            <w:r w:rsidRPr="009067DF">
              <w:rPr>
                <w:rFonts w:ascii="Calibri" w:eastAsia="Times New Roman" w:hAnsi="Calibri" w:cs="Times New Roman"/>
                <w:color w:val="000000"/>
                <w:lang w:eastAsia="en-AU"/>
              </w:rPr>
              <w:t>F2012L02497</w:t>
            </w:r>
            <w:r>
              <w:rPr>
                <w:rFonts w:ascii="Calibri" w:eastAsia="Times New Roman" w:hAnsi="Calibri" w:cs="Times New Roman"/>
                <w:color w:val="000000"/>
                <w:lang w:eastAsia="en-AU"/>
              </w:rPr>
              <w:t>]</w:t>
            </w:r>
          </w:p>
        </w:tc>
        <w:tc>
          <w:tcPr>
            <w:tcW w:w="1134" w:type="dxa"/>
          </w:tcPr>
          <w:p w:rsidR="009067DF" w:rsidRDefault="009067DF" w:rsidP="005869B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5869BC">
            <w:pPr>
              <w:jc w:val="center"/>
              <w:cnfStyle w:val="000000000000" w:firstRow="0" w:lastRow="0" w:firstColumn="0" w:lastColumn="0" w:oddVBand="0" w:evenVBand="0" w:oddHBand="0" w:evenHBand="0" w:firstRowFirstColumn="0" w:firstRowLastColumn="0" w:lastRowFirstColumn="0" w:lastRowLastColumn="0"/>
            </w:pPr>
            <w:hyperlink r:id="rId37" w:history="1">
              <w:r w:rsidR="009067DF" w:rsidRPr="001635F1">
                <w:rPr>
                  <w:rStyle w:val="Hyperlink"/>
                </w:rPr>
                <w:t>3/13</w:t>
              </w:r>
            </w:hyperlink>
          </w:p>
        </w:tc>
        <w:tc>
          <w:tcPr>
            <w:tcW w:w="3544" w:type="dxa"/>
          </w:tcPr>
          <w:p w:rsidR="009067DF" w:rsidRPr="00056817" w:rsidRDefault="009067DF" w:rsidP="005869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5869B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CC5995" w:rsidRDefault="009067DF" w:rsidP="005869BC">
            <w:pPr>
              <w:rPr>
                <w:rFonts w:ascii="Calibri" w:eastAsia="Times New Roman" w:hAnsi="Calibri" w:cs="Times New Roman"/>
                <w:color w:val="000000"/>
                <w:lang w:eastAsia="en-AU"/>
              </w:rPr>
            </w:pPr>
            <w:r w:rsidRPr="009067DF">
              <w:rPr>
                <w:rFonts w:ascii="Calibri" w:eastAsia="Times New Roman" w:hAnsi="Calibri" w:cs="Times New Roman"/>
                <w:color w:val="000000"/>
                <w:lang w:eastAsia="en-AU"/>
              </w:rPr>
              <w:t>ASIC Class Order [CO 12/1712]</w:t>
            </w:r>
            <w:r>
              <w:rPr>
                <w:rFonts w:ascii="Calibri" w:eastAsia="Times New Roman" w:hAnsi="Calibri" w:cs="Times New Roman"/>
                <w:color w:val="000000"/>
                <w:lang w:eastAsia="en-AU"/>
              </w:rPr>
              <w:t xml:space="preserve"> [</w:t>
            </w:r>
            <w:r w:rsidRPr="009067DF">
              <w:rPr>
                <w:rFonts w:ascii="Calibri" w:eastAsia="Times New Roman" w:hAnsi="Calibri" w:cs="Times New Roman"/>
                <w:color w:val="000000"/>
                <w:lang w:eastAsia="en-AU"/>
              </w:rPr>
              <w:t>F2012L02579</w:t>
            </w:r>
            <w:r>
              <w:rPr>
                <w:rFonts w:ascii="Calibri" w:eastAsia="Times New Roman" w:hAnsi="Calibri" w:cs="Times New Roman"/>
                <w:color w:val="000000"/>
                <w:lang w:eastAsia="en-AU"/>
              </w:rPr>
              <w:t>]</w:t>
            </w:r>
          </w:p>
        </w:tc>
        <w:tc>
          <w:tcPr>
            <w:tcW w:w="1134" w:type="dxa"/>
          </w:tcPr>
          <w:p w:rsidR="009067DF" w:rsidRDefault="009067DF" w:rsidP="005869B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5869BC">
            <w:pPr>
              <w:jc w:val="center"/>
              <w:cnfStyle w:val="000000100000" w:firstRow="0" w:lastRow="0" w:firstColumn="0" w:lastColumn="0" w:oddVBand="0" w:evenVBand="0" w:oddHBand="1" w:evenHBand="0" w:firstRowFirstColumn="0" w:firstRowLastColumn="0" w:lastRowFirstColumn="0" w:lastRowLastColumn="0"/>
            </w:pPr>
            <w:hyperlink r:id="rId38" w:history="1">
              <w:r w:rsidR="009067DF" w:rsidRPr="001635F1">
                <w:rPr>
                  <w:rStyle w:val="Hyperlink"/>
                </w:rPr>
                <w:t>3/13</w:t>
              </w:r>
            </w:hyperlink>
          </w:p>
        </w:tc>
        <w:tc>
          <w:tcPr>
            <w:tcW w:w="3544" w:type="dxa"/>
          </w:tcPr>
          <w:p w:rsidR="009067DF" w:rsidRPr="00056817" w:rsidRDefault="009067DF" w:rsidP="005869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5869BC">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CC5995"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ASIC Class Order [CO 13/18]</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F2013L00043</w:t>
            </w:r>
            <w:r>
              <w:rPr>
                <w:rFonts w:ascii="Calibri" w:eastAsia="Times New Roman" w:hAnsi="Calibri" w:cs="Times New Roman"/>
                <w:color w:val="000000"/>
                <w:lang w:eastAsia="en-AU"/>
              </w:rPr>
              <w:t>]</w:t>
            </w:r>
          </w:p>
        </w:tc>
        <w:tc>
          <w:tcPr>
            <w:tcW w:w="1134" w:type="dxa"/>
          </w:tcPr>
          <w:p w:rsidR="009067DF" w:rsidRDefault="009067DF" w:rsidP="005869B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5869BC">
            <w:pPr>
              <w:jc w:val="center"/>
              <w:cnfStyle w:val="000000000000" w:firstRow="0" w:lastRow="0" w:firstColumn="0" w:lastColumn="0" w:oddVBand="0" w:evenVBand="0" w:oddHBand="0" w:evenHBand="0" w:firstRowFirstColumn="0" w:firstRowLastColumn="0" w:lastRowFirstColumn="0" w:lastRowLastColumn="0"/>
            </w:pPr>
            <w:hyperlink r:id="rId39" w:history="1">
              <w:r w:rsidR="009067DF" w:rsidRPr="001635F1">
                <w:rPr>
                  <w:rStyle w:val="Hyperlink"/>
                </w:rPr>
                <w:t>3/13</w:t>
              </w:r>
            </w:hyperlink>
          </w:p>
        </w:tc>
        <w:tc>
          <w:tcPr>
            <w:tcW w:w="3544" w:type="dxa"/>
          </w:tcPr>
          <w:p w:rsidR="009067DF" w:rsidRPr="00056817" w:rsidRDefault="009067DF" w:rsidP="005869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5869B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CC5995"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ASIC Class Order [CO 13/19]</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F2013L00044</w:t>
            </w:r>
            <w:r>
              <w:rPr>
                <w:rFonts w:ascii="Calibri" w:eastAsia="Times New Roman" w:hAnsi="Calibri" w:cs="Times New Roman"/>
                <w:color w:val="000000"/>
                <w:lang w:eastAsia="en-AU"/>
              </w:rPr>
              <w:t>]</w:t>
            </w:r>
          </w:p>
        </w:tc>
        <w:tc>
          <w:tcPr>
            <w:tcW w:w="1134" w:type="dxa"/>
          </w:tcPr>
          <w:p w:rsidR="009067DF" w:rsidRDefault="009067DF" w:rsidP="005869B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5869BC">
            <w:pPr>
              <w:jc w:val="center"/>
              <w:cnfStyle w:val="000000100000" w:firstRow="0" w:lastRow="0" w:firstColumn="0" w:lastColumn="0" w:oddVBand="0" w:evenVBand="0" w:oddHBand="1" w:evenHBand="0" w:firstRowFirstColumn="0" w:firstRowLastColumn="0" w:lastRowFirstColumn="0" w:lastRowLastColumn="0"/>
            </w:pPr>
            <w:hyperlink r:id="rId40" w:history="1">
              <w:r w:rsidR="009067DF" w:rsidRPr="001635F1">
                <w:rPr>
                  <w:rStyle w:val="Hyperlink"/>
                </w:rPr>
                <w:t>3/13</w:t>
              </w:r>
            </w:hyperlink>
          </w:p>
        </w:tc>
        <w:tc>
          <w:tcPr>
            <w:tcW w:w="3544" w:type="dxa"/>
          </w:tcPr>
          <w:p w:rsidR="009067DF" w:rsidRPr="00056817" w:rsidRDefault="009067DF" w:rsidP="005869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9067DF"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9067DF" w:rsidRPr="00CC5995" w:rsidRDefault="00D14440" w:rsidP="003620C8">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lastRenderedPageBreak/>
              <w:t>ASIC Class Rule Waiver [CW 12/1710]</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F2012L02499</w:t>
            </w:r>
            <w:r>
              <w:rPr>
                <w:rFonts w:ascii="Calibri" w:eastAsia="Times New Roman" w:hAnsi="Calibri" w:cs="Times New Roman"/>
                <w:color w:val="000000"/>
                <w:lang w:eastAsia="en-AU"/>
              </w:rPr>
              <w:t>]</w:t>
            </w:r>
          </w:p>
        </w:tc>
        <w:tc>
          <w:tcPr>
            <w:tcW w:w="1134" w:type="dxa"/>
          </w:tcPr>
          <w:p w:rsidR="009067DF" w:rsidRDefault="009067DF"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9067DF"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41" w:history="1">
              <w:r w:rsidR="009067DF" w:rsidRPr="001635F1">
                <w:rPr>
                  <w:rStyle w:val="Hyperlink"/>
                </w:rPr>
                <w:t>3/13</w:t>
              </w:r>
            </w:hyperlink>
          </w:p>
        </w:tc>
        <w:tc>
          <w:tcPr>
            <w:tcW w:w="3544" w:type="dxa"/>
          </w:tcPr>
          <w:p w:rsidR="009067DF" w:rsidRPr="00056817" w:rsidRDefault="009067DF"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CC5995"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5995" w:rsidRPr="00CC5995" w:rsidRDefault="00CC5995" w:rsidP="003620C8">
            <w:pPr>
              <w:rPr>
                <w:rFonts w:ascii="Calibri" w:eastAsia="Times New Roman" w:hAnsi="Calibri" w:cs="Times New Roman"/>
                <w:color w:val="000000"/>
                <w:lang w:eastAsia="en-AU"/>
              </w:rPr>
            </w:pPr>
            <w:r w:rsidRPr="00CC5995">
              <w:rPr>
                <w:rFonts w:ascii="Calibri" w:eastAsia="Times New Roman" w:hAnsi="Calibri" w:cs="Times New Roman"/>
                <w:color w:val="000000"/>
                <w:lang w:eastAsia="en-AU"/>
              </w:rPr>
              <w:t>ASIC Market Integrity Rules (ASX Market) Amendment 2012 (No. 3)</w:t>
            </w:r>
            <w:r>
              <w:rPr>
                <w:rFonts w:ascii="Calibri" w:eastAsia="Times New Roman" w:hAnsi="Calibri" w:cs="Times New Roman"/>
                <w:color w:val="000000"/>
                <w:lang w:eastAsia="en-AU"/>
              </w:rPr>
              <w:t xml:space="preserve"> [</w:t>
            </w:r>
            <w:r w:rsidRPr="00CC5995">
              <w:rPr>
                <w:rFonts w:ascii="Calibri" w:eastAsia="Times New Roman" w:hAnsi="Calibri" w:cs="Times New Roman"/>
                <w:color w:val="000000"/>
                <w:lang w:eastAsia="en-AU"/>
              </w:rPr>
              <w:t>F2012L02248</w:t>
            </w:r>
            <w:r>
              <w:rPr>
                <w:rFonts w:ascii="Calibri" w:eastAsia="Times New Roman" w:hAnsi="Calibri" w:cs="Times New Roman"/>
                <w:color w:val="000000"/>
                <w:lang w:eastAsia="en-AU"/>
              </w:rPr>
              <w:t>]</w:t>
            </w:r>
          </w:p>
        </w:tc>
        <w:tc>
          <w:tcPr>
            <w:tcW w:w="1134" w:type="dxa"/>
          </w:tcPr>
          <w:p w:rsidR="00CC5995" w:rsidRDefault="00CC5995"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5995"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42" w:history="1">
              <w:r w:rsidR="00CC5995" w:rsidRPr="00A93BAC">
                <w:rPr>
                  <w:rStyle w:val="Hyperlink"/>
                </w:rPr>
                <w:t>1/13</w:t>
              </w:r>
            </w:hyperlink>
          </w:p>
        </w:tc>
        <w:tc>
          <w:tcPr>
            <w:tcW w:w="3544" w:type="dxa"/>
          </w:tcPr>
          <w:p w:rsidR="00CC5995" w:rsidRPr="00056817" w:rsidRDefault="00CC5995"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CC5995"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C5995" w:rsidRPr="00CC5995" w:rsidRDefault="00CC5995" w:rsidP="003620C8">
            <w:pPr>
              <w:rPr>
                <w:rFonts w:ascii="Calibri" w:eastAsia="Times New Roman" w:hAnsi="Calibri" w:cs="Times New Roman"/>
                <w:color w:val="000000"/>
                <w:lang w:eastAsia="en-AU"/>
              </w:rPr>
            </w:pPr>
            <w:r w:rsidRPr="00CC5995">
              <w:rPr>
                <w:rFonts w:ascii="Calibri" w:eastAsia="Times New Roman" w:hAnsi="Calibri" w:cs="Times New Roman"/>
                <w:color w:val="000000"/>
                <w:lang w:eastAsia="en-AU"/>
              </w:rPr>
              <w:t>ASIC Market Integrity Rules (Chi-X Australia Market) Amendment 2012 (No. 3)</w:t>
            </w:r>
            <w:r>
              <w:rPr>
                <w:rFonts w:ascii="Calibri" w:eastAsia="Times New Roman" w:hAnsi="Calibri" w:cs="Times New Roman"/>
                <w:color w:val="000000"/>
                <w:lang w:eastAsia="en-AU"/>
              </w:rPr>
              <w:t xml:space="preserve"> [</w:t>
            </w:r>
            <w:r w:rsidRPr="00CC5995">
              <w:rPr>
                <w:rFonts w:ascii="Calibri" w:eastAsia="Times New Roman" w:hAnsi="Calibri" w:cs="Times New Roman"/>
                <w:color w:val="000000"/>
                <w:lang w:eastAsia="en-AU"/>
              </w:rPr>
              <w:t>F2012L02251</w:t>
            </w:r>
            <w:r>
              <w:rPr>
                <w:rFonts w:ascii="Calibri" w:eastAsia="Times New Roman" w:hAnsi="Calibri" w:cs="Times New Roman"/>
                <w:color w:val="000000"/>
                <w:lang w:eastAsia="en-AU"/>
              </w:rPr>
              <w:t>]</w:t>
            </w:r>
          </w:p>
        </w:tc>
        <w:tc>
          <w:tcPr>
            <w:tcW w:w="1134" w:type="dxa"/>
          </w:tcPr>
          <w:p w:rsidR="00CC5995" w:rsidRDefault="00CC5995"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CC5995"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43" w:history="1">
              <w:r w:rsidR="00CC5995" w:rsidRPr="00A93BAC">
                <w:rPr>
                  <w:rStyle w:val="Hyperlink"/>
                </w:rPr>
                <w:t>1/13</w:t>
              </w:r>
            </w:hyperlink>
          </w:p>
        </w:tc>
        <w:tc>
          <w:tcPr>
            <w:tcW w:w="3544" w:type="dxa"/>
          </w:tcPr>
          <w:p w:rsidR="00CC5995" w:rsidRPr="00056817" w:rsidRDefault="00CC5995"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3507E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3507ED" w:rsidRPr="003507ED" w:rsidRDefault="003507ED" w:rsidP="003507ED">
            <w:pPr>
              <w:autoSpaceDE w:val="0"/>
              <w:autoSpaceDN w:val="0"/>
              <w:adjustRightInd w:val="0"/>
              <w:rPr>
                <w:rFonts w:ascii="Calibri" w:eastAsia="Times New Roman" w:hAnsi="Calibri" w:cs="Times New Roman"/>
                <w:color w:val="000000"/>
                <w:lang w:eastAsia="en-AU"/>
              </w:rPr>
            </w:pPr>
            <w:r w:rsidRPr="003507ED">
              <w:rPr>
                <w:rFonts w:cs="Calibri-Bold"/>
                <w:bCs w:val="0"/>
              </w:rPr>
              <w:t>Australian Charities and Not</w:t>
            </w:r>
            <w:r w:rsidRPr="003507ED">
              <w:rPr>
                <w:rFonts w:cs="Cambria Math"/>
                <w:bCs w:val="0"/>
              </w:rPr>
              <w:t>‐</w:t>
            </w:r>
            <w:r w:rsidRPr="003507ED">
              <w:rPr>
                <w:rFonts w:cs="Calibri-Bold"/>
                <w:bCs w:val="0"/>
              </w:rPr>
              <w:t>for</w:t>
            </w:r>
            <w:r w:rsidRPr="003507ED">
              <w:rPr>
                <w:rFonts w:cs="Cambria Math"/>
                <w:bCs w:val="0"/>
              </w:rPr>
              <w:t>‐</w:t>
            </w:r>
            <w:r w:rsidRPr="003507ED">
              <w:rPr>
                <w:rFonts w:cs="Calibri-Bold"/>
                <w:bCs w:val="0"/>
              </w:rPr>
              <w:t>profits Commission Amendment Regulation 2013 (No. 1)</w:t>
            </w:r>
            <w:r>
              <w:rPr>
                <w:rFonts w:cs="Calibri-Bold"/>
                <w:bCs w:val="0"/>
              </w:rPr>
              <w:t xml:space="preserve"> [F2013L00402]</w:t>
            </w:r>
          </w:p>
        </w:tc>
        <w:tc>
          <w:tcPr>
            <w:tcW w:w="1134" w:type="dxa"/>
          </w:tcPr>
          <w:p w:rsidR="003507ED" w:rsidRDefault="003507ED"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3507ED"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44" w:history="1">
              <w:r w:rsidR="003507ED" w:rsidRPr="003507ED">
                <w:rPr>
                  <w:rStyle w:val="Hyperlink"/>
                </w:rPr>
                <w:t>6/13</w:t>
              </w:r>
            </w:hyperlink>
          </w:p>
        </w:tc>
        <w:tc>
          <w:tcPr>
            <w:tcW w:w="3544" w:type="dxa"/>
          </w:tcPr>
          <w:p w:rsidR="003507ED" w:rsidRPr="00056817" w:rsidRDefault="003507ED"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42F4B"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42F4B" w:rsidRPr="00CC5995" w:rsidRDefault="00142F4B" w:rsidP="003620C8">
            <w:pPr>
              <w:rPr>
                <w:rFonts w:ascii="Calibri" w:eastAsia="Times New Roman" w:hAnsi="Calibri" w:cs="Times New Roman"/>
                <w:color w:val="000000"/>
                <w:lang w:eastAsia="en-AU"/>
              </w:rPr>
            </w:pPr>
            <w:r w:rsidRPr="00142F4B">
              <w:rPr>
                <w:rFonts w:ascii="Calibri" w:eastAsia="Times New Roman" w:hAnsi="Calibri" w:cs="Times New Roman"/>
                <w:color w:val="000000"/>
                <w:lang w:eastAsia="en-AU"/>
              </w:rPr>
              <w:t>Australian Communications and Media Authority (Allocation Procedures - Reserve Prices) Direction No. 2 of 2012</w:t>
            </w:r>
            <w:r>
              <w:rPr>
                <w:rFonts w:ascii="Calibri" w:eastAsia="Times New Roman" w:hAnsi="Calibri" w:cs="Times New Roman"/>
                <w:color w:val="000000"/>
                <w:lang w:eastAsia="en-AU"/>
              </w:rPr>
              <w:t xml:space="preserve"> [</w:t>
            </w:r>
            <w:r w:rsidRPr="00142F4B">
              <w:rPr>
                <w:rFonts w:ascii="Calibri" w:eastAsia="Times New Roman" w:hAnsi="Calibri" w:cs="Times New Roman"/>
                <w:color w:val="000000"/>
                <w:lang w:eastAsia="en-AU"/>
              </w:rPr>
              <w:t>F2012L02472</w:t>
            </w:r>
            <w:r>
              <w:rPr>
                <w:rFonts w:ascii="Calibri" w:eastAsia="Times New Roman" w:hAnsi="Calibri" w:cs="Times New Roman"/>
                <w:color w:val="000000"/>
                <w:lang w:eastAsia="en-AU"/>
              </w:rPr>
              <w:t>]</w:t>
            </w:r>
          </w:p>
        </w:tc>
        <w:tc>
          <w:tcPr>
            <w:tcW w:w="1134" w:type="dxa"/>
          </w:tcPr>
          <w:p w:rsidR="00142F4B" w:rsidRDefault="00142F4B"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42F4B"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45" w:history="1">
              <w:r w:rsidR="00142F4B" w:rsidRPr="00A93BAC">
                <w:rPr>
                  <w:rStyle w:val="Hyperlink"/>
                </w:rPr>
                <w:t>1/13</w:t>
              </w:r>
            </w:hyperlink>
          </w:p>
        </w:tc>
        <w:tc>
          <w:tcPr>
            <w:tcW w:w="3544" w:type="dxa"/>
          </w:tcPr>
          <w:p w:rsidR="00142F4B" w:rsidRPr="00056817" w:rsidRDefault="00142F4B"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142F4B"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42F4B" w:rsidRPr="00142F4B" w:rsidRDefault="00142F4B" w:rsidP="003620C8">
            <w:pPr>
              <w:rPr>
                <w:rFonts w:ascii="Calibri" w:eastAsia="Times New Roman" w:hAnsi="Calibri" w:cs="Times New Roman"/>
                <w:color w:val="000000"/>
                <w:lang w:eastAsia="en-AU"/>
              </w:rPr>
            </w:pPr>
            <w:r w:rsidRPr="00142F4B">
              <w:rPr>
                <w:rFonts w:ascii="Calibri" w:eastAsia="Times New Roman" w:hAnsi="Calibri" w:cs="Times New Roman"/>
                <w:color w:val="000000"/>
                <w:lang w:eastAsia="en-AU"/>
              </w:rPr>
              <w:t>Australian National Audit Office (ANAO) Auditing Standards (30/11/2012)</w:t>
            </w:r>
            <w:r>
              <w:rPr>
                <w:rFonts w:ascii="Calibri" w:eastAsia="Times New Roman" w:hAnsi="Calibri" w:cs="Times New Roman"/>
                <w:color w:val="000000"/>
                <w:lang w:eastAsia="en-AU"/>
              </w:rPr>
              <w:t xml:space="preserve"> [</w:t>
            </w:r>
            <w:r w:rsidRPr="00142F4B">
              <w:rPr>
                <w:rFonts w:ascii="Calibri" w:eastAsia="Times New Roman" w:hAnsi="Calibri" w:cs="Times New Roman"/>
                <w:color w:val="000000"/>
                <w:lang w:eastAsia="en-AU"/>
              </w:rPr>
              <w:t>F2012L02316</w:t>
            </w:r>
            <w:r>
              <w:rPr>
                <w:rFonts w:ascii="Calibri" w:eastAsia="Times New Roman" w:hAnsi="Calibri" w:cs="Times New Roman"/>
                <w:color w:val="000000"/>
                <w:lang w:eastAsia="en-AU"/>
              </w:rPr>
              <w:t>]</w:t>
            </w:r>
          </w:p>
        </w:tc>
        <w:tc>
          <w:tcPr>
            <w:tcW w:w="1134" w:type="dxa"/>
          </w:tcPr>
          <w:p w:rsidR="00142F4B" w:rsidRDefault="00142F4B"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42F4B"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46" w:history="1">
              <w:r w:rsidR="00142F4B" w:rsidRPr="00A93BAC">
                <w:rPr>
                  <w:rStyle w:val="Hyperlink"/>
                </w:rPr>
                <w:t>1/13</w:t>
              </w:r>
            </w:hyperlink>
          </w:p>
        </w:tc>
        <w:tc>
          <w:tcPr>
            <w:tcW w:w="3544" w:type="dxa"/>
          </w:tcPr>
          <w:p w:rsidR="00142F4B" w:rsidRPr="00056817" w:rsidRDefault="00142F4B"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935B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935B4" w:rsidRPr="00142F4B" w:rsidRDefault="00D935B4" w:rsidP="003620C8">
            <w:pPr>
              <w:rPr>
                <w:rFonts w:ascii="Calibri" w:eastAsia="Times New Roman" w:hAnsi="Calibri" w:cs="Times New Roman"/>
                <w:color w:val="000000"/>
                <w:lang w:eastAsia="en-AU"/>
              </w:rPr>
            </w:pPr>
            <w:r w:rsidRPr="00D935B4">
              <w:rPr>
                <w:rFonts w:ascii="Calibri" w:eastAsia="Times New Roman" w:hAnsi="Calibri" w:cs="Times New Roman"/>
                <w:color w:val="000000"/>
                <w:lang w:eastAsia="en-AU"/>
              </w:rPr>
              <w:t>Australian Prudential Regulation Authority (confidentiality) determination No. 21 of 2012</w:t>
            </w:r>
            <w:r>
              <w:rPr>
                <w:rFonts w:ascii="Calibri" w:eastAsia="Times New Roman" w:hAnsi="Calibri" w:cs="Times New Roman"/>
                <w:color w:val="000000"/>
                <w:lang w:eastAsia="en-AU"/>
              </w:rPr>
              <w:t xml:space="preserve"> [</w:t>
            </w:r>
            <w:r w:rsidRPr="00D935B4">
              <w:rPr>
                <w:rFonts w:ascii="Calibri" w:eastAsia="Times New Roman" w:hAnsi="Calibri" w:cs="Times New Roman"/>
                <w:color w:val="000000"/>
                <w:lang w:eastAsia="en-AU"/>
              </w:rPr>
              <w:t>F2012L02199</w:t>
            </w:r>
            <w:r>
              <w:rPr>
                <w:rFonts w:ascii="Calibri" w:eastAsia="Times New Roman" w:hAnsi="Calibri" w:cs="Times New Roman"/>
                <w:color w:val="000000"/>
                <w:lang w:eastAsia="en-AU"/>
              </w:rPr>
              <w:t>]</w:t>
            </w:r>
          </w:p>
        </w:tc>
        <w:tc>
          <w:tcPr>
            <w:tcW w:w="1134" w:type="dxa"/>
          </w:tcPr>
          <w:p w:rsidR="00D935B4" w:rsidRDefault="00E414A7"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935B4"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47" w:history="1">
              <w:r w:rsidR="00E414A7" w:rsidRPr="00A93BAC">
                <w:rPr>
                  <w:rStyle w:val="Hyperlink"/>
                </w:rPr>
                <w:t>1/13</w:t>
              </w:r>
            </w:hyperlink>
          </w:p>
        </w:tc>
        <w:tc>
          <w:tcPr>
            <w:tcW w:w="3544" w:type="dxa"/>
          </w:tcPr>
          <w:p w:rsidR="00D935B4" w:rsidRPr="00056817" w:rsidRDefault="00D935B4"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414A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414A7" w:rsidRPr="00D935B4" w:rsidRDefault="00E414A7" w:rsidP="003620C8">
            <w:pPr>
              <w:rPr>
                <w:rFonts w:ascii="Calibri" w:eastAsia="Times New Roman" w:hAnsi="Calibri" w:cs="Times New Roman"/>
                <w:color w:val="000000"/>
                <w:lang w:eastAsia="en-AU"/>
              </w:rPr>
            </w:pPr>
            <w:r w:rsidRPr="00E414A7">
              <w:rPr>
                <w:rFonts w:ascii="Calibri" w:eastAsia="Times New Roman" w:hAnsi="Calibri" w:cs="Times New Roman"/>
                <w:color w:val="000000"/>
                <w:lang w:eastAsia="en-AU"/>
              </w:rPr>
              <w:t>Australian Prudential Regulation Authority (confidentiality) determination No. 22 of 2012</w:t>
            </w:r>
            <w:r>
              <w:rPr>
                <w:rFonts w:ascii="Calibri" w:eastAsia="Times New Roman" w:hAnsi="Calibri" w:cs="Times New Roman"/>
                <w:color w:val="000000"/>
                <w:lang w:eastAsia="en-AU"/>
              </w:rPr>
              <w:t xml:space="preserve"> [</w:t>
            </w:r>
            <w:r w:rsidRPr="00E414A7">
              <w:rPr>
                <w:rFonts w:ascii="Calibri" w:eastAsia="Times New Roman" w:hAnsi="Calibri" w:cs="Times New Roman"/>
                <w:color w:val="000000"/>
                <w:lang w:eastAsia="en-AU"/>
              </w:rPr>
              <w:t>F2012L02336</w:t>
            </w:r>
            <w:r>
              <w:rPr>
                <w:rFonts w:ascii="Calibri" w:eastAsia="Times New Roman" w:hAnsi="Calibri" w:cs="Times New Roman"/>
                <w:color w:val="000000"/>
                <w:lang w:eastAsia="en-AU"/>
              </w:rPr>
              <w:t>]</w:t>
            </w:r>
          </w:p>
        </w:tc>
        <w:tc>
          <w:tcPr>
            <w:tcW w:w="1134" w:type="dxa"/>
          </w:tcPr>
          <w:p w:rsidR="00E414A7" w:rsidRDefault="00E414A7"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414A7"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48" w:history="1">
              <w:r w:rsidR="00E414A7" w:rsidRPr="00A93BAC">
                <w:rPr>
                  <w:rStyle w:val="Hyperlink"/>
                </w:rPr>
                <w:t>1/13</w:t>
              </w:r>
            </w:hyperlink>
          </w:p>
        </w:tc>
        <w:tc>
          <w:tcPr>
            <w:tcW w:w="3544" w:type="dxa"/>
          </w:tcPr>
          <w:p w:rsidR="00E414A7" w:rsidRPr="00056817" w:rsidRDefault="00E414A7"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414A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414A7" w:rsidRPr="00E414A7" w:rsidRDefault="00E414A7" w:rsidP="003620C8">
            <w:pPr>
              <w:rPr>
                <w:rFonts w:ascii="Calibri" w:eastAsia="Times New Roman" w:hAnsi="Calibri" w:cs="Times New Roman"/>
                <w:color w:val="000000"/>
                <w:lang w:eastAsia="en-AU"/>
              </w:rPr>
            </w:pPr>
            <w:r w:rsidRPr="00E414A7">
              <w:rPr>
                <w:rFonts w:ascii="Calibri" w:eastAsia="Times New Roman" w:hAnsi="Calibri" w:cs="Times New Roman"/>
                <w:color w:val="000000"/>
                <w:lang w:eastAsia="en-AU"/>
              </w:rPr>
              <w:t>Australian Prudential Regulation Authority (confidentiality) determination No. 23 of 2012</w:t>
            </w:r>
            <w:r>
              <w:rPr>
                <w:rFonts w:ascii="Calibri" w:eastAsia="Times New Roman" w:hAnsi="Calibri" w:cs="Times New Roman"/>
                <w:color w:val="000000"/>
                <w:lang w:eastAsia="en-AU"/>
              </w:rPr>
              <w:t xml:space="preserve"> [</w:t>
            </w:r>
            <w:r w:rsidRPr="00E414A7">
              <w:rPr>
                <w:rFonts w:ascii="Calibri" w:eastAsia="Times New Roman" w:hAnsi="Calibri" w:cs="Times New Roman"/>
                <w:color w:val="000000"/>
                <w:lang w:eastAsia="en-AU"/>
              </w:rPr>
              <w:t>F2012L02373</w:t>
            </w:r>
            <w:r>
              <w:rPr>
                <w:rFonts w:ascii="Calibri" w:eastAsia="Times New Roman" w:hAnsi="Calibri" w:cs="Times New Roman"/>
                <w:color w:val="000000"/>
                <w:lang w:eastAsia="en-AU"/>
              </w:rPr>
              <w:t>]</w:t>
            </w:r>
          </w:p>
        </w:tc>
        <w:tc>
          <w:tcPr>
            <w:tcW w:w="1134" w:type="dxa"/>
          </w:tcPr>
          <w:p w:rsidR="00E414A7" w:rsidRDefault="00E414A7"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414A7"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49" w:history="1">
              <w:r w:rsidR="00E414A7" w:rsidRPr="00A93BAC">
                <w:rPr>
                  <w:rStyle w:val="Hyperlink"/>
                </w:rPr>
                <w:t>1/13</w:t>
              </w:r>
            </w:hyperlink>
          </w:p>
        </w:tc>
        <w:tc>
          <w:tcPr>
            <w:tcW w:w="3544" w:type="dxa"/>
          </w:tcPr>
          <w:p w:rsidR="00E414A7" w:rsidRPr="00056817" w:rsidRDefault="00E414A7"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E414A7"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E414A7" w:rsidRPr="00E414A7" w:rsidRDefault="00E414A7" w:rsidP="003620C8">
            <w:pPr>
              <w:rPr>
                <w:rFonts w:ascii="Calibri" w:eastAsia="Times New Roman" w:hAnsi="Calibri" w:cs="Times New Roman"/>
                <w:color w:val="000000"/>
                <w:lang w:eastAsia="en-AU"/>
              </w:rPr>
            </w:pPr>
            <w:r w:rsidRPr="00E414A7">
              <w:rPr>
                <w:rFonts w:ascii="Calibri" w:eastAsia="Times New Roman" w:hAnsi="Calibri" w:cs="Times New Roman"/>
                <w:color w:val="000000"/>
                <w:lang w:eastAsia="en-AU"/>
              </w:rPr>
              <w:t>Australian Prudential Regulation Authority (confidentiality) determination No. 24 of 2012</w:t>
            </w:r>
            <w:r>
              <w:rPr>
                <w:rFonts w:ascii="Calibri" w:eastAsia="Times New Roman" w:hAnsi="Calibri" w:cs="Times New Roman"/>
                <w:color w:val="000000"/>
                <w:lang w:eastAsia="en-AU"/>
              </w:rPr>
              <w:t xml:space="preserve"> [</w:t>
            </w:r>
            <w:r w:rsidRPr="00E414A7">
              <w:rPr>
                <w:rFonts w:ascii="Calibri" w:eastAsia="Times New Roman" w:hAnsi="Calibri" w:cs="Times New Roman"/>
                <w:color w:val="000000"/>
                <w:lang w:eastAsia="en-AU"/>
              </w:rPr>
              <w:t>F2012L02351</w:t>
            </w:r>
            <w:r>
              <w:rPr>
                <w:rFonts w:ascii="Calibri" w:eastAsia="Times New Roman" w:hAnsi="Calibri" w:cs="Times New Roman"/>
                <w:color w:val="000000"/>
                <w:lang w:eastAsia="en-AU"/>
              </w:rPr>
              <w:t>]</w:t>
            </w:r>
          </w:p>
        </w:tc>
        <w:tc>
          <w:tcPr>
            <w:tcW w:w="1134" w:type="dxa"/>
          </w:tcPr>
          <w:p w:rsidR="00E414A7" w:rsidRDefault="00E414A7"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414A7"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50" w:history="1">
              <w:r w:rsidR="00E414A7" w:rsidRPr="00A93BAC">
                <w:rPr>
                  <w:rStyle w:val="Hyperlink"/>
                </w:rPr>
                <w:t>1/13</w:t>
              </w:r>
            </w:hyperlink>
          </w:p>
        </w:tc>
        <w:tc>
          <w:tcPr>
            <w:tcW w:w="3544" w:type="dxa"/>
          </w:tcPr>
          <w:p w:rsidR="00E414A7" w:rsidRPr="00056817" w:rsidRDefault="00E414A7"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E414A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E414A7" w:rsidRPr="00E414A7" w:rsidRDefault="00E414A7" w:rsidP="003620C8">
            <w:pPr>
              <w:rPr>
                <w:rFonts w:ascii="Calibri" w:eastAsia="Times New Roman" w:hAnsi="Calibri" w:cs="Times New Roman"/>
                <w:color w:val="000000"/>
                <w:lang w:eastAsia="en-AU"/>
              </w:rPr>
            </w:pPr>
            <w:r w:rsidRPr="00E414A7">
              <w:rPr>
                <w:rFonts w:ascii="Calibri" w:eastAsia="Times New Roman" w:hAnsi="Calibri" w:cs="Times New Roman"/>
                <w:color w:val="000000"/>
                <w:lang w:eastAsia="en-AU"/>
              </w:rPr>
              <w:t>Australian Prudential Regulation Authority (confidentiality) determination No. 25 of 2012</w:t>
            </w:r>
            <w:r>
              <w:rPr>
                <w:rFonts w:ascii="Calibri" w:eastAsia="Times New Roman" w:hAnsi="Calibri" w:cs="Times New Roman"/>
                <w:color w:val="000000"/>
                <w:lang w:eastAsia="en-AU"/>
              </w:rPr>
              <w:t xml:space="preserve"> [</w:t>
            </w:r>
            <w:r w:rsidRPr="00E414A7">
              <w:rPr>
                <w:rFonts w:ascii="Calibri" w:eastAsia="Times New Roman" w:hAnsi="Calibri" w:cs="Times New Roman"/>
                <w:color w:val="000000"/>
                <w:lang w:eastAsia="en-AU"/>
              </w:rPr>
              <w:t>F2012L02264</w:t>
            </w:r>
            <w:r>
              <w:rPr>
                <w:rFonts w:ascii="Calibri" w:eastAsia="Times New Roman" w:hAnsi="Calibri" w:cs="Times New Roman"/>
                <w:color w:val="000000"/>
                <w:lang w:eastAsia="en-AU"/>
              </w:rPr>
              <w:t>]</w:t>
            </w:r>
          </w:p>
        </w:tc>
        <w:tc>
          <w:tcPr>
            <w:tcW w:w="1134" w:type="dxa"/>
          </w:tcPr>
          <w:p w:rsidR="00E414A7" w:rsidRDefault="00D14440"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E414A7"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51" w:history="1">
              <w:r w:rsidR="00D14440" w:rsidRPr="00A93BAC">
                <w:rPr>
                  <w:rStyle w:val="Hyperlink"/>
                </w:rPr>
                <w:t>1/13</w:t>
              </w:r>
            </w:hyperlink>
          </w:p>
        </w:tc>
        <w:tc>
          <w:tcPr>
            <w:tcW w:w="3544" w:type="dxa"/>
          </w:tcPr>
          <w:p w:rsidR="00E414A7" w:rsidRPr="00056817" w:rsidRDefault="00E414A7"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14440" w:rsidRPr="002C2B55" w:rsidTr="005869B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440" w:rsidRPr="00E414A7"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Australian Prudential Regulation Authority (confidentiality) determination No. 26 of 2012</w:t>
            </w:r>
          </w:p>
        </w:tc>
        <w:tc>
          <w:tcPr>
            <w:tcW w:w="1134" w:type="dxa"/>
          </w:tcPr>
          <w:p w:rsidR="00D14440" w:rsidRDefault="00D14440" w:rsidP="005869B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440" w:rsidRDefault="00840504" w:rsidP="005869BC">
            <w:pPr>
              <w:jc w:val="center"/>
              <w:cnfStyle w:val="000000100000" w:firstRow="0" w:lastRow="0" w:firstColumn="0" w:lastColumn="0" w:oddVBand="0" w:evenVBand="0" w:oddHBand="1" w:evenHBand="0" w:firstRowFirstColumn="0" w:firstRowLastColumn="0" w:lastRowFirstColumn="0" w:lastRowLastColumn="0"/>
            </w:pPr>
            <w:hyperlink r:id="rId52" w:history="1">
              <w:r w:rsidR="00D14440" w:rsidRPr="001635F1">
                <w:rPr>
                  <w:rStyle w:val="Hyperlink"/>
                </w:rPr>
                <w:t>3/13</w:t>
              </w:r>
            </w:hyperlink>
          </w:p>
        </w:tc>
        <w:tc>
          <w:tcPr>
            <w:tcW w:w="3544" w:type="dxa"/>
          </w:tcPr>
          <w:p w:rsidR="00D14440" w:rsidRPr="00056817" w:rsidRDefault="00D14440" w:rsidP="005869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14440" w:rsidRPr="002C2B55" w:rsidTr="005869BC">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440" w:rsidRPr="00E414A7"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Australian Prudential Regulation Authority (confidentiality) determination No. 27 of 2012</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F2012L02528</w:t>
            </w:r>
            <w:r>
              <w:rPr>
                <w:rFonts w:ascii="Calibri" w:eastAsia="Times New Roman" w:hAnsi="Calibri" w:cs="Times New Roman"/>
                <w:color w:val="000000"/>
                <w:lang w:eastAsia="en-AU"/>
              </w:rPr>
              <w:t>]</w:t>
            </w:r>
          </w:p>
        </w:tc>
        <w:tc>
          <w:tcPr>
            <w:tcW w:w="1134" w:type="dxa"/>
          </w:tcPr>
          <w:p w:rsidR="00D14440" w:rsidRDefault="00D14440" w:rsidP="005869B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440" w:rsidRDefault="00840504" w:rsidP="005869BC">
            <w:pPr>
              <w:jc w:val="center"/>
              <w:cnfStyle w:val="000000000000" w:firstRow="0" w:lastRow="0" w:firstColumn="0" w:lastColumn="0" w:oddVBand="0" w:evenVBand="0" w:oddHBand="0" w:evenHBand="0" w:firstRowFirstColumn="0" w:firstRowLastColumn="0" w:lastRowFirstColumn="0" w:lastRowLastColumn="0"/>
            </w:pPr>
            <w:hyperlink r:id="rId53" w:history="1">
              <w:r w:rsidR="00D14440" w:rsidRPr="001635F1">
                <w:rPr>
                  <w:rStyle w:val="Hyperlink"/>
                </w:rPr>
                <w:t>3/13</w:t>
              </w:r>
            </w:hyperlink>
          </w:p>
        </w:tc>
        <w:tc>
          <w:tcPr>
            <w:tcW w:w="3544" w:type="dxa"/>
          </w:tcPr>
          <w:p w:rsidR="00D14440" w:rsidRPr="00056817" w:rsidRDefault="00D14440" w:rsidP="005869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14440" w:rsidRPr="002C2B55" w:rsidTr="005869B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440" w:rsidRPr="00E414A7"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Australian Prudential Regulation Authority (confidentiality) determination No. 28 of 2012</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F2012L02536</w:t>
            </w:r>
            <w:r>
              <w:rPr>
                <w:rFonts w:ascii="Calibri" w:eastAsia="Times New Roman" w:hAnsi="Calibri" w:cs="Times New Roman"/>
                <w:color w:val="000000"/>
                <w:lang w:eastAsia="en-AU"/>
              </w:rPr>
              <w:t>]</w:t>
            </w:r>
          </w:p>
        </w:tc>
        <w:tc>
          <w:tcPr>
            <w:tcW w:w="1134" w:type="dxa"/>
          </w:tcPr>
          <w:p w:rsidR="00D14440" w:rsidRDefault="00D14440" w:rsidP="005869B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440" w:rsidRDefault="00840504" w:rsidP="005869BC">
            <w:pPr>
              <w:jc w:val="center"/>
              <w:cnfStyle w:val="000000100000" w:firstRow="0" w:lastRow="0" w:firstColumn="0" w:lastColumn="0" w:oddVBand="0" w:evenVBand="0" w:oddHBand="1" w:evenHBand="0" w:firstRowFirstColumn="0" w:firstRowLastColumn="0" w:lastRowFirstColumn="0" w:lastRowLastColumn="0"/>
            </w:pPr>
            <w:hyperlink r:id="rId54" w:history="1">
              <w:r w:rsidR="00D14440" w:rsidRPr="001635F1">
                <w:rPr>
                  <w:rStyle w:val="Hyperlink"/>
                </w:rPr>
                <w:t>3/13</w:t>
              </w:r>
            </w:hyperlink>
          </w:p>
        </w:tc>
        <w:tc>
          <w:tcPr>
            <w:tcW w:w="3544" w:type="dxa"/>
          </w:tcPr>
          <w:p w:rsidR="00D14440" w:rsidRPr="00056817" w:rsidRDefault="00D14440" w:rsidP="005869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D14440" w:rsidRPr="002C2B55" w:rsidTr="005869BC">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440" w:rsidRPr="00E414A7" w:rsidRDefault="00D14440" w:rsidP="005869BC">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lastRenderedPageBreak/>
              <w:t>Australian Prudential Regulation Authority (confidentiality) determination No. 29 of 2012</w:t>
            </w:r>
            <w:r>
              <w:rPr>
                <w:rFonts w:ascii="Calibri" w:eastAsia="Times New Roman" w:hAnsi="Calibri" w:cs="Times New Roman"/>
                <w:color w:val="000000"/>
                <w:lang w:eastAsia="en-AU"/>
              </w:rPr>
              <w:t xml:space="preserve"> [</w:t>
            </w:r>
            <w:r w:rsidRPr="00D14440">
              <w:rPr>
                <w:rFonts w:ascii="Calibri" w:eastAsia="Times New Roman" w:hAnsi="Calibri" w:cs="Times New Roman"/>
                <w:color w:val="000000"/>
                <w:lang w:eastAsia="en-AU"/>
              </w:rPr>
              <w:t>F2012L02538</w:t>
            </w:r>
            <w:r>
              <w:rPr>
                <w:rFonts w:ascii="Calibri" w:eastAsia="Times New Roman" w:hAnsi="Calibri" w:cs="Times New Roman"/>
                <w:color w:val="000000"/>
                <w:lang w:eastAsia="en-AU"/>
              </w:rPr>
              <w:t>]</w:t>
            </w:r>
          </w:p>
        </w:tc>
        <w:tc>
          <w:tcPr>
            <w:tcW w:w="1134" w:type="dxa"/>
          </w:tcPr>
          <w:p w:rsidR="00D14440" w:rsidRDefault="00D14440" w:rsidP="005869B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440" w:rsidRDefault="00840504" w:rsidP="005869BC">
            <w:pPr>
              <w:jc w:val="center"/>
              <w:cnfStyle w:val="000000000000" w:firstRow="0" w:lastRow="0" w:firstColumn="0" w:lastColumn="0" w:oddVBand="0" w:evenVBand="0" w:oddHBand="0" w:evenHBand="0" w:firstRowFirstColumn="0" w:firstRowLastColumn="0" w:lastRowFirstColumn="0" w:lastRowLastColumn="0"/>
            </w:pPr>
            <w:hyperlink r:id="rId55" w:history="1">
              <w:r w:rsidR="00D14440" w:rsidRPr="001635F1">
                <w:rPr>
                  <w:rStyle w:val="Hyperlink"/>
                </w:rPr>
                <w:t>3/13</w:t>
              </w:r>
            </w:hyperlink>
          </w:p>
        </w:tc>
        <w:tc>
          <w:tcPr>
            <w:tcW w:w="3544" w:type="dxa"/>
          </w:tcPr>
          <w:p w:rsidR="00D14440" w:rsidRPr="00056817" w:rsidRDefault="00D14440" w:rsidP="005869B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1444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14440" w:rsidRPr="00E414A7" w:rsidRDefault="00D14440" w:rsidP="003620C8">
            <w:pPr>
              <w:rPr>
                <w:rFonts w:ascii="Calibri" w:eastAsia="Times New Roman" w:hAnsi="Calibri" w:cs="Times New Roman"/>
                <w:color w:val="000000"/>
                <w:lang w:eastAsia="en-AU"/>
              </w:rPr>
            </w:pPr>
            <w:r w:rsidRPr="00D14440">
              <w:rPr>
                <w:rFonts w:ascii="Calibri" w:eastAsia="Times New Roman" w:hAnsi="Calibri" w:cs="Times New Roman"/>
                <w:color w:val="000000"/>
                <w:lang w:eastAsia="en-AU"/>
              </w:rPr>
              <w:t>Australian Prudential Regulation Authority (confidentiality) determination No. 1 of 2013</w:t>
            </w:r>
            <w:r>
              <w:rPr>
                <w:rFonts w:ascii="Calibri" w:eastAsia="Times New Roman" w:hAnsi="Calibri" w:cs="Times New Roman"/>
                <w:color w:val="000000"/>
                <w:lang w:eastAsia="en-AU"/>
              </w:rPr>
              <w:t xml:space="preserve"> [</w:t>
            </w:r>
            <w:r w:rsidR="005869BC" w:rsidRPr="005869BC">
              <w:rPr>
                <w:rFonts w:ascii="Calibri" w:eastAsia="Times New Roman" w:hAnsi="Calibri" w:cs="Times New Roman"/>
                <w:color w:val="000000"/>
                <w:lang w:eastAsia="en-AU"/>
              </w:rPr>
              <w:t>F2013L00115</w:t>
            </w:r>
            <w:r w:rsidR="005869BC">
              <w:rPr>
                <w:rFonts w:ascii="Calibri" w:eastAsia="Times New Roman" w:hAnsi="Calibri" w:cs="Times New Roman"/>
                <w:color w:val="000000"/>
                <w:lang w:eastAsia="en-AU"/>
              </w:rPr>
              <w:t>]</w:t>
            </w:r>
          </w:p>
        </w:tc>
        <w:tc>
          <w:tcPr>
            <w:tcW w:w="1134" w:type="dxa"/>
          </w:tcPr>
          <w:p w:rsidR="00D14440" w:rsidRDefault="00D14440" w:rsidP="00BF3D3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D14440"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56" w:history="1">
              <w:r w:rsidR="00D14440" w:rsidRPr="001635F1">
                <w:rPr>
                  <w:rStyle w:val="Hyperlink"/>
                </w:rPr>
                <w:t>3/13</w:t>
              </w:r>
            </w:hyperlink>
          </w:p>
        </w:tc>
        <w:tc>
          <w:tcPr>
            <w:tcW w:w="3544" w:type="dxa"/>
          </w:tcPr>
          <w:p w:rsidR="00D14440" w:rsidRPr="00056817" w:rsidRDefault="00D14440"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3507E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3507ED" w:rsidRPr="003507ED" w:rsidRDefault="003507ED" w:rsidP="003620C8">
            <w:pPr>
              <w:rPr>
                <w:rFonts w:eastAsia="Times New Roman" w:cs="Times New Roman"/>
                <w:color w:val="000000"/>
                <w:lang w:eastAsia="en-AU"/>
              </w:rPr>
            </w:pPr>
            <w:r w:rsidRPr="003507ED">
              <w:rPr>
                <w:rFonts w:cs="Calibri-Bold"/>
                <w:bCs w:val="0"/>
              </w:rPr>
              <w:t>Australian Public Service Commissioner's Directions 2013 [F2013L00448]</w:t>
            </w:r>
          </w:p>
        </w:tc>
        <w:tc>
          <w:tcPr>
            <w:tcW w:w="1134" w:type="dxa"/>
          </w:tcPr>
          <w:p w:rsidR="003507ED" w:rsidRDefault="003507ED" w:rsidP="00BF3D3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3507ED"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57" w:history="1">
              <w:r w:rsidR="003507ED" w:rsidRPr="003507ED">
                <w:rPr>
                  <w:rStyle w:val="Hyperlink"/>
                </w:rPr>
                <w:t>6/13</w:t>
              </w:r>
            </w:hyperlink>
          </w:p>
        </w:tc>
        <w:tc>
          <w:tcPr>
            <w:tcW w:w="3544" w:type="dxa"/>
          </w:tcPr>
          <w:p w:rsidR="003507ED" w:rsidRPr="00056817" w:rsidRDefault="003507ED"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4B0979" w:rsidP="003620C8">
            <w:pPr>
              <w:rPr>
                <w:rFonts w:ascii="Calibri" w:eastAsia="Times New Roman" w:hAnsi="Calibri" w:cs="Times New Roman"/>
                <w:color w:val="000000"/>
                <w:lang w:eastAsia="en-AU"/>
              </w:rPr>
            </w:pPr>
            <w:r w:rsidRPr="004B0979">
              <w:rPr>
                <w:rFonts w:ascii="Calibri" w:eastAsia="Times New Roman" w:hAnsi="Calibri" w:cs="Times New Roman"/>
                <w:color w:val="000000"/>
                <w:lang w:eastAsia="en-AU"/>
              </w:rPr>
              <w:t>Australian Sports Anti-Doping Authority Amendment Regulation 2012 (No. 1)</w:t>
            </w:r>
            <w:r w:rsidR="00A93BAC">
              <w:rPr>
                <w:rFonts w:ascii="Calibri" w:eastAsia="Times New Roman" w:hAnsi="Calibri" w:cs="Times New Roman"/>
                <w:color w:val="000000"/>
                <w:lang w:eastAsia="en-AU"/>
              </w:rPr>
              <w:t xml:space="preserve"> [</w:t>
            </w:r>
            <w:r w:rsidR="00A93BAC" w:rsidRPr="00A93BAC">
              <w:rPr>
                <w:rFonts w:ascii="Calibri" w:eastAsia="Times New Roman" w:hAnsi="Calibri" w:cs="Times New Roman"/>
                <w:color w:val="000000"/>
                <w:lang w:eastAsia="en-AU"/>
              </w:rPr>
              <w:t>F2012L02385</w:t>
            </w:r>
            <w:r w:rsidR="00A93BAC">
              <w:rPr>
                <w:rFonts w:ascii="Calibri" w:eastAsia="Times New Roman" w:hAnsi="Calibri" w:cs="Times New Roman"/>
                <w:color w:val="000000"/>
                <w:lang w:eastAsia="en-AU"/>
              </w:rPr>
              <w:t>]</w:t>
            </w:r>
          </w:p>
        </w:tc>
        <w:tc>
          <w:tcPr>
            <w:tcW w:w="1134" w:type="dxa"/>
          </w:tcPr>
          <w:p w:rsidR="0057151D" w:rsidRDefault="00A93BA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840504" w:rsidP="003620C8">
            <w:pPr>
              <w:jc w:val="center"/>
              <w:cnfStyle w:val="000000100000" w:firstRow="0" w:lastRow="0" w:firstColumn="0" w:lastColumn="0" w:oddVBand="0" w:evenVBand="0" w:oddHBand="1" w:evenHBand="0" w:firstRowFirstColumn="0" w:firstRowLastColumn="0" w:lastRowFirstColumn="0" w:lastRowLastColumn="0"/>
            </w:pPr>
            <w:hyperlink r:id="rId58" w:history="1">
              <w:r w:rsidR="00A93BAC" w:rsidRPr="00A93BAC">
                <w:rPr>
                  <w:rStyle w:val="Hyperlink"/>
                </w:rPr>
                <w:t>1/13</w:t>
              </w:r>
            </w:hyperlink>
          </w:p>
        </w:tc>
        <w:tc>
          <w:tcPr>
            <w:tcW w:w="3544" w:type="dxa"/>
          </w:tcPr>
          <w:p w:rsidR="0057151D" w:rsidRPr="00056817" w:rsidRDefault="00276F1F"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1406A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406A3" w:rsidRPr="004B0979" w:rsidRDefault="001406A3" w:rsidP="001406A3">
            <w:pPr>
              <w:rPr>
                <w:rFonts w:ascii="Calibri" w:eastAsia="Times New Roman" w:hAnsi="Calibri" w:cs="Times New Roman"/>
                <w:color w:val="000000"/>
                <w:lang w:eastAsia="en-AU"/>
              </w:rPr>
            </w:pPr>
            <w:r w:rsidRPr="001406A3">
              <w:rPr>
                <w:rFonts w:ascii="Calibri" w:eastAsia="Times New Roman" w:hAnsi="Calibri" w:cs="Times New Roman"/>
                <w:color w:val="000000"/>
                <w:lang w:eastAsia="en-AU"/>
              </w:rPr>
              <w:t>Australian Sports Anti-Doping Authority Amendment</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Regulation 2013 (No. 1)</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F2013L01443</w:t>
            </w:r>
            <w:r>
              <w:rPr>
                <w:rFonts w:ascii="Calibri" w:eastAsia="Times New Roman" w:hAnsi="Calibri" w:cs="Times New Roman"/>
                <w:color w:val="000000"/>
                <w:lang w:eastAsia="en-AU"/>
              </w:rPr>
              <w:t>]</w:t>
            </w:r>
          </w:p>
        </w:tc>
        <w:tc>
          <w:tcPr>
            <w:tcW w:w="1134" w:type="dxa"/>
          </w:tcPr>
          <w:p w:rsidR="001406A3" w:rsidRDefault="001406A3"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406A3" w:rsidRDefault="00840504" w:rsidP="003620C8">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59" w:history="1">
              <w:r w:rsidR="001406A3" w:rsidRPr="001406A3">
                <w:rPr>
                  <w:rStyle w:val="Hyperlink"/>
                </w:rPr>
                <w:t>1/44</w:t>
              </w:r>
            </w:hyperlink>
          </w:p>
          <w:p w:rsidR="00DB3D31"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60" w:history="1">
              <w:r w:rsidR="00DB3D31" w:rsidRPr="00DB3D31">
                <w:rPr>
                  <w:rStyle w:val="Hyperlink"/>
                </w:rPr>
                <w:t>2/44</w:t>
              </w:r>
            </w:hyperlink>
          </w:p>
        </w:tc>
        <w:tc>
          <w:tcPr>
            <w:tcW w:w="3544" w:type="dxa"/>
          </w:tcPr>
          <w:p w:rsidR="001406A3" w:rsidRDefault="001406A3"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Respect for family life; fair hearing</w:t>
            </w:r>
            <w:r w:rsidR="00DB3D31">
              <w:rPr>
                <w:rFonts w:ascii="Calibri" w:eastAsia="Times New Roman" w:hAnsi="Calibri" w:cs="Times New Roman"/>
                <w:color w:val="000000"/>
                <w:lang w:eastAsia="en-AU"/>
              </w:rPr>
              <w:t>; work</w:t>
            </w:r>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3507ED" w:rsidP="004278EE">
            <w:pPr>
              <w:autoSpaceDE w:val="0"/>
              <w:autoSpaceDN w:val="0"/>
              <w:adjustRightInd w:val="0"/>
              <w:spacing w:after="120"/>
              <w:rPr>
                <w:rFonts w:cs="Calibri-Bold"/>
                <w:bCs w:val="0"/>
              </w:rPr>
            </w:pPr>
            <w:r w:rsidRPr="003507ED">
              <w:rPr>
                <w:rFonts w:cs="Calibri-Bold"/>
                <w:bCs w:val="0"/>
              </w:rPr>
              <w:t>Autonomous Sanctions (Designated Persons and Entities and Declared Persons – Zimbabwe) Amendment List 2013</w:t>
            </w:r>
            <w:r>
              <w:rPr>
                <w:rFonts w:cs="Calibri-Bold"/>
                <w:bCs w:val="0"/>
              </w:rPr>
              <w:t xml:space="preserve"> [F2013L00477]</w:t>
            </w:r>
          </w:p>
          <w:p w:rsidR="00037A34" w:rsidRPr="004278EE" w:rsidRDefault="00037A34" w:rsidP="004278EE">
            <w:pPr>
              <w:autoSpaceDE w:val="0"/>
              <w:autoSpaceDN w:val="0"/>
              <w:adjustRightInd w:val="0"/>
              <w:spacing w:after="120"/>
              <w:rPr>
                <w:rFonts w:cs="Calibri,Bold"/>
                <w:bCs w:val="0"/>
              </w:rPr>
            </w:pPr>
            <w:r w:rsidRPr="004278EE">
              <w:rPr>
                <w:rFonts w:cs="Calibri,Bold"/>
                <w:bCs w:val="0"/>
              </w:rPr>
              <w:t>Autonomous Sanctions (Designated Persons and Entities and Declared Persons – Zimbabwe) Amendment List 2013 (No. 2)</w:t>
            </w:r>
            <w:r w:rsidR="004278EE">
              <w:rPr>
                <w:rFonts w:cs="Calibri,Bold"/>
                <w:bCs w:val="0"/>
              </w:rPr>
              <w:t xml:space="preserve"> [F2013L00857]</w:t>
            </w:r>
          </w:p>
          <w:p w:rsidR="00037A34" w:rsidRPr="003507ED" w:rsidRDefault="00037A34" w:rsidP="00037A34">
            <w:pPr>
              <w:autoSpaceDE w:val="0"/>
              <w:autoSpaceDN w:val="0"/>
              <w:adjustRightInd w:val="0"/>
              <w:rPr>
                <w:rFonts w:eastAsia="Times New Roman" w:cs="Times New Roman"/>
                <w:color w:val="000000"/>
                <w:lang w:eastAsia="en-AU"/>
              </w:rPr>
            </w:pPr>
            <w:r w:rsidRPr="004278EE">
              <w:rPr>
                <w:rFonts w:cs="Calibri,Bold"/>
                <w:bCs w:val="0"/>
              </w:rPr>
              <w:t>Autonomous Sanctions (Designated Persons and Entities and Declared Persons – Syria) Amendment List 2013</w:t>
            </w:r>
            <w:r w:rsidR="004278EE">
              <w:rPr>
                <w:rFonts w:cs="Calibri,Bold"/>
                <w:bCs w:val="0"/>
              </w:rPr>
              <w:t xml:space="preserve"> [F2013L00884]</w:t>
            </w:r>
          </w:p>
        </w:tc>
        <w:tc>
          <w:tcPr>
            <w:tcW w:w="1134" w:type="dxa"/>
          </w:tcPr>
          <w:p w:rsidR="00995F7D" w:rsidRDefault="003507E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95F7D"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1" w:history="1">
              <w:r w:rsidR="003507ED" w:rsidRPr="003507ED">
                <w:rPr>
                  <w:rStyle w:val="Hyperlink"/>
                </w:rPr>
                <w:t>6/13</w:t>
              </w:r>
            </w:hyperlink>
          </w:p>
          <w:p w:rsidR="00037A34"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2" w:history="1">
              <w:r w:rsidR="00037A34" w:rsidRPr="00037A34">
                <w:rPr>
                  <w:rStyle w:val="Hyperlink"/>
                </w:rPr>
                <w:t>10/13</w:t>
              </w:r>
            </w:hyperlink>
          </w:p>
          <w:p w:rsidR="000B2B9E"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3" w:history="1">
              <w:r w:rsidR="000B2B9E" w:rsidRPr="00546408">
                <w:rPr>
                  <w:rStyle w:val="Hyperlink"/>
                </w:rPr>
                <w:t>1/44</w:t>
              </w:r>
            </w:hyperlink>
          </w:p>
          <w:p w:rsidR="00704CB5"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64" w:history="1">
              <w:r w:rsidR="00704CB5" w:rsidRPr="00704CB5">
                <w:rPr>
                  <w:rStyle w:val="Hyperlink"/>
                  <w:sz w:val="23"/>
                  <w:szCs w:val="23"/>
                </w:rPr>
                <w:t>28/44</w:t>
              </w:r>
            </w:hyperlink>
          </w:p>
        </w:tc>
        <w:tc>
          <w:tcPr>
            <w:tcW w:w="3544" w:type="dxa"/>
          </w:tcPr>
          <w:p w:rsidR="00995F7D" w:rsidRPr="00056817" w:rsidRDefault="003507ED"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family life; freedom of movement</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771083">
            <w:pPr>
              <w:autoSpaceDE w:val="0"/>
              <w:autoSpaceDN w:val="0"/>
              <w:adjustRightInd w:val="0"/>
              <w:spacing w:after="120"/>
              <w:rPr>
                <w:rFonts w:cs="Calibri-Bold"/>
                <w:bCs w:val="0"/>
              </w:rPr>
            </w:pPr>
            <w:r w:rsidRPr="00771083">
              <w:rPr>
                <w:rFonts w:cs="Calibri-Bold"/>
                <w:bCs w:val="0"/>
              </w:rPr>
              <w:t>Autonomous Sanctions (Designated Persons and Entities</w:t>
            </w:r>
            <w:r>
              <w:rPr>
                <w:rFonts w:cs="Calibri-Bold"/>
                <w:bCs w:val="0"/>
              </w:rPr>
              <w:t xml:space="preserve"> </w:t>
            </w:r>
            <w:r w:rsidRPr="00771083">
              <w:rPr>
                <w:rFonts w:cs="Calibri-Bold"/>
                <w:bCs w:val="0"/>
              </w:rPr>
              <w:t>and Declared Persons – Iran) Amendment List 2013 (No. 1)</w:t>
            </w:r>
            <w:r>
              <w:rPr>
                <w:rFonts w:cs="Calibri-Bold"/>
                <w:bCs w:val="0"/>
              </w:rPr>
              <w:t xml:space="preserve"> [</w:t>
            </w:r>
            <w:r w:rsidRPr="00771083">
              <w:rPr>
                <w:rFonts w:cs="Calibri-Bold"/>
                <w:bCs w:val="0"/>
              </w:rPr>
              <w:t>F2013L01312</w:t>
            </w:r>
            <w:r>
              <w:rPr>
                <w:rFonts w:cs="Calibri-Bold"/>
                <w:bCs w:val="0"/>
              </w:rPr>
              <w:t>]</w:t>
            </w:r>
          </w:p>
          <w:p w:rsidR="00590A8C" w:rsidRPr="003507ED" w:rsidRDefault="00590A8C" w:rsidP="00771083">
            <w:pPr>
              <w:autoSpaceDE w:val="0"/>
              <w:autoSpaceDN w:val="0"/>
              <w:adjustRightInd w:val="0"/>
              <w:spacing w:after="120"/>
              <w:rPr>
                <w:rFonts w:cs="Calibri-Bold"/>
                <w:bCs w:val="0"/>
              </w:rPr>
            </w:pPr>
            <w:r w:rsidRPr="00771083">
              <w:rPr>
                <w:rFonts w:cs="Calibri-Bold"/>
                <w:bCs w:val="0"/>
              </w:rPr>
              <w:t>Autonomous Sanctions Amendment Regulation 2013 (No. 1)</w:t>
            </w:r>
            <w:r>
              <w:rPr>
                <w:rFonts w:cs="Calibri-Bold"/>
                <w:bCs w:val="0"/>
              </w:rPr>
              <w:t xml:space="preserve"> [</w:t>
            </w:r>
            <w:r w:rsidRPr="00771083">
              <w:rPr>
                <w:rFonts w:cs="Calibri-Bold"/>
                <w:bCs w:val="0"/>
              </w:rPr>
              <w:t>F2013L01312</w:t>
            </w:r>
            <w:r>
              <w:rPr>
                <w:rFonts w:cs="Calibri-Bold"/>
                <w:bCs w:val="0"/>
              </w:rPr>
              <w:t>]</w:t>
            </w:r>
          </w:p>
        </w:tc>
        <w:tc>
          <w:tcPr>
            <w:tcW w:w="1134" w:type="dxa"/>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65" w:history="1">
              <w:r w:rsidR="00590A8C" w:rsidRPr="001406A3">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66" w:history="1">
              <w:r w:rsidR="00590A8C" w:rsidRPr="00704CB5">
                <w:rPr>
                  <w:rStyle w:val="Hyperlink"/>
                  <w:sz w:val="23"/>
                  <w:szCs w:val="23"/>
                </w:rPr>
                <w:t>28/44</w:t>
              </w:r>
            </w:hyperlink>
          </w:p>
        </w:tc>
        <w:tc>
          <w:tcPr>
            <w:tcW w:w="3544" w:type="dxa"/>
          </w:tcPr>
          <w:p w:rsidR="00590A8C" w:rsidRDefault="00590A8C"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71083" w:rsidRDefault="00590A8C" w:rsidP="00811D2C">
            <w:pPr>
              <w:autoSpaceDE w:val="0"/>
              <w:autoSpaceDN w:val="0"/>
              <w:adjustRightInd w:val="0"/>
              <w:spacing w:after="120"/>
              <w:rPr>
                <w:rFonts w:cs="Calibri-Bold"/>
                <w:bCs w:val="0"/>
              </w:rPr>
            </w:pPr>
            <w:r w:rsidRPr="00811D2C">
              <w:rPr>
                <w:rFonts w:cs="Calibri-Bold"/>
                <w:bCs w:val="0"/>
              </w:rPr>
              <w:t>Autonomous Sanctions (Designated Persons and Entities and Declared</w:t>
            </w:r>
            <w:r>
              <w:rPr>
                <w:rFonts w:cs="Calibri-Bold"/>
                <w:bCs w:val="0"/>
              </w:rPr>
              <w:t xml:space="preserve"> </w:t>
            </w:r>
            <w:r w:rsidRPr="00811D2C">
              <w:rPr>
                <w:rFonts w:cs="Calibri-Bold"/>
                <w:bCs w:val="0"/>
              </w:rPr>
              <w:t>Persons – Democratic People's Republic of Korea) Amendment List</w:t>
            </w:r>
            <w:r>
              <w:rPr>
                <w:rFonts w:cs="Calibri-Bold"/>
                <w:bCs w:val="0"/>
              </w:rPr>
              <w:t xml:space="preserve"> </w:t>
            </w:r>
            <w:r w:rsidRPr="00811D2C">
              <w:rPr>
                <w:rFonts w:cs="Calibri-Bold"/>
                <w:bCs w:val="0"/>
              </w:rPr>
              <w:t>2013 [F2013L02049]</w:t>
            </w:r>
          </w:p>
        </w:tc>
        <w:tc>
          <w:tcPr>
            <w:tcW w:w="1134" w:type="dxa"/>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7" w:history="1">
              <w:r w:rsidR="00590A8C" w:rsidRPr="001406A3">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68" w:history="1">
              <w:r w:rsidR="00590A8C" w:rsidRPr="00CE6297">
                <w:rPr>
                  <w:rStyle w:val="Hyperlink"/>
                </w:rPr>
                <w:t>2/44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69" w:history="1">
              <w:r w:rsidR="00590A8C" w:rsidRPr="00704CB5">
                <w:rPr>
                  <w:rStyle w:val="Hyperlink"/>
                  <w:sz w:val="23"/>
                  <w:szCs w:val="23"/>
                </w:rPr>
                <w:t>28/44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International human rights obligations</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811D2C" w:rsidRDefault="00590A8C" w:rsidP="00811D2C">
            <w:pPr>
              <w:autoSpaceDE w:val="0"/>
              <w:autoSpaceDN w:val="0"/>
              <w:adjustRightInd w:val="0"/>
              <w:spacing w:after="120"/>
              <w:rPr>
                <w:rFonts w:cs="Calibri-Bold"/>
              </w:rPr>
            </w:pPr>
            <w:r w:rsidRPr="005244C0">
              <w:rPr>
                <w:rFonts w:cs="Calibri-Bold"/>
              </w:rPr>
              <w:t>Autonomous Sanctions Amendment Regulation 2013 (No. 1) [F2013L01447]</w:t>
            </w:r>
          </w:p>
        </w:tc>
        <w:tc>
          <w:tcPr>
            <w:tcW w:w="1134" w:type="dxa"/>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3620C8">
            <w:pPr>
              <w:jc w:val="center"/>
              <w:cnfStyle w:val="000000000000" w:firstRow="0" w:lastRow="0" w:firstColumn="0" w:lastColumn="0" w:oddVBand="0" w:evenVBand="0" w:oddHBand="0" w:evenHBand="0" w:firstRowFirstColumn="0" w:firstRowLastColumn="0" w:lastRowFirstColumn="0" w:lastRowLastColumn="0"/>
            </w:pPr>
            <w:hyperlink r:id="rId70" w:history="1">
              <w:r w:rsidR="00590A8C" w:rsidRPr="00704CB5">
                <w:rPr>
                  <w:rStyle w:val="Hyperlink"/>
                  <w:sz w:val="23"/>
                  <w:szCs w:val="23"/>
                </w:rPr>
                <w:t>28/44</w:t>
              </w:r>
            </w:hyperlink>
          </w:p>
        </w:tc>
        <w:tc>
          <w:tcPr>
            <w:tcW w:w="3544" w:type="dxa"/>
          </w:tcPr>
          <w:p w:rsidR="00590A8C" w:rsidRDefault="00590A8C"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rsidR="00590A8C" w:rsidRPr="009419EA" w:rsidRDefault="00590A8C"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995F7D">
            <w:pPr>
              <w:rPr>
                <w:rFonts w:ascii="Calibri" w:eastAsia="Times New Roman" w:hAnsi="Calibri" w:cs="Times New Roman"/>
                <w:color w:val="000000"/>
                <w:lang w:eastAsia="en-AU"/>
              </w:rPr>
            </w:pPr>
            <w:r w:rsidRPr="00E414A7">
              <w:rPr>
                <w:rFonts w:ascii="Calibri" w:eastAsia="Times New Roman" w:hAnsi="Calibri" w:cs="Times New Roman"/>
                <w:color w:val="000000"/>
                <w:lang w:eastAsia="en-AU"/>
              </w:rPr>
              <w:lastRenderedPageBreak/>
              <w:t>Banking (prudential standard) determination No. 10 of 2012 - Prudential Standard APS 117 - Capital Adequacy: Interest Rate Risk in the Banking Book (Advanced ADIs)</w:t>
            </w:r>
            <w:r>
              <w:rPr>
                <w:rFonts w:ascii="Calibri" w:eastAsia="Times New Roman" w:hAnsi="Calibri" w:cs="Times New Roman"/>
                <w:color w:val="000000"/>
                <w:lang w:eastAsia="en-AU"/>
              </w:rPr>
              <w:t xml:space="preserve"> [</w:t>
            </w:r>
            <w:r w:rsidRPr="00E414A7">
              <w:rPr>
                <w:rFonts w:ascii="Calibri" w:eastAsia="Times New Roman" w:hAnsi="Calibri" w:cs="Times New Roman"/>
                <w:color w:val="000000"/>
                <w:lang w:eastAsia="en-AU"/>
              </w:rPr>
              <w:t>F2012L02334</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7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995F7D">
            <w:pPr>
              <w:rPr>
                <w:rFonts w:ascii="Calibri" w:eastAsia="Times New Roman" w:hAnsi="Calibri" w:cs="Times New Roman"/>
                <w:color w:val="000000"/>
                <w:lang w:eastAsia="en-AU"/>
              </w:rPr>
            </w:pPr>
            <w:r w:rsidRPr="0017797E">
              <w:rPr>
                <w:rFonts w:ascii="Calibri" w:eastAsia="Times New Roman" w:hAnsi="Calibri" w:cs="Times New Roman"/>
                <w:color w:val="000000"/>
                <w:lang w:eastAsia="en-AU"/>
              </w:rPr>
              <w:t xml:space="preserve">Banking (prudential standard) determination No. 11 of 2012 - Prudential Standard APS 120 </w:t>
            </w:r>
            <w:r>
              <w:rPr>
                <w:rFonts w:ascii="Calibri" w:eastAsia="Times New Roman" w:hAnsi="Calibri" w:cs="Times New Roman"/>
                <w:color w:val="000000"/>
                <w:lang w:eastAsia="en-AU"/>
              </w:rPr>
              <w:t>–</w:t>
            </w:r>
            <w:r w:rsidRPr="0017797E">
              <w:rPr>
                <w:rFonts w:ascii="Calibri" w:eastAsia="Times New Roman" w:hAnsi="Calibri" w:cs="Times New Roman"/>
                <w:color w:val="000000"/>
                <w:lang w:eastAsia="en-AU"/>
              </w:rPr>
              <w:t xml:space="preserve"> Securitisation</w:t>
            </w:r>
            <w:r>
              <w:rPr>
                <w:rFonts w:ascii="Calibri" w:eastAsia="Times New Roman" w:hAnsi="Calibri" w:cs="Times New Roman"/>
                <w:color w:val="000000"/>
                <w:lang w:eastAsia="en-AU"/>
              </w:rPr>
              <w:t xml:space="preserve"> [</w:t>
            </w:r>
            <w:r w:rsidRPr="0017797E">
              <w:rPr>
                <w:rFonts w:ascii="Calibri" w:eastAsia="Times New Roman" w:hAnsi="Calibri" w:cs="Times New Roman"/>
                <w:color w:val="000000"/>
                <w:lang w:eastAsia="en-AU"/>
              </w:rPr>
              <w:t>F2012L02339</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7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7797E" w:rsidRDefault="00590A8C" w:rsidP="00995F7D">
            <w:pPr>
              <w:rPr>
                <w:rFonts w:ascii="Calibri" w:eastAsia="Times New Roman" w:hAnsi="Calibri" w:cs="Times New Roman"/>
                <w:color w:val="000000"/>
                <w:lang w:eastAsia="en-AU"/>
              </w:rPr>
            </w:pPr>
            <w:r w:rsidRPr="0017797E">
              <w:rPr>
                <w:rFonts w:ascii="Calibri" w:eastAsia="Times New Roman" w:hAnsi="Calibri" w:cs="Times New Roman"/>
                <w:color w:val="000000"/>
                <w:lang w:eastAsia="en-AU"/>
              </w:rPr>
              <w:t>Banking (prudential standard) determination No. 12 of 2012 - Prudential Standard APS 220 - Credit Quality</w:t>
            </w:r>
            <w:r>
              <w:rPr>
                <w:rFonts w:ascii="Calibri" w:eastAsia="Times New Roman" w:hAnsi="Calibri" w:cs="Times New Roman"/>
                <w:color w:val="000000"/>
                <w:lang w:eastAsia="en-AU"/>
              </w:rPr>
              <w:t xml:space="preserve"> [</w:t>
            </w:r>
            <w:r w:rsidRPr="0017797E">
              <w:rPr>
                <w:rFonts w:ascii="Calibri" w:eastAsia="Times New Roman" w:hAnsi="Calibri" w:cs="Times New Roman"/>
                <w:color w:val="000000"/>
                <w:lang w:eastAsia="en-AU"/>
              </w:rPr>
              <w:t>F2012L02345</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73"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7797E"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13 of 2012 - Prudential Standard APS 221 - Large Exposures</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F2012L02340</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7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14 of 2012 - Prudential Standard APS 222 - Associations with Related Entities</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F2012L02342</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75"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15 of 2012 - Prudential Standard APS 310 - Audit and Related Matters</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F2012L02343</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7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16 of 2012 - Prudential Standard APS 330 - Capital Adequacy: Public Disclosure of Prudential Information</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F2012L02344</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7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17 of 2012 - Prudential Standard APS 610 - Prudential Requirements for Providers of Purchased Payment Facilities</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F2012L02346</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7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 xml:space="preserve">Banking (prudential standard) determination No. 2 of 2012 - Prudential Standard APS 001 </w:t>
            </w:r>
            <w:r>
              <w:rPr>
                <w:rFonts w:ascii="Calibri" w:eastAsia="Times New Roman" w:hAnsi="Calibri" w:cs="Times New Roman"/>
                <w:color w:val="000000"/>
                <w:lang w:eastAsia="en-AU"/>
              </w:rPr>
              <w:t>–</w:t>
            </w:r>
            <w:r w:rsidRPr="00386CEB">
              <w:rPr>
                <w:rFonts w:ascii="Calibri" w:eastAsia="Times New Roman" w:hAnsi="Calibri" w:cs="Times New Roman"/>
                <w:color w:val="000000"/>
                <w:lang w:eastAsia="en-AU"/>
              </w:rPr>
              <w:t xml:space="preserve"> Definitions</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F2012L02328</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7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386CEB">
              <w:rPr>
                <w:rFonts w:ascii="Calibri" w:eastAsia="Times New Roman" w:hAnsi="Calibri" w:cs="Times New Roman"/>
                <w:color w:val="000000"/>
                <w:lang w:eastAsia="en-AU"/>
              </w:rPr>
              <w:t>Banking (prudential standard) determination No. 3 of 2012 - Prudential Standard APS 110 - Capital Adequacy</w:t>
            </w:r>
            <w:r>
              <w:rPr>
                <w:rFonts w:ascii="Calibri" w:eastAsia="Times New Roman" w:hAnsi="Calibri" w:cs="Times New Roman"/>
                <w:color w:val="000000"/>
                <w:lang w:eastAsia="en-AU"/>
              </w:rPr>
              <w:t xml:space="preserve"> [</w:t>
            </w:r>
            <w:r w:rsidRPr="00386CEB">
              <w:rPr>
                <w:rFonts w:ascii="Calibri" w:eastAsia="Times New Roman" w:hAnsi="Calibri" w:cs="Times New Roman"/>
                <w:color w:val="000000"/>
                <w:lang w:eastAsia="en-AU"/>
              </w:rPr>
              <w:t>F2012L02327</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80"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86CEB" w:rsidRDefault="00590A8C" w:rsidP="00995F7D">
            <w:pPr>
              <w:rPr>
                <w:rFonts w:ascii="Calibri" w:eastAsia="Times New Roman" w:hAnsi="Calibri" w:cs="Times New Roman"/>
                <w:color w:val="000000"/>
                <w:lang w:eastAsia="en-AU"/>
              </w:rPr>
            </w:pPr>
            <w:r w:rsidRPr="00C37541">
              <w:rPr>
                <w:rFonts w:ascii="Calibri" w:eastAsia="Times New Roman" w:hAnsi="Calibri" w:cs="Times New Roman"/>
                <w:color w:val="000000"/>
                <w:lang w:eastAsia="en-AU"/>
              </w:rPr>
              <w:t>Banking (prudential standard) determination No. 4 of 2012 - Prudential Standard APS 111 - Capital Adequacy: Measurement of Capital</w:t>
            </w:r>
            <w:r>
              <w:rPr>
                <w:rFonts w:ascii="Calibri" w:eastAsia="Times New Roman" w:hAnsi="Calibri" w:cs="Times New Roman"/>
                <w:color w:val="000000"/>
                <w:lang w:eastAsia="en-AU"/>
              </w:rPr>
              <w:t xml:space="preserve"> [</w:t>
            </w:r>
            <w:r w:rsidRPr="00CE0D98">
              <w:rPr>
                <w:rFonts w:ascii="Calibri" w:eastAsia="Times New Roman" w:hAnsi="Calibri" w:cs="Times New Roman"/>
                <w:color w:val="000000"/>
                <w:lang w:eastAsia="en-AU"/>
              </w:rPr>
              <w:t>F2012L02335</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8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37541" w:rsidRDefault="00590A8C" w:rsidP="00995F7D">
            <w:pPr>
              <w:rPr>
                <w:rFonts w:ascii="Calibri" w:eastAsia="Times New Roman" w:hAnsi="Calibri" w:cs="Times New Roman"/>
                <w:color w:val="000000"/>
                <w:lang w:eastAsia="en-AU"/>
              </w:rPr>
            </w:pPr>
            <w:r w:rsidRPr="00CE0D98">
              <w:rPr>
                <w:rFonts w:ascii="Calibri" w:eastAsia="Times New Roman" w:hAnsi="Calibri" w:cs="Times New Roman"/>
                <w:color w:val="000000"/>
                <w:lang w:eastAsia="en-AU"/>
              </w:rPr>
              <w:lastRenderedPageBreak/>
              <w:t>Banking (prudential standard) determination No. 5 of 2012 - Prudential Standard APS 112 - Capital Adequacy: Standardised Approach to Credit Risk</w:t>
            </w:r>
            <w:r>
              <w:rPr>
                <w:rFonts w:ascii="Calibri" w:eastAsia="Times New Roman" w:hAnsi="Calibri" w:cs="Times New Roman"/>
                <w:color w:val="000000"/>
                <w:lang w:eastAsia="en-AU"/>
              </w:rPr>
              <w:t xml:space="preserve"> [</w:t>
            </w:r>
            <w:r w:rsidRPr="00CE0D98">
              <w:rPr>
                <w:rFonts w:ascii="Calibri" w:eastAsia="Times New Roman" w:hAnsi="Calibri" w:cs="Times New Roman"/>
                <w:color w:val="000000"/>
                <w:lang w:eastAsia="en-AU"/>
              </w:rPr>
              <w:t>F2012L02330</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8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E0D98" w:rsidRDefault="00590A8C" w:rsidP="00995F7D">
            <w:pPr>
              <w:rPr>
                <w:rFonts w:ascii="Calibri" w:eastAsia="Times New Roman" w:hAnsi="Calibri" w:cs="Times New Roman"/>
                <w:color w:val="000000"/>
                <w:lang w:eastAsia="en-AU"/>
              </w:rPr>
            </w:pPr>
            <w:r w:rsidRPr="00CE0D98">
              <w:rPr>
                <w:rFonts w:ascii="Calibri" w:eastAsia="Times New Roman" w:hAnsi="Calibri" w:cs="Times New Roman"/>
                <w:color w:val="000000"/>
                <w:lang w:eastAsia="en-AU"/>
              </w:rPr>
              <w:t>Banking (prudential standard) determination No. 6 of 2012 - Prudential Standards APS 113 - Capital Adequacy: Internal Ratings-based Approach to Credit Risk</w:t>
            </w:r>
            <w:r>
              <w:rPr>
                <w:rFonts w:ascii="Calibri" w:eastAsia="Times New Roman" w:hAnsi="Calibri" w:cs="Times New Roman"/>
                <w:color w:val="000000"/>
                <w:lang w:eastAsia="en-AU"/>
              </w:rPr>
              <w:t xml:space="preserve"> [</w:t>
            </w:r>
            <w:r w:rsidRPr="00CE0D98">
              <w:rPr>
                <w:rFonts w:ascii="Calibri" w:eastAsia="Times New Roman" w:hAnsi="Calibri" w:cs="Times New Roman"/>
                <w:color w:val="000000"/>
                <w:lang w:eastAsia="en-AU"/>
              </w:rPr>
              <w:t>F2012L02329</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83"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E0D98" w:rsidRDefault="00590A8C" w:rsidP="00995F7D">
            <w:pPr>
              <w:rPr>
                <w:rFonts w:ascii="Calibri" w:eastAsia="Times New Roman" w:hAnsi="Calibri" w:cs="Times New Roman"/>
                <w:color w:val="000000"/>
                <w:lang w:eastAsia="en-AU"/>
              </w:rPr>
            </w:pPr>
            <w:r w:rsidRPr="00CE0D98">
              <w:rPr>
                <w:rFonts w:ascii="Calibri" w:eastAsia="Times New Roman" w:hAnsi="Calibri" w:cs="Times New Roman"/>
                <w:color w:val="000000"/>
                <w:lang w:eastAsia="en-AU"/>
              </w:rPr>
              <w:t>Banking (prudential standard) determination No. 7 of 2012 - Prudential Standard APS 114 - Capital Adequacy: Standardised Approach to Operational Risk</w:t>
            </w:r>
            <w:r>
              <w:rPr>
                <w:rFonts w:ascii="Calibri" w:eastAsia="Times New Roman" w:hAnsi="Calibri" w:cs="Times New Roman"/>
                <w:color w:val="000000"/>
                <w:lang w:eastAsia="en-AU"/>
              </w:rPr>
              <w:t xml:space="preserve"> [</w:t>
            </w:r>
            <w:r w:rsidRPr="00CE0D98">
              <w:rPr>
                <w:rFonts w:ascii="Calibri" w:eastAsia="Times New Roman" w:hAnsi="Calibri" w:cs="Times New Roman"/>
                <w:color w:val="000000"/>
                <w:lang w:eastAsia="en-AU"/>
              </w:rPr>
              <w:t>F2012L02332</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8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E0D98" w:rsidRDefault="00590A8C" w:rsidP="00995F7D">
            <w:pPr>
              <w:rPr>
                <w:rFonts w:ascii="Calibri" w:eastAsia="Times New Roman" w:hAnsi="Calibri" w:cs="Times New Roman"/>
                <w:color w:val="000000"/>
                <w:lang w:eastAsia="en-AU"/>
              </w:rPr>
            </w:pPr>
            <w:r w:rsidRPr="005524DB">
              <w:rPr>
                <w:rFonts w:ascii="Calibri" w:eastAsia="Times New Roman" w:hAnsi="Calibri" w:cs="Times New Roman"/>
                <w:color w:val="000000"/>
                <w:lang w:eastAsia="en-AU"/>
              </w:rPr>
              <w:t>Banking (prudential standard) determination No. 8 of 2012 - Prudential Standard APS 115 - Capital Adequacy: Advanced Measurement Approaches to Operational Risk</w:t>
            </w:r>
            <w:r>
              <w:rPr>
                <w:rFonts w:ascii="Calibri" w:eastAsia="Times New Roman" w:hAnsi="Calibri" w:cs="Times New Roman"/>
                <w:color w:val="000000"/>
                <w:lang w:eastAsia="en-AU"/>
              </w:rPr>
              <w:t xml:space="preserve"> [</w:t>
            </w:r>
            <w:r w:rsidRPr="005524DB">
              <w:rPr>
                <w:rFonts w:ascii="Calibri" w:eastAsia="Times New Roman" w:hAnsi="Calibri" w:cs="Times New Roman"/>
                <w:color w:val="000000"/>
                <w:lang w:eastAsia="en-AU"/>
              </w:rPr>
              <w:t>F2012L02331</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85"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524DB" w:rsidRDefault="00590A8C" w:rsidP="00995F7D">
            <w:pPr>
              <w:rPr>
                <w:rFonts w:ascii="Calibri" w:eastAsia="Times New Roman" w:hAnsi="Calibri" w:cs="Times New Roman"/>
                <w:color w:val="000000"/>
                <w:lang w:eastAsia="en-AU"/>
              </w:rPr>
            </w:pPr>
            <w:r w:rsidRPr="005524DB">
              <w:rPr>
                <w:rFonts w:ascii="Calibri" w:eastAsia="Times New Roman" w:hAnsi="Calibri" w:cs="Times New Roman"/>
                <w:color w:val="000000"/>
                <w:lang w:eastAsia="en-AU"/>
              </w:rPr>
              <w:t>Banking (prudential standard) determination No. 9 of 2012 - Prudential Standard APS 116 - Capital Adequacy: Market Risk</w:t>
            </w:r>
            <w:r>
              <w:rPr>
                <w:rFonts w:ascii="Calibri" w:eastAsia="Times New Roman" w:hAnsi="Calibri" w:cs="Times New Roman"/>
                <w:color w:val="000000"/>
                <w:lang w:eastAsia="en-AU"/>
              </w:rPr>
              <w:t xml:space="preserve"> [</w:t>
            </w:r>
            <w:r w:rsidRPr="005524DB">
              <w:rPr>
                <w:rFonts w:ascii="Calibri" w:eastAsia="Times New Roman" w:hAnsi="Calibri" w:cs="Times New Roman"/>
                <w:color w:val="000000"/>
                <w:lang w:eastAsia="en-AU"/>
              </w:rPr>
              <w:t>F2012L02338</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8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524DB" w:rsidRDefault="00590A8C" w:rsidP="00995F7D">
            <w:pPr>
              <w:rPr>
                <w:rFonts w:ascii="Calibri" w:eastAsia="Times New Roman" w:hAnsi="Calibri" w:cs="Times New Roman"/>
                <w:color w:val="000000"/>
                <w:lang w:eastAsia="en-AU"/>
              </w:rPr>
            </w:pPr>
            <w:r w:rsidRPr="005524DB">
              <w:rPr>
                <w:rFonts w:ascii="Calibri" w:eastAsia="Times New Roman" w:hAnsi="Calibri" w:cs="Times New Roman"/>
                <w:color w:val="000000"/>
                <w:lang w:eastAsia="en-AU"/>
              </w:rPr>
              <w:t>Banking Sector Legislation Amendment Regulation 2012 (No. 1)</w:t>
            </w:r>
            <w:r>
              <w:rPr>
                <w:rFonts w:ascii="Calibri" w:eastAsia="Times New Roman" w:hAnsi="Calibri" w:cs="Times New Roman"/>
                <w:color w:val="000000"/>
                <w:lang w:eastAsia="en-AU"/>
              </w:rPr>
              <w:t xml:space="preserve"> [</w:t>
            </w:r>
            <w:r w:rsidRPr="005524DB">
              <w:rPr>
                <w:rFonts w:ascii="Calibri" w:eastAsia="Times New Roman" w:hAnsi="Calibri" w:cs="Times New Roman"/>
                <w:color w:val="000000"/>
                <w:lang w:eastAsia="en-AU"/>
              </w:rPr>
              <w:t>F2012L02397</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8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524DB" w:rsidRDefault="00590A8C" w:rsidP="00995F7D">
            <w:pPr>
              <w:rPr>
                <w:rFonts w:ascii="Calibri" w:eastAsia="Times New Roman" w:hAnsi="Calibri" w:cs="Times New Roman"/>
                <w:color w:val="000000"/>
                <w:lang w:eastAsia="en-AU"/>
              </w:rPr>
            </w:pPr>
            <w:r w:rsidRPr="005524DB">
              <w:rPr>
                <w:rFonts w:ascii="Calibri" w:eastAsia="Times New Roman" w:hAnsi="Calibri" w:cs="Times New Roman"/>
                <w:color w:val="000000"/>
                <w:lang w:eastAsia="en-AU"/>
              </w:rPr>
              <w:t xml:space="preserve">Banking, Insurance and Life Insurance (prudential standard) determination No. 1 of 2012 - Prudential Standard CPS 231 </w:t>
            </w:r>
            <w:r>
              <w:rPr>
                <w:rFonts w:ascii="Calibri" w:eastAsia="Times New Roman" w:hAnsi="Calibri" w:cs="Times New Roman"/>
                <w:color w:val="000000"/>
                <w:lang w:eastAsia="en-AU"/>
              </w:rPr>
              <w:t>–</w:t>
            </w:r>
            <w:r w:rsidRPr="005524DB">
              <w:rPr>
                <w:rFonts w:ascii="Calibri" w:eastAsia="Times New Roman" w:hAnsi="Calibri" w:cs="Times New Roman"/>
                <w:color w:val="000000"/>
                <w:lang w:eastAsia="en-AU"/>
              </w:rPr>
              <w:t xml:space="preserve"> Outsourcing</w:t>
            </w:r>
            <w:r>
              <w:rPr>
                <w:rFonts w:ascii="Calibri" w:eastAsia="Times New Roman" w:hAnsi="Calibri" w:cs="Times New Roman"/>
                <w:color w:val="000000"/>
                <w:lang w:eastAsia="en-AU"/>
              </w:rPr>
              <w:t xml:space="preserve"> [</w:t>
            </w:r>
            <w:r w:rsidRPr="005524DB">
              <w:rPr>
                <w:rFonts w:ascii="Calibri" w:eastAsia="Times New Roman" w:hAnsi="Calibri" w:cs="Times New Roman"/>
                <w:color w:val="000000"/>
                <w:lang w:eastAsia="en-AU"/>
              </w:rPr>
              <w:t>F2012L02439</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8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524DB" w:rsidRDefault="00590A8C" w:rsidP="00995F7D">
            <w:pPr>
              <w:rPr>
                <w:rFonts w:ascii="Calibri" w:eastAsia="Times New Roman" w:hAnsi="Calibri" w:cs="Times New Roman"/>
                <w:color w:val="000000"/>
                <w:lang w:eastAsia="en-AU"/>
              </w:rPr>
            </w:pPr>
            <w:r w:rsidRPr="00D614F5">
              <w:rPr>
                <w:rFonts w:ascii="Calibri" w:eastAsia="Times New Roman" w:hAnsi="Calibri" w:cs="Times New Roman"/>
                <w:color w:val="000000"/>
                <w:lang w:eastAsia="en-AU"/>
              </w:rPr>
              <w:t>Banking, Insurance and Life Insurance (prudential standard) determination No. 2 of 2012 - Prudential Standard CPS 232 - Business Continuity Management</w:t>
            </w:r>
            <w:r>
              <w:rPr>
                <w:rFonts w:ascii="Calibri" w:eastAsia="Times New Roman" w:hAnsi="Calibri" w:cs="Times New Roman"/>
                <w:color w:val="000000"/>
                <w:lang w:eastAsia="en-AU"/>
              </w:rPr>
              <w:t xml:space="preserve"> [</w:t>
            </w:r>
            <w:r w:rsidRPr="00D614F5">
              <w:rPr>
                <w:rFonts w:ascii="Calibri" w:eastAsia="Times New Roman" w:hAnsi="Calibri" w:cs="Times New Roman"/>
                <w:color w:val="000000"/>
                <w:lang w:eastAsia="en-AU"/>
              </w:rPr>
              <w:t>F2012L02440</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8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D614F5" w:rsidRDefault="00590A8C" w:rsidP="00995F7D">
            <w:pPr>
              <w:rPr>
                <w:rFonts w:ascii="Calibri" w:eastAsia="Times New Roman" w:hAnsi="Calibri" w:cs="Times New Roman"/>
                <w:color w:val="000000"/>
                <w:lang w:eastAsia="en-AU"/>
              </w:rPr>
            </w:pPr>
            <w:r w:rsidRPr="00DA6098">
              <w:rPr>
                <w:rFonts w:ascii="Calibri" w:eastAsia="Times New Roman" w:hAnsi="Calibri" w:cs="Times New Roman"/>
                <w:color w:val="000000"/>
                <w:lang w:eastAsia="en-AU"/>
              </w:rPr>
              <w:t xml:space="preserve">Banking, Insurance and Life Insurance (prudential standard) determination No. 3 of 2012 -  Prudential Standard CPS 510 </w:t>
            </w:r>
            <w:r>
              <w:rPr>
                <w:rFonts w:ascii="Calibri" w:eastAsia="Times New Roman" w:hAnsi="Calibri" w:cs="Times New Roman"/>
                <w:color w:val="000000"/>
                <w:lang w:eastAsia="en-AU"/>
              </w:rPr>
              <w:t>–</w:t>
            </w:r>
            <w:r w:rsidRPr="00DA6098">
              <w:rPr>
                <w:rFonts w:ascii="Calibri" w:eastAsia="Times New Roman" w:hAnsi="Calibri" w:cs="Times New Roman"/>
                <w:color w:val="000000"/>
                <w:lang w:eastAsia="en-AU"/>
              </w:rPr>
              <w:t xml:space="preserve"> Governance</w:t>
            </w:r>
            <w:r>
              <w:rPr>
                <w:rFonts w:ascii="Calibri" w:eastAsia="Times New Roman" w:hAnsi="Calibri" w:cs="Times New Roman"/>
                <w:color w:val="000000"/>
                <w:lang w:eastAsia="en-AU"/>
              </w:rPr>
              <w:t xml:space="preserve"> [</w:t>
            </w:r>
            <w:r w:rsidRPr="00DA6098">
              <w:rPr>
                <w:rFonts w:ascii="Calibri" w:eastAsia="Times New Roman" w:hAnsi="Calibri" w:cs="Times New Roman"/>
                <w:color w:val="000000"/>
                <w:lang w:eastAsia="en-AU"/>
              </w:rPr>
              <w:t>F2012L02441</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100000" w:firstRow="0" w:lastRow="0" w:firstColumn="0" w:lastColumn="0" w:oddVBand="0" w:evenVBand="0" w:oddHBand="1" w:evenHBand="0" w:firstRowFirstColumn="0" w:firstRowLastColumn="0" w:lastRowFirstColumn="0" w:lastRowLastColumn="0"/>
            </w:pPr>
            <w:hyperlink r:id="rId90"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DA6098" w:rsidRDefault="00590A8C" w:rsidP="00995F7D">
            <w:pPr>
              <w:rPr>
                <w:rFonts w:ascii="Calibri" w:eastAsia="Times New Roman" w:hAnsi="Calibri" w:cs="Times New Roman"/>
                <w:color w:val="000000"/>
                <w:lang w:eastAsia="en-AU"/>
              </w:rPr>
            </w:pPr>
            <w:r w:rsidRPr="00DA6098">
              <w:rPr>
                <w:rFonts w:ascii="Calibri" w:eastAsia="Times New Roman" w:hAnsi="Calibri" w:cs="Times New Roman"/>
                <w:color w:val="000000"/>
                <w:lang w:eastAsia="en-AU"/>
              </w:rPr>
              <w:t>Banking, Insurance and Life Insurance (prudential standard) determination No. 4 of 2012 - Prudential Standard CPS 520 - Fit and Proper</w:t>
            </w:r>
            <w:r>
              <w:rPr>
                <w:rFonts w:ascii="Calibri" w:eastAsia="Times New Roman" w:hAnsi="Calibri" w:cs="Times New Roman"/>
                <w:color w:val="000000"/>
                <w:lang w:eastAsia="en-AU"/>
              </w:rPr>
              <w:t xml:space="preserve"> [</w:t>
            </w:r>
            <w:r w:rsidRPr="00DA6098">
              <w:rPr>
                <w:rFonts w:ascii="Calibri" w:eastAsia="Times New Roman" w:hAnsi="Calibri" w:cs="Times New Roman"/>
                <w:color w:val="000000"/>
                <w:lang w:eastAsia="en-AU"/>
              </w:rPr>
              <w:t>F2012L02445</w:t>
            </w:r>
            <w:r>
              <w:rPr>
                <w:rFonts w:ascii="Calibri" w:eastAsia="Times New Roman" w:hAnsi="Calibri" w:cs="Times New Roman"/>
                <w:color w:val="000000"/>
                <w:lang w:eastAsia="en-AU"/>
              </w:rPr>
              <w:t>]</w:t>
            </w:r>
          </w:p>
        </w:tc>
        <w:tc>
          <w:tcPr>
            <w:tcW w:w="1134" w:type="dxa"/>
          </w:tcPr>
          <w:p w:rsidR="00590A8C" w:rsidRDefault="00590A8C" w:rsidP="00995F7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995F7D">
            <w:pPr>
              <w:jc w:val="center"/>
              <w:cnfStyle w:val="000000000000" w:firstRow="0" w:lastRow="0" w:firstColumn="0" w:lastColumn="0" w:oddVBand="0" w:evenVBand="0" w:oddHBand="0" w:evenHBand="0" w:firstRowFirstColumn="0" w:firstRowLastColumn="0" w:lastRowFirstColumn="0" w:lastRowLastColumn="0"/>
            </w:pPr>
            <w:hyperlink r:id="rId9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90A8C" w:rsidRPr="009419EA" w:rsidRDefault="00590A8C"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5869BC">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5869BC">
            <w:pPr>
              <w:rPr>
                <w:rFonts w:ascii="Calibri" w:eastAsia="Times New Roman" w:hAnsi="Calibri" w:cs="Times New Roman"/>
                <w:color w:val="000000"/>
                <w:lang w:eastAsia="en-AU"/>
              </w:rPr>
            </w:pPr>
            <w:r w:rsidRPr="005869BC">
              <w:rPr>
                <w:rFonts w:ascii="Calibri" w:eastAsia="Times New Roman" w:hAnsi="Calibri" w:cs="Times New Roman"/>
                <w:color w:val="000000"/>
                <w:lang w:eastAsia="en-AU"/>
              </w:rPr>
              <w:t xml:space="preserve">Carbon Credits (Carbon Farming Initiative) (Diversion of Legacy Waste to an Alternative Waste Treatment Facility) </w:t>
            </w:r>
            <w:r w:rsidRPr="005869BC">
              <w:rPr>
                <w:rFonts w:ascii="Calibri" w:eastAsia="Times New Roman" w:hAnsi="Calibri" w:cs="Times New Roman"/>
                <w:color w:val="000000"/>
                <w:lang w:eastAsia="en-AU"/>
              </w:rPr>
              <w:lastRenderedPageBreak/>
              <w:t>Methodology Determination 2013</w:t>
            </w:r>
            <w:r>
              <w:rPr>
                <w:rFonts w:ascii="Calibri" w:eastAsia="Times New Roman" w:hAnsi="Calibri" w:cs="Times New Roman"/>
                <w:color w:val="000000"/>
                <w:lang w:eastAsia="en-AU"/>
              </w:rPr>
              <w:t xml:space="preserve"> [</w:t>
            </w:r>
            <w:r w:rsidRPr="005869BC">
              <w:rPr>
                <w:rFonts w:ascii="Calibri" w:eastAsia="Times New Roman" w:hAnsi="Calibri" w:cs="Times New Roman"/>
                <w:color w:val="000000"/>
                <w:lang w:eastAsia="en-AU"/>
              </w:rPr>
              <w:t>F2013L00161</w:t>
            </w:r>
            <w:r>
              <w:rPr>
                <w:rFonts w:ascii="Calibri" w:eastAsia="Times New Roman" w:hAnsi="Calibri" w:cs="Times New Roman"/>
                <w:color w:val="000000"/>
                <w:lang w:eastAsia="en-AU"/>
              </w:rPr>
              <w:t>]</w:t>
            </w:r>
          </w:p>
        </w:tc>
        <w:tc>
          <w:tcPr>
            <w:tcW w:w="1134" w:type="dxa"/>
          </w:tcPr>
          <w:p w:rsidR="00590A8C" w:rsidRDefault="00590A8C" w:rsidP="005869B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AO</w:t>
            </w:r>
          </w:p>
        </w:tc>
        <w:tc>
          <w:tcPr>
            <w:tcW w:w="1134" w:type="dxa"/>
          </w:tcPr>
          <w:p w:rsidR="00590A8C" w:rsidRDefault="00840504" w:rsidP="005869BC">
            <w:pPr>
              <w:jc w:val="center"/>
              <w:cnfStyle w:val="000000000000" w:firstRow="0" w:lastRow="0" w:firstColumn="0" w:lastColumn="0" w:oddVBand="0" w:evenVBand="0" w:oddHBand="0" w:evenHBand="0" w:firstRowFirstColumn="0" w:firstRowLastColumn="0" w:lastRowFirstColumn="0" w:lastRowLastColumn="0"/>
            </w:pPr>
            <w:hyperlink r:id="rId92" w:history="1">
              <w:r w:rsidR="00590A8C" w:rsidRPr="001635F1">
                <w:rPr>
                  <w:rStyle w:val="Hyperlink"/>
                </w:rPr>
                <w:t>3/13</w:t>
              </w:r>
            </w:hyperlink>
          </w:p>
        </w:tc>
        <w:tc>
          <w:tcPr>
            <w:tcW w:w="3544" w:type="dxa"/>
          </w:tcPr>
          <w:p w:rsidR="00590A8C" w:rsidRDefault="00590A8C" w:rsidP="005869BC">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5869BC">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5869BC">
            <w:pPr>
              <w:rPr>
                <w:rFonts w:ascii="Calibri" w:eastAsia="Times New Roman" w:hAnsi="Calibri" w:cs="Times New Roman"/>
                <w:color w:val="000000"/>
                <w:lang w:eastAsia="en-AU"/>
              </w:rPr>
            </w:pPr>
            <w:r w:rsidRPr="005869BC">
              <w:rPr>
                <w:rFonts w:ascii="Calibri" w:eastAsia="Times New Roman" w:hAnsi="Calibri" w:cs="Times New Roman"/>
                <w:color w:val="000000"/>
                <w:lang w:eastAsia="en-AU"/>
              </w:rPr>
              <w:lastRenderedPageBreak/>
              <w:t>Carbon Credits (Carbon Farming Initiative) (Human Induced Regeneration of a Permanent Even-Aged Native Forest) Methodology Determination 2013</w:t>
            </w:r>
            <w:r>
              <w:rPr>
                <w:rFonts w:ascii="Calibri" w:eastAsia="Times New Roman" w:hAnsi="Calibri" w:cs="Times New Roman"/>
                <w:color w:val="000000"/>
                <w:lang w:eastAsia="en-AU"/>
              </w:rPr>
              <w:t xml:space="preserve"> [</w:t>
            </w:r>
            <w:r w:rsidRPr="005869BC">
              <w:rPr>
                <w:rFonts w:ascii="Calibri" w:eastAsia="Times New Roman" w:hAnsi="Calibri" w:cs="Times New Roman"/>
                <w:color w:val="000000"/>
                <w:lang w:eastAsia="en-AU"/>
              </w:rPr>
              <w:t>F2013L00162</w:t>
            </w:r>
            <w:r>
              <w:rPr>
                <w:rFonts w:ascii="Calibri" w:eastAsia="Times New Roman" w:hAnsi="Calibri" w:cs="Times New Roman"/>
                <w:color w:val="000000"/>
                <w:lang w:eastAsia="en-AU"/>
              </w:rPr>
              <w:t>]</w:t>
            </w:r>
          </w:p>
        </w:tc>
        <w:tc>
          <w:tcPr>
            <w:tcW w:w="1134" w:type="dxa"/>
          </w:tcPr>
          <w:p w:rsidR="00590A8C" w:rsidRDefault="00590A8C" w:rsidP="005869B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5869BC">
            <w:pPr>
              <w:jc w:val="center"/>
              <w:cnfStyle w:val="000000100000" w:firstRow="0" w:lastRow="0" w:firstColumn="0" w:lastColumn="0" w:oddVBand="0" w:evenVBand="0" w:oddHBand="1" w:evenHBand="0" w:firstRowFirstColumn="0" w:firstRowLastColumn="0" w:lastRowFirstColumn="0" w:lastRowLastColumn="0"/>
            </w:pPr>
            <w:hyperlink r:id="rId93" w:history="1">
              <w:r w:rsidR="00590A8C" w:rsidRPr="001635F1">
                <w:rPr>
                  <w:rStyle w:val="Hyperlink"/>
                </w:rPr>
                <w:t>3/13</w:t>
              </w:r>
            </w:hyperlink>
          </w:p>
        </w:tc>
        <w:tc>
          <w:tcPr>
            <w:tcW w:w="3544" w:type="dxa"/>
          </w:tcPr>
          <w:p w:rsidR="00590A8C" w:rsidRDefault="00590A8C" w:rsidP="005869BC">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2276DE">
            <w:pPr>
              <w:rPr>
                <w:rFonts w:ascii="Calibri" w:eastAsia="Times New Roman" w:hAnsi="Calibri" w:cs="Times New Roman"/>
                <w:color w:val="000000"/>
                <w:lang w:eastAsia="en-AU"/>
              </w:rPr>
            </w:pPr>
            <w:r w:rsidRPr="005869BC">
              <w:rPr>
                <w:rFonts w:ascii="Calibri" w:eastAsia="Times New Roman" w:hAnsi="Calibri" w:cs="Times New Roman"/>
                <w:color w:val="000000"/>
                <w:lang w:eastAsia="en-AU"/>
              </w:rPr>
              <w:t>Carbon Credits (Carbon Farming Initiative) (Reforestation and Afforestation) Methodology Determination 2013</w:t>
            </w:r>
            <w:r>
              <w:rPr>
                <w:rFonts w:ascii="Calibri" w:eastAsia="Times New Roman" w:hAnsi="Calibri" w:cs="Times New Roman"/>
                <w:color w:val="000000"/>
                <w:lang w:eastAsia="en-AU"/>
              </w:rPr>
              <w:t xml:space="preserve"> [</w:t>
            </w:r>
            <w:r w:rsidRPr="005869BC">
              <w:rPr>
                <w:rFonts w:ascii="Calibri" w:eastAsia="Times New Roman" w:hAnsi="Calibri" w:cs="Times New Roman"/>
                <w:color w:val="000000"/>
                <w:lang w:eastAsia="en-AU"/>
              </w:rPr>
              <w:t>F2013L00123</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94" w:history="1">
              <w:r w:rsidR="00590A8C" w:rsidRPr="001635F1">
                <w:rPr>
                  <w:rStyle w:val="Hyperlink"/>
                </w:rPr>
                <w:t>3/13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25F6" w:rsidRDefault="00590A8C" w:rsidP="002276DE">
            <w:pPr>
              <w:rPr>
                <w:rFonts w:ascii="Calibri" w:eastAsia="Times New Roman" w:hAnsi="Calibri" w:cs="Times New Roman"/>
                <w:color w:val="000000"/>
                <w:lang w:eastAsia="en-AU"/>
              </w:rPr>
            </w:pPr>
            <w:r w:rsidRPr="000B22F3">
              <w:rPr>
                <w:rFonts w:ascii="Calibri" w:eastAsia="Times New Roman" w:hAnsi="Calibri" w:cs="Times New Roman"/>
                <w:color w:val="000000"/>
                <w:lang w:eastAsia="en-AU"/>
              </w:rPr>
              <w:t>CASA 390/12 - Instructions - GNSS primary means navigation (B737 NG aircraft)</w:t>
            </w:r>
            <w:r>
              <w:rPr>
                <w:rFonts w:ascii="Calibri" w:eastAsia="Times New Roman" w:hAnsi="Calibri" w:cs="Times New Roman"/>
                <w:color w:val="000000"/>
                <w:lang w:eastAsia="en-AU"/>
              </w:rPr>
              <w:t xml:space="preserve"> [</w:t>
            </w:r>
            <w:r w:rsidRPr="000B22F3">
              <w:rPr>
                <w:rFonts w:ascii="Calibri" w:eastAsia="Times New Roman" w:hAnsi="Calibri" w:cs="Times New Roman"/>
                <w:color w:val="000000"/>
                <w:lang w:eastAsia="en-AU"/>
              </w:rPr>
              <w:t>F2012L02428</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95"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25F6" w:rsidRDefault="00590A8C" w:rsidP="00D938CA">
            <w:pPr>
              <w:rPr>
                <w:rFonts w:ascii="Calibri" w:eastAsia="Times New Roman" w:hAnsi="Calibri" w:cs="Times New Roman"/>
                <w:color w:val="000000"/>
                <w:lang w:eastAsia="en-AU"/>
              </w:rPr>
            </w:pPr>
            <w:r w:rsidRPr="000B22F3">
              <w:rPr>
                <w:rFonts w:ascii="Calibri" w:eastAsia="Times New Roman" w:hAnsi="Calibri" w:cs="Times New Roman"/>
                <w:color w:val="000000"/>
                <w:lang w:eastAsia="en-AU"/>
              </w:rPr>
              <w:t>CASA 398/12 - Direction - number of cabin attendants (Virgin Australia International Airlines)</w:t>
            </w:r>
            <w:r>
              <w:rPr>
                <w:rFonts w:ascii="Calibri" w:eastAsia="Times New Roman" w:hAnsi="Calibri" w:cs="Times New Roman"/>
                <w:color w:val="000000"/>
                <w:lang w:eastAsia="en-AU"/>
              </w:rPr>
              <w:t xml:space="preserve"> [</w:t>
            </w:r>
            <w:r w:rsidRPr="000B22F3">
              <w:rPr>
                <w:rFonts w:ascii="Calibri" w:eastAsia="Times New Roman" w:hAnsi="Calibri" w:cs="Times New Roman"/>
                <w:color w:val="000000"/>
                <w:lang w:eastAsia="en-AU"/>
              </w:rPr>
              <w:t>F2012L02449</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96"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D938CA">
            <w:pPr>
              <w:rPr>
                <w:rFonts w:ascii="Calibri" w:eastAsia="Times New Roman" w:hAnsi="Calibri" w:cs="Times New Roman"/>
                <w:color w:val="000000"/>
                <w:lang w:eastAsia="en-AU"/>
              </w:rPr>
            </w:pPr>
            <w:r w:rsidRPr="000B22F3">
              <w:rPr>
                <w:rFonts w:ascii="Calibri" w:eastAsia="Times New Roman" w:hAnsi="Calibri" w:cs="Times New Roman"/>
                <w:color w:val="000000"/>
                <w:lang w:eastAsia="en-AU"/>
              </w:rPr>
              <w:t>CASA ADCX 024/12 - Revocation of Airworthiness Directives</w:t>
            </w:r>
            <w:r>
              <w:rPr>
                <w:rFonts w:ascii="Calibri" w:eastAsia="Times New Roman" w:hAnsi="Calibri" w:cs="Times New Roman"/>
                <w:color w:val="000000"/>
                <w:lang w:eastAsia="en-AU"/>
              </w:rPr>
              <w:t xml:space="preserve"> [</w:t>
            </w:r>
            <w:r w:rsidRPr="000B22F3">
              <w:rPr>
                <w:rFonts w:ascii="Calibri" w:eastAsia="Times New Roman" w:hAnsi="Calibri" w:cs="Times New Roman"/>
                <w:color w:val="000000"/>
                <w:lang w:eastAsia="en-AU"/>
              </w:rPr>
              <w:t>F2012L02293</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97"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D938CA">
            <w:pPr>
              <w:rPr>
                <w:rFonts w:ascii="Calibri" w:eastAsia="Times New Roman" w:hAnsi="Calibri" w:cs="Times New Roman"/>
                <w:color w:val="000000"/>
                <w:lang w:eastAsia="en-AU"/>
              </w:rPr>
            </w:pPr>
            <w:r w:rsidRPr="000B22F3">
              <w:rPr>
                <w:rFonts w:ascii="Calibri" w:eastAsia="Times New Roman" w:hAnsi="Calibri" w:cs="Times New Roman"/>
                <w:color w:val="000000"/>
                <w:lang w:eastAsia="en-AU"/>
              </w:rPr>
              <w:t xml:space="preserve">CASA EX168/12 - Exemption - from standard take-off and landing minima - </w:t>
            </w:r>
            <w:proofErr w:type="spellStart"/>
            <w:r w:rsidRPr="000B22F3">
              <w:rPr>
                <w:rFonts w:ascii="Calibri" w:eastAsia="Times New Roman" w:hAnsi="Calibri" w:cs="Times New Roman"/>
                <w:color w:val="000000"/>
                <w:lang w:eastAsia="en-AU"/>
              </w:rPr>
              <w:t>AirBridgeCargo</w:t>
            </w:r>
            <w:proofErr w:type="spellEnd"/>
            <w:r w:rsidRPr="000B22F3">
              <w:rPr>
                <w:rFonts w:ascii="Calibri" w:eastAsia="Times New Roman" w:hAnsi="Calibri" w:cs="Times New Roman"/>
                <w:color w:val="000000"/>
                <w:lang w:eastAsia="en-AU"/>
              </w:rPr>
              <w:t xml:space="preserve"> Airlines Ltd</w:t>
            </w:r>
            <w:r>
              <w:rPr>
                <w:rFonts w:ascii="Calibri" w:eastAsia="Times New Roman" w:hAnsi="Calibri" w:cs="Times New Roman"/>
                <w:color w:val="000000"/>
                <w:lang w:eastAsia="en-AU"/>
              </w:rPr>
              <w:t xml:space="preserve"> [</w:t>
            </w:r>
            <w:r w:rsidRPr="000B22F3">
              <w:rPr>
                <w:rFonts w:ascii="Calibri" w:eastAsia="Times New Roman" w:hAnsi="Calibri" w:cs="Times New Roman"/>
                <w:color w:val="000000"/>
                <w:lang w:eastAsia="en-AU"/>
              </w:rPr>
              <w:t>F2012L02265</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98"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B22F3" w:rsidRDefault="00590A8C" w:rsidP="00D938CA">
            <w:pPr>
              <w:rPr>
                <w:rFonts w:ascii="Calibri" w:eastAsia="Times New Roman" w:hAnsi="Calibri" w:cs="Times New Roman"/>
                <w:color w:val="000000"/>
                <w:lang w:eastAsia="en-AU"/>
              </w:rPr>
            </w:pPr>
            <w:r w:rsidRPr="004A2A8A">
              <w:rPr>
                <w:rFonts w:ascii="Calibri" w:eastAsia="Times New Roman" w:hAnsi="Calibri" w:cs="Times New Roman"/>
                <w:color w:val="000000"/>
                <w:lang w:eastAsia="en-AU"/>
              </w:rPr>
              <w:t>CASA EX170/12 - Exemption - of authorised flying instructors employed by Singapore Flying College Pte Ltd</w:t>
            </w:r>
            <w:r>
              <w:rPr>
                <w:rFonts w:ascii="Calibri" w:eastAsia="Times New Roman" w:hAnsi="Calibri" w:cs="Times New Roman"/>
                <w:color w:val="000000"/>
                <w:lang w:eastAsia="en-AU"/>
              </w:rPr>
              <w:t xml:space="preserve"> [</w:t>
            </w:r>
            <w:r w:rsidRPr="004A2A8A">
              <w:rPr>
                <w:rFonts w:ascii="Calibri" w:eastAsia="Times New Roman" w:hAnsi="Calibri" w:cs="Times New Roman"/>
                <w:color w:val="000000"/>
                <w:lang w:eastAsia="en-AU"/>
              </w:rPr>
              <w:t>F2012L02268</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99"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A2A8A" w:rsidRDefault="00590A8C" w:rsidP="00D938CA">
            <w:pPr>
              <w:rPr>
                <w:rFonts w:ascii="Calibri" w:eastAsia="Times New Roman" w:hAnsi="Calibri" w:cs="Times New Roman"/>
                <w:color w:val="000000"/>
                <w:lang w:eastAsia="en-AU"/>
              </w:rPr>
            </w:pPr>
            <w:r w:rsidRPr="004A2A8A">
              <w:rPr>
                <w:rFonts w:ascii="Calibri" w:eastAsia="Times New Roman" w:hAnsi="Calibri" w:cs="Times New Roman"/>
                <w:color w:val="000000"/>
                <w:lang w:eastAsia="en-AU"/>
              </w:rPr>
              <w:t>CASA EX172/12 - Exemption - minimum height and lateral separation for operations</w:t>
            </w:r>
            <w:r>
              <w:rPr>
                <w:rFonts w:ascii="Calibri" w:eastAsia="Times New Roman" w:hAnsi="Calibri" w:cs="Times New Roman"/>
                <w:color w:val="000000"/>
                <w:lang w:eastAsia="en-AU"/>
              </w:rPr>
              <w:t xml:space="preserve"> [</w:t>
            </w:r>
            <w:r w:rsidRPr="004A2A8A">
              <w:rPr>
                <w:rFonts w:ascii="Calibri" w:eastAsia="Times New Roman" w:hAnsi="Calibri" w:cs="Times New Roman"/>
                <w:color w:val="000000"/>
                <w:lang w:eastAsia="en-AU"/>
              </w:rPr>
              <w:t>F2012L02294</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00"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A2A8A" w:rsidRDefault="00590A8C" w:rsidP="00D938CA">
            <w:pPr>
              <w:rPr>
                <w:rFonts w:ascii="Calibri" w:eastAsia="Times New Roman" w:hAnsi="Calibri" w:cs="Times New Roman"/>
                <w:color w:val="000000"/>
                <w:lang w:eastAsia="en-AU"/>
              </w:rPr>
            </w:pPr>
            <w:r w:rsidRPr="004A2A8A">
              <w:rPr>
                <w:rFonts w:ascii="Calibri" w:eastAsia="Times New Roman" w:hAnsi="Calibri" w:cs="Times New Roman"/>
                <w:color w:val="000000"/>
                <w:lang w:eastAsia="en-AU"/>
              </w:rPr>
              <w:t>CASA EX175/12 - Exemption - side-facing seats on aircraft not occupied for take-off or landing</w:t>
            </w:r>
            <w:r>
              <w:rPr>
                <w:rFonts w:ascii="Calibri" w:eastAsia="Times New Roman" w:hAnsi="Calibri" w:cs="Times New Roman"/>
                <w:color w:val="000000"/>
                <w:lang w:eastAsia="en-AU"/>
              </w:rPr>
              <w:t xml:space="preserve"> [</w:t>
            </w:r>
            <w:r w:rsidRPr="004A2A8A">
              <w:rPr>
                <w:rFonts w:ascii="Calibri" w:eastAsia="Times New Roman" w:hAnsi="Calibri" w:cs="Times New Roman"/>
                <w:color w:val="000000"/>
                <w:lang w:eastAsia="en-AU"/>
              </w:rPr>
              <w:t>F2012L02288</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01"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A2A8A"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t xml:space="preserve">CASA EX176/12 - Exemption - </w:t>
            </w:r>
            <w:proofErr w:type="spellStart"/>
            <w:r w:rsidRPr="00044556">
              <w:rPr>
                <w:rFonts w:ascii="Calibri" w:eastAsia="Times New Roman" w:hAnsi="Calibri" w:cs="Times New Roman"/>
                <w:color w:val="000000"/>
                <w:lang w:eastAsia="en-AU"/>
              </w:rPr>
              <w:t>recency</w:t>
            </w:r>
            <w:proofErr w:type="spellEnd"/>
            <w:r w:rsidRPr="00044556">
              <w:rPr>
                <w:rFonts w:ascii="Calibri" w:eastAsia="Times New Roman" w:hAnsi="Calibri" w:cs="Times New Roman"/>
                <w:color w:val="000000"/>
                <w:lang w:eastAsia="en-AU"/>
              </w:rPr>
              <w:t xml:space="preserve"> requirements for night flying (National Jet Express Pty Ltd)</w:t>
            </w:r>
            <w:r>
              <w:rPr>
                <w:rFonts w:ascii="Calibri" w:eastAsia="Times New Roman" w:hAnsi="Calibri" w:cs="Times New Roman"/>
                <w:color w:val="000000"/>
                <w:lang w:eastAsia="en-AU"/>
              </w:rPr>
              <w:t xml:space="preserve"> [</w:t>
            </w:r>
            <w:r w:rsidRPr="00044556">
              <w:rPr>
                <w:rFonts w:ascii="Calibri" w:eastAsia="Times New Roman" w:hAnsi="Calibri" w:cs="Times New Roman"/>
                <w:color w:val="000000"/>
                <w:lang w:eastAsia="en-AU"/>
              </w:rPr>
              <w:t>F2012L02296</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02"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t>CASA EX177/12 - Exemption - from flight simulator user approval</w:t>
            </w:r>
            <w:r>
              <w:rPr>
                <w:rFonts w:ascii="Calibri" w:eastAsia="Times New Roman" w:hAnsi="Calibri" w:cs="Times New Roman"/>
                <w:color w:val="000000"/>
                <w:lang w:eastAsia="en-AU"/>
              </w:rPr>
              <w:t xml:space="preserve"> [</w:t>
            </w:r>
            <w:r w:rsidRPr="00044556">
              <w:rPr>
                <w:rFonts w:ascii="Calibri" w:eastAsia="Times New Roman" w:hAnsi="Calibri" w:cs="Times New Roman"/>
                <w:color w:val="000000"/>
                <w:lang w:eastAsia="en-AU"/>
              </w:rPr>
              <w:t>F2012L02323</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03"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t>CASA EX179/12 - Exemption - minimum height and lateral separation for operations</w:t>
            </w:r>
            <w:r>
              <w:rPr>
                <w:rFonts w:ascii="Calibri" w:eastAsia="Times New Roman" w:hAnsi="Calibri" w:cs="Times New Roman"/>
                <w:color w:val="000000"/>
                <w:lang w:eastAsia="en-AU"/>
              </w:rPr>
              <w:t xml:space="preserve"> [</w:t>
            </w:r>
            <w:r w:rsidRPr="00044556">
              <w:rPr>
                <w:rFonts w:ascii="Calibri" w:eastAsia="Times New Roman" w:hAnsi="Calibri" w:cs="Times New Roman"/>
                <w:color w:val="000000"/>
                <w:lang w:eastAsia="en-AU"/>
              </w:rPr>
              <w:t>F2012L02297</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04"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lastRenderedPageBreak/>
              <w:t>CASA EX181/12 - Exemption - CASR Part 99 DAMP requirements for CAR 30 or Part 145 organisations overseas</w:t>
            </w:r>
            <w:r>
              <w:rPr>
                <w:rFonts w:ascii="Calibri" w:eastAsia="Times New Roman" w:hAnsi="Calibri" w:cs="Times New Roman"/>
                <w:color w:val="000000"/>
                <w:lang w:eastAsia="en-AU"/>
              </w:rPr>
              <w:t xml:space="preserve"> [</w:t>
            </w:r>
            <w:r w:rsidRPr="00044556">
              <w:rPr>
                <w:rFonts w:ascii="Calibri" w:eastAsia="Times New Roman" w:hAnsi="Calibri" w:cs="Times New Roman"/>
                <w:color w:val="000000"/>
                <w:lang w:eastAsia="en-AU"/>
              </w:rPr>
              <w:t>F2012L02302</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05"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t>CASA EX184/12 - Exemption - from standard take-off minima - Virgin Australia International Airlines</w:t>
            </w:r>
            <w:r>
              <w:rPr>
                <w:rFonts w:ascii="Calibri" w:eastAsia="Times New Roman" w:hAnsi="Calibri" w:cs="Times New Roman"/>
                <w:color w:val="000000"/>
                <w:lang w:eastAsia="en-AU"/>
              </w:rPr>
              <w:t xml:space="preserve"> [</w:t>
            </w:r>
            <w:r w:rsidRPr="00044556">
              <w:rPr>
                <w:rFonts w:ascii="Calibri" w:eastAsia="Times New Roman" w:hAnsi="Calibri" w:cs="Times New Roman"/>
                <w:color w:val="000000"/>
                <w:lang w:eastAsia="en-AU"/>
              </w:rPr>
              <w:t>F2012L02425</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06"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044556">
              <w:rPr>
                <w:rFonts w:ascii="Calibri" w:eastAsia="Times New Roman" w:hAnsi="Calibri" w:cs="Times New Roman"/>
                <w:color w:val="000000"/>
                <w:lang w:eastAsia="en-AU"/>
              </w:rPr>
              <w:t>CASA EX185/12 - Exemption - carriage of children suffering from a serious medical condition</w:t>
            </w:r>
            <w:r>
              <w:rPr>
                <w:rFonts w:ascii="Calibri" w:eastAsia="Times New Roman" w:hAnsi="Calibri" w:cs="Times New Roman"/>
                <w:color w:val="000000"/>
                <w:lang w:eastAsia="en-AU"/>
              </w:rPr>
              <w:t xml:space="preserve"> [</w:t>
            </w:r>
            <w:r w:rsidRPr="00EB3B73">
              <w:rPr>
                <w:rFonts w:ascii="Calibri" w:eastAsia="Times New Roman" w:hAnsi="Calibri" w:cs="Times New Roman"/>
                <w:color w:val="000000"/>
                <w:lang w:eastAsia="en-AU"/>
              </w:rPr>
              <w:t>F2012L02426</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07" w:history="1">
              <w:r w:rsidR="00590A8C" w:rsidRPr="00A93BAC">
                <w:rPr>
                  <w:rStyle w:val="Hyperlink"/>
                </w:rPr>
                <w:t>1/13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44556" w:rsidRDefault="00590A8C" w:rsidP="00D938CA">
            <w:pPr>
              <w:rPr>
                <w:rFonts w:ascii="Calibri" w:eastAsia="Times New Roman" w:hAnsi="Calibri" w:cs="Times New Roman"/>
                <w:color w:val="000000"/>
                <w:lang w:eastAsia="en-AU"/>
              </w:rPr>
            </w:pPr>
            <w:r w:rsidRPr="00EB3B73">
              <w:rPr>
                <w:rFonts w:ascii="Calibri" w:eastAsia="Times New Roman" w:hAnsi="Calibri" w:cs="Times New Roman"/>
                <w:color w:val="000000"/>
                <w:lang w:eastAsia="en-AU"/>
              </w:rPr>
              <w:t xml:space="preserve">CASA EX186/12 - Exemption - Virgin Australia International Airlines from </w:t>
            </w:r>
            <w:proofErr w:type="spellStart"/>
            <w:r w:rsidRPr="00EB3B73">
              <w:rPr>
                <w:rFonts w:ascii="Calibri" w:eastAsia="Times New Roman" w:hAnsi="Calibri" w:cs="Times New Roman"/>
                <w:color w:val="000000"/>
                <w:lang w:eastAsia="en-AU"/>
              </w:rPr>
              <w:t>subregulation</w:t>
            </w:r>
            <w:proofErr w:type="spellEnd"/>
            <w:r w:rsidRPr="00EB3B73">
              <w:rPr>
                <w:rFonts w:ascii="Calibri" w:eastAsia="Times New Roman" w:hAnsi="Calibri" w:cs="Times New Roman"/>
                <w:color w:val="000000"/>
                <w:lang w:eastAsia="en-AU"/>
              </w:rPr>
              <w:t xml:space="preserve"> 217 (2) of CAR 1988 and paragraph 3.3 of CAO 82.5</w:t>
            </w:r>
            <w:r>
              <w:rPr>
                <w:rFonts w:ascii="Calibri" w:eastAsia="Times New Roman" w:hAnsi="Calibri" w:cs="Times New Roman"/>
                <w:color w:val="000000"/>
                <w:lang w:eastAsia="en-AU"/>
              </w:rPr>
              <w:t xml:space="preserve"> [</w:t>
            </w:r>
            <w:r w:rsidRPr="00EB3B73">
              <w:rPr>
                <w:rFonts w:ascii="Calibri" w:eastAsia="Times New Roman" w:hAnsi="Calibri" w:cs="Times New Roman"/>
                <w:color w:val="000000"/>
                <w:lang w:eastAsia="en-AU"/>
              </w:rPr>
              <w:t>F2012L02427</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08"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EB3B73" w:rsidRDefault="00590A8C" w:rsidP="00D938CA">
            <w:pPr>
              <w:rPr>
                <w:rFonts w:ascii="Calibri" w:eastAsia="Times New Roman" w:hAnsi="Calibri" w:cs="Times New Roman"/>
                <w:color w:val="000000"/>
                <w:lang w:eastAsia="en-AU"/>
              </w:rPr>
            </w:pPr>
            <w:r w:rsidRPr="005869BC">
              <w:rPr>
                <w:rFonts w:ascii="Calibri" w:eastAsia="Times New Roman" w:hAnsi="Calibri" w:cs="Times New Roman"/>
                <w:color w:val="000000"/>
                <w:lang w:eastAsia="en-AU"/>
              </w:rPr>
              <w:t>CASA EX194/12 - Exemption - operations by hang-gliders in the Forbes Flatlands Hang Gliding Championships 2012-2013</w:t>
            </w:r>
            <w:r>
              <w:rPr>
                <w:rFonts w:ascii="Calibri" w:eastAsia="Times New Roman" w:hAnsi="Calibri" w:cs="Times New Roman"/>
                <w:color w:val="000000"/>
                <w:lang w:eastAsia="en-AU"/>
              </w:rPr>
              <w:t xml:space="preserve"> [</w:t>
            </w:r>
            <w:r w:rsidRPr="005869BC">
              <w:rPr>
                <w:rFonts w:ascii="Calibri" w:eastAsia="Times New Roman" w:hAnsi="Calibri" w:cs="Times New Roman"/>
                <w:color w:val="000000"/>
                <w:lang w:eastAsia="en-AU"/>
              </w:rPr>
              <w:t>F2012L02527</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09" w:history="1">
              <w:r w:rsidR="00590A8C" w:rsidRPr="001635F1">
                <w:rPr>
                  <w:rStyle w:val="Hyperlink"/>
                </w:rPr>
                <w:t>3/13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EB3B73" w:rsidRDefault="00590A8C" w:rsidP="00D938CA">
            <w:pPr>
              <w:rPr>
                <w:rFonts w:ascii="Calibri" w:eastAsia="Times New Roman" w:hAnsi="Calibri" w:cs="Times New Roman"/>
                <w:color w:val="000000"/>
                <w:lang w:eastAsia="en-AU"/>
              </w:rPr>
            </w:pPr>
            <w:r w:rsidRPr="00325C4E">
              <w:rPr>
                <w:rFonts w:ascii="Calibri" w:eastAsia="Times New Roman" w:hAnsi="Calibri" w:cs="Times New Roman"/>
                <w:color w:val="000000"/>
                <w:lang w:eastAsia="en-AU"/>
              </w:rPr>
              <w:t>Chancellorship Statute 2012</w:t>
            </w:r>
            <w:r>
              <w:rPr>
                <w:rFonts w:ascii="Calibri" w:eastAsia="Times New Roman" w:hAnsi="Calibri" w:cs="Times New Roman"/>
                <w:color w:val="000000"/>
                <w:lang w:eastAsia="en-AU"/>
              </w:rPr>
              <w:t xml:space="preserve"> [</w:t>
            </w:r>
            <w:r w:rsidRPr="00325C4E">
              <w:rPr>
                <w:rFonts w:ascii="Calibri" w:eastAsia="Times New Roman" w:hAnsi="Calibri" w:cs="Times New Roman"/>
                <w:color w:val="000000"/>
                <w:lang w:eastAsia="en-AU"/>
              </w:rPr>
              <w:t>F2012L02480</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10"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224B8" w:rsidRDefault="00590A8C" w:rsidP="00B224B8">
            <w:pPr>
              <w:autoSpaceDE w:val="0"/>
              <w:autoSpaceDN w:val="0"/>
              <w:adjustRightInd w:val="0"/>
              <w:rPr>
                <w:rFonts w:eastAsia="Times New Roman" w:cs="Times New Roman"/>
                <w:color w:val="000000"/>
                <w:lang w:eastAsia="en-AU"/>
              </w:rPr>
            </w:pPr>
            <w:r w:rsidRPr="00B224B8">
              <w:rPr>
                <w:rFonts w:cs="Calibri-Bold"/>
                <w:bCs w:val="0"/>
              </w:rPr>
              <w:t>Charter of the United Nations Legislation Amendment Regulation 2013 (No. 1)</w:t>
            </w:r>
            <w:r>
              <w:rPr>
                <w:rFonts w:cs="Calibri-Bold"/>
                <w:bCs w:val="0"/>
              </w:rPr>
              <w:t xml:space="preserve"> [F2013L00791]</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1" w:history="1">
              <w:r w:rsidR="00590A8C" w:rsidRPr="00B224B8">
                <w:rPr>
                  <w:rStyle w:val="Hyperlink"/>
                </w:rPr>
                <w:t>7/13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2" w:history="1">
              <w:r w:rsidR="00590A8C" w:rsidRPr="00037A34">
                <w:rPr>
                  <w:rStyle w:val="Hyperlink"/>
                </w:rPr>
                <w:t>10/13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3"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114" w:history="1">
              <w:r w:rsidR="00590A8C" w:rsidRPr="00704CB5">
                <w:rPr>
                  <w:rStyle w:val="Hyperlink"/>
                  <w:sz w:val="23"/>
                  <w:szCs w:val="23"/>
                </w:rPr>
                <w:t>28/44</w:t>
              </w:r>
            </w:hyperlink>
          </w:p>
        </w:tc>
        <w:tc>
          <w:tcPr>
            <w:tcW w:w="3544" w:type="dxa"/>
          </w:tcPr>
          <w:p w:rsidR="00590A8C" w:rsidRDefault="00590A8C" w:rsidP="00704CB5">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Presumed innocent; privacy </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224B8" w:rsidRDefault="00590A8C" w:rsidP="00771083">
            <w:pPr>
              <w:autoSpaceDE w:val="0"/>
              <w:autoSpaceDN w:val="0"/>
              <w:adjustRightInd w:val="0"/>
              <w:rPr>
                <w:rFonts w:cs="Calibri-Bold"/>
                <w:bCs w:val="0"/>
              </w:rPr>
            </w:pPr>
            <w:r w:rsidRPr="00771083">
              <w:rPr>
                <w:rFonts w:cs="Calibri-Bold"/>
                <w:bCs w:val="0"/>
              </w:rPr>
              <w:t>Charter of the United Nations (Sanctions – Democratic</w:t>
            </w:r>
            <w:r>
              <w:rPr>
                <w:rFonts w:cs="Calibri-Bold"/>
                <w:bCs w:val="0"/>
              </w:rPr>
              <w:t xml:space="preserve"> </w:t>
            </w:r>
            <w:r w:rsidRPr="00771083">
              <w:rPr>
                <w:rFonts w:cs="Calibri-Bold"/>
                <w:bCs w:val="0"/>
              </w:rPr>
              <w:t>People's Republic of Korea) Amendment Regulation 2013</w:t>
            </w:r>
            <w:r>
              <w:rPr>
                <w:rFonts w:cs="Calibri-Bold"/>
                <w:bCs w:val="0"/>
              </w:rPr>
              <w:t xml:space="preserve"> </w:t>
            </w:r>
            <w:r w:rsidRPr="00771083">
              <w:rPr>
                <w:rFonts w:cs="Calibri-Bold"/>
                <w:bCs w:val="0"/>
              </w:rPr>
              <w:t>(No 1)</w:t>
            </w:r>
            <w:r>
              <w:rPr>
                <w:rFonts w:cs="Calibri-Bold"/>
                <w:bCs w:val="0"/>
              </w:rPr>
              <w:t xml:space="preserve"> [</w:t>
            </w:r>
            <w:r w:rsidRPr="0088709B">
              <w:rPr>
                <w:rFonts w:cs="Calibri-Bold"/>
                <w:bCs w:val="0"/>
              </w:rPr>
              <w:t>F2013L01384</w:t>
            </w:r>
            <w:r>
              <w:rPr>
                <w:rFonts w:cs="Calibri-Bold"/>
                <w:bCs w:val="0"/>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15" w:history="1">
              <w:r w:rsidR="00590A8C" w:rsidRPr="001406A3">
                <w:rPr>
                  <w:rStyle w:val="Hyperlink"/>
                </w:rPr>
                <w:t>1/44</w:t>
              </w:r>
            </w:hyperlink>
          </w:p>
          <w:p w:rsidR="00590A8C" w:rsidRPr="009E70B3"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color w:val="0000FF" w:themeColor="hyperlink"/>
                <w:u w:val="single"/>
              </w:rPr>
            </w:pPr>
            <w:hyperlink r:id="rId116" w:history="1">
              <w:r w:rsidR="00590A8C" w:rsidRPr="00704CB5">
                <w:rPr>
                  <w:rStyle w:val="Hyperlink"/>
                  <w:sz w:val="23"/>
                  <w:szCs w:val="23"/>
                </w:rPr>
                <w:t>28/44</w:t>
              </w:r>
            </w:hyperlink>
          </w:p>
        </w:tc>
        <w:tc>
          <w:tcPr>
            <w:tcW w:w="3544" w:type="dxa"/>
          </w:tcPr>
          <w:p w:rsidR="00590A8C" w:rsidRDefault="00590A8C" w:rsidP="009F0A4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224B8" w:rsidRDefault="00590A8C" w:rsidP="00B224B8">
            <w:pPr>
              <w:autoSpaceDE w:val="0"/>
              <w:autoSpaceDN w:val="0"/>
              <w:adjustRightInd w:val="0"/>
              <w:rPr>
                <w:rFonts w:cs="Calibri-Bold"/>
                <w:bCs w:val="0"/>
              </w:rPr>
            </w:pPr>
            <w:r>
              <w:rPr>
                <w:rFonts w:cs="Calibri-Bold"/>
                <w:bCs w:val="0"/>
              </w:rPr>
              <w:t>Charter of the United Nations (UN Sanction Enforcement Law) Amendment Declaration 2013 (No, 1) [F2013L00789]</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7" w:history="1">
              <w:r w:rsidR="00590A8C" w:rsidRPr="00B224B8">
                <w:rPr>
                  <w:rStyle w:val="Hyperlink"/>
                </w:rPr>
                <w:t>7/13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8" w:history="1">
              <w:r w:rsidR="00590A8C" w:rsidRPr="00037A34">
                <w:rPr>
                  <w:rStyle w:val="Hyperlink"/>
                </w:rPr>
                <w:t>10/13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19"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120" w:history="1">
              <w:r w:rsidR="00590A8C" w:rsidRPr="00704CB5">
                <w:rPr>
                  <w:rStyle w:val="Hyperlink"/>
                  <w:sz w:val="23"/>
                  <w:szCs w:val="23"/>
                </w:rPr>
                <w:t>28/44</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Presumed innocent; privacy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224B8" w:rsidRDefault="00590A8C" w:rsidP="00B224B8">
            <w:pPr>
              <w:autoSpaceDE w:val="0"/>
              <w:autoSpaceDN w:val="0"/>
              <w:adjustRightInd w:val="0"/>
              <w:rPr>
                <w:rFonts w:cs="Calibri-Bold"/>
                <w:bCs w:val="0"/>
              </w:rPr>
            </w:pPr>
            <w:r w:rsidRPr="00B224B8">
              <w:rPr>
                <w:rFonts w:cs="Calibri-Bold"/>
                <w:bCs w:val="0"/>
              </w:rPr>
              <w:t xml:space="preserve">Charter of the United Nations (Sanctions </w:t>
            </w:r>
            <w:r w:rsidRPr="00B224B8">
              <w:rPr>
                <w:rFonts w:cs="Cambria Math"/>
                <w:bCs w:val="0"/>
              </w:rPr>
              <w:t>‐</w:t>
            </w:r>
            <w:r w:rsidRPr="00B224B8">
              <w:rPr>
                <w:rFonts w:cs="Calibri-Bold"/>
                <w:bCs w:val="0"/>
              </w:rPr>
              <w:t xml:space="preserve"> the Taliban) Regulation 2013</w:t>
            </w:r>
            <w:r>
              <w:rPr>
                <w:rFonts w:cs="Calibri-Bold"/>
                <w:bCs w:val="0"/>
              </w:rPr>
              <w:t xml:space="preserve"> [F2013L00787]</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21" w:history="1">
              <w:r w:rsidR="00590A8C" w:rsidRPr="00B224B8">
                <w:rPr>
                  <w:rStyle w:val="Hyperlink"/>
                </w:rPr>
                <w:t>7/13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22" w:history="1">
              <w:r w:rsidR="00590A8C" w:rsidRPr="00037A34">
                <w:rPr>
                  <w:rStyle w:val="Hyperlink"/>
                </w:rPr>
                <w:t>10/13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23"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124" w:history="1">
              <w:r w:rsidR="00590A8C" w:rsidRPr="00704CB5">
                <w:rPr>
                  <w:rStyle w:val="Hyperlink"/>
                  <w:sz w:val="23"/>
                  <w:szCs w:val="23"/>
                </w:rPr>
                <w:t>28/44</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Presumed innocent; privacy</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224B8" w:rsidRDefault="00590A8C" w:rsidP="00B224B8">
            <w:pPr>
              <w:autoSpaceDE w:val="0"/>
              <w:autoSpaceDN w:val="0"/>
              <w:adjustRightInd w:val="0"/>
              <w:rPr>
                <w:rFonts w:cs="Calibri-Bold"/>
                <w:bCs w:val="0"/>
              </w:rPr>
            </w:pPr>
            <w:r>
              <w:rPr>
                <w:rFonts w:cs="Calibri-Bold"/>
                <w:bCs w:val="0"/>
              </w:rPr>
              <w:t>Clean Energy (Auction of Carton Units) Determination 2013 [2013L00759]</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25" w:history="1">
              <w:r w:rsidR="00590A8C" w:rsidRPr="00B224B8">
                <w:rPr>
                  <w:rStyle w:val="Hyperlink"/>
                </w:rPr>
                <w:t>7/13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Privacy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25C4E" w:rsidRDefault="00590A8C" w:rsidP="00D938CA">
            <w:pPr>
              <w:rPr>
                <w:rFonts w:ascii="Calibri" w:eastAsia="Times New Roman" w:hAnsi="Calibri" w:cs="Times New Roman"/>
                <w:color w:val="000000"/>
                <w:lang w:eastAsia="en-AU"/>
              </w:rPr>
            </w:pPr>
            <w:r w:rsidRPr="005869BC">
              <w:rPr>
                <w:rFonts w:ascii="Calibri" w:eastAsia="Times New Roman" w:hAnsi="Calibri" w:cs="Times New Roman"/>
                <w:color w:val="000000"/>
                <w:lang w:eastAsia="en-AU"/>
              </w:rPr>
              <w:t>Commonwealth Scholarships Guidelines (Research) 2012</w:t>
            </w:r>
            <w:r>
              <w:rPr>
                <w:rFonts w:ascii="Calibri" w:eastAsia="Times New Roman" w:hAnsi="Calibri" w:cs="Times New Roman"/>
                <w:color w:val="000000"/>
                <w:lang w:eastAsia="en-AU"/>
              </w:rPr>
              <w:t xml:space="preserve"> [</w:t>
            </w:r>
            <w:r w:rsidRPr="00BA2A69">
              <w:rPr>
                <w:rFonts w:ascii="Calibri" w:eastAsia="Times New Roman" w:hAnsi="Calibri" w:cs="Times New Roman"/>
                <w:color w:val="000000"/>
                <w:lang w:eastAsia="en-AU"/>
              </w:rPr>
              <w:t>F2012L02535</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26" w:history="1">
              <w:r w:rsidR="00590A8C" w:rsidRPr="001635F1">
                <w:rPr>
                  <w:rStyle w:val="Hyperlink"/>
                </w:rPr>
                <w:t>3/13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869BC" w:rsidRDefault="00590A8C" w:rsidP="001406A3">
            <w:pPr>
              <w:rPr>
                <w:rFonts w:ascii="Calibri" w:eastAsia="Times New Roman" w:hAnsi="Calibri" w:cs="Times New Roman"/>
                <w:color w:val="000000"/>
                <w:lang w:eastAsia="en-AU"/>
              </w:rPr>
            </w:pPr>
            <w:r w:rsidRPr="001406A3">
              <w:rPr>
                <w:rFonts w:ascii="Calibri" w:eastAsia="Times New Roman" w:hAnsi="Calibri" w:cs="Times New Roman"/>
                <w:color w:val="000000"/>
                <w:lang w:eastAsia="en-AU"/>
              </w:rPr>
              <w:lastRenderedPageBreak/>
              <w:t>Corporations and Related Legislation Amendment</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Regulation 2013 (No. 1)</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F2013L01264</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27" w:history="1">
              <w:r w:rsidR="00590A8C" w:rsidRPr="001406A3">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128" w:history="1">
              <w:r w:rsidR="00590A8C" w:rsidRPr="00410D0C">
                <w:rPr>
                  <w:rStyle w:val="Hyperlink"/>
                  <w:sz w:val="23"/>
                  <w:szCs w:val="23"/>
                </w:rPr>
                <w:t>8/44</w:t>
              </w:r>
            </w:hyperlink>
          </w:p>
        </w:tc>
        <w:tc>
          <w:tcPr>
            <w:tcW w:w="3544" w:type="dxa"/>
          </w:tcPr>
          <w:p w:rsidR="00590A8C" w:rsidRDefault="00590A8C" w:rsidP="00410D0C">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Privacy </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507ED" w:rsidRDefault="00590A8C" w:rsidP="00D938CA">
            <w:pPr>
              <w:rPr>
                <w:rFonts w:eastAsia="Times New Roman" w:cs="Times New Roman"/>
                <w:color w:val="000000"/>
                <w:lang w:eastAsia="en-AU"/>
              </w:rPr>
            </w:pPr>
            <w:r w:rsidRPr="003507ED">
              <w:rPr>
                <w:rFonts w:cs="Calibri-Bold"/>
                <w:bCs w:val="0"/>
              </w:rPr>
              <w:t>Crimes Amendment Regulation 2013 (No. 1)</w:t>
            </w:r>
            <w:r>
              <w:rPr>
                <w:rFonts w:cs="Calibri-Bold"/>
                <w:bCs w:val="0"/>
              </w:rPr>
              <w:t xml:space="preserve"> [F2013L00592]</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29" w:history="1">
              <w:r w:rsidR="00590A8C" w:rsidRPr="003507ED">
                <w:rPr>
                  <w:rStyle w:val="Hyperlink"/>
                </w:rPr>
                <w:t>6/13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Freedom of movement; liberty; work; a private and family life</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869BC" w:rsidRDefault="00590A8C" w:rsidP="00D938CA">
            <w:pPr>
              <w:rPr>
                <w:rFonts w:ascii="Calibri" w:eastAsia="Times New Roman" w:hAnsi="Calibri" w:cs="Times New Roman"/>
                <w:color w:val="000000"/>
                <w:lang w:eastAsia="en-AU"/>
              </w:rPr>
            </w:pPr>
            <w:r w:rsidRPr="00BA2A69">
              <w:rPr>
                <w:rFonts w:ascii="Calibri" w:eastAsia="Times New Roman" w:hAnsi="Calibri" w:cs="Times New Roman"/>
                <w:color w:val="000000"/>
                <w:lang w:eastAsia="en-AU"/>
              </w:rPr>
              <w:t>Customs Act 1901 - Amendment of Approved Statement Instrument No. 1 of 2013 - Amendment of "Cargo Report (Air)"</w:t>
            </w:r>
            <w:r>
              <w:rPr>
                <w:rFonts w:ascii="Calibri" w:eastAsia="Times New Roman" w:hAnsi="Calibri" w:cs="Times New Roman"/>
                <w:color w:val="000000"/>
                <w:lang w:eastAsia="en-AU"/>
              </w:rPr>
              <w:t xml:space="preserve"> [</w:t>
            </w:r>
            <w:r w:rsidRPr="00BA2A69">
              <w:rPr>
                <w:rFonts w:ascii="Calibri" w:eastAsia="Times New Roman" w:hAnsi="Calibri" w:cs="Times New Roman"/>
                <w:color w:val="000000"/>
                <w:lang w:eastAsia="en-AU"/>
              </w:rPr>
              <w:t>F2013L00133</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100000" w:firstRow="0" w:lastRow="0" w:firstColumn="0" w:lastColumn="0" w:oddVBand="0" w:evenVBand="0" w:oddHBand="1" w:evenHBand="0" w:firstRowFirstColumn="0" w:firstRowLastColumn="0" w:lastRowFirstColumn="0" w:lastRowLastColumn="0"/>
            </w:pPr>
            <w:hyperlink r:id="rId130" w:history="1">
              <w:r w:rsidR="00590A8C" w:rsidRPr="001635F1">
                <w:rPr>
                  <w:rStyle w:val="Hyperlink"/>
                </w:rPr>
                <w:t>3/13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A2A69" w:rsidRDefault="00590A8C" w:rsidP="00D938CA">
            <w:pPr>
              <w:rPr>
                <w:rFonts w:ascii="Calibri" w:eastAsia="Times New Roman" w:hAnsi="Calibri" w:cs="Times New Roman"/>
                <w:color w:val="000000"/>
                <w:lang w:eastAsia="en-AU"/>
              </w:rPr>
            </w:pPr>
            <w:r w:rsidRPr="00BA2A69">
              <w:rPr>
                <w:rFonts w:ascii="Calibri" w:eastAsia="Times New Roman" w:hAnsi="Calibri" w:cs="Times New Roman"/>
                <w:color w:val="000000"/>
                <w:lang w:eastAsia="en-AU"/>
              </w:rPr>
              <w:t>Customs Act 1901 - Amendment of Approved Statement Instrument No. 2 of 2013 - Amendment of "Self-Assessed Clearance Declaration (Air) (To be Communicated with a Cargo Report)</w:t>
            </w:r>
            <w:r>
              <w:rPr>
                <w:rFonts w:ascii="Calibri" w:eastAsia="Times New Roman" w:hAnsi="Calibri" w:cs="Times New Roman"/>
                <w:color w:val="000000"/>
                <w:lang w:eastAsia="en-AU"/>
              </w:rPr>
              <w:t xml:space="preserve"> [</w:t>
            </w:r>
            <w:r w:rsidRPr="00BA2A69">
              <w:rPr>
                <w:rFonts w:ascii="Calibri" w:eastAsia="Times New Roman" w:hAnsi="Calibri" w:cs="Times New Roman"/>
                <w:color w:val="000000"/>
                <w:lang w:eastAsia="en-AU"/>
              </w:rPr>
              <w:t>F2013L00134</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31" w:history="1">
              <w:r w:rsidR="00590A8C" w:rsidRPr="001635F1">
                <w:rPr>
                  <w:rStyle w:val="Hyperlink"/>
                </w:rPr>
                <w:t>3/13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A2A69" w:rsidRDefault="00590A8C" w:rsidP="003469B2">
            <w:pPr>
              <w:rPr>
                <w:rFonts w:ascii="Calibri" w:eastAsia="Times New Roman" w:hAnsi="Calibri" w:cs="Times New Roman"/>
                <w:color w:val="000000"/>
                <w:lang w:eastAsia="en-AU"/>
              </w:rPr>
            </w:pPr>
            <w:r w:rsidRPr="00BA2A69">
              <w:rPr>
                <w:rFonts w:ascii="Calibri" w:eastAsia="Times New Roman" w:hAnsi="Calibri" w:cs="Times New Roman"/>
                <w:color w:val="000000"/>
                <w:lang w:eastAsia="en-AU"/>
              </w:rPr>
              <w:t>Customs Act 1901 - Amendment of Approved Statement Instrument No. 3 of 2013 - Amendment of "Import Declaration (N10)"</w:t>
            </w:r>
            <w:r>
              <w:rPr>
                <w:rFonts w:ascii="Calibri" w:eastAsia="Times New Roman" w:hAnsi="Calibri" w:cs="Times New Roman"/>
                <w:color w:val="000000"/>
                <w:lang w:eastAsia="en-AU"/>
              </w:rPr>
              <w:t xml:space="preserve"> [</w:t>
            </w:r>
            <w:r w:rsidRPr="00BA2A69">
              <w:rPr>
                <w:rFonts w:ascii="Calibri" w:eastAsia="Times New Roman" w:hAnsi="Calibri" w:cs="Times New Roman"/>
                <w:color w:val="000000"/>
                <w:lang w:eastAsia="en-AU"/>
              </w:rPr>
              <w:t>F2013L00135</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32" w:history="1">
              <w:r w:rsidR="00590A8C" w:rsidRPr="001635F1">
                <w:rPr>
                  <w:rStyle w:val="Hyperlink"/>
                </w:rPr>
                <w:t>3/13</w:t>
              </w:r>
            </w:hyperlink>
          </w:p>
        </w:tc>
        <w:tc>
          <w:tcPr>
            <w:tcW w:w="3544" w:type="dxa"/>
          </w:tcPr>
          <w:p w:rsidR="00590A8C" w:rsidRDefault="00590A8C" w:rsidP="003469B2">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A2A69" w:rsidRDefault="00590A8C" w:rsidP="003469B2">
            <w:pPr>
              <w:rPr>
                <w:rFonts w:ascii="Calibri" w:eastAsia="Times New Roman" w:hAnsi="Calibri" w:cs="Times New Roman"/>
                <w:color w:val="000000"/>
                <w:lang w:eastAsia="en-AU"/>
              </w:rPr>
            </w:pPr>
            <w:r w:rsidRPr="00BA2A69">
              <w:rPr>
                <w:rFonts w:ascii="Calibri" w:eastAsia="Times New Roman" w:hAnsi="Calibri" w:cs="Times New Roman"/>
                <w:color w:val="000000"/>
                <w:lang w:eastAsia="en-AU"/>
              </w:rPr>
              <w:t>Customs Act 1901 - Amendment of Approved Statement Instrument No. 4 of 2013 - Amendment of "Warehouse Declaration (N20)"</w:t>
            </w:r>
            <w:r>
              <w:rPr>
                <w:rFonts w:ascii="Calibri" w:eastAsia="Times New Roman" w:hAnsi="Calibri" w:cs="Times New Roman"/>
                <w:color w:val="000000"/>
                <w:lang w:eastAsia="en-AU"/>
              </w:rPr>
              <w:t>[</w:t>
            </w:r>
            <w:r>
              <w:t xml:space="preserve"> </w:t>
            </w:r>
            <w:r w:rsidRPr="00BA2A69">
              <w:rPr>
                <w:rFonts w:ascii="Calibri" w:eastAsia="Times New Roman" w:hAnsi="Calibri" w:cs="Times New Roman"/>
                <w:color w:val="000000"/>
                <w:lang w:eastAsia="en-AU"/>
              </w:rPr>
              <w:t>F2013L00138</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33" w:history="1">
              <w:r w:rsidR="00590A8C" w:rsidRPr="001635F1">
                <w:rPr>
                  <w:rStyle w:val="Hyperlink"/>
                </w:rPr>
                <w:t>3/13</w:t>
              </w:r>
            </w:hyperlink>
          </w:p>
        </w:tc>
        <w:tc>
          <w:tcPr>
            <w:tcW w:w="3544" w:type="dxa"/>
          </w:tcPr>
          <w:p w:rsidR="00590A8C" w:rsidRDefault="00590A8C" w:rsidP="003469B2">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A2A69" w:rsidRDefault="00590A8C" w:rsidP="003469B2">
            <w:pPr>
              <w:rPr>
                <w:rFonts w:ascii="Calibri" w:eastAsia="Times New Roman" w:hAnsi="Calibri" w:cs="Times New Roman"/>
                <w:color w:val="000000"/>
                <w:lang w:eastAsia="en-AU"/>
              </w:rPr>
            </w:pPr>
            <w:r w:rsidRPr="00BA2A69">
              <w:rPr>
                <w:rFonts w:ascii="Calibri" w:eastAsia="Times New Roman" w:hAnsi="Calibri" w:cs="Times New Roman"/>
                <w:color w:val="000000"/>
                <w:lang w:eastAsia="en-AU"/>
              </w:rPr>
              <w:t>Customs Act 1901 - Amendment of Approved Statement Instrument No. 5 of 2013 - Amendment of "SAC (Short Form)"</w:t>
            </w:r>
            <w:r>
              <w:rPr>
                <w:rFonts w:ascii="Calibri" w:eastAsia="Times New Roman" w:hAnsi="Calibri" w:cs="Times New Roman"/>
                <w:color w:val="000000"/>
                <w:lang w:eastAsia="en-AU"/>
              </w:rPr>
              <w:t xml:space="preserve"> [</w:t>
            </w:r>
            <w:r w:rsidRPr="00D52D01">
              <w:rPr>
                <w:rFonts w:ascii="Calibri" w:eastAsia="Times New Roman" w:hAnsi="Calibri" w:cs="Times New Roman"/>
                <w:color w:val="000000"/>
                <w:lang w:eastAsia="en-AU"/>
              </w:rPr>
              <w:t>F2013L00139</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34" w:history="1">
              <w:r w:rsidR="00590A8C" w:rsidRPr="001635F1">
                <w:rPr>
                  <w:rStyle w:val="Hyperlink"/>
                </w:rPr>
                <w:t>3/13</w:t>
              </w:r>
            </w:hyperlink>
          </w:p>
        </w:tc>
        <w:tc>
          <w:tcPr>
            <w:tcW w:w="3544" w:type="dxa"/>
          </w:tcPr>
          <w:p w:rsidR="00590A8C" w:rsidRDefault="00590A8C" w:rsidP="003469B2">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A2A69" w:rsidRDefault="00590A8C" w:rsidP="00D938CA">
            <w:pPr>
              <w:rPr>
                <w:rFonts w:ascii="Calibri" w:eastAsia="Times New Roman" w:hAnsi="Calibri" w:cs="Times New Roman"/>
                <w:color w:val="000000"/>
                <w:lang w:eastAsia="en-AU"/>
              </w:rPr>
            </w:pPr>
            <w:r w:rsidRPr="00D52D01">
              <w:rPr>
                <w:rFonts w:ascii="Calibri" w:eastAsia="Times New Roman" w:hAnsi="Calibri" w:cs="Times New Roman"/>
                <w:color w:val="000000"/>
                <w:lang w:eastAsia="en-AU"/>
              </w:rPr>
              <w:t>Customs Act 1901 - Amendment of Approved Statement Instrument No. 6 of 2013 - Amendment of "Self-Assessed Clearance Declaration (Sea) (To Be Communicated With a Cargo Report)"</w:t>
            </w:r>
            <w:r>
              <w:rPr>
                <w:rFonts w:ascii="Calibri" w:eastAsia="Times New Roman" w:hAnsi="Calibri" w:cs="Times New Roman"/>
                <w:color w:val="000000"/>
                <w:lang w:eastAsia="en-AU"/>
              </w:rPr>
              <w:t xml:space="preserve"> [</w:t>
            </w:r>
            <w:r w:rsidRPr="00D52D01">
              <w:rPr>
                <w:rFonts w:ascii="Calibri" w:eastAsia="Times New Roman" w:hAnsi="Calibri" w:cs="Times New Roman"/>
                <w:color w:val="000000"/>
                <w:lang w:eastAsia="en-AU"/>
              </w:rPr>
              <w:t>F2013L00142</w:t>
            </w:r>
            <w:r>
              <w:rPr>
                <w:rFonts w:ascii="Calibri" w:eastAsia="Times New Roman" w:hAnsi="Calibri" w:cs="Times New Roman"/>
                <w:color w:val="000000"/>
                <w:lang w:eastAsia="en-AU"/>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C2B55">
            <w:pPr>
              <w:jc w:val="center"/>
              <w:cnfStyle w:val="000000000000" w:firstRow="0" w:lastRow="0" w:firstColumn="0" w:lastColumn="0" w:oddVBand="0" w:evenVBand="0" w:oddHBand="0" w:evenHBand="0" w:firstRowFirstColumn="0" w:firstRowLastColumn="0" w:lastRowFirstColumn="0" w:lastRowLastColumn="0"/>
            </w:pPr>
            <w:hyperlink r:id="rId135" w:history="1">
              <w:r w:rsidR="00590A8C" w:rsidRPr="001635F1">
                <w:rPr>
                  <w:rStyle w:val="Hyperlink"/>
                </w:rPr>
                <w:t>3/13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7C16" w:rsidRDefault="00590A8C" w:rsidP="00D938CA">
            <w:pPr>
              <w:rPr>
                <w:rFonts w:eastAsia="Times New Roman" w:cs="Times New Roman"/>
                <w:color w:val="000000"/>
                <w:lang w:eastAsia="en-AU"/>
              </w:rPr>
            </w:pPr>
            <w:r w:rsidRPr="00B87C16">
              <w:rPr>
                <w:rFonts w:cs="Calibri-Bold"/>
                <w:bCs w:val="0"/>
              </w:rPr>
              <w:t>Customs (Drug and Alcohol Testing) Regulation 2013</w:t>
            </w:r>
            <w:r>
              <w:rPr>
                <w:rFonts w:cs="Calibri-Bold"/>
                <w:bCs w:val="0"/>
              </w:rPr>
              <w:t xml:space="preserve"> [F2013L00191]</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36" w:history="1">
              <w:r w:rsidR="00590A8C" w:rsidRPr="003507ED">
                <w:rPr>
                  <w:rStyle w:val="Hyperlink"/>
                </w:rPr>
                <w:t>6/13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37" w:history="1">
              <w:r w:rsidR="00590A8C" w:rsidRPr="00CF48DB">
                <w:rPr>
                  <w:rStyle w:val="Hyperlink"/>
                </w:rPr>
                <w:t>7/13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138" w:history="1">
              <w:r w:rsidR="00590A8C" w:rsidRPr="00037A34">
                <w:rPr>
                  <w:rStyle w:val="Hyperlink"/>
                </w:rPr>
                <w:t>10/13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Privacy; not to incriminate oneself</w:t>
            </w:r>
          </w:p>
        </w:tc>
      </w:tr>
      <w:tr w:rsidR="00590A8C" w:rsidRPr="002C2B55" w:rsidTr="00AB4C9E">
        <w:trPr>
          <w:trHeight w:val="48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rsidR="00590A8C" w:rsidRPr="009419EA" w:rsidRDefault="00590A8C"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7C16" w:rsidRDefault="00590A8C" w:rsidP="002276DE">
            <w:pPr>
              <w:rPr>
                <w:rFonts w:eastAsia="Times New Roman" w:cs="Times New Roman"/>
                <w:color w:val="000000"/>
                <w:lang w:eastAsia="en-AU"/>
              </w:rPr>
            </w:pPr>
            <w:r w:rsidRPr="00B87C16">
              <w:rPr>
                <w:rFonts w:cs="Calibri-Bold"/>
                <w:bCs w:val="0"/>
              </w:rPr>
              <w:t>Defence (Personnel) Amendment Regulation 2013 (No. 1)</w:t>
            </w:r>
            <w:r>
              <w:rPr>
                <w:rFonts w:cs="Calibri-Bold"/>
                <w:bCs w:val="0"/>
              </w:rPr>
              <w:t xml:space="preserve"> [F2013L00389]</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39" w:history="1">
              <w:r w:rsidR="00590A8C" w:rsidRPr="003507ED">
                <w:rPr>
                  <w:rStyle w:val="Hyperlink"/>
                </w:rPr>
                <w:t>6/13</w:t>
              </w:r>
            </w:hyperlink>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Privacy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25F6" w:rsidRDefault="00590A8C" w:rsidP="002276DE">
            <w:pPr>
              <w:rPr>
                <w:rFonts w:ascii="Calibri" w:eastAsia="Times New Roman" w:hAnsi="Calibri" w:cs="Times New Roman"/>
                <w:color w:val="000000"/>
                <w:lang w:eastAsia="en-AU"/>
              </w:rPr>
            </w:pPr>
            <w:r w:rsidRPr="00325C4E">
              <w:rPr>
                <w:rFonts w:ascii="Calibri" w:eastAsia="Times New Roman" w:hAnsi="Calibri" w:cs="Times New Roman"/>
                <w:color w:val="000000"/>
                <w:lang w:eastAsia="en-AU"/>
              </w:rPr>
              <w:t>Determination to Reduce Appropriations (No. 3 of 2012-2013)</w:t>
            </w:r>
            <w:r>
              <w:rPr>
                <w:rFonts w:ascii="Calibri" w:eastAsia="Times New Roman" w:hAnsi="Calibri" w:cs="Times New Roman"/>
                <w:color w:val="000000"/>
                <w:lang w:eastAsia="en-AU"/>
              </w:rPr>
              <w:t xml:space="preserve"> [</w:t>
            </w:r>
            <w:r w:rsidRPr="00325C4E">
              <w:rPr>
                <w:rFonts w:ascii="Calibri" w:eastAsia="Times New Roman" w:hAnsi="Calibri" w:cs="Times New Roman"/>
                <w:color w:val="000000"/>
                <w:lang w:eastAsia="en-AU"/>
              </w:rPr>
              <w:t>F2012L02320</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40" w:history="1">
              <w:r w:rsidR="00590A8C" w:rsidRPr="00A93BAC">
                <w:rPr>
                  <w:rStyle w:val="Hyperlink"/>
                </w:rPr>
                <w:t>1/13</w:t>
              </w:r>
            </w:hyperlink>
          </w:p>
        </w:tc>
        <w:tc>
          <w:tcPr>
            <w:tcW w:w="3544" w:type="dxa"/>
          </w:tcPr>
          <w:p w:rsidR="00590A8C" w:rsidRDefault="00590A8C" w:rsidP="004B0979">
            <w:pPr>
              <w:pStyle w:val="Default"/>
              <w:cnfStyle w:val="000000000000" w:firstRow="0" w:lastRow="0" w:firstColumn="0" w:lastColumn="0" w:oddVBand="0" w:evenVBand="0" w:oddHBand="0" w:evenHBand="0" w:firstRowFirstColumn="0" w:firstRowLastColumn="0" w:lastRowFirstColumn="0" w:lastRowLastColumn="0"/>
              <w:rPr>
                <w:sz w:val="23"/>
                <w:szCs w:val="23"/>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825F6" w:rsidRDefault="00590A8C" w:rsidP="002276DE">
            <w:pPr>
              <w:rPr>
                <w:rFonts w:ascii="Calibri" w:eastAsia="Times New Roman" w:hAnsi="Calibri" w:cs="Times New Roman"/>
                <w:color w:val="000000"/>
                <w:lang w:eastAsia="en-AU"/>
              </w:rPr>
            </w:pP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pPr>
          </w:p>
        </w:tc>
        <w:tc>
          <w:tcPr>
            <w:tcW w:w="3544" w:type="dxa"/>
          </w:tcPr>
          <w:p w:rsidR="00590A8C" w:rsidRDefault="00590A8C" w:rsidP="004B0979">
            <w:pPr>
              <w:pStyle w:val="Default"/>
              <w:cnfStyle w:val="000000100000" w:firstRow="0" w:lastRow="0" w:firstColumn="0" w:lastColumn="0" w:oddVBand="0" w:evenVBand="0" w:oddHBand="1" w:evenHBand="0" w:firstRowFirstColumn="0" w:firstRowLastColumn="0" w:lastRowFirstColumn="0" w:lastRowLastColumn="0"/>
              <w:rPr>
                <w:sz w:val="23"/>
                <w:szCs w:val="23"/>
              </w:rPr>
            </w:pPr>
          </w:p>
        </w:tc>
      </w:tr>
      <w:tr w:rsidR="00590A8C" w:rsidRPr="002C2B55" w:rsidTr="00840504">
        <w:trPr>
          <w:trHeight w:val="573"/>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rsidR="00590A8C" w:rsidRPr="009419EA" w:rsidRDefault="00590A8C"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D938CA">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Extradition (Convention for Suppression of Acts of Nuclear Terrorism) Regulation 2012 [F2012L02434]</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41" w:history="1">
              <w:r w:rsidR="00590A8C" w:rsidRPr="00A93BAC">
                <w:rPr>
                  <w:rStyle w:val="Hyperlink"/>
                </w:rPr>
                <w:t>1/13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42" w:history="1">
              <w:r w:rsidR="00590A8C" w:rsidRPr="001635F1">
                <w:rPr>
                  <w:rStyle w:val="Hyperlink"/>
                </w:rPr>
                <w:t>3/13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43" w:history="1">
              <w:r w:rsidR="00590A8C" w:rsidRPr="003507ED">
                <w:rPr>
                  <w:rStyle w:val="Hyperlink"/>
                </w:rPr>
                <w:t>6/13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144" w:history="1">
              <w:r w:rsidR="00590A8C" w:rsidRPr="00037A34">
                <w:rPr>
                  <w:rStyle w:val="Hyperlink"/>
                </w:rPr>
                <w:t>10/13</w:t>
              </w:r>
            </w:hyperlink>
          </w:p>
        </w:tc>
        <w:tc>
          <w:tcPr>
            <w:tcW w:w="3544" w:type="dxa"/>
          </w:tcPr>
          <w:p w:rsidR="00590A8C" w:rsidRPr="00EF64D8"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 privacy; liberty; not to be subject to inhuman or degrading treatment; equality; presumption of innocence</w:t>
            </w:r>
          </w:p>
        </w:tc>
      </w:tr>
      <w:tr w:rsidR="00590A8C" w:rsidRPr="002C2B55" w:rsidTr="00076B94">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90A8C" w:rsidRPr="00B87C16" w:rsidRDefault="00590A8C" w:rsidP="00076B94">
            <w:pPr>
              <w:autoSpaceDE w:val="0"/>
              <w:autoSpaceDN w:val="0"/>
              <w:adjustRightInd w:val="0"/>
              <w:rPr>
                <w:rFonts w:eastAsia="Times New Roman" w:cs="Times New Roman"/>
                <w:color w:val="000000"/>
                <w:lang w:eastAsia="en-AU"/>
              </w:rPr>
            </w:pPr>
            <w:r w:rsidRPr="00B87C16">
              <w:rPr>
                <w:rFonts w:cs="Calibri-Bold"/>
                <w:bCs w:val="0"/>
              </w:rPr>
              <w:t>Extradition (Cybercrime) Regulation 2013</w:t>
            </w:r>
            <w:r>
              <w:rPr>
                <w:rFonts w:cs="Calibri-Bold"/>
                <w:bCs w:val="0"/>
              </w:rPr>
              <w:t xml:space="preserve"> [F2013L00214]</w:t>
            </w:r>
          </w:p>
        </w:tc>
        <w:tc>
          <w:tcPr>
            <w:tcW w:w="1134" w:type="dxa"/>
          </w:tcPr>
          <w:p w:rsidR="00590A8C" w:rsidRDefault="00590A8C" w:rsidP="00076B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45" w:history="1">
              <w:r w:rsidR="00590A8C" w:rsidRPr="003507ED">
                <w:rPr>
                  <w:rStyle w:val="Hyperlink"/>
                </w:rPr>
                <w:t>6/13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146" w:history="1">
              <w:r w:rsidR="00590A8C" w:rsidRPr="00037A34">
                <w:rPr>
                  <w:rStyle w:val="Hyperlink"/>
                </w:rPr>
                <w:t>10/13</w:t>
              </w:r>
            </w:hyperlink>
          </w:p>
        </w:tc>
        <w:tc>
          <w:tcPr>
            <w:tcW w:w="3544" w:type="dxa"/>
          </w:tcPr>
          <w:p w:rsidR="00590A8C" w:rsidRPr="00EF64D8" w:rsidRDefault="00590A8C" w:rsidP="00076B9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trial; liberty; equality; presumption of innocence</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90A8C" w:rsidRPr="006712B0" w:rsidRDefault="00590A8C" w:rsidP="00B87C16">
            <w:pPr>
              <w:autoSpaceDE w:val="0"/>
              <w:autoSpaceDN w:val="0"/>
              <w:adjustRightInd w:val="0"/>
              <w:rPr>
                <w:rFonts w:eastAsia="Times New Roman" w:cs="Times New Roman"/>
                <w:color w:val="000000"/>
                <w:lang w:eastAsia="en-AU"/>
              </w:rPr>
            </w:pPr>
            <w:r w:rsidRPr="006712B0">
              <w:rPr>
                <w:rFonts w:cs="Calibri-Bold"/>
                <w:bCs w:val="0"/>
              </w:rPr>
              <w:t>Extradition (Piracy against Ships in Asia) Regulation 2013</w:t>
            </w:r>
            <w:r>
              <w:rPr>
                <w:rFonts w:cs="Calibri-Bold"/>
                <w:bCs w:val="0"/>
              </w:rPr>
              <w:t xml:space="preserve"> [F2013L00397]</w:t>
            </w:r>
          </w:p>
        </w:tc>
        <w:tc>
          <w:tcPr>
            <w:tcW w:w="1134" w:type="dxa"/>
          </w:tcPr>
          <w:p w:rsidR="00590A8C" w:rsidRDefault="00590A8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147" w:history="1">
              <w:r w:rsidR="00590A8C" w:rsidRPr="003507ED">
                <w:rPr>
                  <w:rStyle w:val="Hyperlink"/>
                </w:rPr>
                <w:t>6/13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hyperlink r:id="rId148" w:history="1">
              <w:r w:rsidR="00590A8C" w:rsidRPr="00037A34">
                <w:rPr>
                  <w:rStyle w:val="Hyperlink"/>
                </w:rPr>
                <w:t>10/13</w:t>
              </w:r>
            </w:hyperlink>
          </w:p>
        </w:tc>
        <w:tc>
          <w:tcPr>
            <w:tcW w:w="3544" w:type="dxa"/>
          </w:tcPr>
          <w:p w:rsidR="00590A8C" w:rsidRPr="00EF64D8"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trial; liberty; equality; presumption of innocence</w:t>
            </w:r>
          </w:p>
        </w:tc>
      </w:tr>
      <w:tr w:rsidR="00590A8C" w:rsidRPr="002C2B55" w:rsidTr="00AB4C9E">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90A8C" w:rsidRPr="006712B0" w:rsidRDefault="00590A8C" w:rsidP="00B87C16">
            <w:pPr>
              <w:autoSpaceDE w:val="0"/>
              <w:autoSpaceDN w:val="0"/>
              <w:adjustRightInd w:val="0"/>
              <w:rPr>
                <w:rFonts w:cs="Calibri-Bold"/>
                <w:bCs w:val="0"/>
              </w:rPr>
            </w:pPr>
            <w:r w:rsidRPr="0088709B">
              <w:rPr>
                <w:rFonts w:cs="Calibri-Bold"/>
                <w:bCs w:val="0"/>
              </w:rPr>
              <w:t>Extradition (Vietnam) Regulation 2013</w:t>
            </w:r>
            <w:r>
              <w:rPr>
                <w:rFonts w:cs="Calibri-Bold"/>
                <w:bCs w:val="0"/>
              </w:rPr>
              <w:t xml:space="preserve"> [</w:t>
            </w:r>
            <w:r w:rsidRPr="0088709B">
              <w:rPr>
                <w:rFonts w:cs="Calibri-Bold"/>
                <w:bCs w:val="0"/>
              </w:rPr>
              <w:t>F2013L01473</w:t>
            </w:r>
            <w:r>
              <w:rPr>
                <w:rFonts w:cs="Calibri-Bold"/>
                <w:bCs w:val="0"/>
              </w:rPr>
              <w:t>]</w:t>
            </w:r>
          </w:p>
        </w:tc>
        <w:tc>
          <w:tcPr>
            <w:tcW w:w="1134" w:type="dxa"/>
          </w:tcPr>
          <w:p w:rsidR="00590A8C" w:rsidRDefault="00590A8C"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149" w:history="1">
              <w:r w:rsidR="00590A8C" w:rsidRPr="001406A3">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150" w:history="1">
              <w:r w:rsidR="00590A8C" w:rsidRPr="007235E7">
                <w:rPr>
                  <w:rStyle w:val="Hyperlink"/>
                  <w:rFonts w:ascii="Calibri" w:eastAsia="Times New Roman" w:hAnsi="Calibri" w:cs="Times New Roman"/>
                  <w:lang w:eastAsia="en-AU"/>
                </w:rPr>
                <w:t>22/44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 liberty; privacy</w:t>
            </w:r>
          </w:p>
        </w:tc>
      </w:tr>
      <w:tr w:rsidR="00590A8C" w:rsidRPr="002C2B55" w:rsidTr="00840504">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90A8C" w:rsidRPr="009419EA" w:rsidRDefault="00590A8C"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2276DE">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Family Law Amendment Regulation 2012 (No. 4)</w:t>
            </w:r>
            <w:r>
              <w:rPr>
                <w:rFonts w:ascii="Calibri" w:eastAsia="Times New Roman" w:hAnsi="Calibri" w:cs="Times New Roman"/>
                <w:color w:val="000000"/>
                <w:lang w:eastAsia="en-AU"/>
              </w:rPr>
              <w:t xml:space="preserve"> [</w:t>
            </w:r>
            <w:r w:rsidRPr="00A93BAC">
              <w:rPr>
                <w:rFonts w:ascii="Calibri" w:eastAsia="Times New Roman" w:hAnsi="Calibri" w:cs="Times New Roman"/>
                <w:color w:val="000000"/>
                <w:lang w:eastAsia="en-AU"/>
              </w:rPr>
              <w:t>F2012L02391</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5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2276DE">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Family Law Amendment Regulation 2012 (No. 4)</w:t>
            </w:r>
            <w:r>
              <w:rPr>
                <w:rFonts w:ascii="Calibri" w:eastAsia="Times New Roman" w:hAnsi="Calibri" w:cs="Times New Roman"/>
                <w:color w:val="000000"/>
                <w:lang w:eastAsia="en-AU"/>
              </w:rPr>
              <w:t xml:space="preserve"> [</w:t>
            </w:r>
            <w:r w:rsidRPr="00A93BAC">
              <w:rPr>
                <w:rFonts w:ascii="Calibri" w:eastAsia="Times New Roman" w:hAnsi="Calibri" w:cs="Times New Roman"/>
                <w:color w:val="000000"/>
                <w:lang w:eastAsia="en-AU"/>
              </w:rPr>
              <w:t>F2012L02391</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5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2276DE">
            <w:pPr>
              <w:rPr>
                <w:rFonts w:ascii="Calibri" w:eastAsia="Times New Roman" w:hAnsi="Calibri" w:cs="Times New Roman"/>
                <w:color w:val="000000"/>
                <w:lang w:eastAsia="en-AU"/>
              </w:rPr>
            </w:pPr>
            <w:r>
              <w:rPr>
                <w:rFonts w:ascii="Calibri" w:eastAsia="Times New Roman" w:hAnsi="Calibri" w:cs="Times New Roman"/>
                <w:color w:val="000000"/>
                <w:lang w:eastAsia="en-AU"/>
              </w:rPr>
              <w:t>Fees Rules 2013 [F2013L00272]</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53" w:history="1">
              <w:r w:rsidR="00590A8C" w:rsidRPr="003507ED">
                <w:rPr>
                  <w:rStyle w:val="Hyperlink"/>
                </w:rPr>
                <w:t>6/13</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Education; fair hearing</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2276DE">
            <w:pPr>
              <w:rPr>
                <w:rFonts w:ascii="Calibri" w:eastAsia="Times New Roman" w:hAnsi="Calibri" w:cs="Times New Roman"/>
                <w:color w:val="000000"/>
                <w:lang w:eastAsia="en-AU"/>
              </w:rPr>
            </w:pPr>
            <w:r w:rsidRPr="004F4AAA">
              <w:rPr>
                <w:rFonts w:ascii="Calibri" w:eastAsia="Times New Roman" w:hAnsi="Calibri" w:cs="Times New Roman"/>
                <w:color w:val="000000"/>
                <w:lang w:eastAsia="en-AU"/>
              </w:rPr>
              <w:t>Financial Management and Accountability Amendment Regulation 2012 (No. 9)</w:t>
            </w:r>
            <w:r>
              <w:rPr>
                <w:rFonts w:ascii="Calibri" w:eastAsia="Times New Roman" w:hAnsi="Calibri" w:cs="Times New Roman"/>
                <w:color w:val="000000"/>
                <w:lang w:eastAsia="en-AU"/>
              </w:rPr>
              <w:t xml:space="preserve"> [</w:t>
            </w:r>
            <w:r w:rsidRPr="004F4AAA">
              <w:rPr>
                <w:rFonts w:ascii="Calibri" w:eastAsia="Times New Roman" w:hAnsi="Calibri" w:cs="Times New Roman"/>
                <w:color w:val="000000"/>
                <w:lang w:eastAsia="en-AU"/>
              </w:rPr>
              <w:t>F2012L02387</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5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2276DE">
            <w:pPr>
              <w:rPr>
                <w:rFonts w:ascii="Calibri" w:eastAsia="Times New Roman" w:hAnsi="Calibri" w:cs="Times New Roman"/>
                <w:color w:val="000000"/>
                <w:lang w:eastAsia="en-AU"/>
              </w:rPr>
            </w:pPr>
            <w:r w:rsidRPr="004F4AAA">
              <w:rPr>
                <w:rFonts w:ascii="Calibri" w:eastAsia="Times New Roman" w:hAnsi="Calibri" w:cs="Times New Roman"/>
                <w:color w:val="000000"/>
                <w:lang w:eastAsia="en-AU"/>
              </w:rPr>
              <w:t>Financial Sector (Collection of Data) (reporting standard) determination No. 5 of 2012 - ARS 110.0 - Capital Adequacy</w:t>
            </w:r>
            <w:r>
              <w:rPr>
                <w:rFonts w:ascii="Calibri" w:eastAsia="Times New Roman" w:hAnsi="Calibri" w:cs="Times New Roman"/>
                <w:color w:val="000000"/>
                <w:lang w:eastAsia="en-AU"/>
              </w:rPr>
              <w:t xml:space="preserve"> [</w:t>
            </w:r>
            <w:r w:rsidRPr="004F4AAA">
              <w:rPr>
                <w:rFonts w:ascii="Calibri" w:eastAsia="Times New Roman" w:hAnsi="Calibri" w:cs="Times New Roman"/>
                <w:color w:val="000000"/>
                <w:lang w:eastAsia="en-AU"/>
              </w:rPr>
              <w:t>F2012L02483</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55"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2276DE">
            <w:pPr>
              <w:rPr>
                <w:rFonts w:ascii="Calibri" w:eastAsia="Times New Roman" w:hAnsi="Calibri" w:cs="Times New Roman"/>
                <w:color w:val="000000"/>
                <w:lang w:eastAsia="en-AU"/>
              </w:rPr>
            </w:pPr>
            <w:r w:rsidRPr="004F4AAA">
              <w:rPr>
                <w:rFonts w:ascii="Calibri" w:eastAsia="Times New Roman" w:hAnsi="Calibri" w:cs="Times New Roman"/>
                <w:color w:val="000000"/>
                <w:lang w:eastAsia="en-AU"/>
              </w:rPr>
              <w:lastRenderedPageBreak/>
              <w:t>Financial Sector (Collection of Data) (reporting standard) determination No. 6 of 2012 - ARS 111.0 - Fair Values</w:t>
            </w:r>
            <w:r>
              <w:rPr>
                <w:rFonts w:ascii="Calibri" w:eastAsia="Times New Roman" w:hAnsi="Calibri" w:cs="Times New Roman"/>
                <w:color w:val="000000"/>
                <w:lang w:eastAsia="en-AU"/>
              </w:rPr>
              <w:t xml:space="preserve"> [</w:t>
            </w:r>
            <w:r w:rsidRPr="004F4AAA">
              <w:rPr>
                <w:rFonts w:ascii="Calibri" w:eastAsia="Times New Roman" w:hAnsi="Calibri" w:cs="Times New Roman"/>
                <w:color w:val="000000"/>
                <w:lang w:eastAsia="en-AU"/>
              </w:rPr>
              <w:t>F2012L02485</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5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2276DE">
            <w:pPr>
              <w:rPr>
                <w:rFonts w:ascii="Calibri" w:eastAsia="Times New Roman" w:hAnsi="Calibri" w:cs="Times New Roman"/>
                <w:color w:val="000000"/>
                <w:lang w:eastAsia="en-AU"/>
              </w:rPr>
            </w:pPr>
            <w:r w:rsidRPr="004F4AAA">
              <w:rPr>
                <w:rFonts w:ascii="Calibri" w:eastAsia="Times New Roman" w:hAnsi="Calibri" w:cs="Times New Roman"/>
                <w:color w:val="000000"/>
                <w:lang w:eastAsia="en-AU"/>
              </w:rPr>
              <w:t>Financial Sector (Collection of Data) (reporting standard) determination No. 7 of 2012 - ARS 112.1 - Standardised Credit Risk - On-balance Sheet Assets</w:t>
            </w:r>
            <w:r>
              <w:rPr>
                <w:rFonts w:ascii="Calibri" w:eastAsia="Times New Roman" w:hAnsi="Calibri" w:cs="Times New Roman"/>
                <w:color w:val="000000"/>
                <w:lang w:eastAsia="en-AU"/>
              </w:rPr>
              <w:t xml:space="preserve"> [</w:t>
            </w:r>
            <w:r w:rsidRPr="004F4AAA">
              <w:rPr>
                <w:rFonts w:ascii="Calibri" w:eastAsia="Times New Roman" w:hAnsi="Calibri" w:cs="Times New Roman"/>
                <w:color w:val="000000"/>
                <w:lang w:eastAsia="en-AU"/>
              </w:rPr>
              <w:t>F2012L02486</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5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10 of 2012 - ARS 116.0 - Market Risk</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F2012L02488</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58"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11 of 2012 - ARS 117.0 - Repricing Analysis</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F2012L02490</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59"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 xml:space="preserve">Financial Sector (Collection of Data) (reporting standard) determination No. 12 of 2012 - ARS 120.0 - Standardised Approach </w:t>
            </w:r>
            <w:r>
              <w:rPr>
                <w:rFonts w:ascii="Calibri" w:eastAsia="Times New Roman" w:hAnsi="Calibri" w:cs="Times New Roman"/>
                <w:color w:val="000000"/>
                <w:lang w:eastAsia="en-AU"/>
              </w:rPr>
              <w:t>–</w:t>
            </w:r>
            <w:r w:rsidRPr="003469B2">
              <w:rPr>
                <w:rFonts w:ascii="Calibri" w:eastAsia="Times New Roman" w:hAnsi="Calibri" w:cs="Times New Roman"/>
                <w:color w:val="000000"/>
                <w:lang w:eastAsia="en-AU"/>
              </w:rPr>
              <w:t xml:space="preserve"> Securitisation</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F2012L02489</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60"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 xml:space="preserve">Financial Sector (Collection of Data) (reporting standard) determination No. 13 of 2012 - ARS 120.1 - Internal Ratings-based (IRB) Approach </w:t>
            </w:r>
            <w:r>
              <w:rPr>
                <w:rFonts w:ascii="Calibri" w:eastAsia="Times New Roman" w:hAnsi="Calibri" w:cs="Times New Roman"/>
                <w:color w:val="000000"/>
                <w:lang w:eastAsia="en-AU"/>
              </w:rPr>
              <w:t>–</w:t>
            </w:r>
            <w:r w:rsidRPr="003469B2">
              <w:rPr>
                <w:rFonts w:ascii="Calibri" w:eastAsia="Times New Roman" w:hAnsi="Calibri" w:cs="Times New Roman"/>
                <w:color w:val="000000"/>
                <w:lang w:eastAsia="en-AU"/>
              </w:rPr>
              <w:t xml:space="preserve"> Securitisation</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F2012L02491</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61"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8 of 2012 - ARS 112.2 - Standardised Credit Risk - Off-balance Sheet Exposures</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F2012L02498</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62"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9 of 2012 - ARS 113.4 - Internal Ratings-based (IRB) Approach to Credit Risk - Other Assets, Claims and Exposures</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F2012L02487</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63"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1 of 2013 - GRS 001 - Reporting Requirements</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F2013L00076</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64"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2 of 2013 - GRS 110.1 - Prescribed Capital Amount</w:t>
            </w:r>
            <w:r>
              <w:rPr>
                <w:rFonts w:ascii="Calibri" w:eastAsia="Times New Roman" w:hAnsi="Calibri" w:cs="Times New Roman"/>
                <w:color w:val="000000"/>
                <w:lang w:eastAsia="en-AU"/>
              </w:rPr>
              <w:t xml:space="preserve"> [</w:t>
            </w:r>
            <w:r w:rsidRPr="008E5806">
              <w:rPr>
                <w:rFonts w:ascii="Calibri" w:eastAsia="Times New Roman" w:hAnsi="Calibri" w:cs="Times New Roman"/>
                <w:color w:val="000000"/>
                <w:lang w:eastAsia="en-AU"/>
              </w:rPr>
              <w:t>F2013L00077</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65"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17 of 2013 - GRS 310.0 - Income Statement</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F2013L00078</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66"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lastRenderedPageBreak/>
              <w:t>Financial Sector (Collection of Data) (reporting standard) determination No. 21 of 2013</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F2013L00079</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67"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3 of 2013 - GRS 112.0 - Determination of Capital Base</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F2013L00081</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68"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7 of 2013 - GRS 114.2 - Derivatives Activity</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F2013L00082</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69"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26 of 2013 - GRS 170.0 (2008) - Concentration Risk Charge; Reporting Standard GRS 900.0 -  Transitional Arrangements 2010</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F2013L00083</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70"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9 of 2013 - GRS 114.4 - Details of Investment Assets</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F2013L00091</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71"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3469B2">
              <w:rPr>
                <w:rFonts w:ascii="Calibri" w:eastAsia="Times New Roman" w:hAnsi="Calibri" w:cs="Times New Roman"/>
                <w:color w:val="000000"/>
                <w:lang w:eastAsia="en-AU"/>
              </w:rPr>
              <w:t>Financial Sector (Collection of Data) (reporting standard) determination No. 27 of 2013 - GRS 110.0_G - Prescribed Capital Amount (Level 2 Insurance Group)</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F2013L00092</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100000" w:firstRow="0" w:lastRow="0" w:firstColumn="0" w:lastColumn="0" w:oddVBand="0" w:evenVBand="0" w:oddHBand="1" w:evenHBand="0" w:firstRowFirstColumn="0" w:firstRowLastColumn="0" w:lastRowFirstColumn="0" w:lastRowLastColumn="0"/>
            </w:pPr>
            <w:hyperlink r:id="rId172" w:history="1">
              <w:r w:rsidR="00590A8C" w:rsidRPr="001635F1">
                <w:rPr>
                  <w:rStyle w:val="Hyperlink"/>
                </w:rPr>
                <w:t>3/13</w:t>
              </w:r>
            </w:hyperlink>
          </w:p>
        </w:tc>
        <w:tc>
          <w:tcPr>
            <w:tcW w:w="3544" w:type="dxa"/>
          </w:tcPr>
          <w:p w:rsidR="00590A8C" w:rsidRPr="00056817" w:rsidRDefault="00590A8C" w:rsidP="003469B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6F5F46">
              <w:rPr>
                <w:rFonts w:ascii="Calibri" w:eastAsia="Times New Roman" w:hAnsi="Calibri" w:cs="Times New Roman"/>
                <w:color w:val="000000"/>
                <w:lang w:eastAsia="en-AU"/>
              </w:rPr>
              <w:t>Financial Sector (Collection of Data) (reporting standard) determination No. 28 of 2013 - GRS 112.0_G - Determination of Capital Base (Level 2 Insurance Group)</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F2013L00093</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73"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6F5F46">
              <w:rPr>
                <w:rFonts w:ascii="Calibri" w:eastAsia="Times New Roman" w:hAnsi="Calibri" w:cs="Times New Roman"/>
                <w:color w:val="000000"/>
                <w:lang w:eastAsia="en-AU"/>
              </w:rPr>
              <w:t>Financial Sector (Collection of Data) (reporting standard) determination No. 29 of 2013 - GRS 112.3_G - Related Party Exposures (Level 2 Insurance Group)</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F2013L00094</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74"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6F5F46">
              <w:rPr>
                <w:rFonts w:ascii="Calibri" w:eastAsia="Times New Roman" w:hAnsi="Calibri" w:cs="Times New Roman"/>
                <w:color w:val="000000"/>
                <w:lang w:eastAsia="en-AU"/>
              </w:rPr>
              <w:t>Financial Sector (Collection of Data) (reporting standard) determination No. 32 of 2013 - GRS 114.3_G - Off-balance Sheet Business (Level 2 Insurance Group)</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F2013L00095</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75"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6F5F46">
              <w:rPr>
                <w:rFonts w:ascii="Calibri" w:eastAsia="Times New Roman" w:hAnsi="Calibri" w:cs="Times New Roman"/>
                <w:color w:val="000000"/>
                <w:lang w:eastAsia="en-AU"/>
              </w:rPr>
              <w:t>Financial Sector (Collection of Data) (reporting standard) determination No. 10 of 2013 - GRS 115.0 - Outstanding Claims Liabilities - Insurance Risk Charge</w:t>
            </w:r>
            <w:r>
              <w:rPr>
                <w:rFonts w:ascii="Calibri" w:eastAsia="Times New Roman" w:hAnsi="Calibri" w:cs="Times New Roman"/>
                <w:color w:val="000000"/>
                <w:lang w:eastAsia="en-AU"/>
              </w:rPr>
              <w:t xml:space="preserve"> [</w:t>
            </w:r>
            <w:r w:rsidRPr="006F5F46">
              <w:rPr>
                <w:rFonts w:ascii="Calibri" w:eastAsia="Times New Roman" w:hAnsi="Calibri" w:cs="Times New Roman"/>
                <w:color w:val="000000"/>
                <w:lang w:eastAsia="en-AU"/>
              </w:rPr>
              <w:t>F2013L00109</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76"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 xml:space="preserve">Financial Sector (Collection of Data) (reporting standard) determination No. 14 of 2013 - GRS 117.0 - Asset </w:t>
            </w:r>
            <w:r w:rsidRPr="00781AFA">
              <w:rPr>
                <w:rFonts w:ascii="Calibri" w:eastAsia="Times New Roman" w:hAnsi="Calibri" w:cs="Times New Roman"/>
                <w:color w:val="000000"/>
                <w:lang w:eastAsia="en-AU"/>
              </w:rPr>
              <w:lastRenderedPageBreak/>
              <w:t>Concentration Risk Charge</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F2013L00136</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77"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lastRenderedPageBreak/>
              <w:t>Financial Sector (Collection of Data) (reporting standard) determination No. 33 of 2013 - GRS 115.0_G - Outstanding Claims Liabilities - Insurance Risk Charge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F2013L00097</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78"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34 of 2013 - GRS 115.1_G - Premiums Liabilities - Insurance Risk Charge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F2013L00098</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79"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36 of 2013 - GRS 117.0_G - Asset Concentration Risk Charge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F2013L00099</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80"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3469B2">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3469B2">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39 of 2013 - GRS 302.0_G - Statement of Financial Position by Region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F2013L00101</w:t>
            </w:r>
            <w:r>
              <w:rPr>
                <w:rFonts w:ascii="Calibri" w:eastAsia="Times New Roman" w:hAnsi="Calibri" w:cs="Times New Roman"/>
                <w:color w:val="000000"/>
                <w:lang w:eastAsia="en-AU"/>
              </w:rPr>
              <w:t>]</w:t>
            </w:r>
          </w:p>
        </w:tc>
        <w:tc>
          <w:tcPr>
            <w:tcW w:w="1134" w:type="dxa"/>
          </w:tcPr>
          <w:p w:rsidR="00590A8C" w:rsidRDefault="00590A8C" w:rsidP="003469B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3469B2">
            <w:pPr>
              <w:jc w:val="center"/>
              <w:cnfStyle w:val="000000000000" w:firstRow="0" w:lastRow="0" w:firstColumn="0" w:lastColumn="0" w:oddVBand="0" w:evenVBand="0" w:oddHBand="0" w:evenHBand="0" w:firstRowFirstColumn="0" w:firstRowLastColumn="0" w:lastRowFirstColumn="0" w:lastRowLastColumn="0"/>
            </w:pPr>
            <w:hyperlink r:id="rId181" w:history="1">
              <w:r w:rsidR="00590A8C" w:rsidRPr="001635F1">
                <w:rPr>
                  <w:rStyle w:val="Hyperlink"/>
                </w:rPr>
                <w:t>3/13</w:t>
              </w:r>
            </w:hyperlink>
          </w:p>
        </w:tc>
        <w:tc>
          <w:tcPr>
            <w:tcW w:w="3544" w:type="dxa"/>
          </w:tcPr>
          <w:p w:rsidR="00590A8C" w:rsidRPr="00056817" w:rsidRDefault="00590A8C" w:rsidP="003469B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2276DE">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40 of 2013 - GRS 310.0_G - Income Statement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F2013L00102</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82" w:history="1">
              <w:r w:rsidR="00590A8C" w:rsidRPr="001635F1">
                <w:rPr>
                  <w:rStyle w:val="Hyperlink"/>
                </w:rPr>
                <w:t>3/13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40 of 2013 - GRS 310.0_G - Income Statement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F2013L00102</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83"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40 of 2013 - GRS 310.0_G - Income Statement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F2013L00102</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84"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41 of 2013 - GRS 141.0_G (2009) - Listed Equity Holdings and Risk Charge; GRS 301.0_G (2011) - Reinsurance Assets and Risk Charge (Level 2 Insurance Group)</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F2013L00119</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85"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t>Financial Sector (Collection of Data) (reporting standard) determination No. 42 of 2013 - LRS 001 - Reporting Requirements</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F2013L00120</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86"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781AFA">
              <w:rPr>
                <w:rFonts w:ascii="Calibri" w:eastAsia="Times New Roman" w:hAnsi="Calibri" w:cs="Times New Roman"/>
                <w:color w:val="000000"/>
                <w:lang w:eastAsia="en-AU"/>
              </w:rPr>
              <w:lastRenderedPageBreak/>
              <w:t>Financial Sector (Collection of Data) (reporting standard) determination No. 43 of 2013 - LRS 110.1 - Prescribed Capital Amount</w:t>
            </w:r>
            <w:r>
              <w:rPr>
                <w:rFonts w:ascii="Calibri" w:eastAsia="Times New Roman" w:hAnsi="Calibri" w:cs="Times New Roman"/>
                <w:color w:val="000000"/>
                <w:lang w:eastAsia="en-AU"/>
              </w:rPr>
              <w:t xml:space="preserve"> [</w:t>
            </w:r>
            <w:r w:rsidRPr="00781AFA">
              <w:rPr>
                <w:rFonts w:ascii="Calibri" w:eastAsia="Times New Roman" w:hAnsi="Calibri" w:cs="Times New Roman"/>
                <w:color w:val="000000"/>
                <w:lang w:eastAsia="en-AU"/>
              </w:rPr>
              <w:t>F2013L00113</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87"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53 of 2013 - LRS 300.0 - Statement of Financial Position</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F2013L00121</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88"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54 of 2013 - LRS 310.0 - Income Statement</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F2013L00140</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89"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55 of 2013 - LRS 330.0 - Summary of Revenue and Expenses</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F2013L00141</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90"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56 of 2013 - LRS 340.0 - Retained Profits</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F2013L00148</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91"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57 of 2013 - LRS 400.0 - Statement of Policy Liabilities</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F2013L00111</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92"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58 of 2013 - LRS 420.0 - Assets Backing Policy Liabilities</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F2013L00122</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93"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59 of 2013 - LRS 430.0 - Sources of Profit</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F2013L00149</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194" w:history="1">
              <w:r w:rsidR="00590A8C" w:rsidRPr="001635F1">
                <w:rPr>
                  <w:rStyle w:val="Hyperlink"/>
                </w:rPr>
                <w:t>3/13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6B19A1">
            <w:pPr>
              <w:rPr>
                <w:rFonts w:ascii="Calibri" w:eastAsia="Times New Roman" w:hAnsi="Calibri" w:cs="Times New Roman"/>
                <w:color w:val="000000"/>
                <w:lang w:eastAsia="en-AU"/>
              </w:rPr>
            </w:pPr>
            <w:r w:rsidRPr="0015118A">
              <w:rPr>
                <w:rFonts w:ascii="Calibri" w:eastAsia="Times New Roman" w:hAnsi="Calibri" w:cs="Times New Roman"/>
                <w:color w:val="000000"/>
                <w:lang w:eastAsia="en-AU"/>
              </w:rPr>
              <w:t>Financial Sector (Collection of Data) (reporting standard) determination No. 60 of 2013 - LRS 100.0 - Solvency; LRS 120.0 - Management Capital; LRS 210.0 - Derivatives, Commitments and Off-Balance Sheet Items; LRS 220.0 - Large Exposures; LRS 410.0 - Capital Measurement Statistics; LRS 901 - Transitional Arrangements 2008</w:t>
            </w:r>
            <w:r>
              <w:rPr>
                <w:rFonts w:ascii="Calibri" w:eastAsia="Times New Roman" w:hAnsi="Calibri" w:cs="Times New Roman"/>
                <w:color w:val="000000"/>
                <w:lang w:eastAsia="en-AU"/>
              </w:rPr>
              <w:t xml:space="preserve"> [</w:t>
            </w:r>
            <w:r w:rsidRPr="0015118A">
              <w:rPr>
                <w:rFonts w:ascii="Calibri" w:eastAsia="Times New Roman" w:hAnsi="Calibri" w:cs="Times New Roman"/>
                <w:color w:val="000000"/>
                <w:lang w:eastAsia="en-AU"/>
              </w:rPr>
              <w:t>F2013L00150</w:t>
            </w:r>
            <w:r>
              <w:rPr>
                <w:rFonts w:ascii="Calibri" w:eastAsia="Times New Roman" w:hAnsi="Calibri" w:cs="Times New Roman"/>
                <w:color w:val="000000"/>
                <w:lang w:eastAsia="en-AU"/>
              </w:rPr>
              <w:t>]</w:t>
            </w:r>
          </w:p>
        </w:tc>
        <w:tc>
          <w:tcPr>
            <w:tcW w:w="1134" w:type="dxa"/>
          </w:tcPr>
          <w:p w:rsidR="00590A8C" w:rsidRDefault="00590A8C" w:rsidP="006B19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6B19A1">
            <w:pPr>
              <w:jc w:val="center"/>
              <w:cnfStyle w:val="000000000000" w:firstRow="0" w:lastRow="0" w:firstColumn="0" w:lastColumn="0" w:oddVBand="0" w:evenVBand="0" w:oddHBand="0" w:evenHBand="0" w:firstRowFirstColumn="0" w:firstRowLastColumn="0" w:lastRowFirstColumn="0" w:lastRowLastColumn="0"/>
            </w:pPr>
            <w:hyperlink r:id="rId195" w:history="1">
              <w:r w:rsidR="00590A8C" w:rsidRPr="001635F1">
                <w:rPr>
                  <w:rStyle w:val="Hyperlink"/>
                </w:rPr>
                <w:t>3/13</w:t>
              </w:r>
            </w:hyperlink>
          </w:p>
        </w:tc>
        <w:tc>
          <w:tcPr>
            <w:tcW w:w="3544" w:type="dxa"/>
          </w:tcPr>
          <w:p w:rsidR="00590A8C" w:rsidRPr="00056817" w:rsidRDefault="00590A8C" w:rsidP="006B19A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F4AAA" w:rsidRDefault="00590A8C" w:rsidP="002276DE">
            <w:pPr>
              <w:rPr>
                <w:rFonts w:ascii="Calibri" w:eastAsia="Times New Roman" w:hAnsi="Calibri" w:cs="Times New Roman"/>
                <w:color w:val="000000"/>
                <w:lang w:eastAsia="en-AU"/>
              </w:rPr>
            </w:pPr>
            <w:r w:rsidRPr="002B21D6">
              <w:rPr>
                <w:rFonts w:ascii="Calibri" w:eastAsia="Times New Roman" w:hAnsi="Calibri" w:cs="Times New Roman"/>
                <w:color w:val="000000"/>
                <w:lang w:eastAsia="en-AU"/>
              </w:rPr>
              <w:t>Foreign Acquisitions and Takeovers Amendment Regulation 2012 (No. 1)</w:t>
            </w:r>
            <w:r>
              <w:rPr>
                <w:rFonts w:ascii="Calibri" w:eastAsia="Times New Roman" w:hAnsi="Calibri" w:cs="Times New Roman"/>
                <w:color w:val="000000"/>
                <w:lang w:eastAsia="en-AU"/>
              </w:rPr>
              <w:t xml:space="preserve"> [</w:t>
            </w:r>
            <w:r w:rsidRPr="002B21D6">
              <w:rPr>
                <w:rFonts w:ascii="Calibri" w:eastAsia="Times New Roman" w:hAnsi="Calibri" w:cs="Times New Roman"/>
                <w:color w:val="000000"/>
                <w:lang w:eastAsia="en-AU"/>
              </w:rPr>
              <w:t>F2012L02410</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9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63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I</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7E6573">
              <w:rPr>
                <w:rFonts w:ascii="Calibri" w:eastAsia="Times New Roman" w:hAnsi="Calibri" w:cs="Times New Roman"/>
                <w:color w:val="000000"/>
                <w:lang w:eastAsia="en-AU"/>
              </w:rPr>
              <w:lastRenderedPageBreak/>
              <w:t>Inclusion of ecological communities in the list of threatened ecological communities under section 181 of the Environment Protection and Biodiversity Conservation Act 1999 - Lowland Grassy Woodland in the South East Corner Bioregion (117) (30/01/2013)</w:t>
            </w:r>
            <w:r>
              <w:rPr>
                <w:rFonts w:ascii="Calibri" w:eastAsia="Times New Roman" w:hAnsi="Calibri" w:cs="Times New Roman"/>
                <w:color w:val="000000"/>
                <w:lang w:eastAsia="en-AU"/>
              </w:rPr>
              <w:t xml:space="preserve"> [</w:t>
            </w:r>
            <w:r w:rsidRPr="007E6573">
              <w:rPr>
                <w:rFonts w:ascii="Calibri" w:eastAsia="Times New Roman" w:hAnsi="Calibri" w:cs="Times New Roman"/>
                <w:color w:val="000000"/>
                <w:lang w:eastAsia="en-AU"/>
              </w:rPr>
              <w:t>F2013L00192</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pPr>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E6573" w:rsidRDefault="00590A8C" w:rsidP="002276DE">
            <w:pPr>
              <w:rPr>
                <w:rFonts w:ascii="Calibri" w:eastAsia="Times New Roman" w:hAnsi="Calibri" w:cs="Times New Roman"/>
                <w:color w:val="000000"/>
                <w:lang w:eastAsia="en-AU"/>
              </w:rPr>
            </w:pPr>
            <w:r>
              <w:rPr>
                <w:rFonts w:ascii="Calibri" w:eastAsia="Times New Roman" w:hAnsi="Calibri" w:cs="Times New Roman"/>
                <w:color w:val="000000"/>
                <w:lang w:eastAsia="en-AU"/>
              </w:rPr>
              <w:t>Income Tax Assessment Amendment (Private Health Insurance Statement) Regulation 2013 [F2013L00784]</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97" w:history="1">
              <w:r w:rsidR="00590A8C" w:rsidRPr="00B224B8">
                <w:rPr>
                  <w:rStyle w:val="Hyperlink"/>
                </w:rPr>
                <w:t>7/13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To be presumed innocent</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 xml:space="preserve">Insurance (prudential standard) determination No. 1 of 2012 - Prudential Standard GPS 001 </w:t>
            </w:r>
            <w:r>
              <w:rPr>
                <w:rFonts w:ascii="Calibri" w:eastAsia="Times New Roman" w:hAnsi="Calibri" w:cs="Times New Roman"/>
                <w:color w:val="000000"/>
                <w:lang w:eastAsia="en-AU"/>
              </w:rPr>
              <w:t>–</w:t>
            </w:r>
            <w:r w:rsidRPr="004E23F1">
              <w:rPr>
                <w:rFonts w:ascii="Calibri" w:eastAsia="Times New Roman" w:hAnsi="Calibri" w:cs="Times New Roman"/>
                <w:color w:val="000000"/>
                <w:lang w:eastAsia="en-AU"/>
              </w:rPr>
              <w:t xml:space="preserve"> Definitions</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F2012L02349</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19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10 of 2012 - Prudential Standard GPS 220 - Risk Management</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F2012L02361</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19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11 of 2012 - Prudential standard GPS 230 - Reinsurance Management</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F2012L02365</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00"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12 of 2012 - Prudential Standard GPS 310 - Audit and Related Matters</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F2012L02369</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0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13 of 2012 - Prudential Standard GPS 320 - Actuarial and Related Matters</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F2012L02446</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0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15 of 2012 - Prudential Standard GPS 112 - Capital Adequacy: Measurement of Capital</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F2012L02451</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03"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4E23F1">
              <w:rPr>
                <w:rFonts w:ascii="Calibri" w:eastAsia="Times New Roman" w:hAnsi="Calibri" w:cs="Times New Roman"/>
                <w:color w:val="000000"/>
                <w:lang w:eastAsia="en-AU"/>
              </w:rPr>
              <w:t>Insurance (prudential standard) determination No. 2 of 2012 - Prudential Standard GPS 110 - Capital Adequacy</w:t>
            </w:r>
            <w:r>
              <w:rPr>
                <w:rFonts w:ascii="Calibri" w:eastAsia="Times New Roman" w:hAnsi="Calibri" w:cs="Times New Roman"/>
                <w:color w:val="000000"/>
                <w:lang w:eastAsia="en-AU"/>
              </w:rPr>
              <w:t xml:space="preserve"> [</w:t>
            </w:r>
            <w:r w:rsidRPr="004E23F1">
              <w:rPr>
                <w:rFonts w:ascii="Calibri" w:eastAsia="Times New Roman" w:hAnsi="Calibri" w:cs="Times New Roman"/>
                <w:color w:val="000000"/>
                <w:lang w:eastAsia="en-AU"/>
              </w:rPr>
              <w:t>F2012L02358</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0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4E23F1"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t>Insurance (prudential standard) determination No. 3 of 2012 - Prudential Standard GPS 113 - Capital Adequacy: Internal Model-based Method</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F2012L02356</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05"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t>Insurance (prudential standard) determination No. 4 of 2012 - Prudential Standard GPS 114 - Capital Adequacy: Asset Risk Charge</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F2012L02360</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0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lastRenderedPageBreak/>
              <w:t>Insurance (prudential standard) determination No. 5 of 2012 - Prudential Standard GPS 115 - Capital Adequacy: Insurance Risk Charge</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F2012L02380</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0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t>Insurance (prudential standard) determination No. 6 of 2012 - Prudential Standard GPS 116 - Capital Adequacy: Insurance Concentration Risk Charge</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F2012L02362</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0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t>Insurance (prudential standard) determination No. 7 of 2012 - Prudential Standard GPS 117 - Capital Adequacy: Asset Concentration Risk Charge</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F2012L02363</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0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A70229">
              <w:rPr>
                <w:rFonts w:ascii="Calibri" w:eastAsia="Times New Roman" w:hAnsi="Calibri" w:cs="Times New Roman"/>
                <w:color w:val="000000"/>
                <w:lang w:eastAsia="en-AU"/>
              </w:rPr>
              <w:t>Insurance (prudential standard) determination No. 8 of 2012 - Prudential Standard GPS 118 - Capital Adequacy: Operational Risk Change</w:t>
            </w:r>
            <w:r>
              <w:rPr>
                <w:rFonts w:ascii="Calibri" w:eastAsia="Times New Roman" w:hAnsi="Calibri" w:cs="Times New Roman"/>
                <w:color w:val="000000"/>
                <w:lang w:eastAsia="en-AU"/>
              </w:rPr>
              <w:t xml:space="preserve"> [</w:t>
            </w:r>
            <w:r w:rsidRPr="00A70229">
              <w:rPr>
                <w:rFonts w:ascii="Calibri" w:eastAsia="Times New Roman" w:hAnsi="Calibri" w:cs="Times New Roman"/>
                <w:color w:val="000000"/>
                <w:lang w:eastAsia="en-AU"/>
              </w:rPr>
              <w:t>F2012L02364</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100000" w:firstRow="0" w:lastRow="0" w:firstColumn="0" w:lastColumn="0" w:oddVBand="0" w:evenVBand="0" w:oddHBand="1" w:evenHBand="0" w:firstRowFirstColumn="0" w:firstRowLastColumn="0" w:lastRowFirstColumn="0" w:lastRowLastColumn="0"/>
            </w:pPr>
            <w:hyperlink r:id="rId210"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70229" w:rsidRDefault="00590A8C" w:rsidP="002276DE">
            <w:pPr>
              <w:rPr>
                <w:rFonts w:ascii="Calibri" w:eastAsia="Times New Roman" w:hAnsi="Calibri" w:cs="Times New Roman"/>
                <w:color w:val="000000"/>
                <w:lang w:eastAsia="en-AU"/>
              </w:rPr>
            </w:pPr>
            <w:r w:rsidRPr="00BE6771">
              <w:rPr>
                <w:rFonts w:ascii="Calibri" w:eastAsia="Times New Roman" w:hAnsi="Calibri" w:cs="Times New Roman"/>
                <w:color w:val="000000"/>
                <w:lang w:eastAsia="en-AU"/>
              </w:rPr>
              <w:t>Insurance (prudential standard) determination No. 9 of 2012 - Prudential Standard GPS 120 - Assets in Australia</w:t>
            </w:r>
            <w:r>
              <w:rPr>
                <w:rFonts w:ascii="Calibri" w:eastAsia="Times New Roman" w:hAnsi="Calibri" w:cs="Times New Roman"/>
                <w:color w:val="000000"/>
                <w:lang w:eastAsia="en-AU"/>
              </w:rPr>
              <w:t xml:space="preserve"> [</w:t>
            </w:r>
            <w:r w:rsidRPr="00BE6771">
              <w:rPr>
                <w:rFonts w:ascii="Calibri" w:eastAsia="Times New Roman" w:hAnsi="Calibri" w:cs="Times New Roman"/>
                <w:color w:val="000000"/>
                <w:lang w:eastAsia="en-AU"/>
              </w:rPr>
              <w:t>F2012L02366</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2276DE">
            <w:pPr>
              <w:jc w:val="center"/>
              <w:cnfStyle w:val="000000000000" w:firstRow="0" w:lastRow="0" w:firstColumn="0" w:lastColumn="0" w:oddVBand="0" w:evenVBand="0" w:oddHBand="0" w:evenHBand="0" w:firstRowFirstColumn="0" w:firstRowLastColumn="0" w:lastRowFirstColumn="0" w:lastRowLastColumn="0"/>
            </w:pPr>
            <w:hyperlink r:id="rId21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BE6771" w:rsidRDefault="00590A8C" w:rsidP="001406A3">
            <w:pPr>
              <w:rPr>
                <w:rFonts w:ascii="Calibri" w:eastAsia="Times New Roman" w:hAnsi="Calibri" w:cs="Times New Roman"/>
                <w:color w:val="000000"/>
                <w:lang w:eastAsia="en-AU"/>
              </w:rPr>
            </w:pPr>
            <w:r w:rsidRPr="001406A3">
              <w:rPr>
                <w:rFonts w:ascii="Calibri" w:eastAsia="Times New Roman" w:hAnsi="Calibri" w:cs="Times New Roman"/>
                <w:color w:val="000000"/>
                <w:lang w:eastAsia="en-AU"/>
              </w:rPr>
              <w:t>International Organisations (Privileges and Immunities)</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(International Committee of the Red Cross) Regulation 2013</w:t>
            </w:r>
            <w:r>
              <w:rPr>
                <w:rFonts w:ascii="Calibri" w:eastAsia="Times New Roman" w:hAnsi="Calibri" w:cs="Times New Roman"/>
                <w:color w:val="000000"/>
                <w:lang w:eastAsia="en-AU"/>
              </w:rPr>
              <w:t xml:space="preserve"> [</w:t>
            </w:r>
            <w:r w:rsidRPr="001406A3">
              <w:rPr>
                <w:rFonts w:ascii="Calibri" w:eastAsia="Times New Roman" w:hAnsi="Calibri" w:cs="Times New Roman"/>
                <w:color w:val="000000"/>
                <w:lang w:eastAsia="en-AU"/>
              </w:rPr>
              <w:t>F2013L01916</w:t>
            </w:r>
            <w:r>
              <w:rPr>
                <w:rFonts w:ascii="Calibri" w:eastAsia="Times New Roman" w:hAnsi="Calibri" w:cs="Times New Roman"/>
                <w:color w:val="000000"/>
                <w:lang w:eastAsia="en-AU"/>
              </w:rPr>
              <w:t>]</w:t>
            </w:r>
          </w:p>
        </w:tc>
        <w:tc>
          <w:tcPr>
            <w:tcW w:w="1134" w:type="dxa"/>
          </w:tcPr>
          <w:p w:rsidR="00590A8C" w:rsidRDefault="00590A8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12"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hyperlink r:id="rId213" w:history="1">
              <w:r w:rsidR="00590A8C" w:rsidRPr="005922CA">
                <w:rPr>
                  <w:rStyle w:val="Hyperlink"/>
                  <w:rFonts w:ascii="Calibri" w:eastAsia="Times New Roman" w:hAnsi="Calibri" w:cs="Times New Roman"/>
                  <w:lang w:eastAsia="en-AU"/>
                </w:rPr>
                <w:t>9/44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14" w:history="1">
              <w:r w:rsidR="00590A8C" w:rsidRPr="007A44E0">
                <w:rPr>
                  <w:rStyle w:val="Hyperlink"/>
                  <w:rFonts w:ascii="Calibri" w:eastAsia="Times New Roman" w:hAnsi="Calibri" w:cs="Times New Roman"/>
                  <w:lang w:eastAsia="en-AU"/>
                </w:rPr>
                <w:t>10/44</w:t>
              </w:r>
            </w:hyperlink>
          </w:p>
        </w:tc>
        <w:tc>
          <w:tcPr>
            <w:tcW w:w="3544" w:type="dxa"/>
          </w:tcPr>
          <w:p w:rsidR="00590A8C" w:rsidRPr="00056817" w:rsidRDefault="00590A8C" w:rsidP="007A44E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Fair hearing </w:t>
            </w:r>
          </w:p>
        </w:tc>
      </w:tr>
      <w:tr w:rsidR="00590A8C" w:rsidRPr="002C2B55" w:rsidTr="00840504">
        <w:trPr>
          <w:trHeight w:val="66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91507E">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L</w:t>
            </w:r>
          </w:p>
          <w:p w:rsidR="00590A8C" w:rsidRPr="0091507E" w:rsidRDefault="00590A8C" w:rsidP="0091507E">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BE6771">
              <w:rPr>
                <w:rFonts w:ascii="Calibri" w:eastAsia="Times New Roman" w:hAnsi="Calibri" w:cs="Times New Roman"/>
                <w:color w:val="000000"/>
                <w:lang w:eastAsia="en-AU"/>
              </w:rPr>
              <w:t xml:space="preserve">Life Insurance (prudential standard) determination No. 1 of 2012 - Prudential Standard LPS 001 </w:t>
            </w:r>
            <w:r>
              <w:rPr>
                <w:rFonts w:ascii="Calibri" w:eastAsia="Times New Roman" w:hAnsi="Calibri" w:cs="Times New Roman"/>
                <w:color w:val="000000"/>
                <w:lang w:eastAsia="en-AU"/>
              </w:rPr>
              <w:t>–</w:t>
            </w:r>
            <w:r w:rsidRPr="00BE6771">
              <w:rPr>
                <w:rFonts w:ascii="Calibri" w:eastAsia="Times New Roman" w:hAnsi="Calibri" w:cs="Times New Roman"/>
                <w:color w:val="000000"/>
                <w:lang w:eastAsia="en-AU"/>
              </w:rPr>
              <w:t xml:space="preserve"> Definitions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F2012L02461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15"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10 of 2012 - Prudential Standard LPS 310 - Audit and Related Matters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F2012L02467</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16"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12 of 2012 - Prudential Standard LPS 340 - Valuation of Policy Liabilities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F2012L02475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17"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13 of 2012 - Prudential Standard LPS 360 - Termination Values, Minimum Surre</w:t>
            </w:r>
            <w:r>
              <w:rPr>
                <w:rFonts w:ascii="Calibri" w:eastAsia="Times New Roman" w:hAnsi="Calibri" w:cs="Times New Roman"/>
                <w:color w:val="000000"/>
                <w:lang w:eastAsia="en-AU"/>
              </w:rPr>
              <w:t>nder Values and Paid-up Values [</w:t>
            </w:r>
            <w:r w:rsidRPr="006539E7">
              <w:rPr>
                <w:rFonts w:ascii="Calibri" w:eastAsia="Times New Roman" w:hAnsi="Calibri" w:cs="Times New Roman"/>
                <w:color w:val="000000"/>
                <w:lang w:eastAsia="en-AU"/>
              </w:rPr>
              <w:t>F2012L02477</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18"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14 of 2012 - Prudential Standard LPS 370 - Cost of Investment Performance Guarantees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F2012L02478</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19"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lastRenderedPageBreak/>
              <w:t>Life Insurance (prudential standard) determination No. 15 of 2012 - Prudential Standard LPS 600 - Statutory Funds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F2012L02481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20"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16 of 2012 - Prudential Standard LPS 700 - Friendly Society Benefit Funds</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F2012L02482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21"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6539E7">
              <w:rPr>
                <w:rFonts w:ascii="Calibri" w:eastAsia="Times New Roman" w:hAnsi="Calibri" w:cs="Times New Roman"/>
                <w:color w:val="000000"/>
                <w:lang w:eastAsia="en-AU"/>
              </w:rPr>
              <w:t>Life Insurance (prudential standard) determination No. 17 of 2012</w:t>
            </w:r>
            <w:r>
              <w:rPr>
                <w:rFonts w:ascii="Calibri" w:eastAsia="Times New Roman" w:hAnsi="Calibri" w:cs="Times New Roman"/>
                <w:color w:val="000000"/>
                <w:lang w:eastAsia="en-AU"/>
              </w:rPr>
              <w:t xml:space="preserve"> [</w:t>
            </w:r>
            <w:r w:rsidRPr="006539E7">
              <w:rPr>
                <w:rFonts w:ascii="Calibri" w:eastAsia="Times New Roman" w:hAnsi="Calibri" w:cs="Times New Roman"/>
                <w:color w:val="000000"/>
                <w:lang w:eastAsia="en-AU"/>
              </w:rPr>
              <w:t>F2012L02484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22"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539E7" w:rsidRDefault="00590A8C" w:rsidP="000B22F3">
            <w:pPr>
              <w:rPr>
                <w:rFonts w:ascii="Calibri" w:eastAsia="Times New Roman" w:hAnsi="Calibri" w:cs="Times New Roman"/>
                <w:color w:val="000000"/>
                <w:lang w:eastAsia="en-AU"/>
              </w:rPr>
            </w:pPr>
            <w:r w:rsidRPr="005F3F0A">
              <w:rPr>
                <w:rFonts w:ascii="Calibri" w:eastAsia="Times New Roman" w:hAnsi="Calibri" w:cs="Times New Roman"/>
                <w:color w:val="000000"/>
                <w:lang w:eastAsia="en-AU"/>
              </w:rPr>
              <w:t>Life Insurance (prudential standard) determination No. 2 of 2012 - Prudential Standard LPS 110 - Capital Adequacy</w:t>
            </w:r>
            <w:r>
              <w:rPr>
                <w:rFonts w:ascii="Calibri" w:eastAsia="Times New Roman" w:hAnsi="Calibri" w:cs="Times New Roman"/>
                <w:color w:val="000000"/>
                <w:lang w:eastAsia="en-AU"/>
              </w:rPr>
              <w:t xml:space="preserve"> [</w:t>
            </w:r>
            <w:r w:rsidRPr="005F3F0A">
              <w:rPr>
                <w:rFonts w:ascii="Calibri" w:eastAsia="Times New Roman" w:hAnsi="Calibri" w:cs="Times New Roman"/>
                <w:color w:val="000000"/>
                <w:lang w:eastAsia="en-AU"/>
              </w:rPr>
              <w:t>F2012L02460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23"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F3F0A" w:rsidRDefault="00590A8C" w:rsidP="000B22F3">
            <w:pPr>
              <w:rPr>
                <w:rFonts w:ascii="Calibri" w:eastAsia="Times New Roman" w:hAnsi="Calibri" w:cs="Times New Roman"/>
                <w:color w:val="000000"/>
                <w:lang w:eastAsia="en-AU"/>
              </w:rPr>
            </w:pPr>
            <w:r w:rsidRPr="005F3F0A">
              <w:rPr>
                <w:rFonts w:ascii="Calibri" w:eastAsia="Times New Roman" w:hAnsi="Calibri" w:cs="Times New Roman"/>
                <w:color w:val="000000"/>
                <w:lang w:eastAsia="en-AU"/>
              </w:rPr>
              <w:t>Life Insurance (prudential standard) determination No. 3 of 2012 - Prudential Standard LPS 112 - Capital Adequacy: Measurement of Capital</w:t>
            </w:r>
            <w:r>
              <w:rPr>
                <w:rFonts w:ascii="Calibri" w:eastAsia="Times New Roman" w:hAnsi="Calibri" w:cs="Times New Roman"/>
                <w:color w:val="000000"/>
                <w:lang w:eastAsia="en-AU"/>
              </w:rPr>
              <w:t xml:space="preserve"> [</w:t>
            </w:r>
            <w:r w:rsidRPr="005F3F0A">
              <w:rPr>
                <w:rFonts w:ascii="Calibri" w:eastAsia="Times New Roman" w:hAnsi="Calibri" w:cs="Times New Roman"/>
                <w:color w:val="000000"/>
                <w:lang w:eastAsia="en-AU"/>
              </w:rPr>
              <w:t>F2012L02463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24"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F3F0A" w:rsidRDefault="00590A8C" w:rsidP="000B22F3">
            <w:pPr>
              <w:rPr>
                <w:rFonts w:ascii="Calibri" w:eastAsia="Times New Roman" w:hAnsi="Calibri" w:cs="Times New Roman"/>
                <w:color w:val="000000"/>
                <w:lang w:eastAsia="en-AU"/>
              </w:rPr>
            </w:pPr>
            <w:r w:rsidRPr="005F3F0A">
              <w:rPr>
                <w:rFonts w:ascii="Calibri" w:eastAsia="Times New Roman" w:hAnsi="Calibri" w:cs="Times New Roman"/>
                <w:color w:val="000000"/>
                <w:lang w:eastAsia="en-AU"/>
              </w:rPr>
              <w:t>Life Insurance (prudential standard) determination No. 4 of 2012 - Prudential Standard LPS 114 - Capital Adequacy: Asset Risk Charge</w:t>
            </w:r>
            <w:r>
              <w:rPr>
                <w:rFonts w:ascii="Calibri" w:eastAsia="Times New Roman" w:hAnsi="Calibri" w:cs="Times New Roman"/>
                <w:color w:val="000000"/>
                <w:lang w:eastAsia="en-AU"/>
              </w:rPr>
              <w:t xml:space="preserve"> [</w:t>
            </w:r>
            <w:r w:rsidRPr="005F3F0A">
              <w:rPr>
                <w:rFonts w:ascii="Calibri" w:eastAsia="Times New Roman" w:hAnsi="Calibri" w:cs="Times New Roman"/>
                <w:color w:val="000000"/>
                <w:lang w:eastAsia="en-AU"/>
              </w:rPr>
              <w:t>F2012L02464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25"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F3F0A" w:rsidRDefault="00590A8C" w:rsidP="000B22F3">
            <w:pPr>
              <w:rPr>
                <w:rFonts w:ascii="Calibri" w:eastAsia="Times New Roman" w:hAnsi="Calibri" w:cs="Times New Roman"/>
                <w:color w:val="000000"/>
                <w:lang w:eastAsia="en-AU"/>
              </w:rPr>
            </w:pPr>
            <w:r w:rsidRPr="005F3F0A">
              <w:rPr>
                <w:rFonts w:ascii="Calibri" w:eastAsia="Times New Roman" w:hAnsi="Calibri" w:cs="Times New Roman"/>
                <w:color w:val="000000"/>
                <w:lang w:eastAsia="en-AU"/>
              </w:rPr>
              <w:t>Life Insurance (prudential standard) determination No. 5 of 2012 - Prudential Standard LPS 115 - Capital Adequacy: Insurance Risk Charge</w:t>
            </w:r>
            <w:r>
              <w:rPr>
                <w:rFonts w:ascii="Calibri" w:eastAsia="Times New Roman" w:hAnsi="Calibri" w:cs="Times New Roman"/>
                <w:color w:val="000000"/>
                <w:lang w:eastAsia="en-AU"/>
              </w:rPr>
              <w:t xml:space="preserve"> [</w:t>
            </w:r>
            <w:r w:rsidRPr="005F3F0A">
              <w:rPr>
                <w:rFonts w:ascii="Calibri" w:eastAsia="Times New Roman" w:hAnsi="Calibri" w:cs="Times New Roman"/>
                <w:color w:val="000000"/>
                <w:lang w:eastAsia="en-AU"/>
              </w:rPr>
              <w:t>F2012L02462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26"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F3F0A" w:rsidRDefault="00590A8C" w:rsidP="000B22F3">
            <w:pPr>
              <w:rPr>
                <w:rFonts w:ascii="Calibri" w:eastAsia="Times New Roman" w:hAnsi="Calibri" w:cs="Times New Roman"/>
                <w:color w:val="000000"/>
                <w:lang w:eastAsia="en-AU"/>
              </w:rPr>
            </w:pPr>
            <w:r w:rsidRPr="005D393D">
              <w:rPr>
                <w:rFonts w:ascii="Calibri" w:eastAsia="Times New Roman" w:hAnsi="Calibri" w:cs="Times New Roman"/>
                <w:color w:val="000000"/>
                <w:lang w:eastAsia="en-AU"/>
              </w:rPr>
              <w:t>Life Insurance (prudential standard) determination No. 6 of 2012 - Prudential Standard LPS 117 - Capital Adequacy: Asset Concentration Risk Charge</w:t>
            </w:r>
            <w:r>
              <w:rPr>
                <w:rFonts w:ascii="Calibri" w:eastAsia="Times New Roman" w:hAnsi="Calibri" w:cs="Times New Roman"/>
                <w:color w:val="000000"/>
                <w:lang w:eastAsia="en-AU"/>
              </w:rPr>
              <w:t xml:space="preserve"> [</w:t>
            </w:r>
            <w:r w:rsidRPr="003A6657">
              <w:rPr>
                <w:rFonts w:ascii="Calibri" w:eastAsia="Times New Roman" w:hAnsi="Calibri" w:cs="Times New Roman"/>
                <w:color w:val="000000"/>
                <w:lang w:eastAsia="en-AU"/>
              </w:rPr>
              <w:t>F2012L02465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27"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D393D" w:rsidRDefault="00590A8C" w:rsidP="000B22F3">
            <w:pPr>
              <w:rPr>
                <w:rFonts w:ascii="Calibri" w:eastAsia="Times New Roman" w:hAnsi="Calibri" w:cs="Times New Roman"/>
                <w:color w:val="000000"/>
                <w:lang w:eastAsia="en-AU"/>
              </w:rPr>
            </w:pPr>
            <w:r w:rsidRPr="003A6657">
              <w:rPr>
                <w:rFonts w:ascii="Calibri" w:eastAsia="Times New Roman" w:hAnsi="Calibri" w:cs="Times New Roman"/>
                <w:color w:val="000000"/>
                <w:lang w:eastAsia="en-AU"/>
              </w:rPr>
              <w:t>Life Insurance (prudential standard) determination No. 7 of 2012 - Prudential Standard LPS 118 - Capital Adequacy: Operational Risk Charge</w:t>
            </w:r>
            <w:r>
              <w:rPr>
                <w:rFonts w:ascii="Calibri" w:eastAsia="Times New Roman" w:hAnsi="Calibri" w:cs="Times New Roman"/>
                <w:color w:val="000000"/>
                <w:lang w:eastAsia="en-AU"/>
              </w:rPr>
              <w:t xml:space="preserve"> [</w:t>
            </w:r>
            <w:r w:rsidRPr="003A6657">
              <w:rPr>
                <w:rFonts w:ascii="Calibri" w:eastAsia="Times New Roman" w:hAnsi="Calibri" w:cs="Times New Roman"/>
                <w:color w:val="000000"/>
                <w:lang w:eastAsia="en-AU"/>
              </w:rPr>
              <w:t>F2012L02466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28"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A6657" w:rsidRDefault="00590A8C" w:rsidP="000B22F3">
            <w:pPr>
              <w:rPr>
                <w:rFonts w:ascii="Calibri" w:eastAsia="Times New Roman" w:hAnsi="Calibri" w:cs="Times New Roman"/>
                <w:color w:val="000000"/>
                <w:lang w:eastAsia="en-AU"/>
              </w:rPr>
            </w:pPr>
            <w:r w:rsidRPr="003A6657">
              <w:rPr>
                <w:rFonts w:ascii="Calibri" w:eastAsia="Times New Roman" w:hAnsi="Calibri" w:cs="Times New Roman"/>
                <w:color w:val="000000"/>
                <w:lang w:eastAsia="en-AU"/>
              </w:rPr>
              <w:t>Life Insurance (prudential standard) determination No. 8 of 2012 - Prudential Standard LPS 100 - Solvency Standard</w:t>
            </w:r>
            <w:r>
              <w:rPr>
                <w:rFonts w:ascii="Calibri" w:eastAsia="Times New Roman" w:hAnsi="Calibri" w:cs="Times New Roman"/>
                <w:color w:val="000000"/>
                <w:lang w:eastAsia="en-AU"/>
              </w:rPr>
              <w:t xml:space="preserve"> [</w:t>
            </w:r>
            <w:r w:rsidRPr="003A6657">
              <w:rPr>
                <w:rFonts w:ascii="Calibri" w:eastAsia="Times New Roman" w:hAnsi="Calibri" w:cs="Times New Roman"/>
                <w:color w:val="000000"/>
                <w:lang w:eastAsia="en-AU"/>
              </w:rPr>
              <w:t>F2012L02468</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29"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A6657" w:rsidRDefault="00590A8C" w:rsidP="000B22F3">
            <w:pPr>
              <w:rPr>
                <w:rFonts w:ascii="Calibri" w:eastAsia="Times New Roman" w:hAnsi="Calibri" w:cs="Times New Roman"/>
                <w:color w:val="000000"/>
                <w:lang w:eastAsia="en-AU"/>
              </w:rPr>
            </w:pPr>
            <w:r w:rsidRPr="003A6657">
              <w:rPr>
                <w:rFonts w:ascii="Calibri" w:eastAsia="Times New Roman" w:hAnsi="Calibri" w:cs="Times New Roman"/>
                <w:color w:val="000000"/>
                <w:lang w:eastAsia="en-AU"/>
              </w:rPr>
              <w:t>Life Insurance (prudential standard) determination No. 9 of 2012 - Prudential Standard LPS 220 - Risk Management</w:t>
            </w:r>
            <w:r>
              <w:rPr>
                <w:rFonts w:ascii="Calibri" w:eastAsia="Times New Roman" w:hAnsi="Calibri" w:cs="Times New Roman"/>
                <w:color w:val="000000"/>
                <w:lang w:eastAsia="en-AU"/>
              </w:rPr>
              <w:t xml:space="preserve"> [</w:t>
            </w:r>
            <w:r w:rsidRPr="003A6657">
              <w:rPr>
                <w:rFonts w:ascii="Calibri" w:eastAsia="Times New Roman" w:hAnsi="Calibri" w:cs="Times New Roman"/>
                <w:color w:val="000000"/>
                <w:lang w:eastAsia="en-AU"/>
              </w:rPr>
              <w:t>F2012L02469</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230"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3A6657" w:rsidRDefault="00590A8C" w:rsidP="000B22F3">
            <w:pPr>
              <w:rPr>
                <w:rFonts w:ascii="Calibri" w:eastAsia="Times New Roman" w:hAnsi="Calibri" w:cs="Times New Roman"/>
                <w:color w:val="000000"/>
                <w:lang w:eastAsia="en-AU"/>
              </w:rPr>
            </w:pPr>
            <w:r w:rsidRPr="001F7208">
              <w:rPr>
                <w:rFonts w:ascii="Calibri" w:eastAsia="Times New Roman" w:hAnsi="Calibri" w:cs="Times New Roman"/>
                <w:color w:val="000000"/>
                <w:lang w:eastAsia="en-AU"/>
              </w:rPr>
              <w:t>Life Insurance (prudential standard) determination No. 11 of 2012 - Prudential Standard LPS 320 - Actuarial and Related Matters</w:t>
            </w:r>
            <w:r>
              <w:rPr>
                <w:rFonts w:ascii="Calibri" w:eastAsia="Times New Roman" w:hAnsi="Calibri" w:cs="Times New Roman"/>
                <w:color w:val="000000"/>
                <w:lang w:eastAsia="en-AU"/>
              </w:rPr>
              <w:t xml:space="preserve"> [</w:t>
            </w:r>
            <w:r w:rsidRPr="001F7208">
              <w:rPr>
                <w:rFonts w:ascii="Calibri" w:eastAsia="Times New Roman" w:hAnsi="Calibri" w:cs="Times New Roman"/>
                <w:color w:val="000000"/>
                <w:lang w:eastAsia="en-AU"/>
              </w:rPr>
              <w:t>F2012L02496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231" w:history="1">
              <w:r w:rsidR="00590A8C" w:rsidRPr="001635F1">
                <w:rPr>
                  <w:rStyle w:val="Hyperlink"/>
                </w:rPr>
                <w:t>3/13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M</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27C83" w:rsidRDefault="00590A8C" w:rsidP="000B22F3">
            <w:pPr>
              <w:rPr>
                <w:rFonts w:ascii="Calibri" w:eastAsia="Times New Roman" w:hAnsi="Calibri" w:cs="Times New Roman"/>
                <w:color w:val="000000"/>
                <w:lang w:eastAsia="en-AU"/>
              </w:rPr>
            </w:pPr>
            <w:r w:rsidRPr="001F7208">
              <w:rPr>
                <w:rFonts w:ascii="Calibri" w:eastAsia="Times New Roman" w:hAnsi="Calibri" w:cs="Times New Roman"/>
                <w:color w:val="000000"/>
                <w:lang w:eastAsia="en-AU"/>
              </w:rPr>
              <w:t>Marine Order 2 (Australian International Shipping Register) 2012</w:t>
            </w:r>
            <w:r>
              <w:rPr>
                <w:rFonts w:ascii="Calibri" w:eastAsia="Times New Roman" w:hAnsi="Calibri" w:cs="Times New Roman"/>
                <w:color w:val="000000"/>
                <w:lang w:eastAsia="en-AU"/>
              </w:rPr>
              <w:t xml:space="preserve"> [</w:t>
            </w:r>
            <w:r w:rsidRPr="001F7208">
              <w:rPr>
                <w:rFonts w:ascii="Calibri" w:eastAsia="Times New Roman" w:hAnsi="Calibri" w:cs="Times New Roman"/>
                <w:color w:val="000000"/>
                <w:lang w:eastAsia="en-AU"/>
              </w:rPr>
              <w:t>F2012L02584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32" w:history="1">
              <w:r w:rsidR="00590A8C" w:rsidRPr="001635F1">
                <w:rPr>
                  <w:rStyle w:val="Hyperlink"/>
                </w:rPr>
                <w:t>3/13</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37A34" w:rsidRDefault="00590A8C" w:rsidP="000B22F3">
            <w:pPr>
              <w:rPr>
                <w:rFonts w:eastAsia="Times New Roman" w:cs="Times New Roman"/>
                <w:color w:val="000000"/>
                <w:lang w:eastAsia="en-AU"/>
              </w:rPr>
            </w:pPr>
            <w:r w:rsidRPr="00037A34">
              <w:rPr>
                <w:rFonts w:cs="Calibri,Bold"/>
                <w:bCs w:val="0"/>
              </w:rPr>
              <w:t>Marine Order 4 (Transitional modifications) 2013</w:t>
            </w:r>
            <w:r>
              <w:rPr>
                <w:rFonts w:cs="Calibri,Bold"/>
                <w:bCs w:val="0"/>
              </w:rPr>
              <w:t xml:space="preserve"> [L2013L00871]</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33" w:history="1">
              <w:r w:rsidR="00590A8C" w:rsidRPr="001214D7">
                <w:rPr>
                  <w:rStyle w:val="Hyperlink"/>
                </w:rPr>
                <w:t>10/13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34" w:history="1">
              <w:r w:rsidR="00590A8C" w:rsidRPr="001406A3">
                <w:rPr>
                  <w:rStyle w:val="Hyperlink"/>
                </w:rPr>
                <w:t>1/44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Criminal process</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0B22F3">
            <w:pPr>
              <w:rPr>
                <w:rFonts w:ascii="Calibri" w:eastAsia="Times New Roman" w:hAnsi="Calibri" w:cs="Times New Roman"/>
                <w:color w:val="000000"/>
                <w:lang w:eastAsia="en-AU"/>
              </w:rPr>
            </w:pPr>
            <w:r w:rsidRPr="00727C83">
              <w:rPr>
                <w:rFonts w:ascii="Calibri" w:eastAsia="Times New Roman" w:hAnsi="Calibri" w:cs="Times New Roman"/>
                <w:color w:val="000000"/>
                <w:lang w:eastAsia="en-AU"/>
              </w:rPr>
              <w:t>Marine Order 95 (Marine pollution prevention – garbage) 2013</w:t>
            </w:r>
            <w:r>
              <w:rPr>
                <w:rFonts w:ascii="Calibri" w:eastAsia="Times New Roman" w:hAnsi="Calibri" w:cs="Times New Roman"/>
                <w:color w:val="000000"/>
                <w:lang w:eastAsia="en-AU"/>
              </w:rPr>
              <w:t xml:space="preserve"> [F2013L00059]</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35" w:history="1">
              <w:r w:rsidR="00590A8C" w:rsidRPr="001635F1">
                <w:rPr>
                  <w:rStyle w:val="Hyperlink"/>
                </w:rPr>
                <w:t>3/13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36" w:history="1">
              <w:r w:rsidR="00590A8C">
                <w:rPr>
                  <w:rStyle w:val="Hyperlink"/>
                </w:rPr>
                <w:t>6/13</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Maritime Transport and Offshore Facilities Security Amendment Regulation 2012 (No. 3)</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37" w:history="1">
              <w:r w:rsidR="00590A8C" w:rsidRPr="00A93BAC">
                <w:rPr>
                  <w:rStyle w:val="Hyperlink"/>
                </w:rPr>
                <w:t>1/13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38" w:history="1">
              <w:r w:rsidR="00590A8C" w:rsidRPr="00BE622B">
                <w:rPr>
                  <w:rStyle w:val="Hyperlink"/>
                </w:rPr>
                <w:t>6/13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0B22F3">
            <w:pPr>
              <w:rPr>
                <w:rFonts w:ascii="Calibri" w:eastAsia="Times New Roman" w:hAnsi="Calibri" w:cs="Times New Roman"/>
                <w:color w:val="000000"/>
                <w:lang w:eastAsia="en-AU"/>
              </w:rPr>
            </w:pPr>
            <w:r>
              <w:rPr>
                <w:rFonts w:ascii="Calibri" w:eastAsia="Times New Roman" w:hAnsi="Calibri" w:cs="Times New Roman"/>
                <w:color w:val="000000"/>
                <w:lang w:eastAsia="en-AU"/>
              </w:rPr>
              <w:t>Medical Leave Rules 2013 [F2013L00269]</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39" w:history="1">
              <w:r w:rsidR="00590A8C" w:rsidRPr="003507ED">
                <w:rPr>
                  <w:rStyle w:val="Hyperlink"/>
                </w:rPr>
                <w:t>6/13</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Education; privacy; fair hearing; freedom of movement</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546408">
            <w:pPr>
              <w:rPr>
                <w:rFonts w:ascii="Calibri" w:eastAsia="Times New Roman" w:hAnsi="Calibri" w:cs="Times New Roman"/>
                <w:color w:val="000000"/>
                <w:lang w:eastAsia="en-AU"/>
              </w:rPr>
            </w:pPr>
            <w:r w:rsidRPr="00546408">
              <w:rPr>
                <w:rFonts w:ascii="Calibri" w:eastAsia="Times New Roman" w:hAnsi="Calibri" w:cs="Times New Roman"/>
                <w:color w:val="000000"/>
                <w:lang w:eastAsia="en-AU"/>
              </w:rPr>
              <w:t>Migration Act 1958 - Determination under subsection 262(2)</w:t>
            </w:r>
            <w:r>
              <w:rPr>
                <w:rFonts w:ascii="Calibri" w:eastAsia="Times New Roman" w:hAnsi="Calibri" w:cs="Times New Roman"/>
                <w:color w:val="000000"/>
                <w:lang w:eastAsia="en-AU"/>
              </w:rPr>
              <w:t xml:space="preserve"> </w:t>
            </w:r>
            <w:r w:rsidRPr="00546408">
              <w:rPr>
                <w:rFonts w:ascii="Calibri" w:eastAsia="Times New Roman" w:hAnsi="Calibri" w:cs="Times New Roman"/>
                <w:color w:val="000000"/>
                <w:lang w:eastAsia="en-AU"/>
              </w:rPr>
              <w:t>- Daily Maintenance Amounts for Persons in Detention -</w:t>
            </w:r>
            <w:r>
              <w:rPr>
                <w:rFonts w:ascii="Calibri" w:eastAsia="Times New Roman" w:hAnsi="Calibri" w:cs="Times New Roman"/>
                <w:color w:val="000000"/>
                <w:lang w:eastAsia="en-AU"/>
              </w:rPr>
              <w:t xml:space="preserve"> </w:t>
            </w:r>
            <w:r w:rsidRPr="00546408">
              <w:rPr>
                <w:rFonts w:ascii="Calibri" w:eastAsia="Times New Roman" w:hAnsi="Calibri" w:cs="Times New Roman"/>
                <w:color w:val="000000"/>
                <w:lang w:eastAsia="en-AU"/>
              </w:rPr>
              <w:t>October 2013</w:t>
            </w:r>
            <w:r>
              <w:rPr>
                <w:rFonts w:ascii="Calibri" w:eastAsia="Times New Roman" w:hAnsi="Calibri" w:cs="Times New Roman"/>
                <w:color w:val="000000"/>
                <w:lang w:eastAsia="en-AU"/>
              </w:rPr>
              <w:t xml:space="preserve"> [</w:t>
            </w:r>
            <w:r w:rsidRPr="00546408">
              <w:rPr>
                <w:rFonts w:ascii="Calibri" w:eastAsia="Times New Roman" w:hAnsi="Calibri" w:cs="Times New Roman"/>
                <w:color w:val="000000"/>
                <w:lang w:eastAsia="en-AU"/>
              </w:rPr>
              <w:t>F2013L01785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40"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41" w:history="1">
              <w:r w:rsidR="00590A8C" w:rsidRPr="00DD1C9B">
                <w:rPr>
                  <w:rStyle w:val="Hyperlink"/>
                </w:rPr>
                <w:t>3/44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Exempt from providing a statement of compatibility</w:t>
            </w:r>
          </w:p>
        </w:tc>
      </w:tr>
      <w:tr w:rsidR="00590A8C" w:rsidRPr="00037A34"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37A34" w:rsidRDefault="00590A8C" w:rsidP="00037A34">
            <w:pPr>
              <w:autoSpaceDE w:val="0"/>
              <w:autoSpaceDN w:val="0"/>
              <w:adjustRightInd w:val="0"/>
              <w:rPr>
                <w:rFonts w:eastAsia="Times New Roman" w:cs="Times New Roman"/>
                <w:color w:val="000000"/>
                <w:lang w:eastAsia="en-AU"/>
              </w:rPr>
            </w:pPr>
            <w:r w:rsidRPr="00037A34">
              <w:rPr>
                <w:rFonts w:cs="Calibri,Bold"/>
                <w:bCs w:val="0"/>
              </w:rPr>
              <w:t>Migration Amendment (Permanent Protection Visas) Regulation 2013</w:t>
            </w:r>
            <w:r>
              <w:rPr>
                <w:rFonts w:cs="Calibri,Bold"/>
                <w:bCs w:val="0"/>
              </w:rPr>
              <w:t xml:space="preserve"> [F2013L00890]</w:t>
            </w:r>
          </w:p>
        </w:tc>
        <w:tc>
          <w:tcPr>
            <w:tcW w:w="1134" w:type="dxa"/>
          </w:tcPr>
          <w:p w:rsidR="00590A8C" w:rsidRPr="00037A34" w:rsidRDefault="00590A8C" w:rsidP="000B22F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42" w:history="1">
              <w:r w:rsidR="00590A8C" w:rsidRPr="00037A34">
                <w:rPr>
                  <w:rStyle w:val="Hyperlink"/>
                </w:rPr>
                <w:t>10/13</w:t>
              </w:r>
            </w:hyperlink>
          </w:p>
          <w:p w:rsidR="00590A8C" w:rsidRPr="00037A34"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43" w:history="1">
              <w:r w:rsidR="00590A8C" w:rsidRPr="001406A3">
                <w:rPr>
                  <w:rStyle w:val="Hyperlink"/>
                </w:rPr>
                <w:t>1/44</w:t>
              </w:r>
            </w:hyperlink>
          </w:p>
        </w:tc>
        <w:tc>
          <w:tcPr>
            <w:tcW w:w="3544" w:type="dxa"/>
          </w:tcPr>
          <w:p w:rsidR="00590A8C" w:rsidRPr="00037A34" w:rsidRDefault="00590A8C" w:rsidP="004B0979">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Non-discrimination; privacy and family; review</w:t>
            </w:r>
          </w:p>
        </w:tc>
      </w:tr>
      <w:tr w:rsidR="00590A8C" w:rsidRPr="002C2B55" w:rsidTr="0081369D">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81369D">
            <w:pPr>
              <w:rPr>
                <w:rFonts w:ascii="Calibri" w:eastAsia="Times New Roman" w:hAnsi="Calibri" w:cs="Times New Roman"/>
                <w:color w:val="000000"/>
                <w:lang w:eastAsia="en-AU"/>
              </w:rPr>
            </w:pPr>
            <w:r w:rsidRPr="00546408">
              <w:rPr>
                <w:rFonts w:ascii="Calibri" w:eastAsia="Times New Roman" w:hAnsi="Calibri" w:cs="Times New Roman"/>
                <w:color w:val="000000"/>
                <w:lang w:eastAsia="en-AU"/>
              </w:rPr>
              <w:t>Migration Amendment (Subclass 050 and Subclass 051</w:t>
            </w:r>
            <w:r>
              <w:rPr>
                <w:rFonts w:ascii="Calibri" w:eastAsia="Times New Roman" w:hAnsi="Calibri" w:cs="Times New Roman"/>
                <w:color w:val="000000"/>
                <w:lang w:eastAsia="en-AU"/>
              </w:rPr>
              <w:t xml:space="preserve"> </w:t>
            </w:r>
            <w:r w:rsidRPr="00546408">
              <w:rPr>
                <w:rFonts w:ascii="Calibri" w:eastAsia="Times New Roman" w:hAnsi="Calibri" w:cs="Times New Roman"/>
                <w:color w:val="000000"/>
                <w:lang w:eastAsia="en-AU"/>
              </w:rPr>
              <w:t>Visas) Regulation 2013</w:t>
            </w:r>
            <w:r>
              <w:rPr>
                <w:rFonts w:ascii="Calibri" w:eastAsia="Times New Roman" w:hAnsi="Calibri" w:cs="Times New Roman"/>
                <w:color w:val="000000"/>
                <w:lang w:eastAsia="en-AU"/>
              </w:rPr>
              <w:t xml:space="preserve"> [</w:t>
            </w:r>
            <w:r w:rsidRPr="00A26080">
              <w:rPr>
                <w:rFonts w:ascii="Calibri" w:eastAsia="Times New Roman" w:hAnsi="Calibri" w:cs="Times New Roman"/>
                <w:color w:val="000000"/>
                <w:lang w:eastAsia="en-AU"/>
              </w:rPr>
              <w:t>F2013L01218</w:t>
            </w:r>
            <w:r>
              <w:rPr>
                <w:rFonts w:ascii="Calibri" w:eastAsia="Times New Roman" w:hAnsi="Calibri" w:cs="Times New Roman"/>
                <w:color w:val="000000"/>
                <w:lang w:eastAsia="en-AU"/>
              </w:rPr>
              <w:t>]</w:t>
            </w:r>
          </w:p>
        </w:tc>
        <w:tc>
          <w:tcPr>
            <w:tcW w:w="1134" w:type="dxa"/>
          </w:tcPr>
          <w:p w:rsidR="00590A8C" w:rsidRDefault="00590A8C" w:rsidP="0081369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44"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245" w:history="1">
              <w:r w:rsidR="00590A8C" w:rsidRPr="00301130">
                <w:rPr>
                  <w:rStyle w:val="Hyperlink"/>
                  <w:rFonts w:ascii="Calibri" w:eastAsia="Times New Roman" w:hAnsi="Calibri" w:cs="Times New Roman"/>
                  <w:lang w:eastAsia="en-AU"/>
                </w:rPr>
                <w:t>4/44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46" w:history="1">
              <w:r w:rsidR="00590A8C" w:rsidRPr="00C95A8B">
                <w:rPr>
                  <w:rStyle w:val="Hyperlink"/>
                </w:rPr>
                <w:t>7/44</w:t>
              </w:r>
            </w:hyperlink>
          </w:p>
        </w:tc>
        <w:tc>
          <w:tcPr>
            <w:tcW w:w="3544" w:type="dxa"/>
          </w:tcPr>
          <w:p w:rsidR="00590A8C" w:rsidRDefault="00590A8C" w:rsidP="003011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Non-</w:t>
            </w:r>
            <w:proofErr w:type="spellStart"/>
            <w:r>
              <w:rPr>
                <w:rFonts w:ascii="Calibri" w:eastAsia="Times New Roman" w:hAnsi="Calibri" w:cs="Times New Roman"/>
                <w:color w:val="000000"/>
                <w:lang w:eastAsia="en-AU"/>
              </w:rPr>
              <w:t>refoulement</w:t>
            </w:r>
            <w:proofErr w:type="spellEnd"/>
            <w:r>
              <w:rPr>
                <w:rFonts w:ascii="Calibri" w:eastAsia="Times New Roman" w:hAnsi="Calibri" w:cs="Times New Roman"/>
                <w:color w:val="000000"/>
                <w:lang w:eastAsia="en-AU"/>
              </w:rPr>
              <w:t>; p</w:t>
            </w:r>
            <w:r w:rsidRPr="00A26080">
              <w:rPr>
                <w:rFonts w:ascii="Calibri" w:eastAsia="Times New Roman" w:hAnsi="Calibri" w:cs="Times New Roman"/>
                <w:color w:val="000000"/>
                <w:lang w:eastAsia="en-AU"/>
              </w:rPr>
              <w:t>rohibition against arbitrary detention</w:t>
            </w:r>
            <w:r>
              <w:rPr>
                <w:rFonts w:ascii="Calibri" w:eastAsia="Times New Roman" w:hAnsi="Calibri" w:cs="Times New Roman"/>
                <w:color w:val="000000"/>
                <w:lang w:eastAsia="en-AU"/>
              </w:rPr>
              <w:t xml:space="preserve">; fair hearing </w:t>
            </w:r>
          </w:p>
        </w:tc>
      </w:tr>
      <w:tr w:rsidR="00590A8C" w:rsidRPr="002C2B55" w:rsidTr="0081369D">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46408" w:rsidRDefault="00590A8C" w:rsidP="0081369D">
            <w:pPr>
              <w:rPr>
                <w:rFonts w:ascii="Calibri" w:eastAsia="Times New Roman" w:hAnsi="Calibri" w:cs="Times New Roman"/>
                <w:color w:val="000000"/>
                <w:lang w:eastAsia="en-AU"/>
              </w:rPr>
            </w:pPr>
            <w:r w:rsidRPr="00A26080">
              <w:rPr>
                <w:rFonts w:ascii="Calibri" w:eastAsia="Times New Roman" w:hAnsi="Calibri" w:cs="Times New Roman"/>
                <w:color w:val="000000"/>
                <w:lang w:eastAsia="en-AU"/>
              </w:rPr>
              <w:t>Migration Amendment (Temporary Protection Visas)</w:t>
            </w:r>
            <w:r>
              <w:rPr>
                <w:rFonts w:ascii="Calibri" w:eastAsia="Times New Roman" w:hAnsi="Calibri" w:cs="Times New Roman"/>
                <w:color w:val="000000"/>
                <w:lang w:eastAsia="en-AU"/>
              </w:rPr>
              <w:t xml:space="preserve"> </w:t>
            </w:r>
            <w:r w:rsidRPr="00A26080">
              <w:rPr>
                <w:rFonts w:ascii="Calibri" w:eastAsia="Times New Roman" w:hAnsi="Calibri" w:cs="Times New Roman"/>
                <w:color w:val="000000"/>
                <w:lang w:eastAsia="en-AU"/>
              </w:rPr>
              <w:t>Regulation 2013</w:t>
            </w:r>
            <w:r>
              <w:rPr>
                <w:rFonts w:ascii="Calibri" w:eastAsia="Times New Roman" w:hAnsi="Calibri" w:cs="Times New Roman"/>
                <w:color w:val="000000"/>
                <w:lang w:eastAsia="en-AU"/>
              </w:rPr>
              <w:t xml:space="preserve"> [</w:t>
            </w:r>
            <w:r w:rsidRPr="00A26080">
              <w:rPr>
                <w:rFonts w:ascii="Calibri" w:eastAsia="Times New Roman" w:hAnsi="Calibri" w:cs="Times New Roman"/>
                <w:color w:val="000000"/>
                <w:lang w:eastAsia="en-AU"/>
              </w:rPr>
              <w:t>F2013L01811</w:t>
            </w:r>
            <w:r>
              <w:rPr>
                <w:rFonts w:ascii="Calibri" w:eastAsia="Times New Roman" w:hAnsi="Calibri" w:cs="Times New Roman"/>
                <w:color w:val="000000"/>
                <w:lang w:eastAsia="en-AU"/>
              </w:rPr>
              <w:t>]</w:t>
            </w:r>
          </w:p>
        </w:tc>
        <w:tc>
          <w:tcPr>
            <w:tcW w:w="1134" w:type="dxa"/>
          </w:tcPr>
          <w:p w:rsidR="00590A8C" w:rsidRDefault="00590A8C" w:rsidP="0081369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47"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Times New Roman"/>
                <w:lang w:eastAsia="en-AU"/>
              </w:rPr>
            </w:pPr>
            <w:hyperlink r:id="rId248" w:history="1">
              <w:r w:rsidR="00590A8C" w:rsidRPr="00301130">
                <w:rPr>
                  <w:rStyle w:val="Hyperlink"/>
                  <w:rFonts w:ascii="Calibri" w:eastAsia="Times New Roman" w:hAnsi="Calibri" w:cs="Times New Roman"/>
                  <w:lang w:eastAsia="en-AU"/>
                </w:rPr>
                <w:t>4/44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49" w:history="1">
              <w:r w:rsidR="00590A8C" w:rsidRPr="00C95A8B">
                <w:rPr>
                  <w:rStyle w:val="Hyperlink"/>
                </w:rPr>
                <w:t>7/44</w:t>
              </w:r>
            </w:hyperlink>
          </w:p>
        </w:tc>
        <w:tc>
          <w:tcPr>
            <w:tcW w:w="3544" w:type="dxa"/>
          </w:tcPr>
          <w:p w:rsidR="00590A8C" w:rsidRDefault="00590A8C" w:rsidP="008136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Family and children rights; freedom of movement; non-discrimination; social security; adequate standard of living</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Migration Amendment Regulation 2012 (No. 8)</w:t>
            </w:r>
            <w:r>
              <w:rPr>
                <w:rFonts w:ascii="Calibri" w:eastAsia="Times New Roman" w:hAnsi="Calibri" w:cs="Times New Roman"/>
                <w:color w:val="000000"/>
                <w:lang w:eastAsia="en-AU"/>
              </w:rPr>
              <w:t xml:space="preserve"> [</w:t>
            </w:r>
            <w:r w:rsidRPr="00762DC9">
              <w:rPr>
                <w:rFonts w:ascii="Calibri" w:eastAsia="Times New Roman" w:hAnsi="Calibri" w:cs="Times New Roman"/>
                <w:color w:val="000000"/>
                <w:lang w:eastAsia="en-AU"/>
              </w:rPr>
              <w:t>F2012L02381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50" w:history="1">
              <w:r w:rsidR="00590A8C" w:rsidRPr="00A93BAC">
                <w:rPr>
                  <w:rStyle w:val="Hyperlink"/>
                </w:rPr>
                <w:t>1/13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51" w:history="1">
              <w:r w:rsidR="00590A8C" w:rsidRPr="00037A34">
                <w:rPr>
                  <w:rStyle w:val="Hyperlink"/>
                </w:rPr>
                <w:t>10/13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protection of family</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0B22F3">
            <w:pPr>
              <w:rPr>
                <w:rFonts w:ascii="Calibri" w:eastAsia="Times New Roman" w:hAnsi="Calibri" w:cs="Times New Roman"/>
                <w:color w:val="000000"/>
                <w:lang w:eastAsia="en-AU"/>
              </w:rPr>
            </w:pPr>
            <w:r w:rsidRPr="00762DC9">
              <w:rPr>
                <w:rFonts w:ascii="Calibri" w:eastAsia="Times New Roman" w:hAnsi="Calibri" w:cs="Times New Roman"/>
                <w:color w:val="000000"/>
                <w:lang w:eastAsia="en-AU"/>
              </w:rPr>
              <w:t>Migration Legislation Amendment Regulation 2012 (No. 5)</w:t>
            </w:r>
            <w:r>
              <w:rPr>
                <w:rFonts w:ascii="Calibri" w:eastAsia="Times New Roman" w:hAnsi="Calibri" w:cs="Times New Roman"/>
                <w:color w:val="000000"/>
                <w:lang w:eastAsia="en-AU"/>
              </w:rPr>
              <w:t xml:space="preserve"> [</w:t>
            </w:r>
            <w:r w:rsidRPr="00762DC9">
              <w:rPr>
                <w:rFonts w:ascii="Calibri" w:eastAsia="Times New Roman" w:hAnsi="Calibri" w:cs="Times New Roman"/>
                <w:color w:val="000000"/>
                <w:lang w:eastAsia="en-AU"/>
              </w:rPr>
              <w:t>F2012L02236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52" w:history="1">
              <w:r w:rsidR="00590A8C" w:rsidRPr="00A93BAC">
                <w:rPr>
                  <w:rStyle w:val="Hyperlink"/>
                </w:rPr>
                <w:t>1/13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53" w:history="1">
              <w:r w:rsidR="00590A8C" w:rsidRPr="001635F1">
                <w:rPr>
                  <w:rStyle w:val="Hyperlink"/>
                </w:rPr>
                <w:t>3/13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movement; non-discrimination</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0B22F3">
            <w:pPr>
              <w:rPr>
                <w:rFonts w:ascii="Calibri" w:eastAsia="Times New Roman" w:hAnsi="Calibri" w:cs="Times New Roman"/>
                <w:color w:val="000000"/>
                <w:lang w:eastAsia="en-AU"/>
              </w:rPr>
            </w:pPr>
            <w:r>
              <w:rPr>
                <w:rFonts w:ascii="Calibri" w:eastAsia="Times New Roman" w:hAnsi="Calibri" w:cs="Times New Roman"/>
                <w:color w:val="000000"/>
                <w:lang w:eastAsia="en-AU"/>
              </w:rPr>
              <w:t>Migration Legislation Amendment Regulation 2013 (No. 1) [F2013L00490]</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Pr="006712B0"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54" w:history="1">
              <w:r w:rsidR="00590A8C" w:rsidRPr="003507ED">
                <w:rPr>
                  <w:rStyle w:val="Hyperlink"/>
                </w:rPr>
                <w:t>6/13</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Access to justice; equality and non-discrimination</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81369D">
              <w:rPr>
                <w:rFonts w:ascii="Calibri" w:eastAsia="Times New Roman" w:hAnsi="Calibri" w:cs="Times New Roman"/>
                <w:color w:val="000000"/>
                <w:lang w:eastAsia="en-AU"/>
              </w:rPr>
              <w:t>Migration Amendment Regulation 2013 (No. 4)</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F2013L01014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55"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56" w:history="1">
              <w:r w:rsidR="00590A8C" w:rsidRPr="00DD1C9B">
                <w:rPr>
                  <w:rStyle w:val="Hyperlink"/>
                </w:rPr>
                <w:t>3/44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57" w:history="1">
              <w:r w:rsidR="00590A8C" w:rsidRPr="00C95A8B">
                <w:rPr>
                  <w:rStyle w:val="Hyperlink"/>
                </w:rPr>
                <w:t>7/44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Limitation on rights</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37A34" w:rsidRDefault="00590A8C" w:rsidP="00037A34">
            <w:pPr>
              <w:autoSpaceDE w:val="0"/>
              <w:autoSpaceDN w:val="0"/>
              <w:adjustRightInd w:val="0"/>
              <w:rPr>
                <w:rFonts w:eastAsia="Times New Roman" w:cs="Times New Roman"/>
                <w:color w:val="000000"/>
                <w:lang w:eastAsia="en-AU"/>
              </w:rPr>
            </w:pPr>
            <w:r w:rsidRPr="00037A34">
              <w:rPr>
                <w:rFonts w:cs="Calibri,Bold"/>
                <w:bCs w:val="0"/>
              </w:rPr>
              <w:lastRenderedPageBreak/>
              <w:t>Migration Regulations 1994 - Revocation under paragraph</w:t>
            </w:r>
            <w:r>
              <w:rPr>
                <w:rFonts w:cs="Calibri,Bold"/>
                <w:bCs w:val="0"/>
              </w:rPr>
              <w:t xml:space="preserve"> </w:t>
            </w:r>
            <w:r w:rsidRPr="00037A34">
              <w:rPr>
                <w:rFonts w:cs="Calibri,Bold"/>
                <w:bCs w:val="0"/>
              </w:rPr>
              <w:t>5.36(1A)(a) - Instrument of Revocation - May 2013</w:t>
            </w:r>
            <w:r>
              <w:rPr>
                <w:rFonts w:cs="Calibri,Bold"/>
                <w:bCs w:val="0"/>
              </w:rPr>
              <w:t xml:space="preserve"> [F2013L00888]</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58" w:history="1">
              <w:r w:rsidR="00590A8C" w:rsidRPr="00037A34">
                <w:rPr>
                  <w:rStyle w:val="Hyperlink"/>
                </w:rPr>
                <w:t>10/13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59" w:history="1">
              <w:r w:rsidR="00590A8C" w:rsidRPr="0096735A">
                <w:rPr>
                  <w:rStyle w:val="Hyperlink"/>
                  <w:rFonts w:ascii="Calibri" w:eastAsia="Times New Roman" w:hAnsi="Calibri" w:cs="Times New Roman"/>
                  <w:lang w:eastAsia="en-AU"/>
                </w:rPr>
                <w:t>2/44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37A34" w:rsidRDefault="00590A8C" w:rsidP="00037A34">
            <w:pPr>
              <w:autoSpaceDE w:val="0"/>
              <w:autoSpaceDN w:val="0"/>
              <w:adjustRightInd w:val="0"/>
              <w:rPr>
                <w:rFonts w:eastAsia="Times New Roman" w:cs="Times New Roman"/>
                <w:color w:val="000000"/>
                <w:lang w:eastAsia="en-AU"/>
              </w:rPr>
            </w:pPr>
            <w:r w:rsidRPr="00037A34">
              <w:rPr>
                <w:rFonts w:cs="Calibri,Bold"/>
                <w:bCs w:val="0"/>
              </w:rPr>
              <w:t>Migration Regulations 1994 - Revocation under paragraph 5.36(1)(a) and 5.36(1)(b) - Instrument of Revocation – May 2013</w:t>
            </w:r>
            <w:r>
              <w:rPr>
                <w:rFonts w:cs="Calibri,Bold"/>
                <w:bCs w:val="0"/>
              </w:rPr>
              <w:t xml:space="preserve"> [2013L00889]</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60" w:history="1">
              <w:r w:rsidR="00590A8C" w:rsidRPr="00037A34">
                <w:rPr>
                  <w:rStyle w:val="Hyperlink"/>
                </w:rPr>
                <w:t>10/13</w:t>
              </w:r>
            </w:hyperlink>
          </w:p>
          <w:p w:rsidR="00590A8C" w:rsidRPr="00037A34"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61" w:history="1">
              <w:r w:rsidR="00590A8C" w:rsidRPr="0096735A">
                <w:rPr>
                  <w:rStyle w:val="Hyperlink"/>
                  <w:rFonts w:ascii="Calibri" w:eastAsia="Times New Roman" w:hAnsi="Calibri" w:cs="Times New Roman"/>
                  <w:lang w:eastAsia="en-AU"/>
                </w:rPr>
                <w:t>2/44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0B22F3">
            <w:pPr>
              <w:rPr>
                <w:rFonts w:ascii="Calibri" w:eastAsia="Times New Roman" w:hAnsi="Calibri" w:cs="Times New Roman"/>
                <w:color w:val="000000"/>
                <w:lang w:eastAsia="en-AU"/>
              </w:rPr>
            </w:pPr>
            <w:r w:rsidRPr="00762DC9">
              <w:rPr>
                <w:rFonts w:ascii="Calibri" w:eastAsia="Times New Roman" w:hAnsi="Calibri" w:cs="Times New Roman"/>
                <w:color w:val="000000"/>
                <w:lang w:eastAsia="en-AU"/>
              </w:rPr>
              <w:t xml:space="preserve">Migration Regulations 1994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Specification under schedule 4, part 1, Public Interest Criterion 4021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Class of Passports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November 2012</w:t>
            </w:r>
            <w:r>
              <w:rPr>
                <w:rFonts w:ascii="Calibri" w:eastAsia="Times New Roman" w:hAnsi="Calibri" w:cs="Times New Roman"/>
                <w:color w:val="000000"/>
                <w:lang w:eastAsia="en-AU"/>
              </w:rPr>
              <w:t xml:space="preserve"> [</w:t>
            </w:r>
            <w:r w:rsidRPr="00762DC9">
              <w:rPr>
                <w:rFonts w:ascii="Calibri" w:eastAsia="Times New Roman" w:hAnsi="Calibri" w:cs="Times New Roman"/>
                <w:color w:val="000000"/>
                <w:lang w:eastAsia="en-AU"/>
              </w:rPr>
              <w:t>F2012L02241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62" w:history="1">
              <w:r w:rsidR="00590A8C" w:rsidRPr="00A93BAC">
                <w:rPr>
                  <w:rStyle w:val="Hyperlink"/>
                </w:rPr>
                <w:t>1/13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63" w:history="1">
              <w:r w:rsidR="00590A8C" w:rsidRPr="001635F1">
                <w:rPr>
                  <w:rStyle w:val="Hyperlink"/>
                </w:rPr>
                <w:t>3/13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movement</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0B22F3">
            <w:pPr>
              <w:rPr>
                <w:rFonts w:ascii="Calibri" w:eastAsia="Times New Roman" w:hAnsi="Calibri" w:cs="Times New Roman"/>
                <w:color w:val="000000"/>
                <w:lang w:eastAsia="en-AU"/>
              </w:rPr>
            </w:pPr>
            <w:r w:rsidRPr="00762DC9">
              <w:rPr>
                <w:rFonts w:ascii="Calibri" w:eastAsia="Times New Roman" w:hAnsi="Calibri" w:cs="Times New Roman"/>
                <w:color w:val="000000"/>
                <w:lang w:eastAsia="en-AU"/>
              </w:rPr>
              <w:t xml:space="preserve">Migration Regulations 1994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Specification under paragraphs 050.613A(1)(b) and 051.611A(1)(c)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Classes of Persons </w:t>
            </w:r>
            <w:r>
              <w:rPr>
                <w:rFonts w:ascii="Calibri" w:eastAsia="Times New Roman" w:hAnsi="Calibri" w:cs="Times New Roman"/>
                <w:color w:val="000000"/>
                <w:lang w:eastAsia="en-AU"/>
              </w:rPr>
              <w:t>–</w:t>
            </w:r>
            <w:r w:rsidRPr="00762DC9">
              <w:rPr>
                <w:rFonts w:ascii="Calibri" w:eastAsia="Times New Roman" w:hAnsi="Calibri" w:cs="Times New Roman"/>
                <w:color w:val="000000"/>
                <w:lang w:eastAsia="en-AU"/>
              </w:rPr>
              <w:t xml:space="preserve"> November 2012</w:t>
            </w:r>
            <w:r>
              <w:rPr>
                <w:rFonts w:ascii="Calibri" w:eastAsia="Times New Roman" w:hAnsi="Calibri" w:cs="Times New Roman"/>
                <w:color w:val="000000"/>
                <w:lang w:eastAsia="en-AU"/>
              </w:rPr>
              <w:t xml:space="preserve"> [</w:t>
            </w:r>
            <w:r w:rsidRPr="00762DC9">
              <w:rPr>
                <w:rFonts w:ascii="Calibri" w:eastAsia="Times New Roman" w:hAnsi="Calibri" w:cs="Times New Roman"/>
                <w:color w:val="000000"/>
                <w:lang w:eastAsia="en-AU"/>
              </w:rPr>
              <w:t>F2012L02201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6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Work</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81369D">
            <w:pPr>
              <w:rPr>
                <w:rFonts w:ascii="Calibri" w:eastAsia="Times New Roman" w:hAnsi="Calibri" w:cs="Times New Roman"/>
                <w:color w:val="000000"/>
                <w:lang w:eastAsia="en-AU"/>
              </w:rPr>
            </w:pPr>
            <w:r w:rsidRPr="0081369D">
              <w:rPr>
                <w:rFonts w:ascii="Calibri" w:eastAsia="Times New Roman" w:hAnsi="Calibri" w:cs="Times New Roman"/>
                <w:color w:val="000000"/>
                <w:lang w:eastAsia="en-AU"/>
              </w:rPr>
              <w:t>Migration Regulations 1994 - Specification under subclauses</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8551(2) and 8560(2) - Definition of Chemicals of Security</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Concern</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F2013L01185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65"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66" w:history="1">
              <w:r w:rsidR="00590A8C" w:rsidRPr="00DD1C9B">
                <w:rPr>
                  <w:rStyle w:val="Hyperlink"/>
                </w:rPr>
                <w:t>3/44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67" w:history="1">
              <w:r w:rsidR="00590A8C" w:rsidRPr="00C95A8B">
                <w:rPr>
                  <w:rStyle w:val="Hyperlink"/>
                </w:rPr>
                <w:t>7/44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Work; equality and non-discrimination</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0B22F3">
            <w:pPr>
              <w:rPr>
                <w:rFonts w:ascii="Calibri" w:eastAsia="Times New Roman" w:hAnsi="Calibri" w:cs="Times New Roman"/>
                <w:color w:val="000000"/>
                <w:lang w:eastAsia="en-AU"/>
              </w:rPr>
            </w:pPr>
            <w:r w:rsidRPr="00762DC9">
              <w:rPr>
                <w:rFonts w:ascii="Calibri" w:eastAsia="Times New Roman" w:hAnsi="Calibri" w:cs="Times New Roman"/>
                <w:color w:val="000000"/>
                <w:lang w:eastAsia="en-AU"/>
              </w:rPr>
              <w:t>Military Rehabilitation and Compensation Act Education and Training Scheme (Portability Adjustments) Determination 2012</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68" w:history="1">
              <w:r w:rsidR="00590A8C" w:rsidRPr="00A93BAC">
                <w:rPr>
                  <w:rStyle w:val="Hyperlink"/>
                </w:rPr>
                <w:t>1/13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69" w:history="1">
              <w:r w:rsidR="00590A8C" w:rsidRPr="00BE622B">
                <w:rPr>
                  <w:rStyle w:val="Hyperlink"/>
                </w:rPr>
                <w:t>6/13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62DC9" w:rsidRDefault="00590A8C" w:rsidP="000B22F3">
            <w:pPr>
              <w:rPr>
                <w:rFonts w:ascii="Calibri" w:eastAsia="Times New Roman" w:hAnsi="Calibri" w:cs="Times New Roman"/>
                <w:color w:val="000000"/>
                <w:lang w:eastAsia="en-AU"/>
              </w:rPr>
            </w:pPr>
            <w:r w:rsidRPr="00A31663">
              <w:rPr>
                <w:rFonts w:ascii="Calibri" w:eastAsia="Times New Roman" w:hAnsi="Calibri" w:cs="Times New Roman"/>
                <w:color w:val="000000"/>
                <w:lang w:eastAsia="en-AU"/>
              </w:rPr>
              <w:t>Military Superannuation and Benefits (Eligible Member) Declaration 2012</w:t>
            </w:r>
            <w:r>
              <w:rPr>
                <w:rFonts w:ascii="Calibri" w:eastAsia="Times New Roman" w:hAnsi="Calibri" w:cs="Times New Roman"/>
                <w:color w:val="000000"/>
                <w:lang w:eastAsia="en-AU"/>
              </w:rPr>
              <w:t xml:space="preserve"> [</w:t>
            </w:r>
            <w:r w:rsidRPr="00A31663">
              <w:rPr>
                <w:rFonts w:ascii="Calibri" w:eastAsia="Times New Roman" w:hAnsi="Calibri" w:cs="Times New Roman"/>
                <w:color w:val="000000"/>
                <w:lang w:eastAsia="en-AU"/>
              </w:rPr>
              <w:t>F2012L02301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70" w:history="1">
              <w:r w:rsidR="00590A8C" w:rsidRPr="00A93BAC">
                <w:rPr>
                  <w:rStyle w:val="Hyperlink"/>
                </w:rPr>
                <w:t>1/13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71" w:history="1">
              <w:r w:rsidR="00590A8C" w:rsidRPr="00BE622B">
                <w:rPr>
                  <w:rStyle w:val="Hyperlink"/>
                </w:rPr>
                <w:t>6/13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31663" w:rsidRDefault="00590A8C" w:rsidP="000B22F3">
            <w:pPr>
              <w:rPr>
                <w:rFonts w:ascii="Calibri" w:eastAsia="Times New Roman" w:hAnsi="Calibri" w:cs="Times New Roman"/>
                <w:color w:val="000000"/>
                <w:lang w:eastAsia="en-AU"/>
              </w:rPr>
            </w:pPr>
            <w:r>
              <w:rPr>
                <w:rFonts w:ascii="Calibri" w:eastAsia="Times New Roman" w:hAnsi="Calibri" w:cs="Times New Roman"/>
                <w:color w:val="000000"/>
                <w:lang w:eastAsia="en-AU"/>
              </w:rPr>
              <w:t>Mutual Assistance in Criminal Matters (Cybercrime) Regulation 2013[F213L00205]</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72" w:history="1">
              <w:r w:rsidR="00590A8C" w:rsidRPr="003507ED">
                <w:rPr>
                  <w:rStyle w:val="Hyperlink"/>
                </w:rPr>
                <w:t>6/13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73" w:history="1">
              <w:r w:rsidR="00590A8C" w:rsidRPr="00037A34">
                <w:rPr>
                  <w:rStyle w:val="Hyperlink"/>
                </w:rPr>
                <w:t>10/13</w:t>
              </w:r>
            </w:hyperlink>
          </w:p>
        </w:tc>
        <w:tc>
          <w:tcPr>
            <w:tcW w:w="3544" w:type="dxa"/>
          </w:tcPr>
          <w:p w:rsidR="00590A8C" w:rsidRDefault="00590A8C" w:rsidP="00D6543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Life; double jeopardy; equality; privacy</w:t>
            </w:r>
          </w:p>
        </w:tc>
      </w:tr>
      <w:tr w:rsidR="00590A8C" w:rsidRPr="002C2B55" w:rsidTr="00840504">
        <w:trPr>
          <w:trHeight w:val="65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0239C5"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N</w:t>
            </w: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F7785" w:rsidRDefault="00590A8C" w:rsidP="0081369D">
            <w:pPr>
              <w:rPr>
                <w:rFonts w:ascii="Calibri" w:eastAsia="Times New Roman" w:hAnsi="Calibri" w:cs="Times New Roman"/>
                <w:color w:val="000000"/>
                <w:lang w:eastAsia="en-AU"/>
              </w:rPr>
            </w:pPr>
            <w:r w:rsidRPr="0081369D">
              <w:rPr>
                <w:rFonts w:ascii="Calibri" w:eastAsia="Times New Roman" w:hAnsi="Calibri" w:cs="Times New Roman"/>
                <w:color w:val="000000"/>
                <w:lang w:eastAsia="en-AU"/>
              </w:rPr>
              <w:t>National Disability Insurance Scheme (Becoming a</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Participant) Rules 2013</w:t>
            </w:r>
            <w:r>
              <w:rPr>
                <w:rFonts w:ascii="Calibri" w:eastAsia="Times New Roman" w:hAnsi="Calibri" w:cs="Times New Roman"/>
                <w:color w:val="000000"/>
                <w:lang w:eastAsia="en-AU"/>
              </w:rPr>
              <w:t xml:space="preserve"> [</w:t>
            </w:r>
            <w:r w:rsidRPr="0081369D">
              <w:rPr>
                <w:rFonts w:ascii="Calibri" w:eastAsia="Times New Roman" w:hAnsi="Calibri" w:cs="Times New Roman"/>
                <w:color w:val="000000"/>
                <w:lang w:eastAsia="en-AU"/>
              </w:rPr>
              <w:t>F2013L01066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74" w:history="1">
              <w:r w:rsidR="00590A8C" w:rsidRPr="00546408">
                <w:rPr>
                  <w:rStyle w:val="Hyperlink"/>
                </w:rPr>
                <w:t>1/44</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81369D">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limitations on rights</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81369D" w:rsidRDefault="00590A8C" w:rsidP="0081369D">
            <w:pPr>
              <w:rPr>
                <w:rFonts w:ascii="Calibri" w:eastAsia="Times New Roman" w:hAnsi="Calibri" w:cs="Times New Roman"/>
                <w:color w:val="000000"/>
                <w:lang w:eastAsia="en-AU"/>
              </w:rPr>
            </w:pPr>
            <w:r w:rsidRPr="00572ED1">
              <w:rPr>
                <w:rFonts w:ascii="Calibri" w:eastAsia="Times New Roman" w:hAnsi="Calibri" w:cs="Times New Roman"/>
                <w:color w:val="000000"/>
                <w:lang w:eastAsia="en-AU"/>
              </w:rPr>
              <w:t>National Disability Insurance Scheme (Children) Rules 2013</w:t>
            </w:r>
            <w:r>
              <w:rPr>
                <w:rFonts w:ascii="Calibri" w:eastAsia="Times New Roman" w:hAnsi="Calibri" w:cs="Times New Roman"/>
                <w:color w:val="000000"/>
                <w:lang w:eastAsia="en-AU"/>
              </w:rPr>
              <w:t xml:space="preserve"> [</w:t>
            </w:r>
            <w:r w:rsidRPr="00572ED1">
              <w:rPr>
                <w:rFonts w:ascii="Calibri" w:eastAsia="Times New Roman" w:hAnsi="Calibri" w:cs="Times New Roman"/>
                <w:color w:val="000000"/>
                <w:lang w:eastAsia="en-AU"/>
              </w:rPr>
              <w:t>F2013L01070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75"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76" w:history="1">
              <w:r w:rsidR="00590A8C" w:rsidRPr="00DD1C9B">
                <w:rPr>
                  <w:rStyle w:val="Hyperlink"/>
                </w:rPr>
                <w:t>3/44</w:t>
              </w:r>
            </w:hyperlink>
          </w:p>
        </w:tc>
        <w:tc>
          <w:tcPr>
            <w:tcW w:w="3544" w:type="dxa"/>
          </w:tcPr>
          <w:p w:rsidR="00590A8C" w:rsidRPr="0081369D"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w:t>
            </w:r>
            <w:r w:rsidRPr="00572ED1">
              <w:rPr>
                <w:rFonts w:ascii="Calibri" w:eastAsia="Times New Roman" w:hAnsi="Calibri" w:cs="Times New Roman"/>
                <w:color w:val="000000"/>
                <w:lang w:eastAsia="en-AU"/>
              </w:rPr>
              <w:t>hildren with a disability</w:t>
            </w:r>
            <w:r>
              <w:rPr>
                <w:rFonts w:ascii="Calibri" w:eastAsia="Times New Roman" w:hAnsi="Calibri" w:cs="Times New Roman"/>
                <w:color w:val="000000"/>
                <w:lang w:eastAsia="en-AU"/>
              </w:rPr>
              <w:t>; limitations on rights</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72ED1" w:rsidRDefault="00590A8C" w:rsidP="00572ED1">
            <w:pPr>
              <w:rPr>
                <w:rFonts w:ascii="Calibri" w:eastAsia="Times New Roman" w:hAnsi="Calibri" w:cs="Times New Roman"/>
                <w:color w:val="000000"/>
                <w:lang w:eastAsia="en-AU"/>
              </w:rPr>
            </w:pPr>
            <w:r w:rsidRPr="00572ED1">
              <w:rPr>
                <w:rFonts w:ascii="Calibri" w:eastAsia="Times New Roman" w:hAnsi="Calibri" w:cs="Times New Roman"/>
                <w:color w:val="000000"/>
                <w:lang w:eastAsia="en-AU"/>
              </w:rPr>
              <w:t>National Disability Insurance Scheme (Nominees)</w:t>
            </w:r>
            <w:r>
              <w:rPr>
                <w:rFonts w:ascii="Calibri" w:eastAsia="Times New Roman" w:hAnsi="Calibri" w:cs="Times New Roman"/>
                <w:color w:val="000000"/>
                <w:lang w:eastAsia="en-AU"/>
              </w:rPr>
              <w:t xml:space="preserve"> </w:t>
            </w:r>
            <w:r w:rsidRPr="00572ED1">
              <w:rPr>
                <w:rFonts w:ascii="Calibri" w:eastAsia="Times New Roman" w:hAnsi="Calibri" w:cs="Times New Roman"/>
                <w:color w:val="000000"/>
                <w:lang w:eastAsia="en-AU"/>
              </w:rPr>
              <w:t>Rules 2013</w:t>
            </w:r>
            <w:r>
              <w:rPr>
                <w:rFonts w:ascii="Calibri" w:eastAsia="Times New Roman" w:hAnsi="Calibri" w:cs="Times New Roman"/>
                <w:color w:val="000000"/>
                <w:lang w:eastAsia="en-AU"/>
              </w:rPr>
              <w:t xml:space="preserve"> [</w:t>
            </w:r>
            <w:r w:rsidRPr="00572ED1">
              <w:rPr>
                <w:rFonts w:ascii="Calibri" w:eastAsia="Times New Roman" w:hAnsi="Calibri" w:cs="Times New Roman"/>
                <w:color w:val="000000"/>
                <w:lang w:eastAsia="en-AU"/>
              </w:rPr>
              <w:t>F2013L01062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77"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78" w:history="1">
              <w:r w:rsidR="00590A8C" w:rsidRPr="00DD1C9B">
                <w:rPr>
                  <w:rStyle w:val="Hyperlink"/>
                </w:rPr>
                <w:t>3/44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79" w:history="1">
              <w:r w:rsidR="00590A8C" w:rsidRPr="00020A56">
                <w:rPr>
                  <w:rStyle w:val="Hyperlink"/>
                </w:rPr>
                <w:t>6/44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572ED1">
              <w:rPr>
                <w:rFonts w:ascii="Calibri" w:eastAsia="Times New Roman" w:hAnsi="Calibri" w:cs="Times New Roman"/>
                <w:color w:val="000000"/>
                <w:lang w:eastAsia="en-AU"/>
              </w:rPr>
              <w:t>xercise legal capacity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72ED1" w:rsidRDefault="00590A8C" w:rsidP="00572ED1">
            <w:pPr>
              <w:rPr>
                <w:rFonts w:ascii="Calibri" w:eastAsia="Times New Roman" w:hAnsi="Calibri" w:cs="Times New Roman"/>
                <w:color w:val="000000"/>
                <w:lang w:eastAsia="en-AU"/>
              </w:rPr>
            </w:pPr>
            <w:r w:rsidRPr="00572ED1">
              <w:rPr>
                <w:rFonts w:ascii="Calibri" w:eastAsia="Times New Roman" w:hAnsi="Calibri" w:cs="Times New Roman"/>
                <w:color w:val="000000"/>
                <w:lang w:eastAsia="en-AU"/>
              </w:rPr>
              <w:t>National Disability Insurance Scheme (Plan Management)</w:t>
            </w:r>
            <w:r>
              <w:rPr>
                <w:rFonts w:ascii="Calibri" w:eastAsia="Times New Roman" w:hAnsi="Calibri" w:cs="Times New Roman"/>
                <w:color w:val="000000"/>
                <w:lang w:eastAsia="en-AU"/>
              </w:rPr>
              <w:t xml:space="preserve"> </w:t>
            </w:r>
            <w:r w:rsidRPr="00572ED1">
              <w:rPr>
                <w:rFonts w:ascii="Calibri" w:eastAsia="Times New Roman" w:hAnsi="Calibri" w:cs="Times New Roman"/>
                <w:color w:val="000000"/>
                <w:lang w:eastAsia="en-AU"/>
              </w:rPr>
              <w:t>Rules 2013</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F2013L01064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80"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81" w:history="1">
              <w:r w:rsidR="00590A8C" w:rsidRPr="00DD1C9B">
                <w:rPr>
                  <w:rStyle w:val="Hyperlink"/>
                </w:rPr>
                <w:t>3/44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w:t>
            </w:r>
            <w:r w:rsidRPr="00572ED1">
              <w:rPr>
                <w:rFonts w:ascii="Calibri" w:eastAsia="Times New Roman" w:hAnsi="Calibri" w:cs="Times New Roman"/>
                <w:color w:val="000000"/>
                <w:lang w:eastAsia="en-AU"/>
              </w:rPr>
              <w:t>ontrol own financial affairs</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72ED1" w:rsidRDefault="00590A8C" w:rsidP="00572ED1">
            <w:pPr>
              <w:rPr>
                <w:rFonts w:ascii="Calibri" w:eastAsia="Times New Roman" w:hAnsi="Calibri" w:cs="Times New Roman"/>
                <w:color w:val="000000"/>
                <w:lang w:eastAsia="en-AU"/>
              </w:rPr>
            </w:pPr>
            <w:r w:rsidRPr="00572ED1">
              <w:rPr>
                <w:rFonts w:ascii="Calibri" w:eastAsia="Times New Roman" w:hAnsi="Calibri" w:cs="Times New Roman"/>
                <w:color w:val="000000"/>
                <w:lang w:eastAsia="en-AU"/>
              </w:rPr>
              <w:lastRenderedPageBreak/>
              <w:t>National Disability Insurance Scheme (Protection and</w:t>
            </w:r>
            <w:r>
              <w:rPr>
                <w:rFonts w:ascii="Calibri" w:eastAsia="Times New Roman" w:hAnsi="Calibri" w:cs="Times New Roman"/>
                <w:color w:val="000000"/>
                <w:lang w:eastAsia="en-AU"/>
              </w:rPr>
              <w:t xml:space="preserve"> </w:t>
            </w:r>
            <w:r w:rsidRPr="00572ED1">
              <w:rPr>
                <w:rFonts w:ascii="Calibri" w:eastAsia="Times New Roman" w:hAnsi="Calibri" w:cs="Times New Roman"/>
                <w:color w:val="000000"/>
                <w:lang w:eastAsia="en-AU"/>
              </w:rPr>
              <w:t>Disclosure of Information) Rules 2013</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F2013L01008</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82"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83" w:history="1">
              <w:r w:rsidR="00590A8C" w:rsidRPr="00DD1C9B">
                <w:rPr>
                  <w:rStyle w:val="Hyperlink"/>
                </w:rPr>
                <w:t>3/44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572ED1" w:rsidRDefault="00590A8C" w:rsidP="000E5E48">
            <w:pPr>
              <w:rPr>
                <w:rFonts w:ascii="Calibri" w:eastAsia="Times New Roman" w:hAnsi="Calibri" w:cs="Times New Roman"/>
                <w:color w:val="000000"/>
                <w:lang w:eastAsia="en-AU"/>
              </w:rPr>
            </w:pPr>
            <w:r w:rsidRPr="000E5E48">
              <w:rPr>
                <w:rFonts w:ascii="Calibri" w:eastAsia="Times New Roman" w:hAnsi="Calibri" w:cs="Times New Roman"/>
                <w:color w:val="000000"/>
                <w:lang w:eastAsia="en-AU"/>
              </w:rPr>
              <w:t>National Disability Insurance Scheme (Registered Providers</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of Supports) Rules 2013</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F2013L01009</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84"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85" w:history="1">
              <w:r w:rsidR="00590A8C" w:rsidRPr="00DD1C9B">
                <w:rPr>
                  <w:rStyle w:val="Hyperlink"/>
                </w:rPr>
                <w:t>3/44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of review</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E5E48" w:rsidRDefault="00590A8C" w:rsidP="000E5E48">
            <w:pPr>
              <w:rPr>
                <w:rFonts w:ascii="Calibri" w:eastAsia="Times New Roman" w:hAnsi="Calibri" w:cs="Times New Roman"/>
                <w:color w:val="000000"/>
                <w:lang w:eastAsia="en-AU"/>
              </w:rPr>
            </w:pPr>
            <w:r w:rsidRPr="000E5E48">
              <w:rPr>
                <w:rFonts w:ascii="Calibri" w:eastAsia="Times New Roman" w:hAnsi="Calibri" w:cs="Times New Roman"/>
                <w:color w:val="000000"/>
                <w:lang w:eastAsia="en-AU"/>
              </w:rPr>
              <w:t>National Disability Insurance Scheme (Supports for</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Participants – Accounting for Compensation) Rules 2013</w:t>
            </w:r>
            <w:r>
              <w:rPr>
                <w:rFonts w:ascii="Calibri" w:eastAsia="Times New Roman" w:hAnsi="Calibri" w:cs="Times New Roman"/>
                <w:color w:val="000000"/>
                <w:lang w:eastAsia="en-AU"/>
              </w:rPr>
              <w:t xml:space="preserve"> [F2013L01414]</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86"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87" w:history="1">
              <w:r w:rsidR="00590A8C" w:rsidRPr="00DD1C9B">
                <w:rPr>
                  <w:rStyle w:val="Hyperlink"/>
                </w:rPr>
                <w:t>3/44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88" w:history="1">
              <w:r w:rsidR="00590A8C" w:rsidRPr="00020A56">
                <w:rPr>
                  <w:rStyle w:val="Hyperlink"/>
                </w:rPr>
                <w:t>6/44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0E5E48">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social security; adequate standard of living</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E5E48" w:rsidRDefault="00590A8C" w:rsidP="000E5E48">
            <w:pPr>
              <w:rPr>
                <w:rFonts w:ascii="Calibri" w:eastAsia="Times New Roman" w:hAnsi="Calibri" w:cs="Times New Roman"/>
                <w:color w:val="000000"/>
                <w:lang w:eastAsia="en-AU"/>
              </w:rPr>
            </w:pPr>
            <w:r w:rsidRPr="000E5E48">
              <w:rPr>
                <w:rFonts w:ascii="Calibri" w:eastAsia="Times New Roman" w:hAnsi="Calibri" w:cs="Times New Roman"/>
                <w:color w:val="000000"/>
                <w:lang w:eastAsia="en-AU"/>
              </w:rPr>
              <w:t>National Disability Insurance Scheme (Supports for</w:t>
            </w:r>
            <w:r>
              <w:rPr>
                <w:rFonts w:ascii="Calibri" w:eastAsia="Times New Roman" w:hAnsi="Calibri" w:cs="Times New Roman"/>
                <w:color w:val="000000"/>
                <w:lang w:eastAsia="en-AU"/>
              </w:rPr>
              <w:t xml:space="preserve"> </w:t>
            </w:r>
            <w:r w:rsidRPr="000E5E48">
              <w:rPr>
                <w:rFonts w:ascii="Calibri" w:eastAsia="Times New Roman" w:hAnsi="Calibri" w:cs="Times New Roman"/>
                <w:color w:val="000000"/>
                <w:lang w:eastAsia="en-AU"/>
              </w:rPr>
              <w:t>Participants) Rules 2013</w:t>
            </w:r>
            <w:r>
              <w:rPr>
                <w:rFonts w:ascii="Calibri" w:eastAsia="Times New Roman" w:hAnsi="Calibri" w:cs="Times New Roman"/>
                <w:color w:val="000000"/>
                <w:lang w:eastAsia="en-AU"/>
              </w:rPr>
              <w:t xml:space="preserve"> [F2013l01063]</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89"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90" w:history="1">
              <w:r w:rsidR="00590A8C" w:rsidRPr="00DD1C9B">
                <w:rPr>
                  <w:rStyle w:val="Hyperlink"/>
                </w:rPr>
                <w:t>3/44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91" w:history="1">
              <w:r w:rsidR="00590A8C" w:rsidRPr="00020A56">
                <w:rPr>
                  <w:rStyle w:val="Hyperlink"/>
                </w:rPr>
                <w:t>6/44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w:t>
            </w:r>
            <w:r w:rsidRPr="005832E9">
              <w:rPr>
                <w:rFonts w:ascii="Calibri" w:eastAsia="Times New Roman" w:hAnsi="Calibri" w:cs="Times New Roman"/>
                <w:color w:val="000000"/>
                <w:lang w:eastAsia="en-AU"/>
              </w:rPr>
              <w:t>elf-determination</w:t>
            </w:r>
            <w:r>
              <w:rPr>
                <w:rFonts w:ascii="Calibri" w:eastAsia="Times New Roman" w:hAnsi="Calibri" w:cs="Times New Roman"/>
                <w:color w:val="000000"/>
                <w:lang w:eastAsia="en-AU"/>
              </w:rPr>
              <w:t>; limitation on rights; access to rights of review</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CF7785">
              <w:rPr>
                <w:rFonts w:ascii="Calibri" w:eastAsia="Times New Roman" w:hAnsi="Calibri" w:cs="Times New Roman"/>
                <w:color w:val="000000"/>
                <w:lang w:eastAsia="en-AU"/>
              </w:rPr>
              <w:t>National Environment Protection (Movement of Controlled Waste between States and Territories) Measure Minor Variation 2012 (No. 1)</w:t>
            </w:r>
            <w:r>
              <w:rPr>
                <w:rFonts w:ascii="Calibri" w:eastAsia="Times New Roman" w:hAnsi="Calibri" w:cs="Times New Roman"/>
                <w:color w:val="000000"/>
                <w:lang w:eastAsia="en-AU"/>
              </w:rPr>
              <w:t xml:space="preserve"> [</w:t>
            </w:r>
            <w:r w:rsidRPr="00CF7785">
              <w:rPr>
                <w:rFonts w:ascii="Calibri" w:eastAsia="Times New Roman" w:hAnsi="Calibri" w:cs="Times New Roman"/>
                <w:color w:val="000000"/>
                <w:lang w:eastAsia="en-AU"/>
              </w:rPr>
              <w:t>F2012L02300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9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27C83" w:rsidRDefault="00590A8C" w:rsidP="00727C83">
            <w:pPr>
              <w:rPr>
                <w:rFonts w:ascii="Calibri" w:eastAsia="Times New Roman" w:hAnsi="Calibri" w:cs="Times New Roman"/>
                <w:color w:val="000000"/>
                <w:lang w:eastAsia="en-AU"/>
              </w:rPr>
            </w:pPr>
            <w:r w:rsidRPr="00727C83">
              <w:rPr>
                <w:rFonts w:ascii="Calibri" w:eastAsia="Times New Roman" w:hAnsi="Calibri" w:cs="Times New Roman"/>
                <w:color w:val="000000"/>
                <w:lang w:eastAsia="en-AU"/>
              </w:rPr>
              <w:t>National Vocational Education and Training Regulator (Charges)</w:t>
            </w:r>
          </w:p>
          <w:p w:rsidR="00590A8C" w:rsidRDefault="00590A8C" w:rsidP="00727C83">
            <w:pPr>
              <w:rPr>
                <w:rFonts w:ascii="Calibri" w:eastAsia="Times New Roman" w:hAnsi="Calibri" w:cs="Times New Roman"/>
                <w:color w:val="000000"/>
                <w:lang w:eastAsia="en-AU"/>
              </w:rPr>
            </w:pPr>
            <w:r w:rsidRPr="00727C83">
              <w:rPr>
                <w:rFonts w:ascii="Calibri" w:eastAsia="Times New Roman" w:hAnsi="Calibri" w:cs="Times New Roman"/>
                <w:color w:val="000000"/>
                <w:lang w:eastAsia="en-AU"/>
              </w:rPr>
              <w:t>Determination 2012 (No. 1)</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293" w:history="1">
              <w:r w:rsidR="00590A8C" w:rsidRPr="001635F1">
                <w:rPr>
                  <w:rStyle w:val="Hyperlink"/>
                </w:rPr>
                <w:t>3/13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94" w:history="1">
              <w:r w:rsidR="00590A8C" w:rsidRPr="00BE622B">
                <w:rPr>
                  <w:rStyle w:val="Hyperlink"/>
                </w:rPr>
                <w:t>6/13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727C83" w:rsidRDefault="00590A8C" w:rsidP="00727C83">
            <w:pPr>
              <w:rPr>
                <w:rFonts w:ascii="Calibri" w:eastAsia="Times New Roman" w:hAnsi="Calibri" w:cs="Times New Roman"/>
                <w:color w:val="000000"/>
                <w:lang w:eastAsia="en-AU"/>
              </w:rPr>
            </w:pPr>
            <w:r w:rsidRPr="00727C83">
              <w:rPr>
                <w:rFonts w:ascii="Calibri" w:eastAsia="Times New Roman" w:hAnsi="Calibri" w:cs="Times New Roman"/>
                <w:color w:val="000000"/>
                <w:lang w:eastAsia="en-AU"/>
              </w:rPr>
              <w:t>Native Title (Assistance from Attorney-General) Guideline 2012</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95" w:history="1">
              <w:r w:rsidR="00590A8C" w:rsidRPr="001635F1">
                <w:rPr>
                  <w:rStyle w:val="Hyperlink"/>
                </w:rPr>
                <w:t>3/13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96" w:history="1">
              <w:r w:rsidR="00590A8C" w:rsidRPr="00BE622B">
                <w:rPr>
                  <w:rStyle w:val="Hyperlink"/>
                </w:rPr>
                <w:t>6/13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F7785" w:rsidRDefault="00590A8C" w:rsidP="000B22F3">
            <w:pPr>
              <w:rPr>
                <w:rFonts w:ascii="Calibri" w:eastAsia="Times New Roman" w:hAnsi="Calibri" w:cs="Times New Roman"/>
                <w:color w:val="000000"/>
                <w:lang w:eastAsia="en-AU"/>
              </w:rPr>
            </w:pPr>
            <w:r w:rsidRPr="005832E9">
              <w:rPr>
                <w:rFonts w:ascii="Calibri" w:eastAsia="Times New Roman" w:hAnsi="Calibri" w:cs="Times New Roman"/>
                <w:color w:val="000000"/>
                <w:lang w:eastAsia="en-AU"/>
              </w:rPr>
              <w:t>Parliamentary Service Determination 2013</w:t>
            </w:r>
            <w:r>
              <w:rPr>
                <w:rFonts w:ascii="Calibri" w:eastAsia="Times New Roman" w:hAnsi="Calibri" w:cs="Times New Roman"/>
                <w:color w:val="000000"/>
                <w:lang w:eastAsia="en-AU"/>
              </w:rPr>
              <w:t xml:space="preserve"> [</w:t>
            </w:r>
            <w:r w:rsidRPr="005832E9">
              <w:rPr>
                <w:rFonts w:ascii="Calibri" w:eastAsia="Times New Roman" w:hAnsi="Calibri" w:cs="Times New Roman"/>
                <w:color w:val="000000"/>
                <w:lang w:eastAsia="en-AU"/>
              </w:rPr>
              <w:t>F2013L01201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297"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298" w:history="1">
              <w:r w:rsidR="00590A8C" w:rsidRPr="00DD1C9B">
                <w:rPr>
                  <w:rStyle w:val="Hyperlink"/>
                </w:rPr>
                <w:t>3/44</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persons with disabilities</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CF7785">
              <w:rPr>
                <w:rFonts w:ascii="Calibri" w:eastAsia="Times New Roman" w:hAnsi="Calibri" w:cs="Times New Roman"/>
                <w:color w:val="000000"/>
                <w:lang w:eastAsia="en-AU"/>
              </w:rPr>
              <w:t>PCEHR (Assisted Registration) Rules 2012</w:t>
            </w:r>
            <w:r>
              <w:rPr>
                <w:rFonts w:ascii="Calibri" w:eastAsia="Times New Roman" w:hAnsi="Calibri" w:cs="Times New Roman"/>
                <w:color w:val="000000"/>
                <w:lang w:eastAsia="en-AU"/>
              </w:rPr>
              <w:t xml:space="preserve"> [</w:t>
            </w:r>
            <w:r w:rsidRPr="00CF7785">
              <w:rPr>
                <w:rFonts w:ascii="Calibri" w:eastAsia="Times New Roman" w:hAnsi="Calibri" w:cs="Times New Roman"/>
                <w:color w:val="000000"/>
                <w:lang w:eastAsia="en-AU"/>
              </w:rPr>
              <w:t>F2012L02383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29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84050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0B22F3">
            <w:pPr>
              <w:rPr>
                <w:rFonts w:ascii="Calibri" w:eastAsia="Times New Roman" w:hAnsi="Calibri" w:cs="Times New Roman"/>
                <w:color w:val="000000"/>
                <w:lang w:eastAsia="en-AU"/>
              </w:rPr>
            </w:pPr>
            <w:proofErr w:type="spellStart"/>
            <w:r w:rsidRPr="006B19A1">
              <w:rPr>
                <w:bCs w:val="0"/>
              </w:rPr>
              <w:t>Radiocommunications</w:t>
            </w:r>
            <w:proofErr w:type="spellEnd"/>
            <w:r w:rsidRPr="006B19A1">
              <w:rPr>
                <w:bCs w:val="0"/>
              </w:rPr>
              <w:t xml:space="preserve"> (Field Trial by Corrective Services NSW of PMTS Jamming Devices at Lithgow Correctional Centre) Exemption Determination 2012</w:t>
            </w:r>
            <w:r>
              <w:rPr>
                <w:bCs w:val="0"/>
              </w:rPr>
              <w:t xml:space="preserve"> [F2012L02561]</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300" w:history="1">
              <w:r w:rsidR="00590A8C" w:rsidRPr="006B19A1">
                <w:rPr>
                  <w:rStyle w:val="Hyperlink"/>
                </w:rPr>
                <w:t>4/13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01" w:history="1">
              <w:r w:rsidR="00590A8C" w:rsidRPr="00CF48DB">
                <w:rPr>
                  <w:rStyle w:val="Hyperlink"/>
                </w:rPr>
                <w:t>7/13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proofErr w:type="spellStart"/>
            <w:r w:rsidRPr="00CF7785">
              <w:rPr>
                <w:rFonts w:ascii="Calibri" w:eastAsia="Times New Roman" w:hAnsi="Calibri" w:cs="Times New Roman"/>
                <w:color w:val="000000"/>
                <w:lang w:eastAsia="en-AU"/>
              </w:rPr>
              <w:t>Radiocommunications</w:t>
            </w:r>
            <w:proofErr w:type="spellEnd"/>
            <w:r w:rsidRPr="00CF7785">
              <w:rPr>
                <w:rFonts w:ascii="Calibri" w:eastAsia="Times New Roman" w:hAnsi="Calibri" w:cs="Times New Roman"/>
                <w:color w:val="000000"/>
                <w:lang w:eastAsia="en-AU"/>
              </w:rPr>
              <w:t xml:space="preserve"> (Spectrum Licence Limits) Direction No. 1 of 2012 (Amendment No. 1 of 2012)</w:t>
            </w:r>
            <w:r>
              <w:rPr>
                <w:rFonts w:ascii="Calibri" w:eastAsia="Times New Roman" w:hAnsi="Calibri" w:cs="Times New Roman"/>
                <w:color w:val="000000"/>
                <w:lang w:eastAsia="en-AU"/>
              </w:rPr>
              <w:t xml:space="preserve"> [</w:t>
            </w:r>
            <w:r w:rsidRPr="00CF7785">
              <w:rPr>
                <w:rFonts w:ascii="Calibri" w:eastAsia="Times New Roman" w:hAnsi="Calibri" w:cs="Times New Roman"/>
                <w:color w:val="000000"/>
                <w:lang w:eastAsia="en-AU"/>
              </w:rPr>
              <w:t>F2012L02470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0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proofErr w:type="spellStart"/>
            <w:r w:rsidRPr="00CF7785">
              <w:rPr>
                <w:rFonts w:ascii="Calibri" w:eastAsia="Times New Roman" w:hAnsi="Calibri" w:cs="Times New Roman"/>
                <w:color w:val="000000"/>
                <w:lang w:eastAsia="en-AU"/>
              </w:rPr>
              <w:t>Radiocommunications</w:t>
            </w:r>
            <w:proofErr w:type="spellEnd"/>
            <w:r w:rsidRPr="00CF7785">
              <w:rPr>
                <w:rFonts w:ascii="Calibri" w:eastAsia="Times New Roman" w:hAnsi="Calibri" w:cs="Times New Roman"/>
                <w:color w:val="000000"/>
                <w:lang w:eastAsia="en-AU"/>
              </w:rPr>
              <w:t xml:space="preserve"> (Spectrum Licence Limits) Direction No. 2 of 2012 (Amendment No. 1 of 2012)</w:t>
            </w:r>
            <w:r>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lastRenderedPageBreak/>
              <w:t>[</w:t>
            </w:r>
            <w:r w:rsidRPr="00CF7785">
              <w:rPr>
                <w:rFonts w:ascii="Calibri" w:eastAsia="Times New Roman" w:hAnsi="Calibri" w:cs="Times New Roman"/>
                <w:color w:val="000000"/>
                <w:lang w:eastAsia="en-AU"/>
              </w:rPr>
              <w:t>F2012L02473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lastRenderedPageBreak/>
              <w:t>AO</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03"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F7785"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lastRenderedPageBreak/>
              <w:t>Remuneration Tribunal Determination 2012/23 - Remuneration and Allowances for Holders of Public Office</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F2012L02200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0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1F7208">
              <w:rPr>
                <w:rFonts w:ascii="Calibri" w:eastAsia="Times New Roman" w:hAnsi="Calibri" w:cs="Times New Roman"/>
                <w:color w:val="000000"/>
                <w:lang w:eastAsia="en-AU"/>
              </w:rPr>
              <w:t>Remuneration Tribunal Determination 2012/24 - Remuneration and Allowances for Holders of Full-Time Public Office</w:t>
            </w:r>
            <w:r>
              <w:rPr>
                <w:rFonts w:ascii="Calibri" w:eastAsia="Times New Roman" w:hAnsi="Calibri" w:cs="Times New Roman"/>
                <w:color w:val="000000"/>
                <w:lang w:eastAsia="en-AU"/>
              </w:rPr>
              <w:t xml:space="preserve"> [</w:t>
            </w:r>
            <w:r w:rsidRPr="001F7208">
              <w:rPr>
                <w:rFonts w:ascii="Calibri" w:eastAsia="Times New Roman" w:hAnsi="Calibri" w:cs="Times New Roman"/>
                <w:color w:val="000000"/>
                <w:lang w:eastAsia="en-AU"/>
              </w:rPr>
              <w:t>F2012L02570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05" w:history="1">
              <w:r w:rsidR="00590A8C" w:rsidRPr="001635F1">
                <w:rPr>
                  <w:rStyle w:val="Hyperlink"/>
                </w:rPr>
                <w:t>3/13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F7208" w:rsidRDefault="00590A8C" w:rsidP="000B22F3">
            <w:pPr>
              <w:rPr>
                <w:rFonts w:ascii="Calibri" w:eastAsia="Times New Roman" w:hAnsi="Calibri" w:cs="Times New Roman"/>
                <w:color w:val="000000"/>
                <w:lang w:eastAsia="en-AU"/>
              </w:rPr>
            </w:pPr>
            <w:r w:rsidRPr="001F7208">
              <w:rPr>
                <w:rFonts w:ascii="Calibri" w:eastAsia="Times New Roman" w:hAnsi="Calibri" w:cs="Times New Roman"/>
                <w:color w:val="000000"/>
                <w:lang w:eastAsia="en-AU"/>
              </w:rPr>
              <w:t>Remuneration Tribunal Determination 2012/25 - Remuneration and Allowances for Holders of Public Office</w:t>
            </w:r>
            <w:r>
              <w:rPr>
                <w:rFonts w:ascii="Calibri" w:eastAsia="Times New Roman" w:hAnsi="Calibri" w:cs="Times New Roman"/>
                <w:color w:val="000000"/>
                <w:lang w:eastAsia="en-AU"/>
              </w:rPr>
              <w:t xml:space="preserve"> [</w:t>
            </w:r>
            <w:r w:rsidRPr="001F7208">
              <w:rPr>
                <w:rFonts w:ascii="Calibri" w:eastAsia="Times New Roman" w:hAnsi="Calibri" w:cs="Times New Roman"/>
                <w:color w:val="000000"/>
                <w:lang w:eastAsia="en-AU"/>
              </w:rPr>
              <w:t>F2013L00006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06" w:history="1">
              <w:r w:rsidR="00590A8C" w:rsidRPr="001635F1">
                <w:rPr>
                  <w:rStyle w:val="Hyperlink"/>
                </w:rPr>
                <w:t>3/13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F7208" w:rsidRDefault="00590A8C" w:rsidP="000B22F3">
            <w:pPr>
              <w:rPr>
                <w:rFonts w:ascii="Calibri" w:eastAsia="Times New Roman" w:hAnsi="Calibri" w:cs="Times New Roman"/>
                <w:color w:val="000000"/>
                <w:lang w:eastAsia="en-AU"/>
              </w:rPr>
            </w:pPr>
            <w:r w:rsidRPr="001F7208">
              <w:rPr>
                <w:rFonts w:ascii="Calibri" w:eastAsia="Times New Roman" w:hAnsi="Calibri" w:cs="Times New Roman"/>
                <w:color w:val="000000"/>
                <w:lang w:eastAsia="en-AU"/>
              </w:rPr>
              <w:t>Remuneration Tribunal Determination 2013/01 - Remuneration and Allowances for Holders of Public Office</w:t>
            </w:r>
            <w:r>
              <w:rPr>
                <w:rFonts w:ascii="Calibri" w:eastAsia="Times New Roman" w:hAnsi="Calibri" w:cs="Times New Roman"/>
                <w:color w:val="000000"/>
                <w:lang w:eastAsia="en-AU"/>
              </w:rPr>
              <w:t xml:space="preserve"> [</w:t>
            </w:r>
            <w:r w:rsidRPr="001F7208">
              <w:rPr>
                <w:rFonts w:ascii="Calibri" w:eastAsia="Times New Roman" w:hAnsi="Calibri" w:cs="Times New Roman"/>
                <w:color w:val="000000"/>
                <w:lang w:eastAsia="en-AU"/>
              </w:rPr>
              <w:t>F2013L00100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07" w:history="1">
              <w:r w:rsidR="00590A8C" w:rsidRPr="001635F1">
                <w:rPr>
                  <w:rStyle w:val="Hyperlink"/>
                </w:rPr>
                <w:t>3/13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Retirement Savings Accounts Amendment Regulation 2012 (No. 3)</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F2012L02403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0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6B19A1">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6B19A1">
            <w:pPr>
              <w:rPr>
                <w:rFonts w:ascii="Calibri" w:eastAsia="Times New Roman" w:hAnsi="Calibri" w:cs="Times New Roman"/>
                <w:color w:val="000000"/>
                <w:lang w:eastAsia="en-AU"/>
              </w:rPr>
            </w:pPr>
            <w:r w:rsidRPr="006B19A1">
              <w:rPr>
                <w:bCs w:val="0"/>
              </w:rPr>
              <w:t>Social Security (Actuarial Certificate - Life Expectancy Income Stream Guidelines) Determination 2012</w:t>
            </w:r>
            <w:r>
              <w:rPr>
                <w:bCs w:val="0"/>
              </w:rPr>
              <w:t xml:space="preserve"> [F2012L02567]</w:t>
            </w:r>
          </w:p>
        </w:tc>
        <w:tc>
          <w:tcPr>
            <w:tcW w:w="1134" w:type="dxa"/>
          </w:tcPr>
          <w:p w:rsidR="00590A8C" w:rsidRDefault="00590A8C" w:rsidP="006B19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6B19A1">
            <w:pPr>
              <w:jc w:val="center"/>
              <w:cnfStyle w:val="000000100000" w:firstRow="0" w:lastRow="0" w:firstColumn="0" w:lastColumn="0" w:oddVBand="0" w:evenVBand="0" w:oddHBand="1" w:evenHBand="0" w:firstRowFirstColumn="0" w:firstRowLastColumn="0" w:lastRowFirstColumn="0" w:lastRowLastColumn="0"/>
            </w:pPr>
            <w:hyperlink r:id="rId309" w:history="1">
              <w:r w:rsidR="00590A8C" w:rsidRPr="006B19A1">
                <w:rPr>
                  <w:rStyle w:val="Hyperlink"/>
                </w:rPr>
                <w:t>4/13</w:t>
              </w:r>
            </w:hyperlink>
          </w:p>
        </w:tc>
        <w:tc>
          <w:tcPr>
            <w:tcW w:w="3544" w:type="dxa"/>
          </w:tcPr>
          <w:p w:rsidR="00590A8C" w:rsidRPr="00056817" w:rsidRDefault="00590A8C" w:rsidP="006B19A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0B22F3">
            <w:pPr>
              <w:rPr>
                <w:rFonts w:ascii="Calibri" w:eastAsia="Times New Roman" w:hAnsi="Calibri" w:cs="Times New Roman"/>
                <w:color w:val="000000"/>
                <w:lang w:eastAsia="en-AU"/>
              </w:rPr>
            </w:pPr>
            <w:r w:rsidRPr="006B19A1">
              <w:rPr>
                <w:bCs w:val="0"/>
              </w:rPr>
              <w:t xml:space="preserve">Social Security (Actuarial Certificate - Lifetime Income Stream Guidelines) Determination 2012 </w:t>
            </w:r>
            <w:r>
              <w:rPr>
                <w:bCs w:val="0"/>
              </w:rPr>
              <w:t>[F2012L02565]</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10" w:history="1">
              <w:r w:rsidR="00590A8C" w:rsidRPr="006B19A1">
                <w:rPr>
                  <w:rStyle w:val="Hyperlink"/>
                </w:rPr>
                <w:t>4/13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5B24BB">
            <w:pPr>
              <w:rPr>
                <w:bCs w:val="0"/>
              </w:rPr>
            </w:pPr>
            <w:r w:rsidRPr="0088709B">
              <w:rPr>
                <w:bCs w:val="0"/>
              </w:rPr>
              <w:t>Social Security (Administration) (Recognised State/Territory</w:t>
            </w:r>
            <w:r>
              <w:rPr>
                <w:bCs w:val="0"/>
              </w:rPr>
              <w:t xml:space="preserve"> </w:t>
            </w:r>
            <w:r w:rsidRPr="0088709B">
              <w:rPr>
                <w:bCs w:val="0"/>
              </w:rPr>
              <w:t>Authority - NT Alcohol Mandatory Treatment Tribunal)</w:t>
            </w:r>
            <w:r>
              <w:rPr>
                <w:bCs w:val="0"/>
              </w:rPr>
              <w:t xml:space="preserve"> </w:t>
            </w:r>
            <w:r w:rsidRPr="0088709B">
              <w:rPr>
                <w:bCs w:val="0"/>
              </w:rPr>
              <w:t>Determination 2013</w:t>
            </w:r>
            <w:r>
              <w:rPr>
                <w:bCs w:val="0"/>
              </w:rPr>
              <w:t xml:space="preserve"> [</w:t>
            </w:r>
            <w:r w:rsidRPr="005B24BB">
              <w:rPr>
                <w:bCs w:val="0"/>
              </w:rPr>
              <w:t>F2013L01949</w:t>
            </w:r>
            <w:r>
              <w:rPr>
                <w:bCs w:val="0"/>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11" w:history="1">
              <w:r w:rsidR="00590A8C" w:rsidRPr="00546408">
                <w:rPr>
                  <w:rStyle w:val="Hyperlink"/>
                </w:rPr>
                <w:t>1/44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SSAT Child Support Review General Directions 2012</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F2012L02459</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12"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5B24BB">
              <w:rPr>
                <w:rFonts w:ascii="Calibri" w:eastAsia="Times New Roman" w:hAnsi="Calibri" w:cs="Times New Roman"/>
                <w:color w:val="000000"/>
                <w:lang w:eastAsia="en-AU"/>
              </w:rPr>
              <w:t>Stronger Futures in the Northern Territory Regulation 2013</w:t>
            </w:r>
            <w:r>
              <w:rPr>
                <w:rFonts w:ascii="Calibri" w:eastAsia="Times New Roman" w:hAnsi="Calibri" w:cs="Times New Roman"/>
                <w:color w:val="000000"/>
                <w:lang w:eastAsia="en-AU"/>
              </w:rPr>
              <w:t xml:space="preserve"> [</w:t>
            </w:r>
            <w:r w:rsidRPr="005B24BB">
              <w:rPr>
                <w:rFonts w:ascii="Calibri" w:eastAsia="Times New Roman" w:hAnsi="Calibri" w:cs="Times New Roman"/>
                <w:color w:val="000000"/>
                <w:lang w:eastAsia="en-AU"/>
              </w:rPr>
              <w:t>F2013L01442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13" w:history="1">
              <w:r w:rsidR="00590A8C" w:rsidRPr="00546408">
                <w:rPr>
                  <w:rStyle w:val="Hyperlink"/>
                </w:rPr>
                <w:t>1/44</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727C83">
              <w:rPr>
                <w:rFonts w:ascii="Calibri" w:eastAsia="Times New Roman" w:hAnsi="Calibri" w:cs="Times New Roman"/>
                <w:color w:val="000000"/>
                <w:lang w:eastAsia="en-AU"/>
              </w:rPr>
              <w:t>Student Assistance (Education Institutions and Courses) Amendment Determination 2012 (No. 1)</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314" w:history="1">
              <w:r w:rsidR="00590A8C" w:rsidRPr="001635F1">
                <w:rPr>
                  <w:rStyle w:val="Hyperlink"/>
                </w:rPr>
                <w:t>3/13</w:t>
              </w:r>
            </w:hyperlink>
          </w:p>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15" w:history="1">
              <w:r w:rsidR="00590A8C" w:rsidRPr="00BE622B">
                <w:rPr>
                  <w:rStyle w:val="Hyperlink"/>
                </w:rPr>
                <w:t>6/13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Superannuation (prudential standard) determination No. 1 of 2012 - Prudential Standard SPS 114 - Operational Risk Financial Requirement</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F2012L02221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1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lastRenderedPageBreak/>
              <w:t>Superannuation (prudential standard) determination No. 2 of 2012 - Prudential Standard SPS 220 - Risk Management</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F2012L02222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1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 xml:space="preserve">Superannuation (prudential standard) determination No. 3 of 2012 - Prudential Standard SPS 231 </w:t>
            </w:r>
            <w:r>
              <w:rPr>
                <w:rFonts w:ascii="Calibri" w:eastAsia="Times New Roman" w:hAnsi="Calibri" w:cs="Times New Roman"/>
                <w:color w:val="000000"/>
                <w:lang w:eastAsia="en-AU"/>
              </w:rPr>
              <w:t>–</w:t>
            </w:r>
            <w:r w:rsidRPr="006652EC">
              <w:rPr>
                <w:rFonts w:ascii="Calibri" w:eastAsia="Times New Roman" w:hAnsi="Calibri" w:cs="Times New Roman"/>
                <w:color w:val="000000"/>
                <w:lang w:eastAsia="en-AU"/>
              </w:rPr>
              <w:t xml:space="preserve"> Outsourcing</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F2012L02223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18"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Superannuation (prudential standard) determination No. 4 of 2012 - Prudential Standard SPS 232 - Business Continuity Management</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F2012L02224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19"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6652EC">
              <w:rPr>
                <w:rFonts w:ascii="Calibri" w:eastAsia="Times New Roman" w:hAnsi="Calibri" w:cs="Times New Roman"/>
                <w:color w:val="000000"/>
                <w:lang w:eastAsia="en-AU"/>
              </w:rPr>
              <w:t>Superannuation (prudential standard) determination No. 5 of 2012 - Prudential Standard SPS 250 - Insurance in Superannuation</w:t>
            </w:r>
            <w:r>
              <w:rPr>
                <w:rFonts w:ascii="Calibri" w:eastAsia="Times New Roman" w:hAnsi="Calibri" w:cs="Times New Roman"/>
                <w:color w:val="000000"/>
                <w:lang w:eastAsia="en-AU"/>
              </w:rPr>
              <w:t xml:space="preserve"> [</w:t>
            </w:r>
            <w:r w:rsidRPr="006652EC">
              <w:rPr>
                <w:rFonts w:ascii="Calibri" w:eastAsia="Times New Roman" w:hAnsi="Calibri" w:cs="Times New Roman"/>
                <w:color w:val="000000"/>
                <w:lang w:eastAsia="en-AU"/>
              </w:rPr>
              <w:t>F2012L02225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20"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652EC" w:rsidRDefault="00590A8C" w:rsidP="000B22F3">
            <w:pPr>
              <w:rPr>
                <w:rFonts w:ascii="Calibri" w:eastAsia="Times New Roman" w:hAnsi="Calibri" w:cs="Times New Roman"/>
                <w:color w:val="000000"/>
                <w:lang w:eastAsia="en-AU"/>
              </w:rPr>
            </w:pPr>
            <w:r w:rsidRPr="00116205">
              <w:rPr>
                <w:rFonts w:ascii="Calibri" w:eastAsia="Times New Roman" w:hAnsi="Calibri" w:cs="Times New Roman"/>
                <w:color w:val="000000"/>
                <w:lang w:eastAsia="en-AU"/>
              </w:rPr>
              <w:t>Superannuation (prudential standard) determination No. 6 of 2012 - Prudential Standard SPS 510 - Governance</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21"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6205" w:rsidRDefault="00590A8C" w:rsidP="000B22F3">
            <w:pPr>
              <w:rPr>
                <w:rFonts w:ascii="Calibri" w:eastAsia="Times New Roman" w:hAnsi="Calibri" w:cs="Times New Roman"/>
                <w:color w:val="000000"/>
                <w:lang w:eastAsia="en-AU"/>
              </w:rPr>
            </w:pPr>
            <w:r w:rsidRPr="00116205">
              <w:rPr>
                <w:rFonts w:ascii="Calibri" w:eastAsia="Times New Roman" w:hAnsi="Calibri" w:cs="Times New Roman"/>
                <w:color w:val="000000"/>
                <w:lang w:eastAsia="en-AU"/>
              </w:rPr>
              <w:t>Superannuation (prudential standard) determination No. 7 of 2012 - Prudential Standard SPS 521 - Conflicts of Interest</w:t>
            </w:r>
            <w:r>
              <w:rPr>
                <w:rFonts w:ascii="Calibri" w:eastAsia="Times New Roman" w:hAnsi="Calibri" w:cs="Times New Roman"/>
                <w:color w:val="000000"/>
                <w:lang w:eastAsia="en-AU"/>
              </w:rPr>
              <w:t xml:space="preserve"> [</w:t>
            </w:r>
            <w:r w:rsidRPr="00116205">
              <w:rPr>
                <w:rFonts w:ascii="Calibri" w:eastAsia="Times New Roman" w:hAnsi="Calibri" w:cs="Times New Roman"/>
                <w:color w:val="000000"/>
                <w:lang w:eastAsia="en-AU"/>
              </w:rPr>
              <w:t>F2012L02230</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22"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6205" w:rsidRDefault="00590A8C" w:rsidP="000B22F3">
            <w:pPr>
              <w:rPr>
                <w:rFonts w:ascii="Calibri" w:eastAsia="Times New Roman" w:hAnsi="Calibri" w:cs="Times New Roman"/>
                <w:color w:val="000000"/>
                <w:lang w:eastAsia="en-AU"/>
              </w:rPr>
            </w:pPr>
            <w:r w:rsidRPr="00116205">
              <w:rPr>
                <w:rFonts w:ascii="Calibri" w:eastAsia="Times New Roman" w:hAnsi="Calibri" w:cs="Times New Roman"/>
                <w:color w:val="000000"/>
                <w:lang w:eastAsia="en-AU"/>
              </w:rPr>
              <w:t>Superannuation (prudential standard) determination No. 8 of 2012 - Prudential Standard SPS 530 - Investment Governance</w:t>
            </w:r>
            <w:r>
              <w:rPr>
                <w:rFonts w:ascii="Calibri" w:eastAsia="Times New Roman" w:hAnsi="Calibri" w:cs="Times New Roman"/>
                <w:color w:val="000000"/>
                <w:lang w:eastAsia="en-AU"/>
              </w:rPr>
              <w:t xml:space="preserve"> [</w:t>
            </w:r>
            <w:r w:rsidRPr="00116205">
              <w:rPr>
                <w:rFonts w:ascii="Calibri" w:eastAsia="Times New Roman" w:hAnsi="Calibri" w:cs="Times New Roman"/>
                <w:color w:val="000000"/>
                <w:lang w:eastAsia="en-AU"/>
              </w:rPr>
              <w:t>F2012L02231</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23"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6205" w:rsidRDefault="00590A8C" w:rsidP="000B22F3">
            <w:pPr>
              <w:rPr>
                <w:rFonts w:ascii="Calibri" w:eastAsia="Times New Roman" w:hAnsi="Calibri" w:cs="Times New Roman"/>
                <w:color w:val="000000"/>
                <w:lang w:eastAsia="en-AU"/>
              </w:rPr>
            </w:pPr>
            <w:r w:rsidRPr="00116205">
              <w:rPr>
                <w:rFonts w:ascii="Calibri" w:eastAsia="Times New Roman" w:hAnsi="Calibri" w:cs="Times New Roman"/>
                <w:color w:val="000000"/>
                <w:lang w:eastAsia="en-AU"/>
              </w:rPr>
              <w:t>Superannuation Auditor Registration Imposition Regulation 2012</w:t>
            </w:r>
            <w:r>
              <w:rPr>
                <w:rFonts w:ascii="Calibri" w:eastAsia="Times New Roman" w:hAnsi="Calibri" w:cs="Times New Roman"/>
                <w:color w:val="000000"/>
                <w:lang w:eastAsia="en-AU"/>
              </w:rPr>
              <w:t xml:space="preserve"> [</w:t>
            </w:r>
            <w:r w:rsidRPr="00116205">
              <w:rPr>
                <w:rFonts w:ascii="Calibri" w:eastAsia="Times New Roman" w:hAnsi="Calibri" w:cs="Times New Roman"/>
                <w:color w:val="000000"/>
                <w:lang w:eastAsia="en-AU"/>
              </w:rPr>
              <w:t>F2012L02405</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24"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6205" w:rsidRDefault="00590A8C" w:rsidP="000B22F3">
            <w:pPr>
              <w:rPr>
                <w:rFonts w:ascii="Calibri" w:eastAsia="Times New Roman" w:hAnsi="Calibri" w:cs="Times New Roman"/>
                <w:color w:val="000000"/>
                <w:lang w:eastAsia="en-AU"/>
              </w:rPr>
            </w:pPr>
            <w:r w:rsidRPr="00116205">
              <w:rPr>
                <w:rFonts w:ascii="Calibri" w:eastAsia="Times New Roman" w:hAnsi="Calibri" w:cs="Times New Roman"/>
                <w:color w:val="000000"/>
                <w:lang w:eastAsia="en-AU"/>
              </w:rPr>
              <w:t>Superannuation Industry (Supervision) Amendment Regulation 2012 (No. 4)</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F2012L02386</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25"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6205" w:rsidRDefault="00590A8C" w:rsidP="000B22F3">
            <w:pPr>
              <w:rPr>
                <w:rFonts w:ascii="Calibri" w:eastAsia="Times New Roman" w:hAnsi="Calibri" w:cs="Times New Roman"/>
                <w:color w:val="000000"/>
                <w:lang w:eastAsia="en-AU"/>
              </w:rPr>
            </w:pPr>
            <w:r w:rsidRPr="00117050">
              <w:rPr>
                <w:rFonts w:ascii="Calibri" w:eastAsia="Times New Roman" w:hAnsi="Calibri" w:cs="Times New Roman"/>
                <w:color w:val="000000"/>
                <w:lang w:eastAsia="en-AU"/>
              </w:rPr>
              <w:t>Superannuation Industry (Supervision) Amendment Regulation 2012 (No. 5)</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F2012L02407</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26"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7050" w:rsidRDefault="00590A8C" w:rsidP="000B22F3">
            <w:pPr>
              <w:rPr>
                <w:rFonts w:ascii="Calibri" w:eastAsia="Times New Roman" w:hAnsi="Calibri" w:cs="Times New Roman"/>
                <w:color w:val="000000"/>
                <w:lang w:eastAsia="en-AU"/>
              </w:rPr>
            </w:pPr>
            <w:r w:rsidRPr="00117050">
              <w:rPr>
                <w:rFonts w:ascii="Calibri" w:eastAsia="Times New Roman" w:hAnsi="Calibri" w:cs="Times New Roman"/>
                <w:color w:val="000000"/>
                <w:lang w:eastAsia="en-AU"/>
              </w:rPr>
              <w:t>Superannuation Industry (Supervision) Amendment Regulation 2012 (No. 6)</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F2012L02408</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27"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117050" w:rsidRDefault="00590A8C" w:rsidP="000B22F3">
            <w:pPr>
              <w:rPr>
                <w:rFonts w:ascii="Calibri" w:eastAsia="Times New Roman" w:hAnsi="Calibri" w:cs="Times New Roman"/>
                <w:color w:val="000000"/>
                <w:lang w:eastAsia="en-AU"/>
              </w:rPr>
            </w:pPr>
            <w:r w:rsidRPr="00D015F5">
              <w:rPr>
                <w:rFonts w:ascii="Calibri" w:eastAsia="Times New Roman" w:hAnsi="Calibri" w:cs="Times New Roman"/>
                <w:color w:val="000000"/>
                <w:lang w:eastAsia="en-AU"/>
              </w:rPr>
              <w:t xml:space="preserve">Superannuation (prudential standard) determination No. 9 of 2012 - Prudential Standard SPS 410 - </w:t>
            </w:r>
            <w:proofErr w:type="spellStart"/>
            <w:r w:rsidRPr="00D015F5">
              <w:rPr>
                <w:rFonts w:ascii="Calibri" w:eastAsia="Times New Roman" w:hAnsi="Calibri" w:cs="Times New Roman"/>
                <w:color w:val="000000"/>
                <w:lang w:eastAsia="en-AU"/>
              </w:rPr>
              <w:t>MySuper</w:t>
            </w:r>
            <w:proofErr w:type="spellEnd"/>
            <w:r w:rsidRPr="00D015F5">
              <w:rPr>
                <w:rFonts w:ascii="Calibri" w:eastAsia="Times New Roman" w:hAnsi="Calibri" w:cs="Times New Roman"/>
                <w:color w:val="000000"/>
                <w:lang w:eastAsia="en-AU"/>
              </w:rPr>
              <w:t xml:space="preserve"> Transition</w:t>
            </w:r>
            <w:r>
              <w:rPr>
                <w:rFonts w:ascii="Calibri" w:eastAsia="Times New Roman" w:hAnsi="Calibri" w:cs="Times New Roman"/>
                <w:color w:val="000000"/>
                <w:lang w:eastAsia="en-AU"/>
              </w:rPr>
              <w:t xml:space="preserve"> [</w:t>
            </w:r>
            <w:r w:rsidRPr="00D015F5">
              <w:rPr>
                <w:rFonts w:ascii="Calibri" w:eastAsia="Times New Roman" w:hAnsi="Calibri" w:cs="Times New Roman"/>
                <w:color w:val="000000"/>
                <w:lang w:eastAsia="en-AU"/>
              </w:rPr>
              <w:t>F2012L02509</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100000" w:firstRow="0" w:lastRow="0" w:firstColumn="0" w:lastColumn="0" w:oddVBand="0" w:evenVBand="0" w:oddHBand="1" w:evenHBand="0" w:firstRowFirstColumn="0" w:firstRowLastColumn="0" w:lastRowFirstColumn="0" w:lastRowLastColumn="0"/>
            </w:pPr>
            <w:hyperlink r:id="rId328" w:history="1">
              <w:r w:rsidR="00590A8C" w:rsidRPr="001635F1">
                <w:rPr>
                  <w:rStyle w:val="Hyperlink"/>
                </w:rPr>
                <w:t>3/13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D015F5" w:rsidRDefault="00590A8C" w:rsidP="000B22F3">
            <w:pPr>
              <w:rPr>
                <w:rFonts w:ascii="Calibri" w:eastAsia="Times New Roman" w:hAnsi="Calibri" w:cs="Times New Roman"/>
                <w:color w:val="000000"/>
                <w:lang w:eastAsia="en-AU"/>
              </w:rPr>
            </w:pPr>
            <w:r w:rsidRPr="00D015F5">
              <w:rPr>
                <w:rFonts w:ascii="Calibri" w:eastAsia="Times New Roman" w:hAnsi="Calibri" w:cs="Times New Roman"/>
                <w:color w:val="000000"/>
                <w:lang w:eastAsia="en-AU"/>
              </w:rPr>
              <w:t>Sydney Airport Slot Management Scheme 2013</w:t>
            </w:r>
            <w:r>
              <w:rPr>
                <w:rFonts w:ascii="Calibri" w:eastAsia="Times New Roman" w:hAnsi="Calibri" w:cs="Times New Roman"/>
                <w:color w:val="000000"/>
                <w:lang w:eastAsia="en-AU"/>
              </w:rPr>
              <w:t xml:space="preserve"> [</w:t>
            </w:r>
            <w:r w:rsidRPr="00D015F5">
              <w:rPr>
                <w:rFonts w:ascii="Calibri" w:eastAsia="Times New Roman" w:hAnsi="Calibri" w:cs="Times New Roman"/>
                <w:color w:val="000000"/>
                <w:lang w:eastAsia="en-AU"/>
              </w:rPr>
              <w:t>F2013L00183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0B22F3">
            <w:pPr>
              <w:jc w:val="center"/>
              <w:cnfStyle w:val="000000000000" w:firstRow="0" w:lastRow="0" w:firstColumn="0" w:lastColumn="0" w:oddVBand="0" w:evenVBand="0" w:oddHBand="0" w:evenHBand="0" w:firstRowFirstColumn="0" w:firstRowLastColumn="0" w:lastRowFirstColumn="0" w:lastRowLastColumn="0"/>
            </w:pPr>
            <w:hyperlink r:id="rId329" w:history="1">
              <w:r w:rsidR="00590A8C" w:rsidRPr="001635F1">
                <w:rPr>
                  <w:rStyle w:val="Hyperlink"/>
                </w:rPr>
                <w:t>3/13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T</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31663" w:rsidRDefault="00590A8C" w:rsidP="000B22F3">
            <w:pPr>
              <w:rPr>
                <w:rFonts w:ascii="Calibri" w:eastAsia="Times New Roman" w:hAnsi="Calibri" w:cs="Times New Roman"/>
                <w:color w:val="000000"/>
                <w:lang w:eastAsia="en-AU"/>
              </w:rPr>
            </w:pPr>
            <w:r w:rsidRPr="00117050">
              <w:rPr>
                <w:rFonts w:ascii="Calibri" w:eastAsia="Times New Roman" w:hAnsi="Calibri" w:cs="Times New Roman"/>
                <w:color w:val="000000"/>
                <w:lang w:eastAsia="en-AU"/>
              </w:rPr>
              <w:t>Telecommunications Amendment Regulation 2012 (No. 2)</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F2012L02374</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30"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D65430" w:rsidRDefault="00590A8C" w:rsidP="00D65430">
            <w:pPr>
              <w:autoSpaceDE w:val="0"/>
              <w:autoSpaceDN w:val="0"/>
              <w:adjustRightInd w:val="0"/>
              <w:rPr>
                <w:rFonts w:eastAsia="Times New Roman" w:cs="Times New Roman"/>
                <w:color w:val="000000"/>
                <w:lang w:eastAsia="en-AU"/>
              </w:rPr>
            </w:pPr>
            <w:r w:rsidRPr="00D65430">
              <w:rPr>
                <w:rFonts w:cs="Calibri-Bold"/>
                <w:bCs w:val="0"/>
              </w:rPr>
              <w:t>Telecommunications (Interception and Access) Amendment Regulation 2013 (No. 1)</w:t>
            </w:r>
            <w:r>
              <w:rPr>
                <w:rFonts w:cs="Calibri-Bold"/>
                <w:bCs w:val="0"/>
              </w:rPr>
              <w:t xml:space="preserve"> [F2013L00519]</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31" w:history="1">
              <w:r w:rsidR="00590A8C" w:rsidRPr="003507ED">
                <w:rPr>
                  <w:rStyle w:val="Hyperlink"/>
                </w:rPr>
                <w:t>6/13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93BAC" w:rsidRDefault="00590A8C" w:rsidP="000B22F3">
            <w:pPr>
              <w:rPr>
                <w:rFonts w:ascii="Calibri" w:eastAsia="Times New Roman" w:hAnsi="Calibri" w:cs="Times New Roman"/>
                <w:color w:val="000000"/>
                <w:lang w:eastAsia="en-AU"/>
              </w:rPr>
            </w:pPr>
            <w:r w:rsidRPr="00A31663">
              <w:rPr>
                <w:rFonts w:ascii="Calibri" w:eastAsia="Times New Roman" w:hAnsi="Calibri" w:cs="Times New Roman"/>
                <w:color w:val="000000"/>
                <w:lang w:eastAsia="en-AU"/>
              </w:rPr>
              <w:t>Telecommunications (Interception and Access) (Requirements for Authorisations, Notifications and Revocations) Amendment Determination 2012</w:t>
            </w:r>
            <w:r>
              <w:rPr>
                <w:rFonts w:ascii="Calibri" w:eastAsia="Times New Roman" w:hAnsi="Calibri" w:cs="Times New Roman"/>
                <w:color w:val="000000"/>
                <w:lang w:eastAsia="en-AU"/>
              </w:rPr>
              <w:t xml:space="preserve"> [</w:t>
            </w:r>
            <w:r w:rsidRPr="00A31663">
              <w:rPr>
                <w:rFonts w:ascii="Calibri" w:eastAsia="Times New Roman" w:hAnsi="Calibri" w:cs="Times New Roman"/>
                <w:color w:val="000000"/>
                <w:lang w:eastAsia="en-AU"/>
              </w:rPr>
              <w:t>F2012L02348</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332" w:history="1">
              <w:r w:rsidR="00590A8C" w:rsidRPr="00A93BAC">
                <w:rPr>
                  <w:rStyle w:val="Hyperlink"/>
                </w:rPr>
                <w:t>1/13</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33" w:history="1">
              <w:r w:rsidR="00590A8C" w:rsidRPr="003507ED">
                <w:rPr>
                  <w:rStyle w:val="Hyperlink"/>
                </w:rPr>
                <w:t>6/13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trial</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037A34" w:rsidRDefault="00590A8C" w:rsidP="00037A34">
            <w:pPr>
              <w:autoSpaceDE w:val="0"/>
              <w:autoSpaceDN w:val="0"/>
              <w:adjustRightInd w:val="0"/>
              <w:rPr>
                <w:rFonts w:eastAsia="Times New Roman" w:cs="Times New Roman"/>
                <w:color w:val="000000"/>
                <w:lang w:eastAsia="en-AU"/>
              </w:rPr>
            </w:pPr>
            <w:r w:rsidRPr="00037A34">
              <w:rPr>
                <w:rFonts w:cs="Calibri,Bold"/>
                <w:bCs w:val="0"/>
              </w:rPr>
              <w:t>Therapeutic Goods Order No. 88 - Standards for donor selection, testing, and minimising infectious disease transmission via therapeutic goods that are human blood and blood components, human tissues and human cellular therapy products</w:t>
            </w:r>
            <w:r>
              <w:rPr>
                <w:rFonts w:cs="Calibri,Bold"/>
                <w:bCs w:val="0"/>
              </w:rPr>
              <w:t xml:space="preserve"> [F2013LOO854]</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34" w:history="1">
              <w:r w:rsidR="00590A8C" w:rsidRPr="00037A34">
                <w:rPr>
                  <w:rStyle w:val="Hyperlink"/>
                </w:rPr>
                <w:t>10/13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35" w:history="1">
              <w:r w:rsidR="00590A8C" w:rsidRPr="0096735A">
                <w:rPr>
                  <w:rStyle w:val="Hyperlink"/>
                  <w:rFonts w:ascii="Calibri" w:eastAsia="Times New Roman" w:hAnsi="Calibri" w:cs="Times New Roman"/>
                  <w:lang w:eastAsia="en-AU"/>
                </w:rPr>
                <w:t>2/44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equality and non-discrimination</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A31663" w:rsidRDefault="00590A8C" w:rsidP="000B22F3">
            <w:pPr>
              <w:rPr>
                <w:rFonts w:ascii="Calibri" w:eastAsia="Times New Roman" w:hAnsi="Calibri" w:cs="Times New Roman"/>
                <w:color w:val="000000"/>
                <w:lang w:eastAsia="en-AU"/>
              </w:rPr>
            </w:pPr>
            <w:r w:rsidRPr="00117050">
              <w:rPr>
                <w:rFonts w:ascii="Calibri" w:eastAsia="Times New Roman" w:hAnsi="Calibri" w:cs="Times New Roman"/>
                <w:color w:val="000000"/>
                <w:lang w:eastAsia="en-AU"/>
              </w:rPr>
              <w:t>Threat Abatement Plan to reduce the impacts on northern Australia’s biodiversity by the five listed grasses</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F2012L02359</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36"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CF48DB"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CF48DB" w:rsidRDefault="00590A8C" w:rsidP="00CF48DB">
            <w:pPr>
              <w:autoSpaceDE w:val="0"/>
              <w:autoSpaceDN w:val="0"/>
              <w:adjustRightInd w:val="0"/>
              <w:rPr>
                <w:rFonts w:eastAsia="Times New Roman" w:cs="Times New Roman"/>
                <w:color w:val="000000"/>
                <w:lang w:eastAsia="en-AU"/>
              </w:rPr>
            </w:pPr>
            <w:r w:rsidRPr="00CF48DB">
              <w:rPr>
                <w:rFonts w:cs="Calibri-Bold"/>
                <w:bCs w:val="0"/>
              </w:rPr>
              <w:t>Tradespersons' Rights (Cost Recovery) Amendment Regulation 2013 (No. 1)</w:t>
            </w:r>
            <w:r>
              <w:rPr>
                <w:rFonts w:cs="Calibri-Bold"/>
                <w:bCs w:val="0"/>
              </w:rPr>
              <w:t xml:space="preserve"> [F2013L00704]</w:t>
            </w:r>
          </w:p>
        </w:tc>
        <w:tc>
          <w:tcPr>
            <w:tcW w:w="1134" w:type="dxa"/>
          </w:tcPr>
          <w:p w:rsidR="00590A8C" w:rsidRPr="00CF48DB" w:rsidRDefault="00590A8C" w:rsidP="000B22F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590A8C" w:rsidRPr="00CF48DB"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37" w:history="1">
              <w:r w:rsidR="00590A8C" w:rsidRPr="00CF48DB">
                <w:rPr>
                  <w:rStyle w:val="Hyperlink"/>
                </w:rPr>
                <w:t>7/13</w:t>
              </w:r>
            </w:hyperlink>
          </w:p>
        </w:tc>
        <w:tc>
          <w:tcPr>
            <w:tcW w:w="3544" w:type="dxa"/>
          </w:tcPr>
          <w:p w:rsidR="00590A8C" w:rsidRPr="00CF48DB" w:rsidRDefault="00590A8C" w:rsidP="004B0979">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Work</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A93BAC">
              <w:rPr>
                <w:rFonts w:ascii="Calibri" w:eastAsia="Times New Roman" w:hAnsi="Calibri" w:cs="Times New Roman"/>
                <w:color w:val="000000"/>
                <w:lang w:eastAsia="en-AU"/>
              </w:rPr>
              <w:t>Trans-Tasman Proceedings Legislation Amendment Regulation 2012 (No. 2)</w:t>
            </w:r>
            <w:r>
              <w:rPr>
                <w:rFonts w:ascii="Calibri" w:eastAsia="Times New Roman" w:hAnsi="Calibri" w:cs="Times New Roman"/>
                <w:color w:val="000000"/>
                <w:lang w:eastAsia="en-AU"/>
              </w:rPr>
              <w:t xml:space="preserve"> [</w:t>
            </w:r>
            <w:r w:rsidRPr="00A93BAC">
              <w:rPr>
                <w:rFonts w:ascii="Calibri" w:eastAsia="Times New Roman" w:hAnsi="Calibri" w:cs="Times New Roman"/>
                <w:color w:val="000000"/>
                <w:lang w:eastAsia="en-AU"/>
              </w:rPr>
              <w:t>F2012L02412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38" w:history="1">
              <w:r w:rsidR="00590A8C" w:rsidRPr="00A93BAC">
                <w:rPr>
                  <w:rStyle w:val="Hyperlink"/>
                </w:rPr>
                <w:t>1/13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117050">
              <w:rPr>
                <w:rFonts w:ascii="Calibri" w:eastAsia="Times New Roman" w:hAnsi="Calibri" w:cs="Times New Roman"/>
                <w:color w:val="000000"/>
                <w:lang w:eastAsia="en-AU"/>
              </w:rPr>
              <w:t>Trans-Tasman Mutual Recognition (Amendment of Act) Regulation 2012</w:t>
            </w:r>
            <w:r>
              <w:rPr>
                <w:rFonts w:ascii="Calibri" w:eastAsia="Times New Roman" w:hAnsi="Calibri" w:cs="Times New Roman"/>
                <w:color w:val="000000"/>
                <w:lang w:eastAsia="en-AU"/>
              </w:rPr>
              <w:t xml:space="preserve"> [</w:t>
            </w:r>
            <w:r w:rsidRPr="00117050">
              <w:rPr>
                <w:rFonts w:ascii="Calibri" w:eastAsia="Times New Roman" w:hAnsi="Calibri" w:cs="Times New Roman"/>
                <w:color w:val="000000"/>
                <w:lang w:eastAsia="en-AU"/>
              </w:rPr>
              <w:t>F2012L02422</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39" w:history="1">
              <w:r w:rsidR="00590A8C" w:rsidRPr="00A93BAC">
                <w:rPr>
                  <w:rStyle w:val="Hyperlink"/>
                </w:rPr>
                <w:t>1/13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771083">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U</w:t>
            </w:r>
          </w:p>
        </w:tc>
        <w:tc>
          <w:tcPr>
            <w:tcW w:w="1134" w:type="dxa"/>
            <w:shd w:val="clear" w:color="auto" w:fill="C6D9F1" w:themeFill="text2" w:themeFillTint="33"/>
          </w:tcPr>
          <w:p w:rsidR="00590A8C" w:rsidRDefault="00590A8C" w:rsidP="0077108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7710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771083">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771083">
            <w:pPr>
              <w:rPr>
                <w:rFonts w:ascii="Calibri" w:eastAsia="Times New Roman" w:hAnsi="Calibri" w:cs="Times New Roman"/>
                <w:color w:val="000000"/>
                <w:lang w:eastAsia="en-AU"/>
              </w:rPr>
            </w:pPr>
            <w:r w:rsidRPr="002E2602">
              <w:rPr>
                <w:rFonts w:ascii="Calibri" w:eastAsia="Times New Roman" w:hAnsi="Calibri" w:cs="Times New Roman"/>
                <w:color w:val="000000"/>
                <w:lang w:eastAsia="en-AU"/>
              </w:rPr>
              <w:t>User Rights Amendment (Various Measures) Principle 2013</w:t>
            </w:r>
            <w:r>
              <w:rPr>
                <w:rFonts w:ascii="Calibri" w:eastAsia="Times New Roman" w:hAnsi="Calibri" w:cs="Times New Roman"/>
                <w:color w:val="000000"/>
                <w:lang w:eastAsia="en-AU"/>
              </w:rPr>
              <w:t xml:space="preserve"> [</w:t>
            </w:r>
            <w:r w:rsidRPr="002E2602">
              <w:rPr>
                <w:rFonts w:ascii="Calibri" w:eastAsia="Times New Roman" w:hAnsi="Calibri" w:cs="Times New Roman"/>
                <w:color w:val="000000"/>
                <w:lang w:eastAsia="en-AU"/>
              </w:rPr>
              <w:t>F2013L01352</w:t>
            </w:r>
            <w:r>
              <w:rPr>
                <w:rFonts w:ascii="Calibri" w:eastAsia="Times New Roman" w:hAnsi="Calibri" w:cs="Times New Roman"/>
                <w:color w:val="000000"/>
                <w:lang w:eastAsia="en-AU"/>
              </w:rPr>
              <w:t>]</w:t>
            </w:r>
          </w:p>
        </w:tc>
        <w:tc>
          <w:tcPr>
            <w:tcW w:w="1134" w:type="dxa"/>
          </w:tcPr>
          <w:p w:rsidR="00590A8C" w:rsidRDefault="00590A8C" w:rsidP="007710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40"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41" w:history="1">
              <w:r w:rsidR="00590A8C" w:rsidRPr="00617368">
                <w:rPr>
                  <w:rStyle w:val="Hyperlink"/>
                </w:rPr>
                <w:t>9/44</w:t>
              </w:r>
            </w:hyperlink>
          </w:p>
        </w:tc>
        <w:tc>
          <w:tcPr>
            <w:tcW w:w="3544" w:type="dxa"/>
          </w:tcPr>
          <w:p w:rsidR="00590A8C" w:rsidRPr="00056817" w:rsidRDefault="00590A8C" w:rsidP="007710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adequate standard of living</w:t>
            </w:r>
          </w:p>
        </w:tc>
      </w:tr>
      <w:tr w:rsidR="00590A8C" w:rsidRPr="002C2B55" w:rsidTr="00840504">
        <w:trPr>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V</w:t>
            </w: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A31663">
              <w:rPr>
                <w:rFonts w:ascii="Calibri" w:eastAsia="Times New Roman" w:hAnsi="Calibri" w:cs="Times New Roman"/>
                <w:color w:val="000000"/>
                <w:lang w:eastAsia="en-AU"/>
              </w:rPr>
              <w:t>Veterans' Entitlements (Veterans' Children Education Scheme - Portability Adjustments) Instrument 2012</w:t>
            </w:r>
            <w:r>
              <w:rPr>
                <w:rFonts w:ascii="Calibri" w:eastAsia="Times New Roman" w:hAnsi="Calibri" w:cs="Times New Roman"/>
                <w:color w:val="000000"/>
                <w:lang w:eastAsia="en-AU"/>
              </w:rPr>
              <w:t xml:space="preserve"> [</w:t>
            </w:r>
            <w:r w:rsidRPr="00A31663">
              <w:rPr>
                <w:rFonts w:ascii="Calibri" w:eastAsia="Times New Roman" w:hAnsi="Calibri" w:cs="Times New Roman"/>
                <w:color w:val="000000"/>
                <w:lang w:eastAsia="en-AU"/>
              </w:rPr>
              <w:t>F2012L02313</w:t>
            </w:r>
            <w:r>
              <w:rPr>
                <w:rFonts w:ascii="Calibri" w:eastAsia="Times New Roman" w:hAnsi="Calibri" w:cs="Times New Roman"/>
                <w:color w:val="000000"/>
                <w:lang w:eastAsia="en-AU"/>
              </w:rPr>
              <w:t>]</w:t>
            </w:r>
          </w:p>
        </w:tc>
        <w:tc>
          <w:tcPr>
            <w:tcW w:w="1134" w:type="dxa"/>
          </w:tcPr>
          <w:p w:rsidR="00590A8C" w:rsidRDefault="00590A8C" w:rsidP="000B22F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42" w:history="1">
              <w:r w:rsidR="00590A8C" w:rsidRPr="00A93BAC">
                <w:rPr>
                  <w:rStyle w:val="Hyperlink"/>
                </w:rPr>
                <w:t>1/13</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43" w:history="1">
              <w:r w:rsidR="00590A8C" w:rsidRPr="00BE622B">
                <w:rPr>
                  <w:rStyle w:val="Hyperlink"/>
                </w:rPr>
                <w:t>6/13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840504">
        <w:trPr>
          <w:trHeight w:val="59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90A8C" w:rsidRPr="00EE7910" w:rsidRDefault="00590A8C"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W</w:t>
            </w:r>
          </w:p>
          <w:p w:rsidR="00590A8C" w:rsidRPr="009419EA" w:rsidRDefault="00590A8C"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90A8C" w:rsidRDefault="00590A8C"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2E2602">
            <w:pPr>
              <w:rPr>
                <w:bCs w:val="0"/>
              </w:rPr>
            </w:pPr>
            <w:r w:rsidRPr="002E2602">
              <w:rPr>
                <w:bCs w:val="0"/>
              </w:rPr>
              <w:lastRenderedPageBreak/>
              <w:t>Water and Sewerage Fees and Charges (Christmas Island)</w:t>
            </w:r>
            <w:r>
              <w:rPr>
                <w:bCs w:val="0"/>
              </w:rPr>
              <w:t xml:space="preserve"> </w:t>
            </w:r>
            <w:r w:rsidRPr="002E2602">
              <w:rPr>
                <w:bCs w:val="0"/>
              </w:rPr>
              <w:t>Determination 2013</w:t>
            </w:r>
            <w:r>
              <w:rPr>
                <w:bCs w:val="0"/>
              </w:rPr>
              <w:t xml:space="preserve"> [</w:t>
            </w:r>
            <w:r w:rsidRPr="002E2602">
              <w:rPr>
                <w:bCs w:val="0"/>
              </w:rPr>
              <w:t>F2013L01207</w:t>
            </w:r>
            <w:r>
              <w:rPr>
                <w:bCs w:val="0"/>
              </w:rPr>
              <w:t>]</w:t>
            </w:r>
          </w:p>
        </w:tc>
        <w:tc>
          <w:tcPr>
            <w:tcW w:w="1134" w:type="dxa"/>
          </w:tcPr>
          <w:p w:rsidR="00590A8C" w:rsidRDefault="00590A8C" w:rsidP="0084050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rPr>
                <w:rStyle w:val="Hyperlink"/>
              </w:rPr>
            </w:pPr>
            <w:hyperlink r:id="rId344" w:history="1">
              <w:r w:rsidR="00590A8C" w:rsidRPr="00546408">
                <w:rPr>
                  <w:rStyle w:val="Hyperlink"/>
                </w:rPr>
                <w:t>1/44</w:t>
              </w:r>
            </w:hyperlink>
          </w:p>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45" w:history="1">
              <w:r w:rsidR="00590A8C" w:rsidRPr="00DD1C9B">
                <w:rPr>
                  <w:rStyle w:val="Hyperlink"/>
                </w:rPr>
                <w:t>3/44</w:t>
              </w:r>
            </w:hyperlink>
          </w:p>
        </w:tc>
        <w:tc>
          <w:tcPr>
            <w:tcW w:w="3544" w:type="dxa"/>
          </w:tcPr>
          <w:p w:rsidR="00590A8C"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Adequate standard of living; water</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2E2602" w:rsidRDefault="00590A8C" w:rsidP="002E2602">
            <w:r>
              <w:t>Water and Sewerage Fees and Charges (Cocos(Keeling) Islands) Determination 2013 [</w:t>
            </w:r>
            <w:r w:rsidRPr="002E2602">
              <w:t>F2013L01216</w:t>
            </w:r>
            <w:r>
              <w:t>]</w:t>
            </w:r>
          </w:p>
        </w:tc>
        <w:tc>
          <w:tcPr>
            <w:tcW w:w="1134" w:type="dxa"/>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rPr>
                <w:rStyle w:val="Hyperlink"/>
              </w:rPr>
            </w:pPr>
            <w:hyperlink r:id="rId346" w:history="1">
              <w:r w:rsidR="00590A8C" w:rsidRPr="00546408">
                <w:rPr>
                  <w:rStyle w:val="Hyperlink"/>
                </w:rPr>
                <w:t>1/44</w:t>
              </w:r>
            </w:hyperlink>
          </w:p>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47" w:history="1">
              <w:r w:rsidR="00590A8C" w:rsidRPr="00DD1C9B">
                <w:rPr>
                  <w:rStyle w:val="Hyperlink"/>
                </w:rPr>
                <w:t>3/44</w:t>
              </w:r>
            </w:hyperlink>
          </w:p>
        </w:tc>
        <w:tc>
          <w:tcPr>
            <w:tcW w:w="3544" w:type="dxa"/>
          </w:tcPr>
          <w:p w:rsidR="00590A8C"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Adequate standard of living; water</w:t>
            </w:r>
          </w:p>
        </w:tc>
      </w:tr>
      <w:tr w:rsidR="00590A8C"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Pr="006B19A1" w:rsidRDefault="00590A8C" w:rsidP="000B22F3">
            <w:pPr>
              <w:rPr>
                <w:rFonts w:ascii="Calibri" w:eastAsia="Times New Roman" w:hAnsi="Calibri" w:cs="Times New Roman"/>
                <w:color w:val="000000"/>
                <w:lang w:eastAsia="en-AU"/>
              </w:rPr>
            </w:pPr>
            <w:r w:rsidRPr="006B19A1">
              <w:rPr>
                <w:bCs w:val="0"/>
              </w:rPr>
              <w:t>Work Health and Safety Act 2011 (application to Defence activities and Defence members) Declaration 2012</w:t>
            </w:r>
            <w:r>
              <w:rPr>
                <w:bCs w:val="0"/>
              </w:rPr>
              <w:t xml:space="preserve"> [F2012L02503]</w:t>
            </w:r>
          </w:p>
        </w:tc>
        <w:tc>
          <w:tcPr>
            <w:tcW w:w="1134" w:type="dxa"/>
          </w:tcPr>
          <w:p w:rsidR="00590A8C" w:rsidRDefault="00590A8C" w:rsidP="00840504">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90A8C" w:rsidRDefault="00840504" w:rsidP="00840504">
            <w:pPr>
              <w:spacing w:after="60"/>
              <w:jc w:val="center"/>
              <w:cnfStyle w:val="000000100000" w:firstRow="0" w:lastRow="0" w:firstColumn="0" w:lastColumn="0" w:oddVBand="0" w:evenVBand="0" w:oddHBand="1" w:evenHBand="0" w:firstRowFirstColumn="0" w:firstRowLastColumn="0" w:lastRowFirstColumn="0" w:lastRowLastColumn="0"/>
            </w:pPr>
            <w:hyperlink r:id="rId348" w:history="1">
              <w:r w:rsidR="00590A8C" w:rsidRPr="006B19A1">
                <w:rPr>
                  <w:rStyle w:val="Hyperlink"/>
                </w:rPr>
                <w:t>4/13</w:t>
              </w:r>
            </w:hyperlink>
          </w:p>
        </w:tc>
        <w:tc>
          <w:tcPr>
            <w:tcW w:w="3544" w:type="dxa"/>
          </w:tcPr>
          <w:p w:rsidR="00590A8C" w:rsidRPr="00056817" w:rsidRDefault="00590A8C" w:rsidP="004B097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Safe and healthy working conditions</w:t>
            </w:r>
          </w:p>
        </w:tc>
      </w:tr>
      <w:tr w:rsidR="00590A8C"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90A8C" w:rsidRDefault="00590A8C" w:rsidP="000B22F3">
            <w:pPr>
              <w:rPr>
                <w:rFonts w:ascii="Calibri" w:eastAsia="Times New Roman" w:hAnsi="Calibri" w:cs="Times New Roman"/>
                <w:color w:val="000000"/>
                <w:lang w:eastAsia="en-AU"/>
              </w:rPr>
            </w:pPr>
            <w:r w:rsidRPr="00D015F5">
              <w:rPr>
                <w:rFonts w:ascii="Calibri" w:eastAsia="Times New Roman" w:hAnsi="Calibri" w:cs="Times New Roman"/>
                <w:color w:val="000000"/>
                <w:lang w:eastAsia="en-AU"/>
              </w:rPr>
              <w:t>Work Health and Safety Codes of Practice 2012</w:t>
            </w:r>
            <w:r>
              <w:rPr>
                <w:rFonts w:ascii="Calibri" w:eastAsia="Times New Roman" w:hAnsi="Calibri" w:cs="Times New Roman"/>
                <w:color w:val="000000"/>
                <w:lang w:eastAsia="en-AU"/>
              </w:rPr>
              <w:t xml:space="preserve"> [</w:t>
            </w:r>
            <w:r w:rsidRPr="00D015F5">
              <w:rPr>
                <w:rFonts w:ascii="Calibri" w:eastAsia="Times New Roman" w:hAnsi="Calibri" w:cs="Times New Roman"/>
                <w:color w:val="000000"/>
                <w:lang w:eastAsia="en-AU"/>
              </w:rPr>
              <w:t>F2012L02522</w:t>
            </w:r>
            <w:r>
              <w:rPr>
                <w:rFonts w:ascii="Calibri" w:eastAsia="Times New Roman" w:hAnsi="Calibri" w:cs="Times New Roman"/>
                <w:color w:val="000000"/>
                <w:lang w:eastAsia="en-AU"/>
              </w:rPr>
              <w:t>]</w:t>
            </w:r>
          </w:p>
        </w:tc>
        <w:tc>
          <w:tcPr>
            <w:tcW w:w="1134" w:type="dxa"/>
          </w:tcPr>
          <w:p w:rsidR="00590A8C" w:rsidRDefault="00590A8C" w:rsidP="00840504">
            <w:pPr>
              <w:spacing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90A8C" w:rsidRDefault="00840504" w:rsidP="00840504">
            <w:pPr>
              <w:spacing w:after="60"/>
              <w:jc w:val="center"/>
              <w:cnfStyle w:val="000000000000" w:firstRow="0" w:lastRow="0" w:firstColumn="0" w:lastColumn="0" w:oddVBand="0" w:evenVBand="0" w:oddHBand="0" w:evenHBand="0" w:firstRowFirstColumn="0" w:firstRowLastColumn="0" w:lastRowFirstColumn="0" w:lastRowLastColumn="0"/>
            </w:pPr>
            <w:hyperlink r:id="rId349" w:history="1">
              <w:r w:rsidR="00590A8C" w:rsidRPr="001635F1">
                <w:rPr>
                  <w:rStyle w:val="Hyperlink"/>
                </w:rPr>
                <w:t>3/13</w:t>
              </w:r>
            </w:hyperlink>
          </w:p>
        </w:tc>
        <w:tc>
          <w:tcPr>
            <w:tcW w:w="3544" w:type="dxa"/>
          </w:tcPr>
          <w:p w:rsidR="00590A8C" w:rsidRPr="00056817" w:rsidRDefault="00590A8C" w:rsidP="004B097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bookmarkStart w:id="0" w:name="_GoBack"/>
            <w:bookmarkEnd w:id="0"/>
          </w:p>
        </w:tc>
      </w:tr>
    </w:tbl>
    <w:p w:rsidR="00E62F03" w:rsidRDefault="00E62F03" w:rsidP="00C214A8">
      <w:pPr>
        <w:tabs>
          <w:tab w:val="left" w:pos="-142"/>
        </w:tabs>
      </w:pPr>
    </w:p>
    <w:sectPr w:rsidR="00E62F03" w:rsidSect="00910B90">
      <w:footerReference w:type="default" r:id="rId350"/>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B5" w:rsidRDefault="00704CB5" w:rsidP="00A22A95">
      <w:pPr>
        <w:spacing w:after="0" w:line="240" w:lineRule="auto"/>
      </w:pPr>
      <w:r>
        <w:separator/>
      </w:r>
    </w:p>
  </w:endnote>
  <w:endnote w:type="continuationSeparator" w:id="0">
    <w:p w:rsidR="00704CB5" w:rsidRDefault="00704CB5"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704CB5" w:rsidRDefault="00704CB5">
        <w:pPr>
          <w:pStyle w:val="Footer"/>
          <w:jc w:val="right"/>
        </w:pPr>
        <w:r>
          <w:fldChar w:fldCharType="begin"/>
        </w:r>
        <w:r>
          <w:instrText xml:space="preserve"> PAGE   \* MERGEFORMAT </w:instrText>
        </w:r>
        <w:r>
          <w:fldChar w:fldCharType="separate"/>
        </w:r>
        <w:r w:rsidR="00840504">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B5" w:rsidRDefault="00704CB5" w:rsidP="00A22A95">
      <w:pPr>
        <w:spacing w:after="0" w:line="240" w:lineRule="auto"/>
      </w:pPr>
      <w:r>
        <w:separator/>
      </w:r>
    </w:p>
  </w:footnote>
  <w:footnote w:type="continuationSeparator" w:id="0">
    <w:p w:rsidR="00704CB5" w:rsidRDefault="00704CB5" w:rsidP="00A22A95">
      <w:pPr>
        <w:spacing w:after="0" w:line="240" w:lineRule="auto"/>
      </w:pPr>
      <w:r>
        <w:continuationSeparator/>
      </w:r>
    </w:p>
  </w:footnote>
  <w:footnote w:id="1">
    <w:p w:rsidR="00704CB5" w:rsidRDefault="00704CB5">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0A56"/>
    <w:rsid w:val="00021444"/>
    <w:rsid w:val="000239C5"/>
    <w:rsid w:val="00024BED"/>
    <w:rsid w:val="000259B5"/>
    <w:rsid w:val="00027D9C"/>
    <w:rsid w:val="00032C82"/>
    <w:rsid w:val="00034C9B"/>
    <w:rsid w:val="00037A34"/>
    <w:rsid w:val="00040DB7"/>
    <w:rsid w:val="00041810"/>
    <w:rsid w:val="00041AA7"/>
    <w:rsid w:val="00043AA5"/>
    <w:rsid w:val="00043B33"/>
    <w:rsid w:val="00044556"/>
    <w:rsid w:val="00044A0E"/>
    <w:rsid w:val="00045D99"/>
    <w:rsid w:val="00046E98"/>
    <w:rsid w:val="0004706B"/>
    <w:rsid w:val="00051272"/>
    <w:rsid w:val="000512E5"/>
    <w:rsid w:val="000529F5"/>
    <w:rsid w:val="0005612A"/>
    <w:rsid w:val="00056817"/>
    <w:rsid w:val="0006100A"/>
    <w:rsid w:val="000616F4"/>
    <w:rsid w:val="00061BD3"/>
    <w:rsid w:val="000766E8"/>
    <w:rsid w:val="00076B94"/>
    <w:rsid w:val="00080099"/>
    <w:rsid w:val="00080F74"/>
    <w:rsid w:val="00081CA7"/>
    <w:rsid w:val="00081E79"/>
    <w:rsid w:val="00081F44"/>
    <w:rsid w:val="00093161"/>
    <w:rsid w:val="000940F3"/>
    <w:rsid w:val="00094E56"/>
    <w:rsid w:val="00095571"/>
    <w:rsid w:val="00095D25"/>
    <w:rsid w:val="000960ED"/>
    <w:rsid w:val="000A513A"/>
    <w:rsid w:val="000A6487"/>
    <w:rsid w:val="000B0A0A"/>
    <w:rsid w:val="000B0DFA"/>
    <w:rsid w:val="000B1F9C"/>
    <w:rsid w:val="000B2245"/>
    <w:rsid w:val="000B22F3"/>
    <w:rsid w:val="000B22F8"/>
    <w:rsid w:val="000B2421"/>
    <w:rsid w:val="000B2B9E"/>
    <w:rsid w:val="000B4697"/>
    <w:rsid w:val="000B5D48"/>
    <w:rsid w:val="000B672A"/>
    <w:rsid w:val="000B7993"/>
    <w:rsid w:val="000C262F"/>
    <w:rsid w:val="000C30C0"/>
    <w:rsid w:val="000C3513"/>
    <w:rsid w:val="000C4922"/>
    <w:rsid w:val="000D260E"/>
    <w:rsid w:val="000D2FD0"/>
    <w:rsid w:val="000D30D3"/>
    <w:rsid w:val="000D359A"/>
    <w:rsid w:val="000D3C1B"/>
    <w:rsid w:val="000D5779"/>
    <w:rsid w:val="000E0999"/>
    <w:rsid w:val="000E137D"/>
    <w:rsid w:val="000E1D5F"/>
    <w:rsid w:val="000E4716"/>
    <w:rsid w:val="000E578F"/>
    <w:rsid w:val="000E5E48"/>
    <w:rsid w:val="000F0C4A"/>
    <w:rsid w:val="000F37CB"/>
    <w:rsid w:val="000F4C76"/>
    <w:rsid w:val="000F5ABA"/>
    <w:rsid w:val="000F6F54"/>
    <w:rsid w:val="001018A3"/>
    <w:rsid w:val="00103260"/>
    <w:rsid w:val="00112BE7"/>
    <w:rsid w:val="00115EEA"/>
    <w:rsid w:val="00116205"/>
    <w:rsid w:val="00116CB3"/>
    <w:rsid w:val="00117050"/>
    <w:rsid w:val="001172D1"/>
    <w:rsid w:val="001254FB"/>
    <w:rsid w:val="0012648E"/>
    <w:rsid w:val="001406A3"/>
    <w:rsid w:val="00141BD3"/>
    <w:rsid w:val="0014219D"/>
    <w:rsid w:val="00142F4B"/>
    <w:rsid w:val="00145958"/>
    <w:rsid w:val="00147407"/>
    <w:rsid w:val="00147940"/>
    <w:rsid w:val="0015118A"/>
    <w:rsid w:val="00153D9C"/>
    <w:rsid w:val="001548F0"/>
    <w:rsid w:val="00155EA1"/>
    <w:rsid w:val="001635F1"/>
    <w:rsid w:val="00163F39"/>
    <w:rsid w:val="00166888"/>
    <w:rsid w:val="00167CDC"/>
    <w:rsid w:val="00167CFD"/>
    <w:rsid w:val="00171A0F"/>
    <w:rsid w:val="0017797E"/>
    <w:rsid w:val="001835CB"/>
    <w:rsid w:val="00184995"/>
    <w:rsid w:val="001872B5"/>
    <w:rsid w:val="001943FF"/>
    <w:rsid w:val="001A55C7"/>
    <w:rsid w:val="001B5C0A"/>
    <w:rsid w:val="001B7171"/>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853"/>
    <w:rsid w:val="001F3AAC"/>
    <w:rsid w:val="001F6628"/>
    <w:rsid w:val="001F70EE"/>
    <w:rsid w:val="001F7208"/>
    <w:rsid w:val="001F75DB"/>
    <w:rsid w:val="00201530"/>
    <w:rsid w:val="00201F77"/>
    <w:rsid w:val="00206F18"/>
    <w:rsid w:val="00210F8B"/>
    <w:rsid w:val="00214DA6"/>
    <w:rsid w:val="002176DE"/>
    <w:rsid w:val="00221CB0"/>
    <w:rsid w:val="0022239A"/>
    <w:rsid w:val="002244C5"/>
    <w:rsid w:val="00224F5B"/>
    <w:rsid w:val="002276DE"/>
    <w:rsid w:val="0022780F"/>
    <w:rsid w:val="002315C9"/>
    <w:rsid w:val="0023167B"/>
    <w:rsid w:val="00232574"/>
    <w:rsid w:val="00233A45"/>
    <w:rsid w:val="0023581C"/>
    <w:rsid w:val="00235C05"/>
    <w:rsid w:val="002361EA"/>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63DA"/>
    <w:rsid w:val="00276F1F"/>
    <w:rsid w:val="00277B6A"/>
    <w:rsid w:val="002906DB"/>
    <w:rsid w:val="002910D6"/>
    <w:rsid w:val="00291B04"/>
    <w:rsid w:val="002967E2"/>
    <w:rsid w:val="002974AA"/>
    <w:rsid w:val="002A1D43"/>
    <w:rsid w:val="002A2A1C"/>
    <w:rsid w:val="002A41C8"/>
    <w:rsid w:val="002A771A"/>
    <w:rsid w:val="002A7D12"/>
    <w:rsid w:val="002B14C1"/>
    <w:rsid w:val="002B21D6"/>
    <w:rsid w:val="002B56EF"/>
    <w:rsid w:val="002B75E0"/>
    <w:rsid w:val="002C2B55"/>
    <w:rsid w:val="002C2C41"/>
    <w:rsid w:val="002D266B"/>
    <w:rsid w:val="002D4142"/>
    <w:rsid w:val="002E0FC5"/>
    <w:rsid w:val="002E2602"/>
    <w:rsid w:val="002F0116"/>
    <w:rsid w:val="002F2309"/>
    <w:rsid w:val="002F3BD6"/>
    <w:rsid w:val="002F46A0"/>
    <w:rsid w:val="002F5FB9"/>
    <w:rsid w:val="002F67A5"/>
    <w:rsid w:val="00301130"/>
    <w:rsid w:val="00301C8D"/>
    <w:rsid w:val="00302357"/>
    <w:rsid w:val="003038B7"/>
    <w:rsid w:val="00304651"/>
    <w:rsid w:val="003054B1"/>
    <w:rsid w:val="00315B71"/>
    <w:rsid w:val="003205DF"/>
    <w:rsid w:val="0032124D"/>
    <w:rsid w:val="00321B83"/>
    <w:rsid w:val="00321BAE"/>
    <w:rsid w:val="00325C4E"/>
    <w:rsid w:val="00330E9E"/>
    <w:rsid w:val="00331669"/>
    <w:rsid w:val="0033368F"/>
    <w:rsid w:val="00334F1D"/>
    <w:rsid w:val="00337549"/>
    <w:rsid w:val="00341D0B"/>
    <w:rsid w:val="00341FB9"/>
    <w:rsid w:val="003469B2"/>
    <w:rsid w:val="0034759A"/>
    <w:rsid w:val="003507ED"/>
    <w:rsid w:val="00350CAB"/>
    <w:rsid w:val="00351555"/>
    <w:rsid w:val="00352690"/>
    <w:rsid w:val="0035586B"/>
    <w:rsid w:val="00356DF5"/>
    <w:rsid w:val="00357102"/>
    <w:rsid w:val="00357E75"/>
    <w:rsid w:val="003620C8"/>
    <w:rsid w:val="00363913"/>
    <w:rsid w:val="00366A9E"/>
    <w:rsid w:val="00371990"/>
    <w:rsid w:val="003719A1"/>
    <w:rsid w:val="0037258D"/>
    <w:rsid w:val="003734CD"/>
    <w:rsid w:val="00374022"/>
    <w:rsid w:val="003807CC"/>
    <w:rsid w:val="00381C6E"/>
    <w:rsid w:val="0038310C"/>
    <w:rsid w:val="00386678"/>
    <w:rsid w:val="00386CEB"/>
    <w:rsid w:val="003876B8"/>
    <w:rsid w:val="003907FB"/>
    <w:rsid w:val="00393F9E"/>
    <w:rsid w:val="003954CB"/>
    <w:rsid w:val="00397C23"/>
    <w:rsid w:val="003A4898"/>
    <w:rsid w:val="003A50A1"/>
    <w:rsid w:val="003A6657"/>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0D0C"/>
    <w:rsid w:val="00416759"/>
    <w:rsid w:val="004172BF"/>
    <w:rsid w:val="00417ED3"/>
    <w:rsid w:val="00421B5A"/>
    <w:rsid w:val="004275BA"/>
    <w:rsid w:val="004278EE"/>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2A8A"/>
    <w:rsid w:val="004A3F16"/>
    <w:rsid w:val="004A3FF9"/>
    <w:rsid w:val="004A45E7"/>
    <w:rsid w:val="004A7630"/>
    <w:rsid w:val="004B0979"/>
    <w:rsid w:val="004B6425"/>
    <w:rsid w:val="004C24F3"/>
    <w:rsid w:val="004C38D5"/>
    <w:rsid w:val="004C527A"/>
    <w:rsid w:val="004C5583"/>
    <w:rsid w:val="004C7304"/>
    <w:rsid w:val="004D0B85"/>
    <w:rsid w:val="004D1351"/>
    <w:rsid w:val="004D3FB3"/>
    <w:rsid w:val="004D6148"/>
    <w:rsid w:val="004D61AD"/>
    <w:rsid w:val="004D7DCA"/>
    <w:rsid w:val="004E0F9A"/>
    <w:rsid w:val="004E23F1"/>
    <w:rsid w:val="004E2592"/>
    <w:rsid w:val="004F4AAA"/>
    <w:rsid w:val="004F4C58"/>
    <w:rsid w:val="004F4E5B"/>
    <w:rsid w:val="004F6E3B"/>
    <w:rsid w:val="004F792E"/>
    <w:rsid w:val="004F7F5A"/>
    <w:rsid w:val="00500C8A"/>
    <w:rsid w:val="00504971"/>
    <w:rsid w:val="00507412"/>
    <w:rsid w:val="0051334D"/>
    <w:rsid w:val="005138DF"/>
    <w:rsid w:val="00513DBB"/>
    <w:rsid w:val="005162CE"/>
    <w:rsid w:val="00516AD0"/>
    <w:rsid w:val="00520241"/>
    <w:rsid w:val="00520D07"/>
    <w:rsid w:val="00524345"/>
    <w:rsid w:val="005244C0"/>
    <w:rsid w:val="005263D0"/>
    <w:rsid w:val="00526501"/>
    <w:rsid w:val="00526B83"/>
    <w:rsid w:val="00526CB2"/>
    <w:rsid w:val="00530E00"/>
    <w:rsid w:val="00531E54"/>
    <w:rsid w:val="00532795"/>
    <w:rsid w:val="00534240"/>
    <w:rsid w:val="00536551"/>
    <w:rsid w:val="0053742F"/>
    <w:rsid w:val="00544E96"/>
    <w:rsid w:val="00546234"/>
    <w:rsid w:val="00546408"/>
    <w:rsid w:val="005524DB"/>
    <w:rsid w:val="00553282"/>
    <w:rsid w:val="005644E8"/>
    <w:rsid w:val="00564AB5"/>
    <w:rsid w:val="0057151D"/>
    <w:rsid w:val="00572ED1"/>
    <w:rsid w:val="00574CA4"/>
    <w:rsid w:val="0058161D"/>
    <w:rsid w:val="005828CE"/>
    <w:rsid w:val="005832E9"/>
    <w:rsid w:val="00583859"/>
    <w:rsid w:val="00586952"/>
    <w:rsid w:val="005869BC"/>
    <w:rsid w:val="00587575"/>
    <w:rsid w:val="00590A8C"/>
    <w:rsid w:val="005922CA"/>
    <w:rsid w:val="00594CC8"/>
    <w:rsid w:val="00596ECA"/>
    <w:rsid w:val="005A1129"/>
    <w:rsid w:val="005A2D92"/>
    <w:rsid w:val="005A3B16"/>
    <w:rsid w:val="005A44AE"/>
    <w:rsid w:val="005B1D4C"/>
    <w:rsid w:val="005B24BB"/>
    <w:rsid w:val="005B25E1"/>
    <w:rsid w:val="005B2961"/>
    <w:rsid w:val="005B7AA3"/>
    <w:rsid w:val="005C07CB"/>
    <w:rsid w:val="005C36DD"/>
    <w:rsid w:val="005C4907"/>
    <w:rsid w:val="005C7034"/>
    <w:rsid w:val="005D37D8"/>
    <w:rsid w:val="005D393D"/>
    <w:rsid w:val="005D6C60"/>
    <w:rsid w:val="005D6C92"/>
    <w:rsid w:val="005D7245"/>
    <w:rsid w:val="005E11DA"/>
    <w:rsid w:val="005E1F50"/>
    <w:rsid w:val="005E41DE"/>
    <w:rsid w:val="005E5CDE"/>
    <w:rsid w:val="005E750B"/>
    <w:rsid w:val="005E7EDC"/>
    <w:rsid w:val="005F01FD"/>
    <w:rsid w:val="005F2D3F"/>
    <w:rsid w:val="005F3F0A"/>
    <w:rsid w:val="005F3FD0"/>
    <w:rsid w:val="005F467B"/>
    <w:rsid w:val="005F733F"/>
    <w:rsid w:val="00602146"/>
    <w:rsid w:val="0060258B"/>
    <w:rsid w:val="00603739"/>
    <w:rsid w:val="00604588"/>
    <w:rsid w:val="006131E0"/>
    <w:rsid w:val="00614E69"/>
    <w:rsid w:val="0061553D"/>
    <w:rsid w:val="0061580D"/>
    <w:rsid w:val="00617368"/>
    <w:rsid w:val="00617B39"/>
    <w:rsid w:val="00617E8F"/>
    <w:rsid w:val="00620718"/>
    <w:rsid w:val="00621CF1"/>
    <w:rsid w:val="00623911"/>
    <w:rsid w:val="00627507"/>
    <w:rsid w:val="00627810"/>
    <w:rsid w:val="00627FEE"/>
    <w:rsid w:val="00632A2F"/>
    <w:rsid w:val="00632B7B"/>
    <w:rsid w:val="00634ADA"/>
    <w:rsid w:val="0063619F"/>
    <w:rsid w:val="00637352"/>
    <w:rsid w:val="0064075C"/>
    <w:rsid w:val="006425B4"/>
    <w:rsid w:val="0064321A"/>
    <w:rsid w:val="006458F9"/>
    <w:rsid w:val="00651AF5"/>
    <w:rsid w:val="00653485"/>
    <w:rsid w:val="006539E7"/>
    <w:rsid w:val="00654AC9"/>
    <w:rsid w:val="00657FCB"/>
    <w:rsid w:val="00661E1D"/>
    <w:rsid w:val="00662477"/>
    <w:rsid w:val="00662EA5"/>
    <w:rsid w:val="00662F39"/>
    <w:rsid w:val="006632BD"/>
    <w:rsid w:val="00663501"/>
    <w:rsid w:val="00664101"/>
    <w:rsid w:val="006643B4"/>
    <w:rsid w:val="00664819"/>
    <w:rsid w:val="006652EC"/>
    <w:rsid w:val="00665CA2"/>
    <w:rsid w:val="00667D48"/>
    <w:rsid w:val="00670F6C"/>
    <w:rsid w:val="006712B0"/>
    <w:rsid w:val="00672E8F"/>
    <w:rsid w:val="006750F3"/>
    <w:rsid w:val="00677515"/>
    <w:rsid w:val="00683845"/>
    <w:rsid w:val="0068565F"/>
    <w:rsid w:val="00685B80"/>
    <w:rsid w:val="00686271"/>
    <w:rsid w:val="00690EF2"/>
    <w:rsid w:val="0069252A"/>
    <w:rsid w:val="00695383"/>
    <w:rsid w:val="006964AE"/>
    <w:rsid w:val="00697013"/>
    <w:rsid w:val="00697C0F"/>
    <w:rsid w:val="006A1BA6"/>
    <w:rsid w:val="006A2730"/>
    <w:rsid w:val="006A2D11"/>
    <w:rsid w:val="006A5725"/>
    <w:rsid w:val="006A6D40"/>
    <w:rsid w:val="006B19A1"/>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6F5F46"/>
    <w:rsid w:val="0070047F"/>
    <w:rsid w:val="00702C96"/>
    <w:rsid w:val="00704CB5"/>
    <w:rsid w:val="00705401"/>
    <w:rsid w:val="00706198"/>
    <w:rsid w:val="007074CC"/>
    <w:rsid w:val="007076A9"/>
    <w:rsid w:val="00707D14"/>
    <w:rsid w:val="00711F4F"/>
    <w:rsid w:val="00711F52"/>
    <w:rsid w:val="007125B3"/>
    <w:rsid w:val="00720B54"/>
    <w:rsid w:val="007235E7"/>
    <w:rsid w:val="007246BA"/>
    <w:rsid w:val="00724AE3"/>
    <w:rsid w:val="007262D4"/>
    <w:rsid w:val="007262D6"/>
    <w:rsid w:val="00727C83"/>
    <w:rsid w:val="007324F0"/>
    <w:rsid w:val="007400C5"/>
    <w:rsid w:val="00740EFE"/>
    <w:rsid w:val="00741F49"/>
    <w:rsid w:val="0074685A"/>
    <w:rsid w:val="0075044B"/>
    <w:rsid w:val="00750E71"/>
    <w:rsid w:val="00751366"/>
    <w:rsid w:val="00753677"/>
    <w:rsid w:val="00756755"/>
    <w:rsid w:val="00760A22"/>
    <w:rsid w:val="00762330"/>
    <w:rsid w:val="00762692"/>
    <w:rsid w:val="00762DC9"/>
    <w:rsid w:val="007633C1"/>
    <w:rsid w:val="00764576"/>
    <w:rsid w:val="0076602F"/>
    <w:rsid w:val="00767AB7"/>
    <w:rsid w:val="00767B03"/>
    <w:rsid w:val="00770CF5"/>
    <w:rsid w:val="00771083"/>
    <w:rsid w:val="0077553F"/>
    <w:rsid w:val="00776BF5"/>
    <w:rsid w:val="007803A5"/>
    <w:rsid w:val="00781AFA"/>
    <w:rsid w:val="0078450F"/>
    <w:rsid w:val="0078697D"/>
    <w:rsid w:val="00790610"/>
    <w:rsid w:val="007914D7"/>
    <w:rsid w:val="00794834"/>
    <w:rsid w:val="00794883"/>
    <w:rsid w:val="0079656C"/>
    <w:rsid w:val="007977D6"/>
    <w:rsid w:val="007978E9"/>
    <w:rsid w:val="007A44E0"/>
    <w:rsid w:val="007A6B71"/>
    <w:rsid w:val="007A72E1"/>
    <w:rsid w:val="007B0C09"/>
    <w:rsid w:val="007B5EAE"/>
    <w:rsid w:val="007B6276"/>
    <w:rsid w:val="007C220F"/>
    <w:rsid w:val="007C254F"/>
    <w:rsid w:val="007C25B9"/>
    <w:rsid w:val="007C2E2E"/>
    <w:rsid w:val="007C3173"/>
    <w:rsid w:val="007C53F5"/>
    <w:rsid w:val="007C5491"/>
    <w:rsid w:val="007D10F9"/>
    <w:rsid w:val="007D17BC"/>
    <w:rsid w:val="007D233F"/>
    <w:rsid w:val="007D23B1"/>
    <w:rsid w:val="007D26BD"/>
    <w:rsid w:val="007D2A25"/>
    <w:rsid w:val="007D3CA6"/>
    <w:rsid w:val="007D7BD6"/>
    <w:rsid w:val="007E4579"/>
    <w:rsid w:val="007E6573"/>
    <w:rsid w:val="007E6774"/>
    <w:rsid w:val="007E7BF3"/>
    <w:rsid w:val="007F2CBF"/>
    <w:rsid w:val="007F5248"/>
    <w:rsid w:val="007F62B9"/>
    <w:rsid w:val="007F786F"/>
    <w:rsid w:val="00801325"/>
    <w:rsid w:val="0080136F"/>
    <w:rsid w:val="00802435"/>
    <w:rsid w:val="00804E91"/>
    <w:rsid w:val="00807EF6"/>
    <w:rsid w:val="008104FA"/>
    <w:rsid w:val="00811D2C"/>
    <w:rsid w:val="008128B6"/>
    <w:rsid w:val="0081369D"/>
    <w:rsid w:val="00815C91"/>
    <w:rsid w:val="00816D9A"/>
    <w:rsid w:val="00823489"/>
    <w:rsid w:val="00824C82"/>
    <w:rsid w:val="00832C59"/>
    <w:rsid w:val="00837CAD"/>
    <w:rsid w:val="00837FD6"/>
    <w:rsid w:val="00840504"/>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09B"/>
    <w:rsid w:val="00887D5F"/>
    <w:rsid w:val="0089034F"/>
    <w:rsid w:val="00890DD7"/>
    <w:rsid w:val="00893246"/>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5806"/>
    <w:rsid w:val="008E666B"/>
    <w:rsid w:val="008E6707"/>
    <w:rsid w:val="008F1812"/>
    <w:rsid w:val="008F6635"/>
    <w:rsid w:val="008F6732"/>
    <w:rsid w:val="008F7F29"/>
    <w:rsid w:val="0090285C"/>
    <w:rsid w:val="00903257"/>
    <w:rsid w:val="009067DF"/>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03"/>
    <w:rsid w:val="00950E84"/>
    <w:rsid w:val="00953C54"/>
    <w:rsid w:val="00955862"/>
    <w:rsid w:val="009569CC"/>
    <w:rsid w:val="0096657E"/>
    <w:rsid w:val="00966EF6"/>
    <w:rsid w:val="0096735A"/>
    <w:rsid w:val="00980701"/>
    <w:rsid w:val="009845E4"/>
    <w:rsid w:val="00991DDD"/>
    <w:rsid w:val="0099539A"/>
    <w:rsid w:val="009955ED"/>
    <w:rsid w:val="00995F7D"/>
    <w:rsid w:val="009A27A9"/>
    <w:rsid w:val="009A4248"/>
    <w:rsid w:val="009B08DC"/>
    <w:rsid w:val="009B36CC"/>
    <w:rsid w:val="009B5D9A"/>
    <w:rsid w:val="009C0087"/>
    <w:rsid w:val="009C0CEC"/>
    <w:rsid w:val="009C145E"/>
    <w:rsid w:val="009C1635"/>
    <w:rsid w:val="009C40BD"/>
    <w:rsid w:val="009C625F"/>
    <w:rsid w:val="009C7E73"/>
    <w:rsid w:val="009D0AEB"/>
    <w:rsid w:val="009D0C2D"/>
    <w:rsid w:val="009D2100"/>
    <w:rsid w:val="009D5A86"/>
    <w:rsid w:val="009D77A5"/>
    <w:rsid w:val="009E0E72"/>
    <w:rsid w:val="009E3A40"/>
    <w:rsid w:val="009E3F2D"/>
    <w:rsid w:val="009E4DD5"/>
    <w:rsid w:val="009E70B3"/>
    <w:rsid w:val="009E7994"/>
    <w:rsid w:val="009F2429"/>
    <w:rsid w:val="009F4198"/>
    <w:rsid w:val="009F4F5C"/>
    <w:rsid w:val="009F7442"/>
    <w:rsid w:val="009F7DD9"/>
    <w:rsid w:val="009F7E1E"/>
    <w:rsid w:val="00A01D83"/>
    <w:rsid w:val="00A02C84"/>
    <w:rsid w:val="00A0685D"/>
    <w:rsid w:val="00A0708D"/>
    <w:rsid w:val="00A14F97"/>
    <w:rsid w:val="00A22A95"/>
    <w:rsid w:val="00A26080"/>
    <w:rsid w:val="00A308EA"/>
    <w:rsid w:val="00A31178"/>
    <w:rsid w:val="00A31663"/>
    <w:rsid w:val="00A32D6D"/>
    <w:rsid w:val="00A332F9"/>
    <w:rsid w:val="00A347ED"/>
    <w:rsid w:val="00A37626"/>
    <w:rsid w:val="00A37FBC"/>
    <w:rsid w:val="00A406F0"/>
    <w:rsid w:val="00A4244E"/>
    <w:rsid w:val="00A44CD6"/>
    <w:rsid w:val="00A46B19"/>
    <w:rsid w:val="00A47465"/>
    <w:rsid w:val="00A56BDA"/>
    <w:rsid w:val="00A56F7C"/>
    <w:rsid w:val="00A57FED"/>
    <w:rsid w:val="00A603AC"/>
    <w:rsid w:val="00A60D4A"/>
    <w:rsid w:val="00A6242D"/>
    <w:rsid w:val="00A63D8C"/>
    <w:rsid w:val="00A668FD"/>
    <w:rsid w:val="00A66AF8"/>
    <w:rsid w:val="00A70229"/>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34A3"/>
    <w:rsid w:val="00A93AF2"/>
    <w:rsid w:val="00A93BAC"/>
    <w:rsid w:val="00A94B9A"/>
    <w:rsid w:val="00A95E71"/>
    <w:rsid w:val="00A962C8"/>
    <w:rsid w:val="00A97B4D"/>
    <w:rsid w:val="00AA1942"/>
    <w:rsid w:val="00AA449B"/>
    <w:rsid w:val="00AB3F61"/>
    <w:rsid w:val="00AB4C9E"/>
    <w:rsid w:val="00AB5414"/>
    <w:rsid w:val="00AB6D52"/>
    <w:rsid w:val="00AB6DC2"/>
    <w:rsid w:val="00AC25DC"/>
    <w:rsid w:val="00AC3CB1"/>
    <w:rsid w:val="00AC59CB"/>
    <w:rsid w:val="00AC68E5"/>
    <w:rsid w:val="00AD01C4"/>
    <w:rsid w:val="00AD0F65"/>
    <w:rsid w:val="00AD1A8A"/>
    <w:rsid w:val="00AD388E"/>
    <w:rsid w:val="00AE3599"/>
    <w:rsid w:val="00AF0EC9"/>
    <w:rsid w:val="00AF24AB"/>
    <w:rsid w:val="00B03718"/>
    <w:rsid w:val="00B03E78"/>
    <w:rsid w:val="00B03FBF"/>
    <w:rsid w:val="00B04B2E"/>
    <w:rsid w:val="00B10D9B"/>
    <w:rsid w:val="00B12185"/>
    <w:rsid w:val="00B1363D"/>
    <w:rsid w:val="00B15C6D"/>
    <w:rsid w:val="00B1656B"/>
    <w:rsid w:val="00B207F1"/>
    <w:rsid w:val="00B21045"/>
    <w:rsid w:val="00B224B8"/>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0AA"/>
    <w:rsid w:val="00B75443"/>
    <w:rsid w:val="00B769E8"/>
    <w:rsid w:val="00B8093B"/>
    <w:rsid w:val="00B80A1B"/>
    <w:rsid w:val="00B825BC"/>
    <w:rsid w:val="00B825F6"/>
    <w:rsid w:val="00B82FBA"/>
    <w:rsid w:val="00B8409E"/>
    <w:rsid w:val="00B8676A"/>
    <w:rsid w:val="00B87C16"/>
    <w:rsid w:val="00B909CD"/>
    <w:rsid w:val="00B94535"/>
    <w:rsid w:val="00BA07D9"/>
    <w:rsid w:val="00BA0FC2"/>
    <w:rsid w:val="00BA1CBC"/>
    <w:rsid w:val="00BA251E"/>
    <w:rsid w:val="00BA2A69"/>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E6771"/>
    <w:rsid w:val="00BF0A8E"/>
    <w:rsid w:val="00BF1C98"/>
    <w:rsid w:val="00BF3D3D"/>
    <w:rsid w:val="00BF4B62"/>
    <w:rsid w:val="00BF5AA2"/>
    <w:rsid w:val="00BF70B3"/>
    <w:rsid w:val="00C0273A"/>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37541"/>
    <w:rsid w:val="00C444A0"/>
    <w:rsid w:val="00C4586A"/>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0F38"/>
    <w:rsid w:val="00C717B3"/>
    <w:rsid w:val="00C824EB"/>
    <w:rsid w:val="00C83732"/>
    <w:rsid w:val="00C844B9"/>
    <w:rsid w:val="00C84EFC"/>
    <w:rsid w:val="00C866BF"/>
    <w:rsid w:val="00C87B27"/>
    <w:rsid w:val="00C87C07"/>
    <w:rsid w:val="00C9463E"/>
    <w:rsid w:val="00C95A8B"/>
    <w:rsid w:val="00C97DC0"/>
    <w:rsid w:val="00CA2021"/>
    <w:rsid w:val="00CA21C5"/>
    <w:rsid w:val="00CA33A3"/>
    <w:rsid w:val="00CA34A8"/>
    <w:rsid w:val="00CB28A4"/>
    <w:rsid w:val="00CB4925"/>
    <w:rsid w:val="00CB7E2D"/>
    <w:rsid w:val="00CC0946"/>
    <w:rsid w:val="00CC159A"/>
    <w:rsid w:val="00CC1C80"/>
    <w:rsid w:val="00CC5995"/>
    <w:rsid w:val="00CC77DB"/>
    <w:rsid w:val="00CD5BBD"/>
    <w:rsid w:val="00CD5E1E"/>
    <w:rsid w:val="00CD61C0"/>
    <w:rsid w:val="00CD78D0"/>
    <w:rsid w:val="00CD7B0B"/>
    <w:rsid w:val="00CD7EDE"/>
    <w:rsid w:val="00CE0D98"/>
    <w:rsid w:val="00CE4D79"/>
    <w:rsid w:val="00CE7F3C"/>
    <w:rsid w:val="00CF48DB"/>
    <w:rsid w:val="00CF538B"/>
    <w:rsid w:val="00CF66A9"/>
    <w:rsid w:val="00CF7785"/>
    <w:rsid w:val="00CF7C04"/>
    <w:rsid w:val="00D0012F"/>
    <w:rsid w:val="00D015F5"/>
    <w:rsid w:val="00D01B5A"/>
    <w:rsid w:val="00D024D2"/>
    <w:rsid w:val="00D025A7"/>
    <w:rsid w:val="00D034BC"/>
    <w:rsid w:val="00D05585"/>
    <w:rsid w:val="00D11B7A"/>
    <w:rsid w:val="00D11C7E"/>
    <w:rsid w:val="00D11FFB"/>
    <w:rsid w:val="00D12424"/>
    <w:rsid w:val="00D14440"/>
    <w:rsid w:val="00D1478F"/>
    <w:rsid w:val="00D159E9"/>
    <w:rsid w:val="00D30BEA"/>
    <w:rsid w:val="00D32C29"/>
    <w:rsid w:val="00D41CF1"/>
    <w:rsid w:val="00D46E08"/>
    <w:rsid w:val="00D50CCE"/>
    <w:rsid w:val="00D52D01"/>
    <w:rsid w:val="00D54AF7"/>
    <w:rsid w:val="00D55CF7"/>
    <w:rsid w:val="00D614F5"/>
    <w:rsid w:val="00D61805"/>
    <w:rsid w:val="00D629A2"/>
    <w:rsid w:val="00D65430"/>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5B4"/>
    <w:rsid w:val="00D938CA"/>
    <w:rsid w:val="00D94481"/>
    <w:rsid w:val="00D963EB"/>
    <w:rsid w:val="00DA1460"/>
    <w:rsid w:val="00DA33D6"/>
    <w:rsid w:val="00DA6098"/>
    <w:rsid w:val="00DA6431"/>
    <w:rsid w:val="00DB3324"/>
    <w:rsid w:val="00DB3D31"/>
    <w:rsid w:val="00DB545C"/>
    <w:rsid w:val="00DB606B"/>
    <w:rsid w:val="00DB6765"/>
    <w:rsid w:val="00DC18F0"/>
    <w:rsid w:val="00DC1A8D"/>
    <w:rsid w:val="00DC3622"/>
    <w:rsid w:val="00DC778E"/>
    <w:rsid w:val="00DC791B"/>
    <w:rsid w:val="00DD0162"/>
    <w:rsid w:val="00DD05DA"/>
    <w:rsid w:val="00DD1C9B"/>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14A7"/>
    <w:rsid w:val="00E4303B"/>
    <w:rsid w:val="00E436F4"/>
    <w:rsid w:val="00E43E81"/>
    <w:rsid w:val="00E45C02"/>
    <w:rsid w:val="00E466A2"/>
    <w:rsid w:val="00E5181C"/>
    <w:rsid w:val="00E5235D"/>
    <w:rsid w:val="00E5309D"/>
    <w:rsid w:val="00E54A8C"/>
    <w:rsid w:val="00E6085A"/>
    <w:rsid w:val="00E628FA"/>
    <w:rsid w:val="00E62F03"/>
    <w:rsid w:val="00E63B31"/>
    <w:rsid w:val="00E747FE"/>
    <w:rsid w:val="00E749CB"/>
    <w:rsid w:val="00E74D4E"/>
    <w:rsid w:val="00E8153C"/>
    <w:rsid w:val="00E81C06"/>
    <w:rsid w:val="00E825E4"/>
    <w:rsid w:val="00E84BC3"/>
    <w:rsid w:val="00E850AB"/>
    <w:rsid w:val="00E875F2"/>
    <w:rsid w:val="00E87D06"/>
    <w:rsid w:val="00E963B3"/>
    <w:rsid w:val="00E96EB4"/>
    <w:rsid w:val="00EA07EC"/>
    <w:rsid w:val="00EA438A"/>
    <w:rsid w:val="00EA4530"/>
    <w:rsid w:val="00EA72FD"/>
    <w:rsid w:val="00EA7391"/>
    <w:rsid w:val="00EB29EF"/>
    <w:rsid w:val="00EB3B73"/>
    <w:rsid w:val="00EB5B00"/>
    <w:rsid w:val="00EC27ED"/>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B1F"/>
    <w:rsid w:val="00FB2DA5"/>
    <w:rsid w:val="00FB4407"/>
    <w:rsid w:val="00FB78AF"/>
    <w:rsid w:val="00FC1353"/>
    <w:rsid w:val="00FC579E"/>
    <w:rsid w:val="00FC6A1C"/>
    <w:rsid w:val="00FC6CF3"/>
    <w:rsid w:val="00FD09B5"/>
    <w:rsid w:val="00FD42B2"/>
    <w:rsid w:val="00FE0B6B"/>
    <w:rsid w:val="00FF0D55"/>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29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0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4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3" Type="http://schemas.openxmlformats.org/officeDocument/2006/relationships/hyperlink" Target="https://www.aph.gov.au/Parliamentary_Business/Committees/Joint/Human_Rights/Scrutiny_reports/2014/144/~/media/Committees/Senate/committee/humanrights_ctte/reports/2013/1_44/report.ashx" TargetMode="External"/><Relationship Id="rId8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38"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5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5" Type="http://schemas.openxmlformats.org/officeDocument/2006/relationships/hyperlink" Target="https://www.aph.gov.au/Parliamentary_Business/Committees/Joint/Human_Rights/Scrutiny_reports/2014/344/~/media/Committees/Senate/committee/humanrights_ctte/reports/2014/3_44/report.pdf" TargetMode="External"/><Relationship Id="rId17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7" Type="http://schemas.openxmlformats.org/officeDocument/2006/relationships/hyperlink" Target="https://www.aph.gov.au/Parliamentary_Business/Committees/Joint/Human_Rights/Scrutiny_reports/2014/144/~/media/Committees/Senate/committee/humanrights_ctte/reports/2013/1_44/report.ashx" TargetMode="External"/><Relationship Id="rId10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6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89" Type="http://schemas.openxmlformats.org/officeDocument/2006/relationships/hyperlink" Target="https://www.aph.gov.au/Parliamentary_Business/Committees/Joint/Human_Rights/Scrutiny_reports/2014/144/~/media/Committees/Senate/committee/humanrights_ctte/reports/2013/1_44/report.ashx" TargetMode="External"/><Relationship Id="rId1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7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8" Type="http://schemas.openxmlformats.org/officeDocument/2006/relationships/hyperlink" Target="https://www.aph.gov.au/Parliamentary_Business/Committees/Joint/Human_Rights/Scrutiny_reports/2014/844/~/media/Committees/Senate/committee/humanrights_ctte/reports/2014/8_44/report.pdf" TargetMode="External"/><Relationship Id="rId149" Type="http://schemas.openxmlformats.org/officeDocument/2006/relationships/hyperlink" Target="https://www.aph.gov.au/Parliamentary_Business/Committees/Joint/Human_Rights/Scrutiny_reports/2014/144/~/media/Committees/Senate/committee/humanrights_ctte/reports/2013/1_44/report.ashx" TargetMode="External"/><Relationship Id="rId31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35" Type="http://schemas.openxmlformats.org/officeDocument/2006/relationships/hyperlink" Target="https://www.aph.gov.au/Parliamentary_Business/Committees/Joint/Human_Rights/Scrutiny_reports/2014/244/~/media/Committees/Senate/committee/humanrights_ctte/reports/2014/2_44/report.ashx" TargetMode="External"/><Relationship Id="rId5" Type="http://schemas.openxmlformats.org/officeDocument/2006/relationships/settings" Target="settings.xml"/><Relationship Id="rId9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6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3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58"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79" Type="http://schemas.openxmlformats.org/officeDocument/2006/relationships/hyperlink" Target="https://www.aph.gov.au/Parliamentary_Business/Committees/Joint/Human_Rights/Scrutiny_reports/2014/644/~/media/Committees/Senate/committee/humanrights_ctte/reports/2014/6_44/report.pdf" TargetMode="External"/><Relationship Id="rId2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4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4" Type="http://schemas.openxmlformats.org/officeDocument/2006/relationships/hyperlink" Target="https://www.aph.gov.au/-/media/Committees/Senate/committee/humanrights_ctte/reports/2015/28_44/28th_report.pdf?la=en&amp;hash=590D61E552B1A8A615BAEEA0088B61E1B4AB5747" TargetMode="External"/><Relationship Id="rId118"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39"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90" Type="http://schemas.openxmlformats.org/officeDocument/2006/relationships/hyperlink" Target="https://www.aph.gov.au/Parliamentary_Business/Committees/Joint/Human_Rights/Scrutiny_reports/2014/344/~/media/Committees/Senate/committee/humanrights_ctte/reports/2014/3_44/report.pdf" TargetMode="External"/><Relationship Id="rId30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2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6" Type="http://schemas.openxmlformats.org/officeDocument/2006/relationships/hyperlink" Target="https://www.aph.gov.au/Parliamentary_Business/Committees/Joint/Human_Rights/Scrutiny_reports/2014/144/~/media/Committees/Senate/committee/humanrights_ctte/reports/2013/1_44/report.ashx" TargetMode="External"/><Relationship Id="rId8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50" Type="http://schemas.openxmlformats.org/officeDocument/2006/relationships/hyperlink" Target="https://www.aph.gov.au/-/media/Committees/Senate/committee/humanrights_ctte/reports/2015/22_44/22nd_report.pdf?la=en&amp;hash=6C7AAF8A1D3F16D9E2836F2E798DB1512218B563" TargetMode="External"/><Relationship Id="rId17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8" Type="http://schemas.openxmlformats.org/officeDocument/2006/relationships/hyperlink" Target="https://www.aph.gov.au/Parliamentary_Business/Committees/Joint/Human_Rights/Scrutiny_reports/2014/444/~/media/Committees/Senate/committee/humanrights_ctte/reports/2014/4_44/report.pdf" TargetMode="External"/><Relationship Id="rId269"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0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9"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80" Type="http://schemas.openxmlformats.org/officeDocument/2006/relationships/hyperlink" Target="https://www.aph.gov.au/Parliamentary_Business/Committees/Joint/Human_Rights/Scrutiny_reports/2014/144/~/media/Committees/Senate/committee/humanrights_ctte/reports/2013/1_44/report.ashx" TargetMode="External"/><Relationship Id="rId315"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33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5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7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4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6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 Type="http://schemas.openxmlformats.org/officeDocument/2006/relationships/webSettings" Target="webSettings.xml"/><Relationship Id="rId238"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59" Type="http://schemas.openxmlformats.org/officeDocument/2006/relationships/hyperlink" Target="https://www.aph.gov.au/Parliamentary_Business/Committees/Joint/Human_Rights/Scrutiny_reports/2014/244/~/media/Committees/Senate/committee/humanrights_ctte/reports/2014/2_44/report.ashx" TargetMode="External"/><Relationship Id="rId2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19" Type="http://schemas.openxmlformats.org/officeDocument/2006/relationships/hyperlink" Target="https://www.aph.gov.au/Parliamentary_Business/Committees/Joint/Human_Rights/Scrutiny_reports/2014/144/~/media/Committees/Senate/committee/humanrights_ctte/reports/2013/1_44/report.ashx" TargetMode="External"/><Relationship Id="rId27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91" Type="http://schemas.openxmlformats.org/officeDocument/2006/relationships/hyperlink" Target="https://www.aph.gov.au/Parliamentary_Business/Committees/Joint/Human_Rights/Scrutiny_reports/2014/644/~/media/Committees/Senate/committee/humanrights_ctte/reports/2014/6_44/report.pdf" TargetMode="External"/><Relationship Id="rId30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7" Type="http://schemas.openxmlformats.org/officeDocument/2006/relationships/hyperlink" Target="https://www.aph.gov.au/Parliamentary_Business/Committees/Joint/Human_Rights/Scrutiny_reports/2014/344/~/media/Committees/Senate/committee/humanrights_ctte/reports/2014/3_44/report.pdf" TargetMode="External"/><Relationship Id="rId44"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65" Type="http://schemas.openxmlformats.org/officeDocument/2006/relationships/hyperlink" Target="https://www.aph.gov.au/Parliamentary_Business/Committees/Joint/Human_Rights/Scrutiny_reports/2014/144/~/media/Committees/Senate/committee/humanrights_ctte/reports/2013/1_44/report.ashx" TargetMode="External"/><Relationship Id="rId8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3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5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9" Type="http://schemas.openxmlformats.org/officeDocument/2006/relationships/hyperlink" Target="https://www.aph.gov.au/Parliamentary_Business/Committees/Joint/Human_Rights/Scrutiny_reports/2014/744/~/media/Committees/Senate/committee/humanrights_ctte/reports/2014/7_44/report.pdf" TargetMode="External"/><Relationship Id="rId1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60"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81" Type="http://schemas.openxmlformats.org/officeDocument/2006/relationships/hyperlink" Target="https://www.aph.gov.au/Parliamentary_Business/Committees/Joint/Human_Rights/Scrutiny_reports/2014/344/~/media/Committees/Senate/committee/humanrights_ctte/reports/2014/3_44/report.pdf" TargetMode="External"/><Relationship Id="rId31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37"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3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7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0" Type="http://schemas.openxmlformats.org/officeDocument/2006/relationships/hyperlink" Target="https://www.aph.gov.au/-/media/Committees/Senate/committee/humanrights_ctte/reports/2015/28_44/28th_report.pdf?la=en&amp;hash=590D61E552B1A8A615BAEEA0088B61E1B4AB5747" TargetMode="External"/><Relationship Id="rId14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7" Type="http://schemas.openxmlformats.org/officeDocument/2006/relationships/footnotes" Target="footnotes.xml"/><Relationship Id="rId16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39"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5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71"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9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0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4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6" Type="http://schemas.openxmlformats.org/officeDocument/2006/relationships/hyperlink" Target="https://www.aph.gov.au/-/media/Committees/Senate/committee/humanrights_ctte/reports/2015/28_44/28th_report.pdf?la=en&amp;hash=590D61E552B1A8A615BAEEA0088B61E1B4AB5747" TargetMode="External"/><Relationship Id="rId8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1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3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8" Type="http://schemas.openxmlformats.org/officeDocument/2006/relationships/hyperlink" Target="https://www.aph.gov.au/Parliamentary_Business/Committees/Joint/Human_Rights/Scrutiny_reports/2013/2013/42013/~/media/Committees/Senate/committee/humanrights_ctte/reports/2013/4_2013/pdf/report.ashx" TargetMode="External"/><Relationship Id="rId15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0" Type="http://schemas.openxmlformats.org/officeDocument/2006/relationships/hyperlink" Target="https://www.aph.gov.au/Parliamentary_Business/Committees/Joint/Human_Rights/Scrutiny_reports/2014/144/~/media/Committees/Senate/committee/humanrights_ctte/reports/2013/1_44/report.ashx" TargetMode="External"/><Relationship Id="rId261" Type="http://schemas.openxmlformats.org/officeDocument/2006/relationships/hyperlink" Target="https://www.aph.gov.au/Parliamentary_Business/Committees/Joint/Human_Rights/Scrutiny_reports/2014/244/~/media/Committees/Senate/committee/humanrights_ctte/reports/2014/2_44/report.ashx" TargetMode="External"/><Relationship Id="rId1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7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82" Type="http://schemas.openxmlformats.org/officeDocument/2006/relationships/hyperlink" Target="https://www.aph.gov.au/Parliamentary_Business/Committees/Joint/Human_Rights/Scrutiny_reports/2014/144/~/media/Committees/Senate/committee/humanrights_ctte/reports/2013/1_44/report.ashx" TargetMode="External"/><Relationship Id="rId31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3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8" Type="http://schemas.openxmlformats.org/officeDocument/2006/relationships/endnotes" Target="endnotes.xml"/><Relationship Id="rId9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1"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14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6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3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51"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4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7" Type="http://schemas.openxmlformats.org/officeDocument/2006/relationships/hyperlink" Target="https://www.aph.gov.au/Parliamentary_Business/Committees/Joint/Human_Rights/Scrutiny_reports/2014/144/~/media/Committees/Senate/committee/humanrights_ctte/reports/2013/1_44/report.ashx" TargetMode="External"/><Relationship Id="rId272"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9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0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4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4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62"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8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8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11"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13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53"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7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7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9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0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1" Type="http://schemas.openxmlformats.org/officeDocument/2006/relationships/hyperlink" Target="https://www.aph.gov.au/Parliamentary_Business/Committees/Joint/Human_Rights/Scrutiny_reports/2014/344/~/media/Committees/Senate/committee/humanrights_ctte/reports/2014/3_44/report.pdf" TargetMode="External"/><Relationship Id="rId246" Type="http://schemas.openxmlformats.org/officeDocument/2006/relationships/hyperlink" Target="https://www.aph.gov.au/Parliamentary_Business/Committees/Joint/Human_Rights/Scrutiny_reports/2014/744/~/media/Committees/Senate/committee/humanrights_ctte/reports/2014/7_44/report.pdf" TargetMode="External"/><Relationship Id="rId267" Type="http://schemas.openxmlformats.org/officeDocument/2006/relationships/hyperlink" Target="https://www.aph.gov.au/Parliamentary_Business/Committees/Joint/Human_Rights/Scrutiny_reports/2014/744/~/media/Committees/Senate/committee/humanrights_ctte/reports/2014/7_44/report.pdf" TargetMode="External"/><Relationship Id="rId288" Type="http://schemas.openxmlformats.org/officeDocument/2006/relationships/hyperlink" Target="https://www.aph.gov.au/Parliamentary_Business/Committees/Joint/Human_Rights/Scrutiny_reports/2014/644/~/media/Committees/Senate/committee/humanrights_ctte/reports/2014/6_44/report.pdf" TargetMode="External"/><Relationship Id="rId1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57"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0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7" Type="http://schemas.openxmlformats.org/officeDocument/2006/relationships/hyperlink" Target="https://www.aph.gov.au/Parliamentary_Business/Committees/Joint/Human_Rights/Scrutiny_reports/2014/144/~/media/Committees/Senate/committee/humanrights_ctte/reports/2013/1_44/report.ashx" TargetMode="External"/><Relationship Id="rId26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83" Type="http://schemas.openxmlformats.org/officeDocument/2006/relationships/hyperlink" Target="https://www.aph.gov.au/Parliamentary_Business/Committees/Joint/Human_Rights/Scrutiny_reports/2014/344/~/media/Committees/Senate/committee/humanrights_ctte/reports/2014/3_44/report.pdf" TargetMode="External"/><Relationship Id="rId313" Type="http://schemas.openxmlformats.org/officeDocument/2006/relationships/hyperlink" Target="https://www.aph.gov.au/Parliamentary_Business/Committees/Joint/Human_Rights/Scrutiny_reports/2014/144/~/media/Committees/Senate/committee/humanrights_ctte/reports/2013/1_44/report.ashx" TargetMode="External"/><Relationship Id="rId31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3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7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7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9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2"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43"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48"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6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6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34"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35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1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36"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57" Type="http://schemas.openxmlformats.org/officeDocument/2006/relationships/hyperlink" Target="https://www.aph.gov.au/Parliamentary_Business/Committees/Joint/Human_Rights/Scrutiny_reports/2014/744/~/media/Committees/Senate/committee/humanrights_ctte/reports/2014/7_44/report.pdf" TargetMode="External"/><Relationship Id="rId278" Type="http://schemas.openxmlformats.org/officeDocument/2006/relationships/hyperlink" Target="https://www.aph.gov.au/Parliamentary_Business/Committees/Joint/Human_Rights/Scrutiny_reports/2014/344/~/media/Committees/Senate/committee/humanrights_ctte/reports/2014/3_44/report.pdf" TargetMode="External"/><Relationship Id="rId2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31"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5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73"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94"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30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2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4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8" Type="http://schemas.openxmlformats.org/officeDocument/2006/relationships/hyperlink" Target="https://www.aph.gov.au/Parliamentary_Business/Committees/Joint/Human_Rights/Scrutiny_reports/2014/244/~/media/Committees/Senate/committee/humanrights_ctte/reports/2014/2_44/report.ashx" TargetMode="External"/><Relationship Id="rId8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12"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3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5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40" Type="http://schemas.openxmlformats.org/officeDocument/2006/relationships/hyperlink" Target="https://www.aph.gov.au/Parliamentary_Business/Committees/Joint/Human_Rights/Scrutiny_reports/2014/144/~/media/Committees/Senate/committee/humanrights_ctte/reports/2013/1_44/report.ashx" TargetMode="External"/><Relationship Id="rId19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0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2"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6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84" Type="http://schemas.openxmlformats.org/officeDocument/2006/relationships/hyperlink" Target="https://www.aph.gov.au/Parliamentary_Business/Committees/Joint/Human_Rights/Scrutiny_reports/2014/144/~/media/Committees/Senate/committee/humanrights_ctte/reports/2013/1_44/report.ashx" TargetMode="External"/><Relationship Id="rId31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7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3" Type="http://schemas.openxmlformats.org/officeDocument/2006/relationships/hyperlink" Target="https://www.aph.gov.au/Parliamentary_Business/Committees/Joint/Human_Rights/Scrutiny_reports/2014/144/~/media/Committees/Senate/committee/humanrights_ctte/reports/2013/1_44/report.ashx" TargetMode="External"/><Relationship Id="rId144"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33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6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51" Type="http://schemas.openxmlformats.org/officeDocument/2006/relationships/fontTable" Target="fontTable.xml"/><Relationship Id="rId21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3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5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74" Type="http://schemas.openxmlformats.org/officeDocument/2006/relationships/hyperlink" Target="https://www.aph.gov.au/Parliamentary_Business/Committees/Joint/Human_Rights/Scrutiny_reports/2014/144/~/media/Committees/Senate/committee/humanrights_ctte/reports/2013/1_44/report.ashx" TargetMode="External"/><Relationship Id="rId29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09" Type="http://schemas.openxmlformats.org/officeDocument/2006/relationships/hyperlink" Target="https://www.aph.gov.au/Parliamentary_Business/Committees/Joint/Human_Rights/Scrutiny_reports/2013/2013/42013/~/media/Committees/Senate/committee/humanrights_ctte/reports/2013/4_2013/pdf/report.ashx" TargetMode="External"/><Relationship Id="rId2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4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69" Type="http://schemas.openxmlformats.org/officeDocument/2006/relationships/hyperlink" Target="https://www.aph.gov.au/-/media/Committees/Senate/committee/humanrights_ctte/reports/2015/28_44/28th_report.pdf?la=en&amp;hash=590D61E552B1A8A615BAEEA0088B61E1B4AB5747" TargetMode="External"/><Relationship Id="rId113" Type="http://schemas.openxmlformats.org/officeDocument/2006/relationships/hyperlink" Target="https://www.aph.gov.au/Parliamentary_Business/Committees/Joint/Human_Rights/Scrutiny_reports/2014/144/~/media/Committees/Senate/committee/humanrights_ctte/reports/2013/1_44/report.ashx" TargetMode="External"/><Relationship Id="rId134"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2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8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5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7"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341" Type="http://schemas.openxmlformats.org/officeDocument/2006/relationships/hyperlink" Target="https://www.aph.gov.au/-/media/Committees/Senate/committee/humanrights_ctte/reports/2014/9_44/report.pdf?la=en&amp;hash=74F3372CC12FBCA710E732B2F89FE852A42CCF99" TargetMode="External"/><Relationship Id="rId20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3" Type="http://schemas.openxmlformats.org/officeDocument/2006/relationships/hyperlink" Target="https://www.aph.gov.au/Parliamentary_Business/Committees/Joint/Human_Rights/Scrutiny_reports/2014/144/~/media/Committees/Senate/committee/humanrights_ctte/reports/2013/1_44/report.ashx" TargetMode="External"/><Relationship Id="rId26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85" Type="http://schemas.openxmlformats.org/officeDocument/2006/relationships/hyperlink" Target="https://www.aph.gov.au/Parliamentary_Business/Committees/Joint/Human_Rights/Scrutiny_reports/2014/344/~/media/Committees/Senate/committee/humanrights_ctte/reports/2014/3_44/report.pdf" TargetMode="External"/><Relationship Id="rId1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59" Type="http://schemas.openxmlformats.org/officeDocument/2006/relationships/hyperlink" Target="https://www.aph.gov.au/Parliamentary_Business/Committees/Joint/Human_Rights/Scrutiny_reports/2014/144/~/media/Committees/Senate/committee/humanrights_ctte/reports/2013/1_44/report.ashx" TargetMode="External"/><Relationship Id="rId10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4" Type="http://schemas.openxmlformats.org/officeDocument/2006/relationships/hyperlink" Target="https://www.aph.gov.au/-/media/Committees/Senate/committee/humanrights_ctte/reports/2015/28_44/28th_report.pdf?la=en&amp;hash=590D61E552B1A8A615BAEEA0088B61E1B4AB5747" TargetMode="External"/><Relationship Id="rId310" Type="http://schemas.openxmlformats.org/officeDocument/2006/relationships/hyperlink" Target="https://www.aph.gov.au/Parliamentary_Business/Committees/Joint/Human_Rights/Scrutiny_reports/2013/2013/42013/~/media/Committees/Senate/committee/humanrights_ctte/reports/2013/4_2013/pdf/report.ashx" TargetMode="External"/><Relationship Id="rId70" Type="http://schemas.openxmlformats.org/officeDocument/2006/relationships/hyperlink" Target="https://www.aph.gov.au/-/media/Committees/Senate/committee/humanrights_ctte/reports/2015/28_44/28th_report.pdf?la=en&amp;hash=590D61E552B1A8A615BAEEA0088B61E1B4AB5747" TargetMode="External"/><Relationship Id="rId9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45"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6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31"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aph.gov.au/Parliamentary_Business/Committees/Joint/Human_Rights/Scrutiny_reports/2014/144/~/media/Committees/Senate/committee/humanrights_ctte/reports/2013/1_44/report.ashx" TargetMode="External"/><Relationship Id="rId233"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254"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2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4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14" Type="http://schemas.openxmlformats.org/officeDocument/2006/relationships/hyperlink" Target="https://www.aph.gov.au/-/media/Committees/Senate/committee/humanrights_ctte/reports/2015/28_44/28th_report.pdf?la=en&amp;hash=590D61E552B1A8A615BAEEA0088B61E1B4AB5747" TargetMode="External"/><Relationship Id="rId275" Type="http://schemas.openxmlformats.org/officeDocument/2006/relationships/hyperlink" Target="https://www.aph.gov.au/Parliamentary_Business/Committees/Joint/Human_Rights/Scrutiny_reports/2014/144/~/media/Committees/Senate/committee/humanrights_ctte/reports/2013/1_44/report.ashx" TargetMode="External"/><Relationship Id="rId296"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300" Type="http://schemas.openxmlformats.org/officeDocument/2006/relationships/hyperlink" Target="https://www.aph.gov.au/Parliamentary_Business/Committees/Joint/Human_Rights/Scrutiny_reports/2013/2013/42013/~/media/Committees/Senate/committee/humanrights_ctte/reports/2013/4_2013/pdf/report.ashx" TargetMode="External"/><Relationship Id="rId60" Type="http://schemas.openxmlformats.org/officeDocument/2006/relationships/hyperlink" Target="https://www.aph.gov.au/Parliamentary_Business/Committees/Joint/Human_Rights/Scrutiny_reports/2014/244/~/media/Committees/Senate/committee/humanrights_ctte/reports/2014/2_44/report.ashx" TargetMode="External"/><Relationship Id="rId8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3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56"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9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2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0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4" Type="http://schemas.openxmlformats.org/officeDocument/2006/relationships/hyperlink" Target="https://www.aph.gov.au/Parliamentary_Business/Committees/Joint/Human_Rights/Scrutiny_reports/2014/144/~/media/Committees/Senate/committee/humanrights_ctte/reports/2013/1_44/report.ashx" TargetMode="External"/><Relationship Id="rId18"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65" Type="http://schemas.openxmlformats.org/officeDocument/2006/relationships/hyperlink" Target="https://www.aph.gov.au/Parliamentary_Business/Committees/Joint/Human_Rights/Scrutiny_reports/2014/144/~/media/Committees/Senate/committee/humanrights_ctte/reports/2013/1_44/report.ashx" TargetMode="External"/><Relationship Id="rId286" Type="http://schemas.openxmlformats.org/officeDocument/2006/relationships/hyperlink" Target="https://www.aph.gov.au/Parliamentary_Business/Committees/Joint/Human_Rights/Scrutiny_reports/2014/144/~/media/Committees/Senate/committee/humanrights_ctte/reports/2013/1_44/report.ashx" TargetMode="External"/><Relationship Id="rId50"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0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5"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146" Type="http://schemas.openxmlformats.org/officeDocument/2006/relationships/hyperlink" Target="https://www.aph.gov.au/Parliamentary_Business/Committees/Joint/Human_Rights/Scrutiny_reports/2013/2013/102013/~/media/Committees/Senate/committee/humanrights_ctte/reports/2013/10_2013/pdf/report.ashx" TargetMode="External"/><Relationship Id="rId167"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11" Type="http://schemas.openxmlformats.org/officeDocument/2006/relationships/hyperlink" Target="https://www.aph.gov.au/Parliamentary_Business/Committees/Joint/Human_Rights/Scrutiny_reports/2014/144/~/media/Committees/Senate/committee/humanrights_ctte/reports/2013/1_44/report.ashx" TargetMode="External"/><Relationship Id="rId33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7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2"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13" Type="http://schemas.openxmlformats.org/officeDocument/2006/relationships/hyperlink" Target="https://www.aph.gov.au/-/media/Committees/Senate/committee/humanrights_ctte/reports/2014/9_44/report.pdf?la=en&amp;hash=74F3372CC12FBCA710E732B2F89FE852A42CCF99" TargetMode="External"/><Relationship Id="rId234" Type="http://schemas.openxmlformats.org/officeDocument/2006/relationships/hyperlink" Target="https://www.aph.gov.au/Parliamentary_Business/Committees/Joint/Human_Rights/Scrutiny_reports/2014/144/~/media/Committees/Senate/committee/humanrights_ctte/reports/2013/1_44/report.ashx" TargetMode="External"/><Relationship Id="rId2" Type="http://schemas.openxmlformats.org/officeDocument/2006/relationships/numbering" Target="numbering.xml"/><Relationship Id="rId2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55" Type="http://schemas.openxmlformats.org/officeDocument/2006/relationships/hyperlink" Target="https://www.aph.gov.au/Parliamentary_Business/Committees/Joint/Human_Rights/Scrutiny_reports/2014/144/~/media/Committees/Senate/committee/humanrights_ctte/reports/2013/1_44/report.ashx" TargetMode="External"/><Relationship Id="rId276" Type="http://schemas.openxmlformats.org/officeDocument/2006/relationships/hyperlink" Target="https://www.aph.gov.au/Parliamentary_Business/Committees/Joint/Human_Rights/Scrutiny_reports/2014/344/~/media/Committees/Senate/committee/humanrights_ctte/reports/2014/3_44/report.pdf" TargetMode="External"/><Relationship Id="rId297" Type="http://schemas.openxmlformats.org/officeDocument/2006/relationships/hyperlink" Target="https://www.aph.gov.au/Parliamentary_Business/Committees/Joint/Human_Rights/Scrutiny_reports/2014/144/~/media/Committees/Senate/committee/humanrights_ctte/reports/2013/1_44/report.ashx" TargetMode="External"/><Relationship Id="rId4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15" Type="http://schemas.openxmlformats.org/officeDocument/2006/relationships/hyperlink" Target="https://www.aph.gov.au/Parliamentary_Business/Committees/Joint/Human_Rights/Scrutiny_reports/2014/144/~/media/Committees/Senate/committee/humanrights_ctte/reports/2013/1_44/report.ashx" TargetMode="External"/><Relationship Id="rId136"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57"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7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01"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32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3"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61"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8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9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0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9"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24"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245" Type="http://schemas.openxmlformats.org/officeDocument/2006/relationships/hyperlink" Target="https://www.aph.gov.au/Parliamentary_Business/Committees/Joint/Human_Rights/Scrutiny_reports/2014/444/~/media/Committees/Senate/committee/humanrights_ctte/reports/2014/4_44/report.pdf" TargetMode="External"/><Relationship Id="rId266" Type="http://schemas.openxmlformats.org/officeDocument/2006/relationships/hyperlink" Target="https://www.aph.gov.au/Parliamentary_Business/Committees/Joint/Human_Rights/Scrutiny_reports/2014/344/~/media/Committees/Senate/committee/humanrights_ctte/reports/2014/3_44/report.pdf" TargetMode="External"/><Relationship Id="rId287" Type="http://schemas.openxmlformats.org/officeDocument/2006/relationships/hyperlink" Target="https://www.aph.gov.au/Parliamentary_Business/Committees/Joint/Human_Rights/Scrutiny_reports/2014/344/~/media/Committees/Senate/committee/humanrights_ctte/reports/2014/3_44/report.pdf" TargetMode="External"/><Relationship Id="rId30"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05"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126"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47"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16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1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33" Type="http://schemas.openxmlformats.org/officeDocument/2006/relationships/hyperlink" Target="https://www.aph.gov.au/Parliamentary_Business/Committees/Joint/Human_Rights/Scrutiny_reports/2013/2013/62013/~/media/Committees/Senate/committee/humanrights_ctte/reports/2013/6_2013/pdf/report.ashx" TargetMode="External"/><Relationship Id="rId51"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7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93"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189"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 Type="http://schemas.openxmlformats.org/officeDocument/2006/relationships/styles" Target="styles.xml"/><Relationship Id="rId214" Type="http://schemas.openxmlformats.org/officeDocument/2006/relationships/hyperlink" Target="https://www.aph.gov.au/-/media/Committees/Joint/PJCHR/10th/Tenth_Report_of_the_44th_Parliament.pdf?la=en&amp;hash=E482BA337795584F19A484A158B8A04B959C1078" TargetMode="External"/><Relationship Id="rId235"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256" Type="http://schemas.openxmlformats.org/officeDocument/2006/relationships/hyperlink" Target="https://www.aph.gov.au/Parliamentary_Business/Committees/Joint/Human_Rights/Scrutiny_reports/2014/344/~/media/Committees/Senate/committee/humanrights_ctte/reports/2014/3_44/report.pdf" TargetMode="External"/><Relationship Id="rId277" Type="http://schemas.openxmlformats.org/officeDocument/2006/relationships/hyperlink" Target="https://www.aph.gov.au/Parliamentary_Business/Committees/Joint/Human_Rights/Scrutiny_reports/2014/144/~/media/Committees/Senate/committee/humanrights_ctte/reports/2013/1_44/report.ashx" TargetMode="External"/><Relationship Id="rId298" Type="http://schemas.openxmlformats.org/officeDocument/2006/relationships/hyperlink" Target="https://www.aph.gov.au/Parliamentary_Business/Committees/Joint/Human_Rights/Scrutiny_reports/2014/344/~/media/Committees/Senate/committee/humanrights_ctte/reports/2014/3_44/report.pdf" TargetMode="External"/><Relationship Id="rId116" Type="http://schemas.openxmlformats.org/officeDocument/2006/relationships/hyperlink" Target="https://www.aph.gov.au/-/media/Committees/Senate/committee/humanrights_ctte/reports/2015/28_44/28th_report.pdf?la=en&amp;hash=590D61E552B1A8A615BAEEA0088B61E1B4AB5747" TargetMode="External"/><Relationship Id="rId137" Type="http://schemas.openxmlformats.org/officeDocument/2006/relationships/hyperlink" Target="https://www.aph.gov.au/Parliamentary_Business/Committees/Joint/Human_Rights/Scrutiny_reports/2013/2013/72013/~/media/Committees/Senate/committee/humanrights_ctte/reports/2013/7_2013/pdf/report.ashx" TargetMode="External"/><Relationship Id="rId158" Type="http://schemas.openxmlformats.org/officeDocument/2006/relationships/hyperlink" Target="https://www.aph.gov.au/Parliamentary_Business/Committees/Joint/Human_Rights/Scrutiny_reports/2013/2013/32013/~/media/Committees/Senate/committee/humanrights_ctte/reports/2013/3_2013/pdf/report.ashx" TargetMode="External"/><Relationship Id="rId302"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23" Type="http://schemas.openxmlformats.org/officeDocument/2006/relationships/hyperlink" Target="https://www.aph.gov.au/Parliamentary_Business/Committees/Joint/Human_Rights/Scrutiny_reports/2013/2013/12013/~/media/Committees/Senate/committee/humanrights_ctte/reports/2013/1_2013/pdf/report.ashx" TargetMode="External"/><Relationship Id="rId344" Type="http://schemas.openxmlformats.org/officeDocument/2006/relationships/hyperlink" Target="https://www.aph.gov.au/Parliamentary_Business/Committees/Joint/Human_Rights/Scrutiny_reports/2014/144/~/media/Committees/Senate/committee/humanrights_ctte/reports/2013/1_44/report.ash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C578-7247-471C-8290-A0950546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25</Pages>
  <Words>16491</Words>
  <Characters>94003</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56</cp:revision>
  <cp:lastPrinted>2020-01-27T23:52:00Z</cp:lastPrinted>
  <dcterms:created xsi:type="dcterms:W3CDTF">2020-01-24T02:53:00Z</dcterms:created>
  <dcterms:modified xsi:type="dcterms:W3CDTF">2020-09-21T00:29:00Z</dcterms:modified>
</cp:coreProperties>
</file>