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9DCBF2" w14:textId="515FE396" w:rsidR="001E20F0" w:rsidRPr="007C4791" w:rsidRDefault="001E20F0" w:rsidP="007C4791">
      <w:pPr>
        <w:pStyle w:val="Subtitle"/>
      </w:pPr>
      <w:r w:rsidRPr="007C4791">
        <w:t>Australian Parliamentary Service</w:t>
      </w:r>
    </w:p>
    <w:p w14:paraId="6EA5AE5F" w14:textId="77777777" w:rsidR="001E20F0" w:rsidRPr="007C4791" w:rsidRDefault="001E20F0" w:rsidP="007C4791">
      <w:pPr>
        <w:pStyle w:val="Title"/>
        <w:rPr>
          <w:sz w:val="64"/>
          <w:szCs w:val="64"/>
        </w:rPr>
      </w:pPr>
      <w:r w:rsidRPr="007C4791">
        <w:rPr>
          <w:sz w:val="64"/>
          <w:szCs w:val="64"/>
        </w:rPr>
        <w:t>Access and Inclusion Action Plan</w:t>
      </w:r>
    </w:p>
    <w:p w14:paraId="6D76D1D9" w14:textId="77777777" w:rsidR="007C4791" w:rsidRDefault="001E20F0" w:rsidP="007C4791">
      <w:pPr>
        <w:pStyle w:val="Title"/>
        <w:rPr>
          <w:sz w:val="64"/>
          <w:szCs w:val="64"/>
        </w:rPr>
        <w:sectPr w:rsidR="007C4791" w:rsidSect="001E20F0">
          <w:headerReference w:type="default" r:id="rId10"/>
          <w:pgSz w:w="12240" w:h="15840"/>
          <w:pgMar w:top="5103" w:right="1418" w:bottom="1440" w:left="1418" w:header="720" w:footer="720" w:gutter="0"/>
          <w:cols w:space="720"/>
          <w:noEndnote/>
          <w:docGrid w:linePitch="326"/>
        </w:sectPr>
      </w:pPr>
      <w:r w:rsidRPr="007C4791">
        <w:rPr>
          <w:sz w:val="64"/>
          <w:szCs w:val="64"/>
        </w:rPr>
        <w:t xml:space="preserve">2025–2028 </w:t>
      </w:r>
    </w:p>
    <w:p w14:paraId="35E7AAFE" w14:textId="77777777" w:rsidR="007C4791" w:rsidRPr="007C4791" w:rsidRDefault="007C4791" w:rsidP="007C4791">
      <w:pPr>
        <w:spacing w:after="160" w:line="278" w:lineRule="auto"/>
        <w:rPr>
          <w:b/>
          <w:bCs/>
          <w:lang w:val="en-US"/>
        </w:rPr>
      </w:pPr>
      <w:r w:rsidRPr="007C4791">
        <w:rPr>
          <w:b/>
          <w:bCs/>
          <w:lang w:val="en-US"/>
        </w:rPr>
        <w:lastRenderedPageBreak/>
        <w:t>Acknowledgement of Country</w:t>
      </w:r>
    </w:p>
    <w:p w14:paraId="1ED7DEB9" w14:textId="13B40F3A" w:rsidR="000F54F6" w:rsidRPr="009D1C6A" w:rsidRDefault="007C4791" w:rsidP="009D1C6A">
      <w:pPr>
        <w:spacing w:after="160" w:line="278" w:lineRule="auto"/>
        <w:rPr>
          <w:lang w:val="en-US"/>
        </w:rPr>
        <w:sectPr w:rsidR="000F54F6" w:rsidRPr="009D1C6A" w:rsidSect="00965DB0">
          <w:pgSz w:w="12240" w:h="15840" w:code="1"/>
          <w:pgMar w:top="1440" w:right="2268" w:bottom="1440" w:left="2268" w:header="720" w:footer="720" w:gutter="0"/>
          <w:cols w:space="720"/>
          <w:vAlign w:val="bottom"/>
          <w:noEndnote/>
          <w:titlePg/>
          <w:docGrid w:linePitch="326"/>
        </w:sectPr>
      </w:pPr>
      <w:r w:rsidRPr="007C4791">
        <w:rPr>
          <w:lang w:val="en-US"/>
        </w:rPr>
        <w:t xml:space="preserve">The Australian Parliamentary Service acknowledges the Custodians of Country throughout Australia and their continued connection to land, waters and community. We pay our respects to their Cultures, Country, and Elders, past and present. </w:t>
      </w:r>
    </w:p>
    <w:p w14:paraId="7260E70C" w14:textId="77777777" w:rsidR="00155D80" w:rsidRPr="00155D80" w:rsidRDefault="00155D80" w:rsidP="00155D80">
      <w:pPr>
        <w:pStyle w:val="Heading1"/>
      </w:pPr>
      <w:r w:rsidRPr="00155D80">
        <w:lastRenderedPageBreak/>
        <w:t>Foreword</w:t>
      </w:r>
    </w:p>
    <w:p w14:paraId="0A8CAD86" w14:textId="77777777" w:rsidR="00155D80" w:rsidRPr="00155D80" w:rsidRDefault="00155D80" w:rsidP="002F47DE">
      <w:pPr>
        <w:rPr>
          <w:lang w:val="en-US"/>
        </w:rPr>
      </w:pPr>
      <w:r w:rsidRPr="00155D80">
        <w:rPr>
          <w:lang w:val="en-US"/>
        </w:rPr>
        <w:t xml:space="preserve">We are proud to present the first Australian Parliamentary Service’s Access and Inclusion Action Plan (AIAP) 2025–2028. This plan affirms our commitment to building a workplace that is safe, inclusive and accessible, where every individual, including people with disability, can thrive and contribute to their full potential. </w:t>
      </w:r>
    </w:p>
    <w:p w14:paraId="51E9B263" w14:textId="77777777" w:rsidR="00155D80" w:rsidRPr="00155D80" w:rsidRDefault="00155D80" w:rsidP="002F47DE">
      <w:pPr>
        <w:rPr>
          <w:lang w:val="en-US"/>
        </w:rPr>
      </w:pPr>
      <w:r w:rsidRPr="00155D80">
        <w:rPr>
          <w:lang w:val="en-US"/>
        </w:rPr>
        <w:t>Australian Parliament House (APH) operates in a unique and dynamic environment. Each year, the building welcomes more than 800,000 visitors, from tourists and event attendees to individuals engaging in Parliamentary business. It also serves as the workplace for parliamentarians, the Executive Government, and their staff, while also providing permanent accommodation for around 2,500 people across nine Commonwealth agencies, the Federal Parliamentary Press Gallery, retail tenants, and contractors.</w:t>
      </w:r>
    </w:p>
    <w:p w14:paraId="0D6D6F76" w14:textId="77777777" w:rsidR="00155D80" w:rsidRPr="00155D80" w:rsidRDefault="00155D80" w:rsidP="002F47DE">
      <w:pPr>
        <w:rPr>
          <w:lang w:val="en-US"/>
        </w:rPr>
      </w:pPr>
      <w:r w:rsidRPr="00155D80">
        <w:rPr>
          <w:lang w:val="en-US"/>
        </w:rPr>
        <w:t xml:space="preserve">Developed through the lens of this unique environment, the AIAP is focused on identifying and reducing barriers faced by people with disability. These barriers can affect participation in both the democratic process and day-to-day experiences within parliamentary workplaces. Through this plan, we aim to promote a culture of dignity, equity and respect, where diversity is not only accepted but celebrated. </w:t>
      </w:r>
    </w:p>
    <w:p w14:paraId="3A59C022" w14:textId="77777777" w:rsidR="00155D80" w:rsidRPr="00155D80" w:rsidRDefault="00155D80" w:rsidP="002F47DE">
      <w:pPr>
        <w:rPr>
          <w:lang w:val="en-US"/>
        </w:rPr>
      </w:pPr>
      <w:r w:rsidRPr="00155D80">
        <w:rPr>
          <w:lang w:val="en-US"/>
        </w:rPr>
        <w:t>Our commitment to inclusion is ongoing. In November 2022, we engaged the Australian Disability Network (AusDN) to review the user experience of APH. Their report, titled Dignified Access and User Experience of Parliament House (delivered in December 2023), contained over 339 recommendations to enhance accessibility for both visitors and workers. This important work complements the AIAP and broadens our understanding of inclusive design and user experience.</w:t>
      </w:r>
    </w:p>
    <w:p w14:paraId="202CB005" w14:textId="57D1419F" w:rsidR="00155D80" w:rsidRDefault="00155D80" w:rsidP="002F47DE">
      <w:pPr>
        <w:rPr>
          <w:lang w:val="en-US"/>
        </w:rPr>
      </w:pPr>
      <w:r w:rsidRPr="00155D80">
        <w:rPr>
          <w:lang w:val="en-US"/>
        </w:rPr>
        <w:t xml:space="preserve">The AIAP has been developed in line with the </w:t>
      </w:r>
      <w:r w:rsidRPr="00155D80">
        <w:rPr>
          <w:i/>
          <w:iCs/>
          <w:lang w:val="en-US"/>
        </w:rPr>
        <w:t>Disability Discrimination Act 1992</w:t>
      </w:r>
      <w:r w:rsidRPr="00155D80">
        <w:rPr>
          <w:lang w:val="en-US"/>
        </w:rPr>
        <w:t>, incorporating insights from the AusDN report and, shaped through consultation with people with lived experience of disability. Their voices have informed the actions and priorities set out in this plan.</w:t>
      </w:r>
    </w:p>
    <w:p w14:paraId="370E3448" w14:textId="77777777" w:rsidR="00DE7040" w:rsidRDefault="00155D80" w:rsidP="002F47DE">
      <w:pPr>
        <w:rPr>
          <w:lang w:val="en-US"/>
        </w:rPr>
        <w:sectPr w:rsidR="00DE7040" w:rsidSect="00DE7040">
          <w:headerReference w:type="default" r:id="rId11"/>
          <w:pgSz w:w="12240" w:h="15840" w:code="1"/>
          <w:pgMar w:top="1440" w:right="2268" w:bottom="1134" w:left="2268" w:header="720" w:footer="720" w:gutter="0"/>
          <w:cols w:space="720"/>
          <w:noEndnote/>
          <w:titlePg/>
          <w:docGrid w:linePitch="326"/>
        </w:sectPr>
      </w:pPr>
      <w:r w:rsidRPr="00155D80">
        <w:rPr>
          <w:lang w:val="en-US"/>
        </w:rPr>
        <w:t>We would like to thank the expert contributions made by the Access and Inclusion Champions Group (AICG) and the AccessABILITY Staff Network in the development of this plan.</w:t>
      </w:r>
    </w:p>
    <w:p w14:paraId="6C44BB37" w14:textId="77777777" w:rsidR="0074024C" w:rsidRPr="0074024C" w:rsidRDefault="0074024C" w:rsidP="002F47DE">
      <w:pPr>
        <w:pStyle w:val="Heading1"/>
      </w:pPr>
      <w:r w:rsidRPr="0074024C">
        <w:lastRenderedPageBreak/>
        <w:t xml:space="preserve">Our Vision </w:t>
      </w:r>
    </w:p>
    <w:p w14:paraId="23CF22B2" w14:textId="77777777" w:rsidR="0074024C" w:rsidRPr="0074024C" w:rsidRDefault="0074024C" w:rsidP="002F47DE">
      <w:pPr>
        <w:rPr>
          <w:lang w:val="en-US"/>
        </w:rPr>
      </w:pPr>
      <w:r w:rsidRPr="0074024C">
        <w:rPr>
          <w:lang w:val="en-US"/>
        </w:rPr>
        <w:t>The AIAP outlines our shared commitment across the four Parliamentary Service departments, and the Parliamentary Workplace Support Service (PWSS) to improving opportunities and outcomes for people with disability. We are united in our goal to make Australian Parliament House an environment that is not only physically accessible, but inclusive in a way that upholds dignity, autonomy, and equal participation for all.</w:t>
      </w:r>
    </w:p>
    <w:p w14:paraId="2E8AEB98" w14:textId="77777777" w:rsidR="001116AD" w:rsidRPr="001116AD" w:rsidRDefault="001116AD" w:rsidP="002F47DE">
      <w:pPr>
        <w:rPr>
          <w:lang w:val="en-US"/>
        </w:rPr>
      </w:pPr>
      <w:r w:rsidRPr="001116AD">
        <w:rPr>
          <w:lang w:val="en-US"/>
        </w:rPr>
        <w:t>Accessibility in our workplace goes beyond meeting compliance requirements. It means embedding the voices and lived experiences of people with disability into the design, consultation, and implementation of our policies and practices. This plan is grounded in the seven principles of dignified access; vision, hearing, thinking, communication, movement, reach and stretch, and dexterity, ensuring our actions reflect the diverse ways people interact with, and experience our environment.</w:t>
      </w:r>
    </w:p>
    <w:p w14:paraId="227CED41" w14:textId="77777777" w:rsidR="001116AD" w:rsidRPr="001116AD" w:rsidRDefault="001116AD" w:rsidP="002F47DE">
      <w:pPr>
        <w:rPr>
          <w:lang w:val="en-US"/>
        </w:rPr>
      </w:pPr>
      <w:r w:rsidRPr="001116AD">
        <w:rPr>
          <w:lang w:val="en-US"/>
        </w:rPr>
        <w:t xml:space="preserve">A core focus of the plan is making engagement with Parliament, whether in person, online, or in the workplace, more accessible. Parliament belongs to all Australians, and ensuring equal access to its spaces, services, and democratic processes is essential. We are committed to enhancing the experience of people with disability who visit Parliament House, work within it, or access our online services. This will be through improved systems, technology, and support mechanisms. Our efforts also focus on creating inclusive workplaces where people with disability can build meaningful and rewarding careers. This means removing structural and other barriers to employment, progression, and participation. </w:t>
      </w:r>
    </w:p>
    <w:p w14:paraId="2DA69195" w14:textId="77777777" w:rsidR="001116AD" w:rsidRPr="001116AD" w:rsidRDefault="001116AD" w:rsidP="002F47DE">
      <w:pPr>
        <w:rPr>
          <w:lang w:val="en-US"/>
        </w:rPr>
      </w:pPr>
      <w:r w:rsidRPr="001116AD">
        <w:rPr>
          <w:lang w:val="en-US"/>
        </w:rPr>
        <w:t>In recognition of the importance of collaboration, the parliamentary departments established the Access and Inclusion Champions Group (AICG) in February 2023. This group includes senior executives from Department of Parliamentary Services (DPS), the Department of the Senate, the Department of the House of Representatives, the Parliamentary Budget Office and the Parliamentary Workplace Support Service (PWSS). The AICG has played a key role in shaping this plan.</w:t>
      </w:r>
    </w:p>
    <w:p w14:paraId="3D51F433" w14:textId="6A2BD918" w:rsidR="00772880" w:rsidRDefault="001116AD" w:rsidP="002F47DE">
      <w:pPr>
        <w:rPr>
          <w:lang w:val="en-US"/>
        </w:rPr>
      </w:pPr>
      <w:r w:rsidRPr="001116AD">
        <w:rPr>
          <w:lang w:val="en-US"/>
        </w:rPr>
        <w:t xml:space="preserve">Sustained and meaningful change requires leadership and accountability at all levels. The Access and Inclusion Champions act as stewards for accessibility across the Parliamentary Service, promoting disability inclusion as a strategic workforce priority. Their advocacy supports the </w:t>
      </w:r>
      <w:r w:rsidRPr="001116AD">
        <w:rPr>
          <w:lang w:val="en-US"/>
        </w:rPr>
        <w:lastRenderedPageBreak/>
        <w:t>creation of workplaces that are more innovative, collaborative, and responsive to the needs of all staff. They also guide efforts to remove barriers and improve participation, while considering both the legislative requirements and operational demands.</w:t>
      </w:r>
    </w:p>
    <w:p w14:paraId="1CE9B364" w14:textId="77777777" w:rsidR="001116AD" w:rsidRPr="001116AD" w:rsidRDefault="001116AD" w:rsidP="0012105F">
      <w:pPr>
        <w:pStyle w:val="Heading1"/>
        <w:spacing w:before="720"/>
      </w:pPr>
      <w:r w:rsidRPr="001116AD">
        <w:t xml:space="preserve">Definition of Disability </w:t>
      </w:r>
    </w:p>
    <w:p w14:paraId="4C93C497" w14:textId="77777777" w:rsidR="001116AD" w:rsidRPr="001116AD" w:rsidRDefault="001116AD" w:rsidP="001116AD">
      <w:pPr>
        <w:spacing w:after="160" w:line="278" w:lineRule="auto"/>
        <w:rPr>
          <w:lang w:val="en-US"/>
        </w:rPr>
      </w:pPr>
      <w:r w:rsidRPr="001116AD">
        <w:rPr>
          <w:lang w:val="en-US"/>
        </w:rPr>
        <w:t xml:space="preserve">We recognise that disability is not defined solely by a medical condition but also by the social, cultural, physical and environmental barriers that limit full participation. </w:t>
      </w:r>
    </w:p>
    <w:p w14:paraId="5BE9B6B6" w14:textId="77777777" w:rsidR="001116AD" w:rsidRPr="001116AD" w:rsidRDefault="001116AD" w:rsidP="001116AD">
      <w:pPr>
        <w:spacing w:after="160" w:line="278" w:lineRule="auto"/>
        <w:rPr>
          <w:lang w:val="en-US"/>
        </w:rPr>
      </w:pPr>
      <w:r w:rsidRPr="001116AD">
        <w:rPr>
          <w:lang w:val="en-US"/>
        </w:rPr>
        <w:t xml:space="preserve">For employment-related purposes, we use the definition aligned with the </w:t>
      </w:r>
      <w:r w:rsidRPr="001116AD">
        <w:rPr>
          <w:i/>
          <w:iCs/>
          <w:lang w:val="en-US"/>
        </w:rPr>
        <w:t>Disability Discrimination Act 1992</w:t>
      </w:r>
      <w:r w:rsidRPr="001116AD">
        <w:rPr>
          <w:lang w:val="en-US"/>
        </w:rPr>
        <w:t xml:space="preserve"> which broadly defines disability as including physical, immunological, neurological, intellectual, learning, developmental, mental health, and sensory. The </w:t>
      </w:r>
      <w:r w:rsidRPr="001116AD">
        <w:rPr>
          <w:i/>
          <w:iCs/>
          <w:lang w:val="en-US"/>
        </w:rPr>
        <w:t>Disability Discrimination Act 1992</w:t>
      </w:r>
      <w:r w:rsidRPr="001116AD">
        <w:rPr>
          <w:lang w:val="en-US"/>
        </w:rPr>
        <w:t xml:space="preserve"> (Cth) defines disability as:</w:t>
      </w:r>
    </w:p>
    <w:p w14:paraId="30134680" w14:textId="77777777" w:rsidR="001116AD" w:rsidRPr="006C1123" w:rsidRDefault="001116AD" w:rsidP="006C1123">
      <w:pPr>
        <w:pStyle w:val="ListParagraph-letter"/>
      </w:pPr>
      <w:r w:rsidRPr="006C1123">
        <w:t>total or partial loss of the person’s bodily or mental functions.</w:t>
      </w:r>
    </w:p>
    <w:p w14:paraId="6E8462EE" w14:textId="77777777" w:rsidR="001116AD" w:rsidRPr="006C1123" w:rsidRDefault="001116AD" w:rsidP="006C1123">
      <w:pPr>
        <w:pStyle w:val="ListParagraph-letter"/>
      </w:pPr>
      <w:r w:rsidRPr="006C1123">
        <w:t>total or partial loss of a part of the body.</w:t>
      </w:r>
    </w:p>
    <w:p w14:paraId="67D43AC5" w14:textId="77777777" w:rsidR="001116AD" w:rsidRPr="006C1123" w:rsidRDefault="001116AD" w:rsidP="006C1123">
      <w:pPr>
        <w:pStyle w:val="ListParagraph-letter"/>
      </w:pPr>
      <w:r w:rsidRPr="006C1123">
        <w:t>the presence in the body of organisms causing illness.</w:t>
      </w:r>
    </w:p>
    <w:p w14:paraId="53DF9093" w14:textId="77777777" w:rsidR="001116AD" w:rsidRPr="006C1123" w:rsidRDefault="001116AD" w:rsidP="006C1123">
      <w:pPr>
        <w:pStyle w:val="ListParagraph-letter"/>
      </w:pPr>
      <w:r w:rsidRPr="006C1123">
        <w:t>the presence in the body of organisms capable of causing illness.</w:t>
      </w:r>
    </w:p>
    <w:p w14:paraId="42BA3EA7" w14:textId="77777777" w:rsidR="001116AD" w:rsidRPr="006C1123" w:rsidRDefault="001116AD" w:rsidP="006C1123">
      <w:pPr>
        <w:pStyle w:val="ListParagraph-letter"/>
      </w:pPr>
      <w:r w:rsidRPr="006C1123">
        <w:t>the malfunction, malformation or disfigurement of a part of the person’s body.</w:t>
      </w:r>
    </w:p>
    <w:p w14:paraId="7E02720B" w14:textId="77777777" w:rsidR="001116AD" w:rsidRPr="006C1123" w:rsidRDefault="001116AD" w:rsidP="006C1123">
      <w:pPr>
        <w:pStyle w:val="ListParagraph-letter"/>
      </w:pPr>
      <w:r w:rsidRPr="006C1123">
        <w:t>a disorder or malfunction that results in the person learning differently from a person without the disorder or malfunction, and</w:t>
      </w:r>
    </w:p>
    <w:p w14:paraId="3FB42AD5" w14:textId="3EDE06FC" w:rsidR="001116AD" w:rsidRDefault="001116AD" w:rsidP="006C1123">
      <w:pPr>
        <w:pStyle w:val="ListParagraph-letter"/>
      </w:pPr>
      <w:r w:rsidRPr="006C1123">
        <w:t>a disorder or illness that affects a person’s thought processes, perception of reality, emotions or judgment or that results in disturbed behaviour</w:t>
      </w:r>
      <w:r w:rsidRPr="0012105F">
        <w:t>.</w:t>
      </w:r>
    </w:p>
    <w:p w14:paraId="50350D93" w14:textId="77777777" w:rsidR="006059B2" w:rsidRDefault="006059B2" w:rsidP="006059B2">
      <w:pPr>
        <w:pStyle w:val="Heading1"/>
        <w:spacing w:before="720"/>
      </w:pPr>
      <w:r>
        <w:br w:type="page"/>
      </w:r>
    </w:p>
    <w:p w14:paraId="796F2BC0" w14:textId="5BC28354" w:rsidR="000215B8" w:rsidRDefault="000215B8" w:rsidP="006059B2">
      <w:pPr>
        <w:pStyle w:val="Heading1"/>
        <w:spacing w:before="720"/>
      </w:pPr>
      <w:r>
        <w:lastRenderedPageBreak/>
        <w:t>The Australian Parliamentary Service</w:t>
      </w:r>
    </w:p>
    <w:p w14:paraId="669F4552" w14:textId="77777777" w:rsidR="000215B8" w:rsidRPr="000215B8" w:rsidRDefault="000215B8" w:rsidP="000215B8">
      <w:pPr>
        <w:rPr>
          <w:lang w:val="en-US"/>
        </w:rPr>
      </w:pPr>
      <w:r w:rsidRPr="000215B8">
        <w:rPr>
          <w:lang w:val="en-US"/>
        </w:rPr>
        <w:t>The Parliamentary Service provides professional support, advice and facilities to each House of the Parliament, to parliamentary committees and to Parliamentarians of the House of Representatives and Department of the Senate. It consists of four parliamentary departments with distinct but overlapping roles.</w:t>
      </w:r>
    </w:p>
    <w:p w14:paraId="07333C59" w14:textId="77777777" w:rsidR="000215B8" w:rsidRPr="000215B8" w:rsidRDefault="000215B8" w:rsidP="000215B8">
      <w:pPr>
        <w:rPr>
          <w:lang w:val="en-US"/>
        </w:rPr>
      </w:pPr>
      <w:r w:rsidRPr="000215B8">
        <w:rPr>
          <w:lang w:val="en-US"/>
        </w:rPr>
        <w:t>While each department performs a unique role, we share a common goal in serving, supporting and upholding the institution of the Parliament, and together provide services to ensure:</w:t>
      </w:r>
    </w:p>
    <w:p w14:paraId="539EE8D7" w14:textId="77777777" w:rsidR="000215B8" w:rsidRPr="006059B2" w:rsidRDefault="000215B8" w:rsidP="006059B2">
      <w:pPr>
        <w:pStyle w:val="ListParagraph"/>
      </w:pPr>
      <w:r w:rsidRPr="006059B2">
        <w:t>Parliament and its committees are supported effectively.</w:t>
      </w:r>
    </w:p>
    <w:p w14:paraId="12575707" w14:textId="77777777" w:rsidR="000215B8" w:rsidRPr="006059B2" w:rsidRDefault="000215B8" w:rsidP="006059B2">
      <w:pPr>
        <w:pStyle w:val="ListParagraph"/>
      </w:pPr>
      <w:r w:rsidRPr="006059B2">
        <w:t>that Parliamentarians are supported to undertake their work.</w:t>
      </w:r>
    </w:p>
    <w:p w14:paraId="3BB24FA1" w14:textId="77777777" w:rsidR="000215B8" w:rsidRPr="006059B2" w:rsidRDefault="000215B8" w:rsidP="006059B2">
      <w:pPr>
        <w:pStyle w:val="ListParagraph"/>
      </w:pPr>
      <w:r w:rsidRPr="006059B2">
        <w:t>the community can easily access and engage in the work of the Parliament and parliamentary committees.</w:t>
      </w:r>
    </w:p>
    <w:p w14:paraId="42A5B425" w14:textId="77777777" w:rsidR="000215B8" w:rsidRPr="006059B2" w:rsidRDefault="000215B8" w:rsidP="006059B2">
      <w:pPr>
        <w:pStyle w:val="ListParagraph"/>
      </w:pPr>
      <w:r w:rsidRPr="006059B2">
        <w:t>that national, international and regional relationships are maintained with other parliaments, parliamentary bodies and organisations.</w:t>
      </w:r>
    </w:p>
    <w:p w14:paraId="69FCD56B" w14:textId="77777777" w:rsidR="000215B8" w:rsidRPr="006059B2" w:rsidRDefault="000215B8" w:rsidP="006059B2">
      <w:pPr>
        <w:pStyle w:val="ListParagraph"/>
      </w:pPr>
      <w:r w:rsidRPr="006059B2">
        <w:t>Australian Parliament House (APH) is sustained as a workplace and national institution,</w:t>
      </w:r>
    </w:p>
    <w:p w14:paraId="23944BE1" w14:textId="77777777" w:rsidR="000215B8" w:rsidRPr="006059B2" w:rsidRDefault="000215B8" w:rsidP="006059B2">
      <w:pPr>
        <w:pStyle w:val="ListParagraph"/>
      </w:pPr>
      <w:r w:rsidRPr="006059B2">
        <w:t>the parliamentary service is independent and non-partisan.</w:t>
      </w:r>
    </w:p>
    <w:p w14:paraId="0B2FC0B2" w14:textId="77777777" w:rsidR="000215B8" w:rsidRPr="00DD7CF2" w:rsidRDefault="000215B8" w:rsidP="00DD7CF2">
      <w:pPr>
        <w:pStyle w:val="Heading2"/>
      </w:pPr>
      <w:r w:rsidRPr="00DD7CF2">
        <w:t>Department of the Senate</w:t>
      </w:r>
    </w:p>
    <w:p w14:paraId="42002ADB" w14:textId="77777777" w:rsidR="000215B8" w:rsidRPr="006059B2" w:rsidRDefault="000215B8" w:rsidP="000215B8">
      <w:pPr>
        <w:rPr>
          <w:spacing w:val="-2"/>
          <w:lang w:val="en-US"/>
        </w:rPr>
      </w:pPr>
      <w:r w:rsidRPr="006059B2">
        <w:rPr>
          <w:spacing w:val="-2"/>
          <w:lang w:val="en-US"/>
        </w:rPr>
        <w:t>The Department of the Senate provides secretariat support for the Senate and its committees, and advice and support to enable senators and others to participate in their meetings. Its work is substantially driven by the requirements of the Senate and senators. The department also provides a parliamentary education program to Australian school students through the Parliamentary Education Office and offers a seminar program for APS officers and other stakeholders. In the 2024 APS Employee Census (APS Census) results for the Department of the Senate, 9 per cent of respondents identified as having an ongoing disability, 11 per cent considered themselves neurodivergent and a further 6 per cent as possibly neurodivergent. The Department participates in the APS Census bi-annually.</w:t>
      </w:r>
    </w:p>
    <w:p w14:paraId="3AB47935" w14:textId="77777777" w:rsidR="006059B2" w:rsidRDefault="006059B2" w:rsidP="000215B8">
      <w:pPr>
        <w:rPr>
          <w:b/>
          <w:bCs/>
          <w:lang w:val="en-US"/>
        </w:rPr>
      </w:pPr>
      <w:r>
        <w:rPr>
          <w:b/>
          <w:bCs/>
          <w:lang w:val="en-US"/>
        </w:rPr>
        <w:br w:type="page"/>
      </w:r>
    </w:p>
    <w:p w14:paraId="1B78E442" w14:textId="7A9ED73F" w:rsidR="000215B8" w:rsidRPr="000215B8" w:rsidRDefault="000215B8" w:rsidP="00DD7CF2">
      <w:pPr>
        <w:pStyle w:val="Heading2"/>
      </w:pPr>
      <w:r w:rsidRPr="000215B8">
        <w:lastRenderedPageBreak/>
        <w:t>Department of the House of Representatives</w:t>
      </w:r>
    </w:p>
    <w:p w14:paraId="07D98382" w14:textId="77777777" w:rsidR="000215B8" w:rsidRPr="000215B8" w:rsidRDefault="000215B8" w:rsidP="000215B8">
      <w:pPr>
        <w:rPr>
          <w:lang w:val="en-US"/>
        </w:rPr>
      </w:pPr>
      <w:r w:rsidRPr="000215B8">
        <w:rPr>
          <w:lang w:val="en-US"/>
        </w:rPr>
        <w:t>The Department of the House of Representatives provides services to support the efficient conduct of the House of Representatives and its committees, and a range of services for members in Parliament House. It also undertakes activities to promote the work of the House in the community and is responsible for the conduct of the Parliament’s international and regional relations. In the 2024 APS Census, results for the Department of the House of Representatives showed 7 per cent of respondents identified as having an ongoing disability, 10 per cent considered themselves neurodivergent and a further 8 per cent as possibly neurodivergent. Like the Department of the Senate, the Department of the House of Representatives participates in the APS Census bi-annually.</w:t>
      </w:r>
    </w:p>
    <w:p w14:paraId="3E96C94D" w14:textId="77777777" w:rsidR="000215B8" w:rsidRPr="000215B8" w:rsidRDefault="000215B8" w:rsidP="00DD7CF2">
      <w:pPr>
        <w:pStyle w:val="Heading2"/>
      </w:pPr>
      <w:r w:rsidRPr="000215B8">
        <w:t>Department of Parliamentary Services</w:t>
      </w:r>
    </w:p>
    <w:p w14:paraId="39B555DB" w14:textId="77777777" w:rsidR="000215B8" w:rsidRPr="000215B8" w:rsidRDefault="000215B8" w:rsidP="000215B8">
      <w:pPr>
        <w:rPr>
          <w:lang w:val="en-US"/>
        </w:rPr>
      </w:pPr>
      <w:r w:rsidRPr="000215B8">
        <w:rPr>
          <w:lang w:val="en-US"/>
        </w:rPr>
        <w:t>The Department of Parliamentary Services (DPS) provides a wide range of services and facilities to ensure that the Parliament functions effectively. These include audio visual and Hansard services, library and research services, art services, building grounds and design intent services, visitor services, security services, and information and communication technology services.</w:t>
      </w:r>
    </w:p>
    <w:p w14:paraId="7CAB85F3" w14:textId="77777777" w:rsidR="000215B8" w:rsidRPr="000215B8" w:rsidRDefault="000215B8" w:rsidP="000215B8">
      <w:pPr>
        <w:rPr>
          <w:lang w:val="en-US"/>
        </w:rPr>
      </w:pPr>
      <w:r w:rsidRPr="000215B8">
        <w:rPr>
          <w:lang w:val="en-US"/>
        </w:rPr>
        <w:t>DPS, which has stewardship of APH, strongly supports workplace diversity and is committed to increasing employment opportunities and improving workplace experiences of people with disability. In the 2025 APS Census, results for DPS showed 12 percent of respondents identified as having an ongoing disability, 9 per cent considered themselves neurodivergent, and a further 12 per cent as possibly neurodivergent.</w:t>
      </w:r>
    </w:p>
    <w:p w14:paraId="5B3EC1D9" w14:textId="77777777" w:rsidR="000215B8" w:rsidRPr="000215B8" w:rsidRDefault="000215B8" w:rsidP="00DD7CF2">
      <w:pPr>
        <w:pStyle w:val="Heading2"/>
      </w:pPr>
      <w:r w:rsidRPr="000215B8">
        <w:t>Parliamentary Budget Office</w:t>
      </w:r>
    </w:p>
    <w:p w14:paraId="119F845E" w14:textId="77777777" w:rsidR="000215B8" w:rsidRPr="000215B8" w:rsidRDefault="000215B8" w:rsidP="000215B8">
      <w:pPr>
        <w:rPr>
          <w:lang w:val="en-US"/>
        </w:rPr>
      </w:pPr>
      <w:r w:rsidRPr="000215B8">
        <w:rPr>
          <w:lang w:val="en-US"/>
        </w:rPr>
        <w:t>The Parliamentary Budget Office supports the work of the Parliament by providing independent and non-partisan analysis of the financial impact of policy proposals and by publishing reports on budget issues. In the 2025 APS Census, results for the Parliamentary Budget Office showed 13 percent of respondents identified as having an ongoing disability, 13 per cent considered themselves neurodivergent, and a further 11 per cent as possibly neurodivergent.</w:t>
      </w:r>
    </w:p>
    <w:p w14:paraId="5B3921BC" w14:textId="77777777" w:rsidR="008D6E7E" w:rsidRPr="008D6E7E" w:rsidRDefault="008D6E7E" w:rsidP="008D6E7E">
      <w:pPr>
        <w:pStyle w:val="Heading1"/>
      </w:pPr>
      <w:r w:rsidRPr="008D6E7E">
        <w:lastRenderedPageBreak/>
        <w:t>Supporting Partners</w:t>
      </w:r>
    </w:p>
    <w:p w14:paraId="39D00C47" w14:textId="77777777" w:rsidR="008D6E7E" w:rsidRPr="008D6E7E" w:rsidRDefault="008D6E7E" w:rsidP="00D92DE7">
      <w:pPr>
        <w:pStyle w:val="Heading2"/>
      </w:pPr>
      <w:r w:rsidRPr="008D6E7E">
        <w:t>Parliamentary Workplace Support Service</w:t>
      </w:r>
    </w:p>
    <w:p w14:paraId="7D73D79B" w14:textId="77777777" w:rsidR="008D6E7E" w:rsidRPr="008D6E7E" w:rsidRDefault="008D6E7E" w:rsidP="00D92DE7">
      <w:r w:rsidRPr="008D6E7E">
        <w:t>The Parliamentary Workplace Support Service (PWSS) is a team of advisors helping to build and maintain a safe, respectful, and inclusive parliamentary workplace. The PWSS supports MOP(S) Act staff, parliamentarians and people who work or have worked in Commonwealth Parliamentary Workplaces across Australia – not limited by location.</w:t>
      </w:r>
    </w:p>
    <w:p w14:paraId="60235103" w14:textId="48819BCA" w:rsidR="008D6E7E" w:rsidRPr="008D6E7E" w:rsidRDefault="008D6E7E" w:rsidP="00D92DE7">
      <w:r w:rsidRPr="008D6E7E">
        <w:t xml:space="preserve">The PWSS is not a member of the Australian Parliamentary Service, and is established under the </w:t>
      </w:r>
      <w:hyperlink r:id="rId12" w:history="1">
        <w:r w:rsidRPr="00D92DE7">
          <w:rPr>
            <w:rStyle w:val="Hyperlink"/>
          </w:rPr>
          <w:t>Parliamentary Workplace Support Service Act 2023</w:t>
        </w:r>
      </w:hyperlink>
      <w:r w:rsidRPr="008D6E7E">
        <w:t>. The PWSS is a member of the AICG and has participated in the entire development of the AIAP.</w:t>
      </w:r>
    </w:p>
    <w:p w14:paraId="45E7DC19" w14:textId="77777777" w:rsidR="008D6E7E" w:rsidRPr="008D6E7E" w:rsidRDefault="008D6E7E" w:rsidP="00D92DE7">
      <w:r w:rsidRPr="008D6E7E">
        <w:t>In the 2025 APS Census, results for the PWSS showed that 7 per cent of respondents identified as having an ongoing disability, 9 per cent considered themselves neurodivergent, and a further 9 per cent as possibly neurodivergent.</w:t>
      </w:r>
    </w:p>
    <w:p w14:paraId="76619985" w14:textId="77777777" w:rsidR="009A6068" w:rsidRPr="009A6068" w:rsidRDefault="009A6068" w:rsidP="009D1C6A">
      <w:pPr>
        <w:pStyle w:val="Heading1"/>
        <w:spacing w:before="720"/>
      </w:pPr>
      <w:r w:rsidRPr="009A6068">
        <w:t xml:space="preserve">The Action Plan </w:t>
      </w:r>
    </w:p>
    <w:p w14:paraId="194B8206" w14:textId="77777777" w:rsidR="009A6068" w:rsidRPr="009A6068" w:rsidRDefault="009A6068" w:rsidP="009A6068">
      <w:pPr>
        <w:rPr>
          <w:lang w:val="en-US"/>
        </w:rPr>
      </w:pPr>
      <w:r w:rsidRPr="009A6068">
        <w:rPr>
          <w:lang w:val="en-US"/>
        </w:rPr>
        <w:t xml:space="preserve">The AIAP 2025–­2028 outlines the actions we will take over the next three years, based on four pillars: </w:t>
      </w:r>
    </w:p>
    <w:p w14:paraId="00C7E531" w14:textId="77777777" w:rsidR="009A6068" w:rsidRPr="009A6068" w:rsidRDefault="009A6068" w:rsidP="009A6068">
      <w:pPr>
        <w:pStyle w:val="ListParagraph-number"/>
      </w:pPr>
      <w:r w:rsidRPr="009A6068">
        <w:t xml:space="preserve">Leadership, Governance and Strategic Alignment </w:t>
      </w:r>
    </w:p>
    <w:p w14:paraId="0FB04772" w14:textId="77777777" w:rsidR="009A6068" w:rsidRPr="009A6068" w:rsidRDefault="009A6068" w:rsidP="009A6068">
      <w:pPr>
        <w:pStyle w:val="ListParagraph-number"/>
      </w:pPr>
      <w:r w:rsidRPr="009A6068">
        <w:t xml:space="preserve">Inclusive Culture and Capability </w:t>
      </w:r>
    </w:p>
    <w:p w14:paraId="78B18E31" w14:textId="77777777" w:rsidR="009A6068" w:rsidRPr="009A6068" w:rsidRDefault="009A6068" w:rsidP="009A6068">
      <w:pPr>
        <w:pStyle w:val="ListParagraph-number"/>
      </w:pPr>
      <w:r w:rsidRPr="009A6068">
        <w:t>Accessible Workplaces and Digital Environments</w:t>
      </w:r>
    </w:p>
    <w:p w14:paraId="4EA8F8D4" w14:textId="77777777" w:rsidR="009A6068" w:rsidRPr="009A6068" w:rsidRDefault="009A6068" w:rsidP="009A6068">
      <w:pPr>
        <w:pStyle w:val="ListParagraph-number"/>
      </w:pPr>
      <w:r w:rsidRPr="009A6068">
        <w:t>Inclusive Employment and Partnerships</w:t>
      </w:r>
    </w:p>
    <w:p w14:paraId="52705271" w14:textId="77777777" w:rsidR="00D81AEF" w:rsidRDefault="00D81AEF" w:rsidP="009A6068">
      <w:pPr>
        <w:pStyle w:val="Heading2"/>
      </w:pPr>
      <w:r>
        <w:br w:type="page"/>
      </w:r>
    </w:p>
    <w:p w14:paraId="435ECB63" w14:textId="2CF8FD8E" w:rsidR="009A6068" w:rsidRPr="009A6068" w:rsidRDefault="009A6068" w:rsidP="009A6068">
      <w:pPr>
        <w:pStyle w:val="Heading2"/>
      </w:pPr>
      <w:r w:rsidRPr="009A6068">
        <w:lastRenderedPageBreak/>
        <w:t>Pillar 1: Leadership, Governance and Strategic Alignment</w:t>
      </w:r>
    </w:p>
    <w:p w14:paraId="26AD5DCC" w14:textId="77777777" w:rsidR="009A6068" w:rsidRPr="009A6068" w:rsidRDefault="009A6068" w:rsidP="009A6068">
      <w:pPr>
        <w:rPr>
          <w:i/>
          <w:iCs/>
          <w:lang w:val="en-US"/>
        </w:rPr>
      </w:pPr>
      <w:r w:rsidRPr="009A6068">
        <w:rPr>
          <w:i/>
          <w:iCs/>
          <w:lang w:val="en-US"/>
        </w:rPr>
        <w:t>Focus: Embedding leadership accountability, governance structures, and strategic o</w:t>
      </w:r>
      <w:r w:rsidRPr="009A6068">
        <w:rPr>
          <w:lang w:val="en-US"/>
        </w:rPr>
        <w:t>versight to champion access an</w:t>
      </w:r>
      <w:r w:rsidRPr="009A6068">
        <w:rPr>
          <w:i/>
          <w:iCs/>
          <w:lang w:val="en-US"/>
        </w:rPr>
        <w:t>d inclusion.</w:t>
      </w:r>
    </w:p>
    <w:p w14:paraId="5F13B732" w14:textId="77777777" w:rsidR="008C7E26" w:rsidRPr="00C62D2B" w:rsidRDefault="008C7E26" w:rsidP="00C62D2B">
      <w:pPr>
        <w:pStyle w:val="Heading3"/>
      </w:pPr>
      <w:r w:rsidRPr="00C62D2B">
        <w:t>Leadership</w:t>
      </w:r>
    </w:p>
    <w:tbl>
      <w:tblPr>
        <w:tblStyle w:val="TableGrid"/>
        <w:tblW w:w="8784" w:type="dxa"/>
        <w:tblBorders>
          <w:top w:val="none" w:sz="0" w:space="0" w:color="auto"/>
          <w:left w:val="none" w:sz="0" w:space="0" w:color="auto"/>
          <w:bottom w:val="none" w:sz="0" w:space="0" w:color="auto"/>
          <w:right w:val="none" w:sz="0" w:space="0" w:color="auto"/>
          <w:insideV w:val="none" w:sz="0" w:space="0" w:color="auto"/>
        </w:tblBorders>
        <w:tblCellMar>
          <w:top w:w="113" w:type="dxa"/>
          <w:left w:w="142" w:type="dxa"/>
          <w:bottom w:w="113" w:type="dxa"/>
          <w:right w:w="142" w:type="dxa"/>
        </w:tblCellMar>
        <w:tblLook w:val="04A0" w:firstRow="1" w:lastRow="0" w:firstColumn="1" w:lastColumn="0" w:noHBand="0" w:noVBand="1"/>
      </w:tblPr>
      <w:tblGrid>
        <w:gridCol w:w="1134"/>
        <w:gridCol w:w="4654"/>
        <w:gridCol w:w="1283"/>
        <w:gridCol w:w="1713"/>
      </w:tblGrid>
      <w:tr w:rsidR="00826299" w14:paraId="16C58655" w14:textId="77777777" w:rsidTr="001030C4">
        <w:trPr>
          <w:trHeight w:val="567"/>
        </w:trPr>
        <w:tc>
          <w:tcPr>
            <w:tcW w:w="1134" w:type="dxa"/>
            <w:tcBorders>
              <w:top w:val="single" w:sz="4" w:space="0" w:color="auto"/>
              <w:bottom w:val="single" w:sz="4" w:space="0" w:color="auto"/>
            </w:tcBorders>
            <w:shd w:val="clear" w:color="auto" w:fill="E8E8E8" w:themeFill="background2"/>
            <w:vAlign w:val="center"/>
          </w:tcPr>
          <w:p w14:paraId="24B86DDA" w14:textId="2EA9C996" w:rsidR="00463424" w:rsidRPr="0097500C" w:rsidRDefault="003D53A9" w:rsidP="00211E9D">
            <w:pPr>
              <w:pStyle w:val="tableheading"/>
            </w:pPr>
            <w:r w:rsidRPr="0097500C">
              <w:t>Number</w:t>
            </w:r>
          </w:p>
        </w:tc>
        <w:tc>
          <w:tcPr>
            <w:tcW w:w="4654" w:type="dxa"/>
            <w:tcBorders>
              <w:top w:val="single" w:sz="4" w:space="0" w:color="auto"/>
              <w:bottom w:val="single" w:sz="4" w:space="0" w:color="auto"/>
            </w:tcBorders>
            <w:shd w:val="clear" w:color="auto" w:fill="E8E8E8" w:themeFill="background2"/>
            <w:vAlign w:val="center"/>
          </w:tcPr>
          <w:p w14:paraId="525B1CC2" w14:textId="0D258B90" w:rsidR="00463424" w:rsidRPr="0097500C" w:rsidRDefault="004B01A7" w:rsidP="00211E9D">
            <w:pPr>
              <w:pStyle w:val="tableheading"/>
            </w:pPr>
            <w:r w:rsidRPr="0097500C">
              <w:t>Action</w:t>
            </w:r>
          </w:p>
        </w:tc>
        <w:tc>
          <w:tcPr>
            <w:tcW w:w="0" w:type="auto"/>
            <w:tcBorders>
              <w:top w:val="single" w:sz="4" w:space="0" w:color="auto"/>
              <w:bottom w:val="single" w:sz="4" w:space="0" w:color="auto"/>
            </w:tcBorders>
            <w:shd w:val="clear" w:color="auto" w:fill="E8E8E8" w:themeFill="background2"/>
            <w:vAlign w:val="center"/>
          </w:tcPr>
          <w:p w14:paraId="0C6B3325" w14:textId="745E95AC" w:rsidR="00463424" w:rsidRPr="0097500C" w:rsidRDefault="004B01A7" w:rsidP="00211E9D">
            <w:pPr>
              <w:pStyle w:val="tableheading"/>
            </w:pPr>
            <w:r w:rsidRPr="0097500C">
              <w:t>Timeline</w:t>
            </w:r>
          </w:p>
        </w:tc>
        <w:tc>
          <w:tcPr>
            <w:tcW w:w="0" w:type="auto"/>
            <w:tcBorders>
              <w:top w:val="single" w:sz="4" w:space="0" w:color="auto"/>
              <w:bottom w:val="single" w:sz="4" w:space="0" w:color="auto"/>
            </w:tcBorders>
            <w:shd w:val="clear" w:color="auto" w:fill="E8E8E8" w:themeFill="background2"/>
            <w:vAlign w:val="center"/>
          </w:tcPr>
          <w:p w14:paraId="0795BECD" w14:textId="2AE42E1F" w:rsidR="00463424" w:rsidRPr="0097500C" w:rsidRDefault="004B01A7" w:rsidP="00211E9D">
            <w:pPr>
              <w:pStyle w:val="tableheading"/>
            </w:pPr>
            <w:r w:rsidRPr="0097500C">
              <w:t>Responsibility</w:t>
            </w:r>
          </w:p>
        </w:tc>
      </w:tr>
      <w:tr w:rsidR="000E7DC6" w14:paraId="04A5FD86" w14:textId="77777777" w:rsidTr="001030C4">
        <w:tc>
          <w:tcPr>
            <w:tcW w:w="1134" w:type="dxa"/>
            <w:tcBorders>
              <w:top w:val="single" w:sz="4" w:space="0" w:color="auto"/>
            </w:tcBorders>
            <w:vAlign w:val="center"/>
          </w:tcPr>
          <w:p w14:paraId="32BF25C6" w14:textId="4AE50EC7" w:rsidR="00295D35" w:rsidRPr="00211E9D" w:rsidRDefault="00295D35" w:rsidP="00211E9D">
            <w:pPr>
              <w:pStyle w:val="table10pt"/>
            </w:pPr>
            <w:r w:rsidRPr="00211E9D">
              <w:t>1.1</w:t>
            </w:r>
          </w:p>
        </w:tc>
        <w:tc>
          <w:tcPr>
            <w:tcW w:w="4654" w:type="dxa"/>
            <w:tcBorders>
              <w:top w:val="single" w:sz="4" w:space="0" w:color="auto"/>
            </w:tcBorders>
            <w:vAlign w:val="center"/>
          </w:tcPr>
          <w:p w14:paraId="6A18EDED" w14:textId="5074C8E0" w:rsidR="00295D35" w:rsidRPr="00211E9D" w:rsidRDefault="00295D35" w:rsidP="00211E9D">
            <w:pPr>
              <w:pStyle w:val="table10pt"/>
            </w:pPr>
            <w:r w:rsidRPr="00211E9D">
              <w:t>Maintain an Access and Inclusion Champions Group across all Parliamentary Departments to monitor and implement actions items.</w:t>
            </w:r>
          </w:p>
        </w:tc>
        <w:tc>
          <w:tcPr>
            <w:tcW w:w="1283" w:type="dxa"/>
            <w:tcBorders>
              <w:top w:val="single" w:sz="4" w:space="0" w:color="auto"/>
            </w:tcBorders>
            <w:vAlign w:val="center"/>
          </w:tcPr>
          <w:p w14:paraId="596C847F" w14:textId="2B4B1863" w:rsidR="00295D35" w:rsidRPr="00211E9D" w:rsidRDefault="00295D35" w:rsidP="00211E9D">
            <w:pPr>
              <w:pStyle w:val="table10pt"/>
            </w:pPr>
            <w:r w:rsidRPr="00211E9D">
              <w:t>Ongoing</w:t>
            </w:r>
          </w:p>
        </w:tc>
        <w:tc>
          <w:tcPr>
            <w:tcW w:w="1713" w:type="dxa"/>
            <w:tcBorders>
              <w:top w:val="single" w:sz="4" w:space="0" w:color="auto"/>
            </w:tcBorders>
            <w:vAlign w:val="center"/>
          </w:tcPr>
          <w:p w14:paraId="3323EF74" w14:textId="7AF34DBA" w:rsidR="00295D35" w:rsidRPr="00211E9D" w:rsidRDefault="00295D35" w:rsidP="00211E9D">
            <w:pPr>
              <w:pStyle w:val="table10pt"/>
            </w:pPr>
            <w:r w:rsidRPr="00211E9D">
              <w:t>AICG Champions</w:t>
            </w:r>
          </w:p>
        </w:tc>
      </w:tr>
      <w:tr w:rsidR="000E7DC6" w14:paraId="229F422D" w14:textId="77777777" w:rsidTr="0097500C">
        <w:tc>
          <w:tcPr>
            <w:tcW w:w="1134" w:type="dxa"/>
            <w:vAlign w:val="center"/>
          </w:tcPr>
          <w:p w14:paraId="6EFBC2FC" w14:textId="62F9C883" w:rsidR="00295D35" w:rsidRPr="00211E9D" w:rsidRDefault="00295D35" w:rsidP="00211E9D">
            <w:pPr>
              <w:pStyle w:val="table10pt"/>
            </w:pPr>
            <w:r w:rsidRPr="00211E9D">
              <w:t>1.2</w:t>
            </w:r>
          </w:p>
        </w:tc>
        <w:tc>
          <w:tcPr>
            <w:tcW w:w="4654" w:type="dxa"/>
            <w:vAlign w:val="center"/>
          </w:tcPr>
          <w:p w14:paraId="4B743E6C" w14:textId="238E31D1" w:rsidR="00295D35" w:rsidRPr="00211E9D" w:rsidRDefault="00295D35" w:rsidP="00211E9D">
            <w:pPr>
              <w:pStyle w:val="table10pt"/>
            </w:pPr>
            <w:r w:rsidRPr="00211E9D">
              <w:t>Senior leaders provide visible leadership and commitment to the ac</w:t>
            </w:r>
            <w:r w:rsidRPr="00211E9D">
              <w:rPr>
                <w:rStyle w:val="Nobreak"/>
              </w:rPr>
              <w:t>tion plan</w:t>
            </w:r>
            <w:r w:rsidRPr="00211E9D">
              <w:t>.</w:t>
            </w:r>
          </w:p>
        </w:tc>
        <w:tc>
          <w:tcPr>
            <w:tcW w:w="1283" w:type="dxa"/>
            <w:vAlign w:val="center"/>
          </w:tcPr>
          <w:p w14:paraId="458B9F42" w14:textId="2119EBCE" w:rsidR="00295D35" w:rsidRPr="00211E9D" w:rsidRDefault="00295D35" w:rsidP="00211E9D">
            <w:pPr>
              <w:pStyle w:val="table10pt"/>
            </w:pPr>
            <w:r w:rsidRPr="00211E9D">
              <w:t>Ongoing</w:t>
            </w:r>
          </w:p>
        </w:tc>
        <w:tc>
          <w:tcPr>
            <w:tcW w:w="1713" w:type="dxa"/>
            <w:vAlign w:val="center"/>
          </w:tcPr>
          <w:p w14:paraId="186981A4" w14:textId="7A77FF3F" w:rsidR="00295D35" w:rsidRPr="00211E9D" w:rsidRDefault="00295D35" w:rsidP="00211E9D">
            <w:pPr>
              <w:pStyle w:val="table10pt"/>
            </w:pPr>
            <w:r w:rsidRPr="00211E9D">
              <w:t>AICG Champions</w:t>
            </w:r>
          </w:p>
        </w:tc>
      </w:tr>
      <w:tr w:rsidR="000E7DC6" w14:paraId="0943AE5C" w14:textId="77777777" w:rsidTr="0043260B">
        <w:tc>
          <w:tcPr>
            <w:tcW w:w="1134" w:type="dxa"/>
            <w:tcBorders>
              <w:bottom w:val="single" w:sz="4" w:space="0" w:color="auto"/>
            </w:tcBorders>
            <w:vAlign w:val="center"/>
          </w:tcPr>
          <w:p w14:paraId="52BA8AC5" w14:textId="688803AD" w:rsidR="00295D35" w:rsidRPr="00211E9D" w:rsidRDefault="00295D35" w:rsidP="00211E9D">
            <w:pPr>
              <w:pStyle w:val="table10pt"/>
            </w:pPr>
            <w:r w:rsidRPr="00211E9D">
              <w:t>1.3</w:t>
            </w:r>
          </w:p>
        </w:tc>
        <w:tc>
          <w:tcPr>
            <w:tcW w:w="4654" w:type="dxa"/>
            <w:tcBorders>
              <w:bottom w:val="single" w:sz="4" w:space="0" w:color="auto"/>
            </w:tcBorders>
            <w:vAlign w:val="center"/>
          </w:tcPr>
          <w:p w14:paraId="596A79E9" w14:textId="4502045A" w:rsidR="00295D35" w:rsidRPr="00211E9D" w:rsidRDefault="00295D35" w:rsidP="00211E9D">
            <w:pPr>
              <w:pStyle w:val="table10pt"/>
            </w:pPr>
            <w:r w:rsidRPr="00211E9D">
              <w:t>Senior leaders to engage with stakeholders, including the AccessABILITY Network, on disability-related matters.</w:t>
            </w:r>
          </w:p>
        </w:tc>
        <w:tc>
          <w:tcPr>
            <w:tcW w:w="1283" w:type="dxa"/>
            <w:tcBorders>
              <w:bottom w:val="single" w:sz="4" w:space="0" w:color="auto"/>
            </w:tcBorders>
            <w:vAlign w:val="center"/>
          </w:tcPr>
          <w:p w14:paraId="64D3D162" w14:textId="796DB7E0" w:rsidR="00295D35" w:rsidRPr="00211E9D" w:rsidRDefault="00295D35" w:rsidP="00211E9D">
            <w:pPr>
              <w:pStyle w:val="table10pt"/>
            </w:pPr>
            <w:r w:rsidRPr="00211E9D">
              <w:t>Ongoing</w:t>
            </w:r>
          </w:p>
        </w:tc>
        <w:tc>
          <w:tcPr>
            <w:tcW w:w="1713" w:type="dxa"/>
            <w:tcBorders>
              <w:bottom w:val="single" w:sz="4" w:space="0" w:color="auto"/>
            </w:tcBorders>
            <w:vAlign w:val="center"/>
          </w:tcPr>
          <w:p w14:paraId="2D149277" w14:textId="0133FBA6" w:rsidR="00295D35" w:rsidRPr="00211E9D" w:rsidRDefault="00295D35" w:rsidP="00211E9D">
            <w:pPr>
              <w:pStyle w:val="table10pt"/>
            </w:pPr>
            <w:r w:rsidRPr="00211E9D">
              <w:t>AICG Champions</w:t>
            </w:r>
          </w:p>
        </w:tc>
      </w:tr>
      <w:tr w:rsidR="000E7DC6" w14:paraId="181702FF" w14:textId="77777777" w:rsidTr="0043260B">
        <w:tc>
          <w:tcPr>
            <w:tcW w:w="1134" w:type="dxa"/>
            <w:tcBorders>
              <w:top w:val="single" w:sz="4" w:space="0" w:color="auto"/>
              <w:bottom w:val="single" w:sz="4" w:space="0" w:color="auto"/>
            </w:tcBorders>
            <w:vAlign w:val="center"/>
          </w:tcPr>
          <w:p w14:paraId="0484ABB5" w14:textId="4249B8BD" w:rsidR="00295D35" w:rsidRPr="00211E9D" w:rsidRDefault="00295D35" w:rsidP="00211E9D">
            <w:pPr>
              <w:pStyle w:val="table10pt"/>
            </w:pPr>
            <w:r w:rsidRPr="00211E9D">
              <w:t>1.4</w:t>
            </w:r>
          </w:p>
        </w:tc>
        <w:tc>
          <w:tcPr>
            <w:tcW w:w="4654" w:type="dxa"/>
            <w:tcBorders>
              <w:top w:val="single" w:sz="4" w:space="0" w:color="auto"/>
              <w:bottom w:val="single" w:sz="4" w:space="0" w:color="auto"/>
            </w:tcBorders>
            <w:vAlign w:val="center"/>
          </w:tcPr>
          <w:p w14:paraId="70BBFFA4" w14:textId="214115A9" w:rsidR="00295D35" w:rsidRPr="00211E9D" w:rsidRDefault="00295D35" w:rsidP="00211E9D">
            <w:pPr>
              <w:pStyle w:val="table10pt"/>
            </w:pPr>
            <w:r w:rsidRPr="00211E9D">
              <w:t>Senior leaders to support International Day of People with Disability (3</w:t>
            </w:r>
            <w:r w:rsidRPr="00211E9D">
              <w:rPr>
                <w:rStyle w:val="Nobreak"/>
              </w:rPr>
              <w:t xml:space="preserve"> Decem</w:t>
            </w:r>
            <w:r w:rsidRPr="00211E9D">
              <w:t>ber), as well as other days of significance as noted on the Health, Wellbeing and Inclusion Calendar.</w:t>
            </w:r>
          </w:p>
        </w:tc>
        <w:tc>
          <w:tcPr>
            <w:tcW w:w="1283" w:type="dxa"/>
            <w:tcBorders>
              <w:top w:val="single" w:sz="4" w:space="0" w:color="auto"/>
              <w:bottom w:val="single" w:sz="4" w:space="0" w:color="auto"/>
            </w:tcBorders>
            <w:vAlign w:val="center"/>
          </w:tcPr>
          <w:p w14:paraId="774B1BF4" w14:textId="58E8C205" w:rsidR="00295D35" w:rsidRPr="00211E9D" w:rsidRDefault="00295D35" w:rsidP="00211E9D">
            <w:pPr>
              <w:pStyle w:val="table10pt"/>
            </w:pPr>
            <w:r w:rsidRPr="00211E9D">
              <w:t>December annually</w:t>
            </w:r>
          </w:p>
        </w:tc>
        <w:tc>
          <w:tcPr>
            <w:tcW w:w="1713" w:type="dxa"/>
            <w:tcBorders>
              <w:top w:val="single" w:sz="4" w:space="0" w:color="auto"/>
              <w:bottom w:val="single" w:sz="4" w:space="0" w:color="auto"/>
            </w:tcBorders>
            <w:vAlign w:val="center"/>
          </w:tcPr>
          <w:p w14:paraId="177C56B4" w14:textId="74681A8C" w:rsidR="00295D35" w:rsidRPr="00211E9D" w:rsidRDefault="00295D35" w:rsidP="00211E9D">
            <w:pPr>
              <w:pStyle w:val="table10pt"/>
            </w:pPr>
            <w:r w:rsidRPr="00211E9D">
              <w:t>AICG Champions</w:t>
            </w:r>
          </w:p>
        </w:tc>
      </w:tr>
    </w:tbl>
    <w:p w14:paraId="0D051171" w14:textId="77777777" w:rsidR="004406EE" w:rsidRPr="004406EE" w:rsidRDefault="004406EE" w:rsidP="00C62D2B">
      <w:pPr>
        <w:pStyle w:val="Heading3"/>
      </w:pPr>
      <w:r w:rsidRPr="004406EE">
        <w:t xml:space="preserve">Policy and </w:t>
      </w:r>
      <w:r w:rsidRPr="00A33243">
        <w:t>Strategy</w:t>
      </w:r>
    </w:p>
    <w:tbl>
      <w:tblPr>
        <w:tblStyle w:val="TableGrid"/>
        <w:tblW w:w="8784" w:type="dxa"/>
        <w:tblBorders>
          <w:top w:val="none" w:sz="0" w:space="0" w:color="auto"/>
          <w:left w:val="none" w:sz="0" w:space="0" w:color="auto"/>
          <w:bottom w:val="none" w:sz="0" w:space="0" w:color="auto"/>
          <w:right w:val="none" w:sz="0" w:space="0" w:color="auto"/>
          <w:insideV w:val="none" w:sz="0" w:space="0" w:color="auto"/>
        </w:tblBorders>
        <w:tblCellMar>
          <w:top w:w="113" w:type="dxa"/>
          <w:left w:w="142" w:type="dxa"/>
          <w:bottom w:w="113" w:type="dxa"/>
          <w:right w:w="142" w:type="dxa"/>
        </w:tblCellMar>
        <w:tblLook w:val="04A0" w:firstRow="1" w:lastRow="0" w:firstColumn="1" w:lastColumn="0" w:noHBand="0" w:noVBand="1"/>
      </w:tblPr>
      <w:tblGrid>
        <w:gridCol w:w="1134"/>
        <w:gridCol w:w="4253"/>
        <w:gridCol w:w="1684"/>
        <w:gridCol w:w="1713"/>
      </w:tblGrid>
      <w:tr w:rsidR="001030C4" w14:paraId="0CE4706C" w14:textId="77777777" w:rsidTr="001030C4">
        <w:trPr>
          <w:trHeight w:val="567"/>
        </w:trPr>
        <w:tc>
          <w:tcPr>
            <w:tcW w:w="1134" w:type="dxa"/>
            <w:tcBorders>
              <w:top w:val="single" w:sz="4" w:space="0" w:color="auto"/>
              <w:bottom w:val="single" w:sz="4" w:space="0" w:color="auto"/>
            </w:tcBorders>
            <w:shd w:val="clear" w:color="auto" w:fill="E8E8E8" w:themeFill="background2"/>
            <w:vAlign w:val="center"/>
          </w:tcPr>
          <w:p w14:paraId="786DEAF1" w14:textId="4DD80906" w:rsidR="001030C4" w:rsidRPr="0097500C" w:rsidRDefault="001030C4" w:rsidP="001030C4">
            <w:pPr>
              <w:pStyle w:val="tableheading"/>
            </w:pPr>
            <w:r w:rsidRPr="0097500C">
              <w:t>Number</w:t>
            </w:r>
          </w:p>
        </w:tc>
        <w:tc>
          <w:tcPr>
            <w:tcW w:w="4253" w:type="dxa"/>
            <w:tcBorders>
              <w:top w:val="single" w:sz="4" w:space="0" w:color="auto"/>
              <w:bottom w:val="single" w:sz="4" w:space="0" w:color="auto"/>
            </w:tcBorders>
            <w:shd w:val="clear" w:color="auto" w:fill="E8E8E8" w:themeFill="background2"/>
            <w:vAlign w:val="center"/>
          </w:tcPr>
          <w:p w14:paraId="2BDB0BE6" w14:textId="510C3D3E" w:rsidR="001030C4" w:rsidRPr="0097500C" w:rsidRDefault="001030C4" w:rsidP="001030C4">
            <w:pPr>
              <w:pStyle w:val="tableheading"/>
            </w:pPr>
            <w:r w:rsidRPr="0097500C">
              <w:t>Action</w:t>
            </w:r>
          </w:p>
        </w:tc>
        <w:tc>
          <w:tcPr>
            <w:tcW w:w="1684" w:type="dxa"/>
            <w:tcBorders>
              <w:top w:val="single" w:sz="4" w:space="0" w:color="auto"/>
              <w:bottom w:val="single" w:sz="4" w:space="0" w:color="auto"/>
            </w:tcBorders>
            <w:shd w:val="clear" w:color="auto" w:fill="E8E8E8" w:themeFill="background2"/>
            <w:vAlign w:val="center"/>
          </w:tcPr>
          <w:p w14:paraId="0D644336" w14:textId="6A7336D5" w:rsidR="001030C4" w:rsidRPr="0097500C" w:rsidRDefault="001030C4" w:rsidP="001030C4">
            <w:pPr>
              <w:pStyle w:val="tableheading"/>
            </w:pPr>
            <w:r w:rsidRPr="0097500C">
              <w:t>Timeline</w:t>
            </w:r>
          </w:p>
        </w:tc>
        <w:tc>
          <w:tcPr>
            <w:tcW w:w="0" w:type="auto"/>
            <w:tcBorders>
              <w:top w:val="single" w:sz="4" w:space="0" w:color="auto"/>
              <w:bottom w:val="single" w:sz="4" w:space="0" w:color="auto"/>
            </w:tcBorders>
            <w:shd w:val="clear" w:color="auto" w:fill="E8E8E8" w:themeFill="background2"/>
            <w:vAlign w:val="center"/>
          </w:tcPr>
          <w:p w14:paraId="5A731B20" w14:textId="128D2C19" w:rsidR="001030C4" w:rsidRPr="0097500C" w:rsidRDefault="001030C4" w:rsidP="001030C4">
            <w:pPr>
              <w:pStyle w:val="tableheading"/>
            </w:pPr>
            <w:r w:rsidRPr="0097500C">
              <w:t>Responsibility</w:t>
            </w:r>
          </w:p>
        </w:tc>
      </w:tr>
      <w:tr w:rsidR="00DD074E" w14:paraId="2CB30E4D" w14:textId="77777777" w:rsidTr="0043260B">
        <w:tc>
          <w:tcPr>
            <w:tcW w:w="1134" w:type="dxa"/>
            <w:tcBorders>
              <w:top w:val="single" w:sz="4" w:space="0" w:color="auto"/>
              <w:bottom w:val="single" w:sz="4" w:space="0" w:color="auto"/>
            </w:tcBorders>
            <w:vAlign w:val="center"/>
          </w:tcPr>
          <w:p w14:paraId="32B991E3" w14:textId="00560329" w:rsidR="00DD074E" w:rsidRPr="00295D35" w:rsidRDefault="00DD074E" w:rsidP="00211E9D">
            <w:pPr>
              <w:pStyle w:val="table10pt"/>
            </w:pPr>
            <w:r>
              <w:t>2.1</w:t>
            </w:r>
          </w:p>
        </w:tc>
        <w:tc>
          <w:tcPr>
            <w:tcW w:w="4253" w:type="dxa"/>
            <w:tcBorders>
              <w:top w:val="single" w:sz="4" w:space="0" w:color="auto"/>
              <w:bottom w:val="single" w:sz="4" w:space="0" w:color="auto"/>
            </w:tcBorders>
            <w:vAlign w:val="center"/>
          </w:tcPr>
          <w:p w14:paraId="7EC3DF8F" w14:textId="77777777" w:rsidR="00DD074E" w:rsidRDefault="00DD074E" w:rsidP="00211E9D">
            <w:pPr>
              <w:pStyle w:val="table10pt"/>
            </w:pPr>
            <w:r>
              <w:t>Develop/review disability related policies and strategies including:</w:t>
            </w:r>
          </w:p>
          <w:p w14:paraId="3B645C79" w14:textId="77777777" w:rsidR="00DD074E" w:rsidRPr="007A297D" w:rsidRDefault="00DD074E" w:rsidP="007A297D">
            <w:pPr>
              <w:pStyle w:val="tablelist"/>
            </w:pPr>
            <w:r w:rsidRPr="007A297D">
              <w:t>Disability Employment Strategy</w:t>
            </w:r>
          </w:p>
          <w:p w14:paraId="143C68FF" w14:textId="77777777" w:rsidR="00DD074E" w:rsidRPr="007A297D" w:rsidRDefault="00DD074E" w:rsidP="007A297D">
            <w:pPr>
              <w:pStyle w:val="tablelist"/>
            </w:pPr>
            <w:r w:rsidRPr="007A297D">
              <w:t>Reasonable Adjustments Policy, and</w:t>
            </w:r>
          </w:p>
          <w:p w14:paraId="141E8337" w14:textId="6C94CCB6" w:rsidR="00DD074E" w:rsidRPr="00295D35" w:rsidRDefault="00DD074E" w:rsidP="007A297D">
            <w:pPr>
              <w:pStyle w:val="tablelist"/>
            </w:pPr>
            <w:r w:rsidRPr="007A297D">
              <w:t>Reasonable Adjustments Passport</w:t>
            </w:r>
          </w:p>
        </w:tc>
        <w:tc>
          <w:tcPr>
            <w:tcW w:w="1684" w:type="dxa"/>
            <w:tcBorders>
              <w:top w:val="single" w:sz="4" w:space="0" w:color="auto"/>
              <w:bottom w:val="single" w:sz="4" w:space="0" w:color="auto"/>
            </w:tcBorders>
            <w:vAlign w:val="center"/>
          </w:tcPr>
          <w:p w14:paraId="719C8EF9" w14:textId="237E464C" w:rsidR="00DD074E" w:rsidRPr="00295D35" w:rsidRDefault="00DD074E" w:rsidP="00211E9D">
            <w:pPr>
              <w:pStyle w:val="table10pt"/>
            </w:pPr>
            <w:r>
              <w:t>June 2026, then annually</w:t>
            </w:r>
          </w:p>
        </w:tc>
        <w:tc>
          <w:tcPr>
            <w:tcW w:w="1713" w:type="dxa"/>
            <w:tcBorders>
              <w:top w:val="single" w:sz="4" w:space="0" w:color="auto"/>
              <w:bottom w:val="single" w:sz="4" w:space="0" w:color="auto"/>
            </w:tcBorders>
            <w:vAlign w:val="center"/>
          </w:tcPr>
          <w:p w14:paraId="1E25D6ED" w14:textId="3E5BA5E7" w:rsidR="00DD074E" w:rsidRPr="00295D35" w:rsidRDefault="00DD074E" w:rsidP="00211E9D">
            <w:pPr>
              <w:pStyle w:val="table10pt"/>
            </w:pPr>
            <w:r>
              <w:t>AICG Champions</w:t>
            </w:r>
          </w:p>
        </w:tc>
      </w:tr>
    </w:tbl>
    <w:p w14:paraId="44AD4164" w14:textId="77777777" w:rsidR="00BB716D" w:rsidRDefault="00BB716D" w:rsidP="00C62D2B">
      <w:pPr>
        <w:pStyle w:val="Heading3"/>
      </w:pPr>
    </w:p>
    <w:p w14:paraId="6CAAEB41" w14:textId="77777777" w:rsidR="00BB716D" w:rsidRDefault="00BB716D">
      <w:pPr>
        <w:spacing w:after="160" w:line="278" w:lineRule="auto"/>
        <w:rPr>
          <w:rFonts w:eastAsiaTheme="majorEastAsia" w:cstheme="majorBidi"/>
          <w:b/>
          <w:bCs/>
          <w:caps/>
          <w:sz w:val="28"/>
          <w:szCs w:val="28"/>
        </w:rPr>
      </w:pPr>
      <w:r>
        <w:br w:type="page"/>
      </w:r>
    </w:p>
    <w:p w14:paraId="023276C0" w14:textId="45B28526" w:rsidR="00E558BD" w:rsidRDefault="00BB716D" w:rsidP="00C62D2B">
      <w:pPr>
        <w:pStyle w:val="Heading3"/>
      </w:pPr>
      <w:r>
        <w:lastRenderedPageBreak/>
        <w:t>Governance</w:t>
      </w:r>
    </w:p>
    <w:tbl>
      <w:tblPr>
        <w:tblStyle w:val="TableGrid"/>
        <w:tblW w:w="8784" w:type="dxa"/>
        <w:tblBorders>
          <w:top w:val="none" w:sz="0" w:space="0" w:color="auto"/>
          <w:left w:val="none" w:sz="0" w:space="0" w:color="auto"/>
          <w:bottom w:val="none" w:sz="0" w:space="0" w:color="auto"/>
          <w:right w:val="none" w:sz="0" w:space="0" w:color="auto"/>
          <w:insideV w:val="none" w:sz="0" w:space="0" w:color="auto"/>
        </w:tblBorders>
        <w:tblCellMar>
          <w:top w:w="113" w:type="dxa"/>
          <w:left w:w="142" w:type="dxa"/>
          <w:bottom w:w="113" w:type="dxa"/>
          <w:right w:w="142" w:type="dxa"/>
        </w:tblCellMar>
        <w:tblLook w:val="04A0" w:firstRow="1" w:lastRow="0" w:firstColumn="1" w:lastColumn="0" w:noHBand="0" w:noVBand="1"/>
      </w:tblPr>
      <w:tblGrid>
        <w:gridCol w:w="1100"/>
        <w:gridCol w:w="4688"/>
        <w:gridCol w:w="1283"/>
        <w:gridCol w:w="1713"/>
      </w:tblGrid>
      <w:tr w:rsidR="00BB716D" w:rsidRPr="0097500C" w14:paraId="63150F1B" w14:textId="77777777" w:rsidTr="001030C4">
        <w:trPr>
          <w:trHeight w:val="567"/>
        </w:trPr>
        <w:tc>
          <w:tcPr>
            <w:tcW w:w="1100" w:type="dxa"/>
            <w:tcBorders>
              <w:top w:val="single" w:sz="4" w:space="0" w:color="auto"/>
              <w:bottom w:val="single" w:sz="4" w:space="0" w:color="auto"/>
            </w:tcBorders>
            <w:shd w:val="clear" w:color="auto" w:fill="E8E8E8" w:themeFill="background2"/>
            <w:vAlign w:val="center"/>
          </w:tcPr>
          <w:p w14:paraId="07EA6788" w14:textId="77777777" w:rsidR="00BB716D" w:rsidRPr="0097500C" w:rsidRDefault="00BB716D" w:rsidP="00211E9D">
            <w:pPr>
              <w:pStyle w:val="tableheading"/>
            </w:pPr>
            <w:r w:rsidRPr="0097500C">
              <w:t>Number</w:t>
            </w:r>
          </w:p>
        </w:tc>
        <w:tc>
          <w:tcPr>
            <w:tcW w:w="4688" w:type="dxa"/>
            <w:tcBorders>
              <w:top w:val="single" w:sz="4" w:space="0" w:color="auto"/>
              <w:bottom w:val="single" w:sz="4" w:space="0" w:color="auto"/>
            </w:tcBorders>
            <w:shd w:val="clear" w:color="auto" w:fill="E8E8E8" w:themeFill="background2"/>
            <w:vAlign w:val="center"/>
          </w:tcPr>
          <w:p w14:paraId="4692758B" w14:textId="77777777" w:rsidR="00BB716D" w:rsidRPr="0097500C" w:rsidRDefault="00BB716D" w:rsidP="00211E9D">
            <w:pPr>
              <w:pStyle w:val="tableheading"/>
            </w:pPr>
            <w:r w:rsidRPr="0097500C">
              <w:t>Action</w:t>
            </w:r>
          </w:p>
        </w:tc>
        <w:tc>
          <w:tcPr>
            <w:tcW w:w="0" w:type="auto"/>
            <w:tcBorders>
              <w:top w:val="single" w:sz="4" w:space="0" w:color="auto"/>
              <w:bottom w:val="single" w:sz="4" w:space="0" w:color="auto"/>
            </w:tcBorders>
            <w:shd w:val="clear" w:color="auto" w:fill="E8E8E8" w:themeFill="background2"/>
            <w:vAlign w:val="center"/>
          </w:tcPr>
          <w:p w14:paraId="7BB4249E" w14:textId="77777777" w:rsidR="00BB716D" w:rsidRPr="0097500C" w:rsidRDefault="00BB716D" w:rsidP="00211E9D">
            <w:pPr>
              <w:pStyle w:val="tableheading"/>
            </w:pPr>
            <w:r w:rsidRPr="0097500C">
              <w:t>Timeline</w:t>
            </w:r>
          </w:p>
        </w:tc>
        <w:tc>
          <w:tcPr>
            <w:tcW w:w="0" w:type="auto"/>
            <w:tcBorders>
              <w:top w:val="single" w:sz="4" w:space="0" w:color="auto"/>
              <w:bottom w:val="single" w:sz="4" w:space="0" w:color="auto"/>
            </w:tcBorders>
            <w:shd w:val="clear" w:color="auto" w:fill="E8E8E8" w:themeFill="background2"/>
            <w:vAlign w:val="center"/>
          </w:tcPr>
          <w:p w14:paraId="48EDBA68" w14:textId="77777777" w:rsidR="00BB716D" w:rsidRPr="0097500C" w:rsidRDefault="00BB716D" w:rsidP="00211E9D">
            <w:pPr>
              <w:pStyle w:val="tableheading"/>
            </w:pPr>
            <w:r w:rsidRPr="0097500C">
              <w:t>Responsibility</w:t>
            </w:r>
          </w:p>
        </w:tc>
      </w:tr>
      <w:tr w:rsidR="0010757F" w:rsidRPr="00295D35" w14:paraId="65F8445C" w14:textId="77777777" w:rsidTr="001030C4">
        <w:tc>
          <w:tcPr>
            <w:tcW w:w="1100" w:type="dxa"/>
            <w:tcBorders>
              <w:top w:val="single" w:sz="4" w:space="0" w:color="auto"/>
            </w:tcBorders>
            <w:vAlign w:val="center"/>
          </w:tcPr>
          <w:p w14:paraId="39F16B28" w14:textId="66E37149" w:rsidR="0010757F" w:rsidRPr="0010757F" w:rsidRDefault="0010757F" w:rsidP="00211E9D">
            <w:pPr>
              <w:pStyle w:val="table10pt"/>
            </w:pPr>
            <w:r w:rsidRPr="0010757F">
              <w:t>3.1</w:t>
            </w:r>
          </w:p>
        </w:tc>
        <w:tc>
          <w:tcPr>
            <w:tcW w:w="4688" w:type="dxa"/>
            <w:tcBorders>
              <w:top w:val="single" w:sz="4" w:space="0" w:color="auto"/>
            </w:tcBorders>
            <w:vAlign w:val="center"/>
          </w:tcPr>
          <w:p w14:paraId="7DA8AA08" w14:textId="7F4DF879" w:rsidR="0010757F" w:rsidRPr="0010757F" w:rsidRDefault="0010757F" w:rsidP="00211E9D">
            <w:pPr>
              <w:pStyle w:val="table10pt"/>
            </w:pPr>
            <w:r w:rsidRPr="0010757F">
              <w:t>Submit a progress report and update to the Parliamentary Heads Group.</w:t>
            </w:r>
          </w:p>
        </w:tc>
        <w:tc>
          <w:tcPr>
            <w:tcW w:w="1283" w:type="dxa"/>
            <w:tcBorders>
              <w:top w:val="single" w:sz="4" w:space="0" w:color="auto"/>
            </w:tcBorders>
            <w:vAlign w:val="center"/>
          </w:tcPr>
          <w:p w14:paraId="4A8FE034" w14:textId="22FA0EFC" w:rsidR="0010757F" w:rsidRPr="0010757F" w:rsidRDefault="0010757F" w:rsidP="00211E9D">
            <w:pPr>
              <w:pStyle w:val="table10pt"/>
            </w:pPr>
            <w:r w:rsidRPr="0010757F">
              <w:t>Quarterly 2025, 2026, 2027</w:t>
            </w:r>
          </w:p>
        </w:tc>
        <w:tc>
          <w:tcPr>
            <w:tcW w:w="1713" w:type="dxa"/>
            <w:tcBorders>
              <w:top w:val="single" w:sz="4" w:space="0" w:color="auto"/>
            </w:tcBorders>
            <w:vAlign w:val="center"/>
          </w:tcPr>
          <w:p w14:paraId="0C9908EE" w14:textId="7E957266" w:rsidR="0010757F" w:rsidRPr="0010757F" w:rsidRDefault="0010757F" w:rsidP="00211E9D">
            <w:pPr>
              <w:pStyle w:val="table10pt"/>
            </w:pPr>
            <w:r w:rsidRPr="0010757F">
              <w:t>AICG Secretariat</w:t>
            </w:r>
          </w:p>
        </w:tc>
      </w:tr>
      <w:tr w:rsidR="0010757F" w:rsidRPr="00295D35" w14:paraId="2274D463" w14:textId="77777777" w:rsidTr="00F91DE4">
        <w:tc>
          <w:tcPr>
            <w:tcW w:w="1100" w:type="dxa"/>
            <w:vAlign w:val="center"/>
          </w:tcPr>
          <w:p w14:paraId="00637C94" w14:textId="6F51AA19" w:rsidR="0010757F" w:rsidRPr="0010757F" w:rsidRDefault="0010757F" w:rsidP="00211E9D">
            <w:pPr>
              <w:pStyle w:val="table10pt"/>
            </w:pPr>
            <w:r w:rsidRPr="0010757F">
              <w:t>3.2</w:t>
            </w:r>
          </w:p>
        </w:tc>
        <w:tc>
          <w:tcPr>
            <w:tcW w:w="4688" w:type="dxa"/>
            <w:vAlign w:val="center"/>
          </w:tcPr>
          <w:p w14:paraId="03AEF69D" w14:textId="726FD320" w:rsidR="0010757F" w:rsidRPr="0010757F" w:rsidRDefault="0010757F" w:rsidP="00211E9D">
            <w:pPr>
              <w:pStyle w:val="table10pt"/>
            </w:pPr>
            <w:r w:rsidRPr="0010757F">
              <w:t>Report AIAP achievements to the AccessABILITY network.</w:t>
            </w:r>
          </w:p>
        </w:tc>
        <w:tc>
          <w:tcPr>
            <w:tcW w:w="1283" w:type="dxa"/>
            <w:vAlign w:val="center"/>
          </w:tcPr>
          <w:p w14:paraId="6A378507" w14:textId="691FAEEF" w:rsidR="0010757F" w:rsidRPr="0010757F" w:rsidRDefault="0010757F" w:rsidP="00211E9D">
            <w:pPr>
              <w:pStyle w:val="table10pt"/>
            </w:pPr>
            <w:r w:rsidRPr="0010757F">
              <w:t>Bi-annual reporting</w:t>
            </w:r>
          </w:p>
        </w:tc>
        <w:tc>
          <w:tcPr>
            <w:tcW w:w="1713" w:type="dxa"/>
            <w:vAlign w:val="center"/>
          </w:tcPr>
          <w:p w14:paraId="6EF75B42" w14:textId="74BEC76B" w:rsidR="0010757F" w:rsidRPr="0010757F" w:rsidRDefault="0010757F" w:rsidP="00211E9D">
            <w:pPr>
              <w:pStyle w:val="table10pt"/>
            </w:pPr>
            <w:r w:rsidRPr="0010757F">
              <w:t>AICG Secretariat</w:t>
            </w:r>
          </w:p>
        </w:tc>
      </w:tr>
      <w:tr w:rsidR="0010757F" w:rsidRPr="00295D35" w14:paraId="3DDA47D3" w14:textId="77777777" w:rsidTr="00F91DE4">
        <w:tc>
          <w:tcPr>
            <w:tcW w:w="1100" w:type="dxa"/>
            <w:tcBorders>
              <w:bottom w:val="single" w:sz="4" w:space="0" w:color="auto"/>
            </w:tcBorders>
            <w:vAlign w:val="center"/>
          </w:tcPr>
          <w:p w14:paraId="77049288" w14:textId="3DB30527" w:rsidR="0010757F" w:rsidRPr="0010757F" w:rsidRDefault="0010757F" w:rsidP="00211E9D">
            <w:pPr>
              <w:pStyle w:val="table10pt"/>
            </w:pPr>
            <w:r w:rsidRPr="0010757F">
              <w:t>3.3</w:t>
            </w:r>
          </w:p>
        </w:tc>
        <w:tc>
          <w:tcPr>
            <w:tcW w:w="4688" w:type="dxa"/>
            <w:tcBorders>
              <w:bottom w:val="single" w:sz="4" w:space="0" w:color="auto"/>
            </w:tcBorders>
            <w:vAlign w:val="center"/>
          </w:tcPr>
          <w:p w14:paraId="0DB79E95" w14:textId="77777777" w:rsidR="0010757F" w:rsidRPr="0010757F" w:rsidRDefault="0010757F" w:rsidP="00211E9D">
            <w:pPr>
              <w:pStyle w:val="table10pt"/>
            </w:pPr>
            <w:r w:rsidRPr="0010757F">
              <w:t>Review and auditing for next plan.</w:t>
            </w:r>
          </w:p>
          <w:p w14:paraId="07BBDA4C" w14:textId="34AD7B98" w:rsidR="00A92E60" w:rsidRPr="0010757F" w:rsidRDefault="0010757F" w:rsidP="00A92E60">
            <w:pPr>
              <w:pStyle w:val="tablelist"/>
              <w:spacing w:after="60"/>
            </w:pPr>
            <w:r w:rsidRPr="0010757F">
              <w:t>An audit of all actions under the AIAP will be conducted, and</w:t>
            </w:r>
          </w:p>
          <w:p w14:paraId="057670EF" w14:textId="64421C3E" w:rsidR="0010757F" w:rsidRPr="0010757F" w:rsidRDefault="0010757F" w:rsidP="0010757F">
            <w:pPr>
              <w:pStyle w:val="tablelist"/>
            </w:pPr>
            <w:r w:rsidRPr="0010757F">
              <w:t>External and internal consultations with people with a disability to inform on progress and areas for improvement.</w:t>
            </w:r>
          </w:p>
        </w:tc>
        <w:tc>
          <w:tcPr>
            <w:tcW w:w="1283" w:type="dxa"/>
            <w:tcBorders>
              <w:bottom w:val="single" w:sz="4" w:space="0" w:color="auto"/>
            </w:tcBorders>
            <w:vAlign w:val="center"/>
          </w:tcPr>
          <w:p w14:paraId="2BD72850" w14:textId="26EF2780" w:rsidR="0010757F" w:rsidRPr="0010757F" w:rsidRDefault="0010757F" w:rsidP="00211E9D">
            <w:pPr>
              <w:pStyle w:val="table10pt"/>
            </w:pPr>
            <w:r w:rsidRPr="0010757F">
              <w:t>December 2027</w:t>
            </w:r>
          </w:p>
        </w:tc>
        <w:tc>
          <w:tcPr>
            <w:tcW w:w="1713" w:type="dxa"/>
            <w:tcBorders>
              <w:bottom w:val="single" w:sz="4" w:space="0" w:color="auto"/>
            </w:tcBorders>
            <w:vAlign w:val="center"/>
          </w:tcPr>
          <w:p w14:paraId="78325455" w14:textId="6FDC9507" w:rsidR="0010757F" w:rsidRPr="0010757F" w:rsidRDefault="0010757F" w:rsidP="00211E9D">
            <w:pPr>
              <w:pStyle w:val="table10pt"/>
            </w:pPr>
            <w:r w:rsidRPr="0010757F">
              <w:t>AICG Secretariat</w:t>
            </w:r>
          </w:p>
        </w:tc>
      </w:tr>
    </w:tbl>
    <w:p w14:paraId="3FA3F7C5" w14:textId="77777777" w:rsidR="00F91DE4" w:rsidRPr="00F91DE4" w:rsidRDefault="00F91DE4" w:rsidP="00211E9D">
      <w:pPr>
        <w:pStyle w:val="Heading2"/>
        <w:spacing w:before="480"/>
      </w:pPr>
      <w:r w:rsidRPr="00F91DE4">
        <w:t>Pillar 2: Inclusive Culture and Capability</w:t>
      </w:r>
    </w:p>
    <w:p w14:paraId="10650E9C" w14:textId="77777777" w:rsidR="00F91DE4" w:rsidRDefault="00F91DE4" w:rsidP="00F91DE4">
      <w:pPr>
        <w:rPr>
          <w:i/>
          <w:iCs/>
          <w:lang w:val="en-US"/>
        </w:rPr>
      </w:pPr>
      <w:r w:rsidRPr="00F91DE4">
        <w:rPr>
          <w:i/>
          <w:iCs/>
          <w:lang w:val="en-US"/>
        </w:rPr>
        <w:t>Focus: Building an informed and respectful workplace culture through training, representation, and awareness.</w:t>
      </w:r>
    </w:p>
    <w:p w14:paraId="3AFC7D9A" w14:textId="77777777" w:rsidR="002019C7" w:rsidRDefault="002019C7" w:rsidP="008F4D37">
      <w:pPr>
        <w:pStyle w:val="Heading3"/>
        <w:spacing w:before="360"/>
        <w:rPr>
          <w:lang w:val="en-US"/>
        </w:rPr>
      </w:pPr>
      <w:r w:rsidRPr="002019C7">
        <w:rPr>
          <w:lang w:val="en-US"/>
        </w:rPr>
        <w:t>Capability Development</w:t>
      </w:r>
    </w:p>
    <w:tbl>
      <w:tblPr>
        <w:tblStyle w:val="TableGrid"/>
        <w:tblW w:w="8785" w:type="dxa"/>
        <w:tblBorders>
          <w:top w:val="none" w:sz="0" w:space="0" w:color="auto"/>
          <w:left w:val="none" w:sz="0" w:space="0" w:color="auto"/>
          <w:bottom w:val="none" w:sz="0" w:space="0" w:color="auto"/>
          <w:right w:val="none" w:sz="0" w:space="0" w:color="auto"/>
          <w:insideV w:val="none" w:sz="0" w:space="0" w:color="auto"/>
        </w:tblBorders>
        <w:tblCellMar>
          <w:top w:w="113" w:type="dxa"/>
          <w:left w:w="142" w:type="dxa"/>
          <w:bottom w:w="113" w:type="dxa"/>
          <w:right w:w="142" w:type="dxa"/>
        </w:tblCellMar>
        <w:tblLook w:val="04A0" w:firstRow="1" w:lastRow="0" w:firstColumn="1" w:lastColumn="0" w:noHBand="0" w:noVBand="1"/>
      </w:tblPr>
      <w:tblGrid>
        <w:gridCol w:w="1090"/>
        <w:gridCol w:w="4057"/>
        <w:gridCol w:w="1193"/>
        <w:gridCol w:w="2445"/>
      </w:tblGrid>
      <w:tr w:rsidR="00E724C5" w:rsidRPr="0097500C" w14:paraId="558B427E" w14:textId="77777777" w:rsidTr="001030C4">
        <w:trPr>
          <w:trHeight w:val="567"/>
        </w:trPr>
        <w:tc>
          <w:tcPr>
            <w:tcW w:w="1090" w:type="dxa"/>
            <w:tcBorders>
              <w:top w:val="single" w:sz="4" w:space="0" w:color="auto"/>
              <w:bottom w:val="single" w:sz="4" w:space="0" w:color="auto"/>
            </w:tcBorders>
            <w:shd w:val="clear" w:color="auto" w:fill="E8E8E8" w:themeFill="background2"/>
            <w:vAlign w:val="center"/>
          </w:tcPr>
          <w:p w14:paraId="5DCEB5D4" w14:textId="77777777" w:rsidR="002019C7" w:rsidRPr="0097500C" w:rsidRDefault="002019C7" w:rsidP="00211E9D">
            <w:pPr>
              <w:pStyle w:val="tableheading"/>
            </w:pPr>
            <w:r w:rsidRPr="0097500C">
              <w:t>Number</w:t>
            </w:r>
          </w:p>
        </w:tc>
        <w:tc>
          <w:tcPr>
            <w:tcW w:w="4057" w:type="dxa"/>
            <w:tcBorders>
              <w:top w:val="single" w:sz="4" w:space="0" w:color="auto"/>
              <w:bottom w:val="single" w:sz="4" w:space="0" w:color="auto"/>
            </w:tcBorders>
            <w:shd w:val="clear" w:color="auto" w:fill="E8E8E8" w:themeFill="background2"/>
            <w:vAlign w:val="center"/>
          </w:tcPr>
          <w:p w14:paraId="5E22774E" w14:textId="77777777" w:rsidR="002019C7" w:rsidRPr="0097500C" w:rsidRDefault="002019C7" w:rsidP="00211E9D">
            <w:pPr>
              <w:pStyle w:val="tableheading"/>
            </w:pPr>
            <w:r w:rsidRPr="0097500C">
              <w:t>Action</w:t>
            </w:r>
          </w:p>
        </w:tc>
        <w:tc>
          <w:tcPr>
            <w:tcW w:w="1193" w:type="dxa"/>
            <w:tcBorders>
              <w:top w:val="single" w:sz="4" w:space="0" w:color="auto"/>
              <w:bottom w:val="single" w:sz="4" w:space="0" w:color="auto"/>
            </w:tcBorders>
            <w:shd w:val="clear" w:color="auto" w:fill="E8E8E8" w:themeFill="background2"/>
            <w:vAlign w:val="center"/>
          </w:tcPr>
          <w:p w14:paraId="6B47DDC0" w14:textId="77777777" w:rsidR="002019C7" w:rsidRPr="0097500C" w:rsidRDefault="002019C7" w:rsidP="00211E9D">
            <w:pPr>
              <w:pStyle w:val="tableheading"/>
            </w:pPr>
            <w:r w:rsidRPr="0097500C">
              <w:t>Timeline</w:t>
            </w:r>
          </w:p>
        </w:tc>
        <w:tc>
          <w:tcPr>
            <w:tcW w:w="2445" w:type="dxa"/>
            <w:tcBorders>
              <w:top w:val="single" w:sz="4" w:space="0" w:color="auto"/>
              <w:bottom w:val="single" w:sz="4" w:space="0" w:color="auto"/>
            </w:tcBorders>
            <w:shd w:val="clear" w:color="auto" w:fill="E8E8E8" w:themeFill="background2"/>
            <w:vAlign w:val="center"/>
          </w:tcPr>
          <w:p w14:paraId="3F12F69A" w14:textId="77777777" w:rsidR="002019C7" w:rsidRPr="0097500C" w:rsidRDefault="002019C7" w:rsidP="00211E9D">
            <w:pPr>
              <w:pStyle w:val="tableheading"/>
            </w:pPr>
            <w:r w:rsidRPr="0097500C">
              <w:t>Responsibility</w:t>
            </w:r>
          </w:p>
        </w:tc>
      </w:tr>
      <w:tr w:rsidR="00B15018" w:rsidRPr="0010757F" w14:paraId="550E51B0" w14:textId="77777777" w:rsidTr="001030C4">
        <w:tc>
          <w:tcPr>
            <w:tcW w:w="1090" w:type="dxa"/>
            <w:tcBorders>
              <w:top w:val="single" w:sz="4" w:space="0" w:color="auto"/>
            </w:tcBorders>
            <w:vAlign w:val="center"/>
          </w:tcPr>
          <w:p w14:paraId="5A82BFBA" w14:textId="2FB26617" w:rsidR="00A42E17" w:rsidRPr="00D34182" w:rsidRDefault="00A42E17" w:rsidP="00211E9D">
            <w:pPr>
              <w:pStyle w:val="table10pt"/>
            </w:pPr>
            <w:r w:rsidRPr="00D34182">
              <w:t>4.1</w:t>
            </w:r>
          </w:p>
        </w:tc>
        <w:tc>
          <w:tcPr>
            <w:tcW w:w="4057" w:type="dxa"/>
            <w:tcBorders>
              <w:top w:val="single" w:sz="4" w:space="0" w:color="auto"/>
            </w:tcBorders>
            <w:vAlign w:val="center"/>
          </w:tcPr>
          <w:p w14:paraId="6502283F" w14:textId="6A035C24" w:rsidR="00A42E17" w:rsidRPr="00D34182" w:rsidRDefault="00A42E17" w:rsidP="00211E9D">
            <w:pPr>
              <w:pStyle w:val="table10pt"/>
            </w:pPr>
            <w:r w:rsidRPr="00D34182">
              <w:t>All staff to complete disability confidence training.</w:t>
            </w:r>
          </w:p>
        </w:tc>
        <w:tc>
          <w:tcPr>
            <w:tcW w:w="1193" w:type="dxa"/>
            <w:tcBorders>
              <w:top w:val="single" w:sz="4" w:space="0" w:color="auto"/>
            </w:tcBorders>
            <w:vAlign w:val="center"/>
          </w:tcPr>
          <w:p w14:paraId="1ECEE563" w14:textId="1DF2BE7A" w:rsidR="00A42E17" w:rsidRPr="00D34182" w:rsidRDefault="00A42E17" w:rsidP="00211E9D">
            <w:pPr>
              <w:pStyle w:val="table10pt"/>
            </w:pPr>
            <w:r w:rsidRPr="00D34182">
              <w:t>Annually</w:t>
            </w:r>
          </w:p>
        </w:tc>
        <w:tc>
          <w:tcPr>
            <w:tcW w:w="2445" w:type="dxa"/>
            <w:tcBorders>
              <w:top w:val="single" w:sz="4" w:space="0" w:color="auto"/>
            </w:tcBorders>
            <w:vAlign w:val="center"/>
          </w:tcPr>
          <w:p w14:paraId="0482094B" w14:textId="77777777" w:rsidR="00A42E17" w:rsidRPr="00D34182" w:rsidRDefault="00A42E17" w:rsidP="00211E9D">
            <w:pPr>
              <w:pStyle w:val="table10pt"/>
            </w:pPr>
            <w:r w:rsidRPr="00D34182">
              <w:t>HR Directors</w:t>
            </w:r>
          </w:p>
          <w:p w14:paraId="0242BB0B" w14:textId="0BAB33DA" w:rsidR="00A42E17" w:rsidRPr="00D34182" w:rsidRDefault="00A42E17" w:rsidP="00211E9D">
            <w:pPr>
              <w:pStyle w:val="table10pt"/>
            </w:pPr>
            <w:r w:rsidRPr="00D34182">
              <w:t>across all Parliamentary Departments and the PWSS</w:t>
            </w:r>
          </w:p>
        </w:tc>
      </w:tr>
      <w:tr w:rsidR="00B15018" w:rsidRPr="0010757F" w14:paraId="51B23CC4" w14:textId="77777777" w:rsidTr="008F4D37">
        <w:tc>
          <w:tcPr>
            <w:tcW w:w="1090" w:type="dxa"/>
            <w:vAlign w:val="center"/>
          </w:tcPr>
          <w:p w14:paraId="2160ABBA" w14:textId="41F0EF1D" w:rsidR="00A42E17" w:rsidRPr="00D34182" w:rsidRDefault="00A42E17" w:rsidP="00211E9D">
            <w:pPr>
              <w:pStyle w:val="table10pt"/>
            </w:pPr>
            <w:r w:rsidRPr="00D34182">
              <w:t>4.2</w:t>
            </w:r>
          </w:p>
        </w:tc>
        <w:tc>
          <w:tcPr>
            <w:tcW w:w="4057" w:type="dxa"/>
            <w:vAlign w:val="center"/>
          </w:tcPr>
          <w:p w14:paraId="14A8C06F" w14:textId="5311F8DC" w:rsidR="00A42E17" w:rsidRPr="00D34182" w:rsidRDefault="00A42E17" w:rsidP="00211E9D">
            <w:pPr>
              <w:pStyle w:val="table10pt"/>
            </w:pPr>
            <w:r w:rsidRPr="00D34182">
              <w:t>Information and training provided to new staff at induction.</w:t>
            </w:r>
          </w:p>
        </w:tc>
        <w:tc>
          <w:tcPr>
            <w:tcW w:w="1193" w:type="dxa"/>
            <w:vAlign w:val="center"/>
          </w:tcPr>
          <w:p w14:paraId="28EB2F34" w14:textId="7384FB24" w:rsidR="00A42E17" w:rsidRPr="00D34182" w:rsidRDefault="00A42E17" w:rsidP="00211E9D">
            <w:pPr>
              <w:pStyle w:val="table10pt"/>
            </w:pPr>
            <w:r w:rsidRPr="00D34182">
              <w:t>Annually</w:t>
            </w:r>
          </w:p>
        </w:tc>
        <w:tc>
          <w:tcPr>
            <w:tcW w:w="2445" w:type="dxa"/>
            <w:vAlign w:val="center"/>
          </w:tcPr>
          <w:p w14:paraId="4FA39182" w14:textId="77777777" w:rsidR="00A42E17" w:rsidRPr="00D34182" w:rsidRDefault="00A42E17" w:rsidP="00211E9D">
            <w:pPr>
              <w:pStyle w:val="table10pt"/>
            </w:pPr>
            <w:r w:rsidRPr="00D34182">
              <w:t>HR Directors</w:t>
            </w:r>
          </w:p>
          <w:p w14:paraId="617E9F4D" w14:textId="511204C3" w:rsidR="00A42E17" w:rsidRPr="00D34182" w:rsidRDefault="00A42E17" w:rsidP="00211E9D">
            <w:pPr>
              <w:pStyle w:val="table10pt"/>
            </w:pPr>
            <w:r w:rsidRPr="00D34182">
              <w:t>across all Parliamentary Departments and the PWSS</w:t>
            </w:r>
          </w:p>
        </w:tc>
      </w:tr>
      <w:tr w:rsidR="00D34182" w:rsidRPr="0010757F" w14:paraId="287876F0" w14:textId="77777777" w:rsidTr="008F4D37">
        <w:tc>
          <w:tcPr>
            <w:tcW w:w="1090" w:type="dxa"/>
            <w:vAlign w:val="center"/>
          </w:tcPr>
          <w:p w14:paraId="3DD20558" w14:textId="3B4D9331" w:rsidR="00A42E17" w:rsidRPr="00D34182" w:rsidRDefault="00A42E17" w:rsidP="00211E9D">
            <w:pPr>
              <w:pStyle w:val="table10pt"/>
            </w:pPr>
            <w:r w:rsidRPr="00D34182">
              <w:t>4.3</w:t>
            </w:r>
          </w:p>
        </w:tc>
        <w:tc>
          <w:tcPr>
            <w:tcW w:w="4057" w:type="dxa"/>
            <w:vAlign w:val="center"/>
          </w:tcPr>
          <w:p w14:paraId="587A2DA0" w14:textId="2A149D49" w:rsidR="00A42E17" w:rsidRPr="00D34182" w:rsidRDefault="00A42E17" w:rsidP="00211E9D">
            <w:pPr>
              <w:pStyle w:val="table10pt"/>
            </w:pPr>
            <w:r w:rsidRPr="00D34182">
              <w:t>Undertake internal communications campaigns to raise awareness of disability-related matters including initiatives, reasonable adjustments, PEEPs, networks and updating HR data/health declarations.</w:t>
            </w:r>
          </w:p>
        </w:tc>
        <w:tc>
          <w:tcPr>
            <w:tcW w:w="1193" w:type="dxa"/>
            <w:vAlign w:val="center"/>
          </w:tcPr>
          <w:p w14:paraId="62353727" w14:textId="73E2D53B" w:rsidR="00A42E17" w:rsidRPr="00D34182" w:rsidRDefault="00A42E17" w:rsidP="00211E9D">
            <w:pPr>
              <w:pStyle w:val="table10pt"/>
            </w:pPr>
            <w:r w:rsidRPr="00D34182">
              <w:t xml:space="preserve">Annually in March and August </w:t>
            </w:r>
          </w:p>
        </w:tc>
        <w:tc>
          <w:tcPr>
            <w:tcW w:w="2445" w:type="dxa"/>
            <w:vAlign w:val="center"/>
          </w:tcPr>
          <w:p w14:paraId="2E91BFD1" w14:textId="601B1EDC" w:rsidR="00A42E17" w:rsidRPr="00D34182" w:rsidRDefault="00A42E17" w:rsidP="00211E9D">
            <w:pPr>
              <w:pStyle w:val="table10pt"/>
            </w:pPr>
            <w:r w:rsidRPr="00D34182">
              <w:t>HR Directors and Communications</w:t>
            </w:r>
          </w:p>
        </w:tc>
      </w:tr>
      <w:tr w:rsidR="008F4D37" w:rsidRPr="0010757F" w14:paraId="2D1B626B" w14:textId="77777777" w:rsidTr="008F4D37">
        <w:tc>
          <w:tcPr>
            <w:tcW w:w="1090" w:type="dxa"/>
            <w:tcBorders>
              <w:bottom w:val="single" w:sz="4" w:space="0" w:color="auto"/>
            </w:tcBorders>
            <w:vAlign w:val="center"/>
          </w:tcPr>
          <w:p w14:paraId="2699AF7E" w14:textId="0B7BC374" w:rsidR="00A42E17" w:rsidRPr="00D34182" w:rsidRDefault="00A42E17" w:rsidP="00211E9D">
            <w:pPr>
              <w:pStyle w:val="table10pt"/>
            </w:pPr>
            <w:r w:rsidRPr="00D34182">
              <w:t>4.4</w:t>
            </w:r>
          </w:p>
        </w:tc>
        <w:tc>
          <w:tcPr>
            <w:tcW w:w="4057" w:type="dxa"/>
            <w:tcBorders>
              <w:bottom w:val="single" w:sz="4" w:space="0" w:color="auto"/>
            </w:tcBorders>
            <w:vAlign w:val="center"/>
          </w:tcPr>
          <w:p w14:paraId="70EE391B" w14:textId="2605F157" w:rsidR="00A42E17" w:rsidRPr="00D34182" w:rsidRDefault="00A42E17" w:rsidP="00211E9D">
            <w:pPr>
              <w:pStyle w:val="table10pt"/>
            </w:pPr>
            <w:r w:rsidRPr="00D34182">
              <w:t>Review the Parliament House Art Collection for representation of people with disability.</w:t>
            </w:r>
          </w:p>
        </w:tc>
        <w:tc>
          <w:tcPr>
            <w:tcW w:w="1193" w:type="dxa"/>
            <w:tcBorders>
              <w:bottom w:val="single" w:sz="4" w:space="0" w:color="auto"/>
            </w:tcBorders>
            <w:vAlign w:val="center"/>
          </w:tcPr>
          <w:p w14:paraId="7E11B3D2" w14:textId="4D0852EC" w:rsidR="00A42E17" w:rsidRPr="00D34182" w:rsidRDefault="00A42E17" w:rsidP="00211E9D">
            <w:pPr>
              <w:pStyle w:val="table10pt"/>
            </w:pPr>
            <w:r w:rsidRPr="00D34182">
              <w:t>December 2025</w:t>
            </w:r>
          </w:p>
        </w:tc>
        <w:tc>
          <w:tcPr>
            <w:tcW w:w="2445" w:type="dxa"/>
            <w:tcBorders>
              <w:bottom w:val="single" w:sz="4" w:space="0" w:color="auto"/>
            </w:tcBorders>
            <w:vAlign w:val="center"/>
          </w:tcPr>
          <w:p w14:paraId="082C789A" w14:textId="53620A0A" w:rsidR="00A42E17" w:rsidRPr="00D34182" w:rsidRDefault="00A42E17" w:rsidP="00211E9D">
            <w:pPr>
              <w:pStyle w:val="table10pt"/>
            </w:pPr>
            <w:r w:rsidRPr="00D34182">
              <w:t>Art Collections, DPS</w:t>
            </w:r>
          </w:p>
        </w:tc>
      </w:tr>
    </w:tbl>
    <w:p w14:paraId="1D800C49" w14:textId="77777777" w:rsidR="00CE13D2" w:rsidRPr="00CE13D2" w:rsidRDefault="00CE13D2" w:rsidP="00CE13D2">
      <w:pPr>
        <w:pStyle w:val="Heading3"/>
      </w:pPr>
      <w:r w:rsidRPr="00CE13D2">
        <w:lastRenderedPageBreak/>
        <w:t>Meetings and Events at Australian Parliament House</w:t>
      </w:r>
    </w:p>
    <w:tbl>
      <w:tblPr>
        <w:tblStyle w:val="TableGrid"/>
        <w:tblW w:w="8784" w:type="dxa"/>
        <w:tblBorders>
          <w:top w:val="none" w:sz="0" w:space="0" w:color="auto"/>
          <w:left w:val="none" w:sz="0" w:space="0" w:color="auto"/>
          <w:bottom w:val="none" w:sz="0" w:space="0" w:color="auto"/>
          <w:right w:val="none" w:sz="0" w:space="0" w:color="auto"/>
          <w:insideV w:val="none" w:sz="0" w:space="0" w:color="auto"/>
        </w:tblBorders>
        <w:tblCellMar>
          <w:top w:w="113" w:type="dxa"/>
          <w:left w:w="142" w:type="dxa"/>
          <w:bottom w:w="113" w:type="dxa"/>
          <w:right w:w="142" w:type="dxa"/>
        </w:tblCellMar>
        <w:tblLook w:val="04A0" w:firstRow="1" w:lastRow="0" w:firstColumn="1" w:lastColumn="0" w:noHBand="0" w:noVBand="1"/>
      </w:tblPr>
      <w:tblGrid>
        <w:gridCol w:w="1134"/>
        <w:gridCol w:w="4395"/>
        <w:gridCol w:w="1275"/>
        <w:gridCol w:w="1980"/>
      </w:tblGrid>
      <w:tr w:rsidR="00CE13D2" w:rsidRPr="0097500C" w14:paraId="2E8E0854" w14:textId="77777777" w:rsidTr="001030C4">
        <w:trPr>
          <w:trHeight w:val="567"/>
        </w:trPr>
        <w:tc>
          <w:tcPr>
            <w:tcW w:w="1134" w:type="dxa"/>
            <w:tcBorders>
              <w:top w:val="single" w:sz="4" w:space="0" w:color="auto"/>
              <w:bottom w:val="single" w:sz="4" w:space="0" w:color="auto"/>
            </w:tcBorders>
            <w:shd w:val="clear" w:color="auto" w:fill="E8E8E8" w:themeFill="background2"/>
            <w:vAlign w:val="center"/>
          </w:tcPr>
          <w:p w14:paraId="178D38EC" w14:textId="77777777" w:rsidR="00CE13D2" w:rsidRPr="0097500C" w:rsidRDefault="00CE13D2" w:rsidP="00211E9D">
            <w:pPr>
              <w:pStyle w:val="tableheading"/>
            </w:pPr>
            <w:r w:rsidRPr="0097500C">
              <w:t>Number</w:t>
            </w:r>
          </w:p>
        </w:tc>
        <w:tc>
          <w:tcPr>
            <w:tcW w:w="4395" w:type="dxa"/>
            <w:tcBorders>
              <w:top w:val="single" w:sz="4" w:space="0" w:color="auto"/>
              <w:bottom w:val="single" w:sz="4" w:space="0" w:color="auto"/>
            </w:tcBorders>
            <w:shd w:val="clear" w:color="auto" w:fill="E8E8E8" w:themeFill="background2"/>
            <w:vAlign w:val="center"/>
          </w:tcPr>
          <w:p w14:paraId="1FCD8649" w14:textId="77777777" w:rsidR="00CE13D2" w:rsidRPr="0097500C" w:rsidRDefault="00CE13D2" w:rsidP="00211E9D">
            <w:pPr>
              <w:pStyle w:val="tableheading"/>
            </w:pPr>
            <w:r w:rsidRPr="0097500C">
              <w:t>Action</w:t>
            </w:r>
          </w:p>
        </w:tc>
        <w:tc>
          <w:tcPr>
            <w:tcW w:w="1275" w:type="dxa"/>
            <w:tcBorders>
              <w:top w:val="single" w:sz="4" w:space="0" w:color="auto"/>
              <w:bottom w:val="single" w:sz="4" w:space="0" w:color="auto"/>
            </w:tcBorders>
            <w:shd w:val="clear" w:color="auto" w:fill="E8E8E8" w:themeFill="background2"/>
            <w:vAlign w:val="center"/>
          </w:tcPr>
          <w:p w14:paraId="2AA55C1D" w14:textId="77777777" w:rsidR="00CE13D2" w:rsidRPr="0097500C" w:rsidRDefault="00CE13D2" w:rsidP="00211E9D">
            <w:pPr>
              <w:pStyle w:val="tableheading"/>
            </w:pPr>
            <w:r w:rsidRPr="0097500C">
              <w:t>Timeline</w:t>
            </w:r>
          </w:p>
        </w:tc>
        <w:tc>
          <w:tcPr>
            <w:tcW w:w="1980" w:type="dxa"/>
            <w:tcBorders>
              <w:top w:val="single" w:sz="4" w:space="0" w:color="auto"/>
              <w:bottom w:val="single" w:sz="4" w:space="0" w:color="auto"/>
            </w:tcBorders>
            <w:shd w:val="clear" w:color="auto" w:fill="E8E8E8" w:themeFill="background2"/>
            <w:vAlign w:val="center"/>
          </w:tcPr>
          <w:p w14:paraId="24CB83DA" w14:textId="77777777" w:rsidR="00CE13D2" w:rsidRPr="0097500C" w:rsidRDefault="00CE13D2" w:rsidP="00211E9D">
            <w:pPr>
              <w:pStyle w:val="tableheading"/>
            </w:pPr>
            <w:r w:rsidRPr="0097500C">
              <w:t>Responsibility</w:t>
            </w:r>
          </w:p>
        </w:tc>
      </w:tr>
      <w:tr w:rsidR="00211E9D" w:rsidRPr="00295D35" w14:paraId="4991C8F1" w14:textId="77777777" w:rsidTr="001030C4">
        <w:tc>
          <w:tcPr>
            <w:tcW w:w="1134" w:type="dxa"/>
            <w:tcBorders>
              <w:top w:val="single" w:sz="4" w:space="0" w:color="auto"/>
            </w:tcBorders>
            <w:vAlign w:val="center"/>
          </w:tcPr>
          <w:p w14:paraId="19E258F5" w14:textId="5F2718C9" w:rsidR="00211E9D" w:rsidRPr="00295D35" w:rsidRDefault="00211E9D" w:rsidP="00211E9D">
            <w:pPr>
              <w:pStyle w:val="table10pt"/>
            </w:pPr>
            <w:r>
              <w:t>5.1</w:t>
            </w:r>
          </w:p>
        </w:tc>
        <w:tc>
          <w:tcPr>
            <w:tcW w:w="4395" w:type="dxa"/>
            <w:tcBorders>
              <w:top w:val="single" w:sz="4" w:space="0" w:color="auto"/>
            </w:tcBorders>
            <w:vAlign w:val="center"/>
          </w:tcPr>
          <w:p w14:paraId="1B7B6BB3" w14:textId="79EEB042" w:rsidR="00211E9D" w:rsidRPr="00295D35" w:rsidRDefault="00211E9D" w:rsidP="00211E9D">
            <w:pPr>
              <w:pStyle w:val="table10pt"/>
            </w:pPr>
            <w:r>
              <w:t>Develop guidelines for events to improve accessibility and enact reasonable adjustments.</w:t>
            </w:r>
          </w:p>
        </w:tc>
        <w:tc>
          <w:tcPr>
            <w:tcW w:w="1275" w:type="dxa"/>
            <w:tcBorders>
              <w:top w:val="single" w:sz="4" w:space="0" w:color="auto"/>
            </w:tcBorders>
            <w:vAlign w:val="center"/>
          </w:tcPr>
          <w:p w14:paraId="68DF6A72" w14:textId="54ECBAA1" w:rsidR="00211E9D" w:rsidRPr="00295D35" w:rsidRDefault="00211E9D" w:rsidP="00211E9D">
            <w:pPr>
              <w:pStyle w:val="table10pt"/>
            </w:pPr>
            <w:r>
              <w:t>March 2026</w:t>
            </w:r>
          </w:p>
        </w:tc>
        <w:tc>
          <w:tcPr>
            <w:tcW w:w="1980" w:type="dxa"/>
            <w:tcBorders>
              <w:top w:val="single" w:sz="4" w:space="0" w:color="auto"/>
            </w:tcBorders>
            <w:vAlign w:val="center"/>
          </w:tcPr>
          <w:p w14:paraId="5E038F00" w14:textId="18C086A3" w:rsidR="00211E9D" w:rsidRPr="00295D35" w:rsidRDefault="00211E9D" w:rsidP="00211E9D">
            <w:pPr>
              <w:pStyle w:val="table10pt"/>
            </w:pPr>
            <w:r>
              <w:t>Parliamentary Engagement, DPS</w:t>
            </w:r>
          </w:p>
        </w:tc>
      </w:tr>
      <w:tr w:rsidR="00211E9D" w:rsidRPr="00295D35" w14:paraId="16674ECE" w14:textId="77777777" w:rsidTr="00924032">
        <w:tc>
          <w:tcPr>
            <w:tcW w:w="1134" w:type="dxa"/>
            <w:vAlign w:val="center"/>
          </w:tcPr>
          <w:p w14:paraId="78D6AC80" w14:textId="2CF9CE05" w:rsidR="00211E9D" w:rsidRPr="00295D35" w:rsidRDefault="00211E9D" w:rsidP="00211E9D">
            <w:pPr>
              <w:pStyle w:val="table10pt"/>
            </w:pPr>
            <w:r>
              <w:t>5.2</w:t>
            </w:r>
          </w:p>
        </w:tc>
        <w:tc>
          <w:tcPr>
            <w:tcW w:w="4395" w:type="dxa"/>
            <w:vAlign w:val="center"/>
          </w:tcPr>
          <w:p w14:paraId="5EA49A5E" w14:textId="06614F24" w:rsidR="00211E9D" w:rsidRPr="00295D35" w:rsidRDefault="00211E9D" w:rsidP="00211E9D">
            <w:pPr>
              <w:pStyle w:val="table10pt"/>
            </w:pPr>
            <w:r>
              <w:t>Update event management plans to consider access needs.</w:t>
            </w:r>
          </w:p>
        </w:tc>
        <w:tc>
          <w:tcPr>
            <w:tcW w:w="1275" w:type="dxa"/>
            <w:vAlign w:val="center"/>
          </w:tcPr>
          <w:p w14:paraId="6BC2E954" w14:textId="5E25C9D4" w:rsidR="00211E9D" w:rsidRPr="00295D35" w:rsidRDefault="00211E9D" w:rsidP="00211E9D">
            <w:pPr>
              <w:pStyle w:val="table10pt"/>
            </w:pPr>
            <w:r>
              <w:t>June 2026</w:t>
            </w:r>
          </w:p>
        </w:tc>
        <w:tc>
          <w:tcPr>
            <w:tcW w:w="1980" w:type="dxa"/>
            <w:vAlign w:val="center"/>
          </w:tcPr>
          <w:p w14:paraId="2F7E2BE9" w14:textId="6ABCBB3B" w:rsidR="00211E9D" w:rsidRPr="00295D35" w:rsidRDefault="00211E9D" w:rsidP="00211E9D">
            <w:pPr>
              <w:pStyle w:val="table10pt"/>
            </w:pPr>
            <w:r>
              <w:t>Parliamentary Engagement, DPS</w:t>
            </w:r>
          </w:p>
        </w:tc>
      </w:tr>
      <w:tr w:rsidR="00211E9D" w:rsidRPr="00295D35" w14:paraId="142A13A1" w14:textId="77777777" w:rsidTr="00924032">
        <w:tc>
          <w:tcPr>
            <w:tcW w:w="1134" w:type="dxa"/>
            <w:tcBorders>
              <w:bottom w:val="single" w:sz="4" w:space="0" w:color="auto"/>
            </w:tcBorders>
            <w:vAlign w:val="center"/>
          </w:tcPr>
          <w:p w14:paraId="1447016A" w14:textId="6567B1E1" w:rsidR="00211E9D" w:rsidRPr="00295D35" w:rsidRDefault="00211E9D" w:rsidP="00211E9D">
            <w:pPr>
              <w:pStyle w:val="table10pt"/>
            </w:pPr>
            <w:r>
              <w:t>5.3</w:t>
            </w:r>
          </w:p>
        </w:tc>
        <w:tc>
          <w:tcPr>
            <w:tcW w:w="4395" w:type="dxa"/>
            <w:tcBorders>
              <w:bottom w:val="single" w:sz="4" w:space="0" w:color="auto"/>
            </w:tcBorders>
            <w:vAlign w:val="center"/>
          </w:tcPr>
          <w:p w14:paraId="030E0B6A" w14:textId="561FF0B5" w:rsidR="00211E9D" w:rsidRPr="00295D35" w:rsidRDefault="00211E9D" w:rsidP="00211E9D">
            <w:pPr>
              <w:pStyle w:val="table10pt"/>
            </w:pPr>
            <w:r>
              <w:t xml:space="preserve">Create an accessible facilities guide for visitors and guests and research options for a sensory map of Australian Parliament House. </w:t>
            </w:r>
          </w:p>
        </w:tc>
        <w:tc>
          <w:tcPr>
            <w:tcW w:w="1275" w:type="dxa"/>
            <w:tcBorders>
              <w:bottom w:val="single" w:sz="4" w:space="0" w:color="auto"/>
            </w:tcBorders>
            <w:vAlign w:val="center"/>
          </w:tcPr>
          <w:p w14:paraId="4CD8950F" w14:textId="22624625" w:rsidR="00211E9D" w:rsidRPr="00295D35" w:rsidRDefault="00211E9D" w:rsidP="00211E9D">
            <w:pPr>
              <w:pStyle w:val="table10pt"/>
            </w:pPr>
            <w:r>
              <w:t>June 2026</w:t>
            </w:r>
          </w:p>
        </w:tc>
        <w:tc>
          <w:tcPr>
            <w:tcW w:w="1980" w:type="dxa"/>
            <w:tcBorders>
              <w:bottom w:val="single" w:sz="4" w:space="0" w:color="auto"/>
            </w:tcBorders>
            <w:vAlign w:val="center"/>
          </w:tcPr>
          <w:p w14:paraId="2BDB3918" w14:textId="2F29AC9E" w:rsidR="00211E9D" w:rsidRPr="00295D35" w:rsidRDefault="00211E9D" w:rsidP="00211E9D">
            <w:pPr>
              <w:pStyle w:val="table10pt"/>
            </w:pPr>
            <w:r>
              <w:t>Parliamentary Engagement, DPS</w:t>
            </w:r>
          </w:p>
        </w:tc>
      </w:tr>
      <w:tr w:rsidR="00211E9D" w:rsidRPr="00295D35" w14:paraId="75601346" w14:textId="77777777" w:rsidTr="00924032">
        <w:tc>
          <w:tcPr>
            <w:tcW w:w="1134" w:type="dxa"/>
            <w:tcBorders>
              <w:top w:val="single" w:sz="4" w:space="0" w:color="auto"/>
              <w:bottom w:val="single" w:sz="4" w:space="0" w:color="auto"/>
            </w:tcBorders>
            <w:vAlign w:val="center"/>
          </w:tcPr>
          <w:p w14:paraId="2D3FCD06" w14:textId="6CD0058F" w:rsidR="00211E9D" w:rsidRPr="00295D35" w:rsidRDefault="00211E9D" w:rsidP="00211E9D">
            <w:pPr>
              <w:pStyle w:val="table10pt"/>
            </w:pPr>
            <w:r>
              <w:t>5.4</w:t>
            </w:r>
          </w:p>
        </w:tc>
        <w:tc>
          <w:tcPr>
            <w:tcW w:w="4395" w:type="dxa"/>
            <w:tcBorders>
              <w:top w:val="single" w:sz="4" w:space="0" w:color="auto"/>
              <w:bottom w:val="single" w:sz="4" w:space="0" w:color="auto"/>
            </w:tcBorders>
            <w:vAlign w:val="center"/>
          </w:tcPr>
          <w:p w14:paraId="03A9283D" w14:textId="037228D4" w:rsidR="00211E9D" w:rsidRPr="00295D35" w:rsidRDefault="00211E9D" w:rsidP="00211E9D">
            <w:pPr>
              <w:pStyle w:val="table10pt"/>
            </w:pPr>
            <w:r>
              <w:t>Develop accessible tour options, including an accessibility checklist for exhibitions and events.</w:t>
            </w:r>
          </w:p>
        </w:tc>
        <w:tc>
          <w:tcPr>
            <w:tcW w:w="1275" w:type="dxa"/>
            <w:tcBorders>
              <w:top w:val="single" w:sz="4" w:space="0" w:color="auto"/>
              <w:bottom w:val="single" w:sz="4" w:space="0" w:color="auto"/>
            </w:tcBorders>
            <w:vAlign w:val="center"/>
          </w:tcPr>
          <w:p w14:paraId="0B796376" w14:textId="4D94F374" w:rsidR="00211E9D" w:rsidRPr="00295D35" w:rsidRDefault="00211E9D" w:rsidP="00211E9D">
            <w:pPr>
              <w:pStyle w:val="table10pt"/>
            </w:pPr>
            <w:r>
              <w:t>March 2026</w:t>
            </w:r>
          </w:p>
        </w:tc>
        <w:tc>
          <w:tcPr>
            <w:tcW w:w="1980" w:type="dxa"/>
            <w:tcBorders>
              <w:top w:val="single" w:sz="4" w:space="0" w:color="auto"/>
              <w:bottom w:val="single" w:sz="4" w:space="0" w:color="auto"/>
            </w:tcBorders>
            <w:vAlign w:val="center"/>
          </w:tcPr>
          <w:p w14:paraId="4AE95B4A" w14:textId="664C89F2" w:rsidR="00211E9D" w:rsidRPr="00295D35" w:rsidRDefault="00211E9D" w:rsidP="00211E9D">
            <w:pPr>
              <w:pStyle w:val="table10pt"/>
            </w:pPr>
            <w:r>
              <w:t>Parliamentary Engagement, DPS</w:t>
            </w:r>
          </w:p>
        </w:tc>
      </w:tr>
      <w:tr w:rsidR="00211E9D" w:rsidRPr="00295D35" w14:paraId="1D67577B" w14:textId="77777777" w:rsidTr="00924032">
        <w:tc>
          <w:tcPr>
            <w:tcW w:w="1134" w:type="dxa"/>
            <w:tcBorders>
              <w:top w:val="single" w:sz="4" w:space="0" w:color="auto"/>
              <w:bottom w:val="single" w:sz="4" w:space="0" w:color="auto"/>
            </w:tcBorders>
            <w:vAlign w:val="center"/>
          </w:tcPr>
          <w:p w14:paraId="5CE86DB2" w14:textId="2154FCD5" w:rsidR="00211E9D" w:rsidRPr="00295D35" w:rsidRDefault="00211E9D" w:rsidP="00211E9D">
            <w:pPr>
              <w:pStyle w:val="table10pt"/>
            </w:pPr>
            <w:r>
              <w:t xml:space="preserve">5.5 </w:t>
            </w:r>
          </w:p>
        </w:tc>
        <w:tc>
          <w:tcPr>
            <w:tcW w:w="4395" w:type="dxa"/>
            <w:tcBorders>
              <w:top w:val="single" w:sz="4" w:space="0" w:color="auto"/>
              <w:bottom w:val="single" w:sz="4" w:space="0" w:color="auto"/>
            </w:tcBorders>
            <w:vAlign w:val="center"/>
          </w:tcPr>
          <w:p w14:paraId="5BC53980" w14:textId="54742AC7" w:rsidR="00211E9D" w:rsidRPr="00295D35" w:rsidRDefault="00211E9D" w:rsidP="00211E9D">
            <w:pPr>
              <w:pStyle w:val="table10pt"/>
            </w:pPr>
            <w:r>
              <w:t xml:space="preserve">Review and update guidance materials for attendees at parliamentary committees to improve accessibility and reasonable adjustments. </w:t>
            </w:r>
          </w:p>
        </w:tc>
        <w:tc>
          <w:tcPr>
            <w:tcW w:w="1275" w:type="dxa"/>
            <w:tcBorders>
              <w:top w:val="single" w:sz="4" w:space="0" w:color="auto"/>
              <w:bottom w:val="single" w:sz="4" w:space="0" w:color="auto"/>
            </w:tcBorders>
            <w:vAlign w:val="center"/>
          </w:tcPr>
          <w:p w14:paraId="383BDCA9" w14:textId="079A055D" w:rsidR="00211E9D" w:rsidRPr="00295D35" w:rsidRDefault="00211E9D" w:rsidP="00211E9D">
            <w:pPr>
              <w:pStyle w:val="table10pt"/>
            </w:pPr>
            <w:r>
              <w:t>December 2025</w:t>
            </w:r>
          </w:p>
        </w:tc>
        <w:tc>
          <w:tcPr>
            <w:tcW w:w="1980" w:type="dxa"/>
            <w:tcBorders>
              <w:top w:val="single" w:sz="4" w:space="0" w:color="auto"/>
              <w:bottom w:val="single" w:sz="4" w:space="0" w:color="auto"/>
            </w:tcBorders>
            <w:vAlign w:val="center"/>
          </w:tcPr>
          <w:p w14:paraId="6B8D0E37" w14:textId="3ACC77EF" w:rsidR="00211E9D" w:rsidRPr="00295D35" w:rsidRDefault="00211E9D" w:rsidP="00211E9D">
            <w:pPr>
              <w:pStyle w:val="table10pt"/>
            </w:pPr>
            <w:r>
              <w:t>Senate/House of Representative Committee offices</w:t>
            </w:r>
          </w:p>
        </w:tc>
      </w:tr>
      <w:tr w:rsidR="00211E9D" w:rsidRPr="00295D35" w14:paraId="5DF76257" w14:textId="77777777" w:rsidTr="00924032">
        <w:tc>
          <w:tcPr>
            <w:tcW w:w="1134" w:type="dxa"/>
            <w:tcBorders>
              <w:top w:val="single" w:sz="4" w:space="0" w:color="auto"/>
              <w:bottom w:val="single" w:sz="4" w:space="0" w:color="auto"/>
            </w:tcBorders>
            <w:vAlign w:val="center"/>
          </w:tcPr>
          <w:p w14:paraId="16FDBFC6" w14:textId="5121D9AD" w:rsidR="00211E9D" w:rsidRPr="00295D35" w:rsidRDefault="00211E9D" w:rsidP="00211E9D">
            <w:pPr>
              <w:pStyle w:val="table10pt"/>
            </w:pPr>
            <w:r>
              <w:t xml:space="preserve">5.6 </w:t>
            </w:r>
          </w:p>
        </w:tc>
        <w:tc>
          <w:tcPr>
            <w:tcW w:w="4395" w:type="dxa"/>
            <w:tcBorders>
              <w:top w:val="single" w:sz="4" w:space="0" w:color="auto"/>
              <w:bottom w:val="single" w:sz="4" w:space="0" w:color="auto"/>
            </w:tcBorders>
            <w:vAlign w:val="center"/>
          </w:tcPr>
          <w:p w14:paraId="1FB2BA8A" w14:textId="1AA89120" w:rsidR="00211E9D" w:rsidRPr="00295D35" w:rsidRDefault="00211E9D" w:rsidP="00211E9D">
            <w:pPr>
              <w:pStyle w:val="table10pt"/>
            </w:pPr>
            <w:r>
              <w:t xml:space="preserve">Review and update guidance materials to submitters of parliamentary inquiries on inclusivity and accessibility.  </w:t>
            </w:r>
          </w:p>
        </w:tc>
        <w:tc>
          <w:tcPr>
            <w:tcW w:w="1275" w:type="dxa"/>
            <w:tcBorders>
              <w:top w:val="single" w:sz="4" w:space="0" w:color="auto"/>
              <w:bottom w:val="single" w:sz="4" w:space="0" w:color="auto"/>
            </w:tcBorders>
            <w:vAlign w:val="center"/>
          </w:tcPr>
          <w:p w14:paraId="26AB0F09" w14:textId="4FD432D8" w:rsidR="00211E9D" w:rsidRPr="00295D35" w:rsidRDefault="00211E9D" w:rsidP="00211E9D">
            <w:pPr>
              <w:pStyle w:val="table10pt"/>
            </w:pPr>
            <w:r>
              <w:t>December 2025</w:t>
            </w:r>
          </w:p>
        </w:tc>
        <w:tc>
          <w:tcPr>
            <w:tcW w:w="1980" w:type="dxa"/>
            <w:tcBorders>
              <w:top w:val="single" w:sz="4" w:space="0" w:color="auto"/>
              <w:bottom w:val="single" w:sz="4" w:space="0" w:color="auto"/>
            </w:tcBorders>
            <w:vAlign w:val="center"/>
          </w:tcPr>
          <w:p w14:paraId="0B6C8A04" w14:textId="1AAF677B" w:rsidR="00211E9D" w:rsidRPr="00295D35" w:rsidRDefault="00211E9D" w:rsidP="00211E9D">
            <w:pPr>
              <w:pStyle w:val="table10pt"/>
            </w:pPr>
            <w:r>
              <w:t xml:space="preserve">Senate/House of Representative Committee offices </w:t>
            </w:r>
          </w:p>
        </w:tc>
      </w:tr>
      <w:tr w:rsidR="00211E9D" w:rsidRPr="00295D35" w14:paraId="69145730" w14:textId="77777777" w:rsidTr="00924032">
        <w:tc>
          <w:tcPr>
            <w:tcW w:w="1134" w:type="dxa"/>
            <w:tcBorders>
              <w:top w:val="single" w:sz="4" w:space="0" w:color="auto"/>
              <w:bottom w:val="single" w:sz="4" w:space="0" w:color="auto"/>
            </w:tcBorders>
            <w:vAlign w:val="center"/>
          </w:tcPr>
          <w:p w14:paraId="34883909" w14:textId="56219972" w:rsidR="00211E9D" w:rsidRPr="00295D35" w:rsidRDefault="00211E9D" w:rsidP="00211E9D">
            <w:pPr>
              <w:pStyle w:val="table10pt"/>
            </w:pPr>
            <w:r>
              <w:t>5.7</w:t>
            </w:r>
          </w:p>
        </w:tc>
        <w:tc>
          <w:tcPr>
            <w:tcW w:w="4395" w:type="dxa"/>
            <w:tcBorders>
              <w:top w:val="single" w:sz="4" w:space="0" w:color="auto"/>
              <w:bottom w:val="single" w:sz="4" w:space="0" w:color="auto"/>
            </w:tcBorders>
            <w:vAlign w:val="center"/>
          </w:tcPr>
          <w:p w14:paraId="6900E93B" w14:textId="62089A5B" w:rsidR="00211E9D" w:rsidRPr="00295D35" w:rsidRDefault="00211E9D" w:rsidP="00211E9D">
            <w:pPr>
              <w:pStyle w:val="table10pt"/>
            </w:pPr>
            <w:r>
              <w:t xml:space="preserve">Review forms and documents given to witnesses to ensure they meet accessibility requirements, and explore alternative formats if required. </w:t>
            </w:r>
          </w:p>
        </w:tc>
        <w:tc>
          <w:tcPr>
            <w:tcW w:w="1275" w:type="dxa"/>
            <w:tcBorders>
              <w:top w:val="single" w:sz="4" w:space="0" w:color="auto"/>
              <w:bottom w:val="single" w:sz="4" w:space="0" w:color="auto"/>
            </w:tcBorders>
            <w:vAlign w:val="center"/>
          </w:tcPr>
          <w:p w14:paraId="630069E7" w14:textId="7F167D21" w:rsidR="00211E9D" w:rsidRPr="00295D35" w:rsidRDefault="00211E9D" w:rsidP="00211E9D">
            <w:pPr>
              <w:pStyle w:val="table10pt"/>
            </w:pPr>
            <w:r>
              <w:t>July 2026</w:t>
            </w:r>
          </w:p>
        </w:tc>
        <w:tc>
          <w:tcPr>
            <w:tcW w:w="1980" w:type="dxa"/>
            <w:tcBorders>
              <w:top w:val="single" w:sz="4" w:space="0" w:color="auto"/>
              <w:bottom w:val="single" w:sz="4" w:space="0" w:color="auto"/>
            </w:tcBorders>
            <w:vAlign w:val="center"/>
          </w:tcPr>
          <w:p w14:paraId="21EBAB38" w14:textId="1CCB66A8" w:rsidR="00211E9D" w:rsidRPr="00295D35" w:rsidRDefault="00211E9D" w:rsidP="00211E9D">
            <w:pPr>
              <w:pStyle w:val="table10pt"/>
            </w:pPr>
            <w:r>
              <w:t xml:space="preserve">Senate/House of Representative Committee offices </w:t>
            </w:r>
          </w:p>
        </w:tc>
      </w:tr>
    </w:tbl>
    <w:p w14:paraId="476CF28E" w14:textId="77777777" w:rsidR="00DA4E94" w:rsidRDefault="00DA4E94">
      <w:pPr>
        <w:spacing w:after="160" w:line="278" w:lineRule="auto"/>
        <w:rPr>
          <w:rFonts w:asciiTheme="majorHAnsi" w:eastAsiaTheme="majorEastAsia" w:hAnsiTheme="majorHAnsi" w:cstheme="majorBidi"/>
          <w:b/>
          <w:bCs/>
          <w:sz w:val="36"/>
          <w:szCs w:val="32"/>
          <w:lang w:val="en-US"/>
        </w:rPr>
      </w:pPr>
      <w:r>
        <w:br w:type="page"/>
      </w:r>
    </w:p>
    <w:p w14:paraId="0E4850CC" w14:textId="61EC75B8" w:rsidR="00F22976" w:rsidRPr="00F22976" w:rsidRDefault="00F22976" w:rsidP="00F22976">
      <w:pPr>
        <w:pStyle w:val="Heading2"/>
      </w:pPr>
      <w:r w:rsidRPr="00F22976">
        <w:lastRenderedPageBreak/>
        <w:t>Pillar 3: Accessible Workplaces and Digital Environments</w:t>
      </w:r>
    </w:p>
    <w:p w14:paraId="07505CEF" w14:textId="77777777" w:rsidR="00F22976" w:rsidRDefault="00F22976" w:rsidP="00F22976">
      <w:pPr>
        <w:rPr>
          <w:i/>
          <w:iCs/>
          <w:lang w:val="en-US"/>
        </w:rPr>
      </w:pPr>
      <w:r w:rsidRPr="00F22976">
        <w:rPr>
          <w:i/>
          <w:iCs/>
          <w:lang w:val="en-US"/>
        </w:rPr>
        <w:t>Focus: Creating physically and digitally accessible workplaces and public spaces.</w:t>
      </w:r>
    </w:p>
    <w:p w14:paraId="156678F0" w14:textId="77777777" w:rsidR="006F2E67" w:rsidRDefault="006F2E67" w:rsidP="006F2E67">
      <w:pPr>
        <w:pStyle w:val="Heading3"/>
        <w:rPr>
          <w:lang w:val="en-US"/>
        </w:rPr>
      </w:pPr>
      <w:r w:rsidRPr="006F2E67">
        <w:rPr>
          <w:lang w:val="en-US"/>
        </w:rPr>
        <w:t>Accessibility across Australian Parliament House</w:t>
      </w:r>
    </w:p>
    <w:tbl>
      <w:tblPr>
        <w:tblStyle w:val="TableGrid"/>
        <w:tblW w:w="8784" w:type="dxa"/>
        <w:tblBorders>
          <w:top w:val="none" w:sz="0" w:space="0" w:color="auto"/>
          <w:left w:val="none" w:sz="0" w:space="0" w:color="auto"/>
          <w:bottom w:val="none" w:sz="0" w:space="0" w:color="auto"/>
          <w:right w:val="none" w:sz="0" w:space="0" w:color="auto"/>
          <w:insideV w:val="none" w:sz="0" w:space="0" w:color="auto"/>
        </w:tblBorders>
        <w:tblCellMar>
          <w:top w:w="113" w:type="dxa"/>
          <w:left w:w="142" w:type="dxa"/>
          <w:bottom w:w="113" w:type="dxa"/>
          <w:right w:w="142" w:type="dxa"/>
        </w:tblCellMar>
        <w:tblLook w:val="04A0" w:firstRow="1" w:lastRow="0" w:firstColumn="1" w:lastColumn="0" w:noHBand="0" w:noVBand="1"/>
      </w:tblPr>
      <w:tblGrid>
        <w:gridCol w:w="1134"/>
        <w:gridCol w:w="4395"/>
        <w:gridCol w:w="1275"/>
        <w:gridCol w:w="1980"/>
      </w:tblGrid>
      <w:tr w:rsidR="006F2E67" w:rsidRPr="0097500C" w14:paraId="67E7B111" w14:textId="77777777" w:rsidTr="001030C4">
        <w:trPr>
          <w:trHeight w:val="567"/>
        </w:trPr>
        <w:tc>
          <w:tcPr>
            <w:tcW w:w="1134" w:type="dxa"/>
            <w:tcBorders>
              <w:top w:val="single" w:sz="4" w:space="0" w:color="auto"/>
              <w:bottom w:val="single" w:sz="4" w:space="0" w:color="auto"/>
            </w:tcBorders>
            <w:shd w:val="clear" w:color="auto" w:fill="E8E8E8" w:themeFill="background2"/>
            <w:vAlign w:val="center"/>
          </w:tcPr>
          <w:p w14:paraId="6E6EB71D" w14:textId="77777777" w:rsidR="006F2E67" w:rsidRPr="0097500C" w:rsidRDefault="006F2E67" w:rsidP="00E03196">
            <w:pPr>
              <w:pStyle w:val="tableheading"/>
            </w:pPr>
            <w:r w:rsidRPr="0097500C">
              <w:t>Number</w:t>
            </w:r>
          </w:p>
        </w:tc>
        <w:tc>
          <w:tcPr>
            <w:tcW w:w="4395" w:type="dxa"/>
            <w:tcBorders>
              <w:top w:val="single" w:sz="4" w:space="0" w:color="auto"/>
              <w:bottom w:val="single" w:sz="4" w:space="0" w:color="auto"/>
            </w:tcBorders>
            <w:shd w:val="clear" w:color="auto" w:fill="E8E8E8" w:themeFill="background2"/>
            <w:vAlign w:val="center"/>
          </w:tcPr>
          <w:p w14:paraId="2873BC5D" w14:textId="77777777" w:rsidR="006F2E67" w:rsidRPr="0097500C" w:rsidRDefault="006F2E67" w:rsidP="00E03196">
            <w:pPr>
              <w:pStyle w:val="tableheading"/>
            </w:pPr>
            <w:r w:rsidRPr="0097500C">
              <w:t>Action</w:t>
            </w:r>
          </w:p>
        </w:tc>
        <w:tc>
          <w:tcPr>
            <w:tcW w:w="1275" w:type="dxa"/>
            <w:tcBorders>
              <w:top w:val="single" w:sz="4" w:space="0" w:color="auto"/>
              <w:bottom w:val="single" w:sz="4" w:space="0" w:color="auto"/>
            </w:tcBorders>
            <w:shd w:val="clear" w:color="auto" w:fill="E8E8E8" w:themeFill="background2"/>
            <w:vAlign w:val="center"/>
          </w:tcPr>
          <w:p w14:paraId="7B0DF3C1" w14:textId="77777777" w:rsidR="006F2E67" w:rsidRPr="0097500C" w:rsidRDefault="006F2E67" w:rsidP="00E03196">
            <w:pPr>
              <w:pStyle w:val="tableheading"/>
            </w:pPr>
            <w:r w:rsidRPr="0097500C">
              <w:t>Timeline</w:t>
            </w:r>
          </w:p>
        </w:tc>
        <w:tc>
          <w:tcPr>
            <w:tcW w:w="1980" w:type="dxa"/>
            <w:tcBorders>
              <w:top w:val="single" w:sz="4" w:space="0" w:color="auto"/>
              <w:bottom w:val="single" w:sz="4" w:space="0" w:color="auto"/>
            </w:tcBorders>
            <w:shd w:val="clear" w:color="auto" w:fill="E8E8E8" w:themeFill="background2"/>
            <w:vAlign w:val="center"/>
          </w:tcPr>
          <w:p w14:paraId="614D2740" w14:textId="77777777" w:rsidR="006F2E67" w:rsidRPr="0097500C" w:rsidRDefault="006F2E67" w:rsidP="00E03196">
            <w:pPr>
              <w:pStyle w:val="tableheading"/>
            </w:pPr>
            <w:r w:rsidRPr="0097500C">
              <w:t>Responsibility</w:t>
            </w:r>
          </w:p>
        </w:tc>
      </w:tr>
      <w:tr w:rsidR="006F2E67" w:rsidRPr="00295D35" w14:paraId="43E3881A" w14:textId="77777777" w:rsidTr="001030C4">
        <w:tc>
          <w:tcPr>
            <w:tcW w:w="1134" w:type="dxa"/>
            <w:tcBorders>
              <w:top w:val="single" w:sz="4" w:space="0" w:color="auto"/>
              <w:bottom w:val="single" w:sz="4" w:space="0" w:color="auto"/>
            </w:tcBorders>
            <w:vAlign w:val="center"/>
          </w:tcPr>
          <w:p w14:paraId="3E80CBD1" w14:textId="11017986" w:rsidR="006F2E67" w:rsidRPr="00295D35" w:rsidRDefault="006F2E67" w:rsidP="006F2E67">
            <w:pPr>
              <w:pStyle w:val="table10pt"/>
            </w:pPr>
            <w:r>
              <w:t>6.1</w:t>
            </w:r>
          </w:p>
        </w:tc>
        <w:tc>
          <w:tcPr>
            <w:tcW w:w="4395" w:type="dxa"/>
            <w:tcBorders>
              <w:top w:val="single" w:sz="4" w:space="0" w:color="auto"/>
              <w:bottom w:val="single" w:sz="4" w:space="0" w:color="auto"/>
            </w:tcBorders>
            <w:vAlign w:val="center"/>
          </w:tcPr>
          <w:p w14:paraId="6E17E751" w14:textId="009FBC09" w:rsidR="006F2E67" w:rsidRPr="00295D35" w:rsidRDefault="006F2E67" w:rsidP="006F2E67">
            <w:pPr>
              <w:pStyle w:val="table10pt"/>
            </w:pPr>
            <w:r>
              <w:t>Each department to commence a baseline assessment of physical, sensory and cognitive accessibility of the workplace.</w:t>
            </w:r>
          </w:p>
        </w:tc>
        <w:tc>
          <w:tcPr>
            <w:tcW w:w="1275" w:type="dxa"/>
            <w:tcBorders>
              <w:top w:val="single" w:sz="4" w:space="0" w:color="auto"/>
              <w:bottom w:val="single" w:sz="4" w:space="0" w:color="auto"/>
            </w:tcBorders>
            <w:vAlign w:val="center"/>
          </w:tcPr>
          <w:p w14:paraId="2611F8D3" w14:textId="0AFD5B26" w:rsidR="006F2E67" w:rsidRPr="00295D35" w:rsidRDefault="006F2E67" w:rsidP="006F2E67">
            <w:pPr>
              <w:pStyle w:val="table10pt"/>
            </w:pPr>
            <w:r>
              <w:t>March 2026</w:t>
            </w:r>
          </w:p>
        </w:tc>
        <w:tc>
          <w:tcPr>
            <w:tcW w:w="1980" w:type="dxa"/>
            <w:tcBorders>
              <w:top w:val="single" w:sz="4" w:space="0" w:color="auto"/>
              <w:bottom w:val="single" w:sz="4" w:space="0" w:color="auto"/>
            </w:tcBorders>
            <w:vAlign w:val="center"/>
          </w:tcPr>
          <w:p w14:paraId="1A838DCC" w14:textId="349E64EC" w:rsidR="006F2E67" w:rsidRPr="00295D35" w:rsidRDefault="006F2E67" w:rsidP="006F2E67">
            <w:pPr>
              <w:pStyle w:val="table10pt"/>
            </w:pPr>
            <w:r>
              <w:t>AICG Champions</w:t>
            </w:r>
          </w:p>
        </w:tc>
      </w:tr>
      <w:tr w:rsidR="006F2E67" w:rsidRPr="00295D35" w14:paraId="529D7EFD" w14:textId="77777777" w:rsidTr="006F2E67">
        <w:tc>
          <w:tcPr>
            <w:tcW w:w="1134" w:type="dxa"/>
            <w:tcBorders>
              <w:top w:val="single" w:sz="4" w:space="0" w:color="auto"/>
              <w:bottom w:val="single" w:sz="4" w:space="0" w:color="auto"/>
            </w:tcBorders>
            <w:vAlign w:val="center"/>
          </w:tcPr>
          <w:p w14:paraId="0AE921BE" w14:textId="3B9285D8" w:rsidR="006F2E67" w:rsidRPr="00295D35" w:rsidRDefault="006F2E67" w:rsidP="006F2E67">
            <w:pPr>
              <w:pStyle w:val="table10pt"/>
            </w:pPr>
            <w:r>
              <w:t>6.2</w:t>
            </w:r>
          </w:p>
        </w:tc>
        <w:tc>
          <w:tcPr>
            <w:tcW w:w="4395" w:type="dxa"/>
            <w:tcBorders>
              <w:top w:val="single" w:sz="4" w:space="0" w:color="auto"/>
              <w:bottom w:val="single" w:sz="4" w:space="0" w:color="auto"/>
            </w:tcBorders>
            <w:vAlign w:val="center"/>
          </w:tcPr>
          <w:p w14:paraId="2CC036C3" w14:textId="7F2571F7" w:rsidR="006F2E67" w:rsidRPr="00295D35" w:rsidRDefault="006F2E67" w:rsidP="006F2E67">
            <w:pPr>
              <w:pStyle w:val="table10pt"/>
            </w:pPr>
            <w:r>
              <w:t xml:space="preserve">Review of physical accessibility across APH in line with outcomes detailed in the Dignified Access Review. </w:t>
            </w:r>
          </w:p>
        </w:tc>
        <w:tc>
          <w:tcPr>
            <w:tcW w:w="1275" w:type="dxa"/>
            <w:tcBorders>
              <w:top w:val="single" w:sz="4" w:space="0" w:color="auto"/>
              <w:bottom w:val="single" w:sz="4" w:space="0" w:color="auto"/>
            </w:tcBorders>
            <w:vAlign w:val="center"/>
          </w:tcPr>
          <w:p w14:paraId="6501AE47" w14:textId="5A92059E" w:rsidR="006F2E67" w:rsidRPr="00295D35" w:rsidRDefault="006F2E67" w:rsidP="006F2E67">
            <w:pPr>
              <w:pStyle w:val="table10pt"/>
            </w:pPr>
            <w:r>
              <w:t>Ongoing</w:t>
            </w:r>
          </w:p>
        </w:tc>
        <w:tc>
          <w:tcPr>
            <w:tcW w:w="1980" w:type="dxa"/>
            <w:tcBorders>
              <w:top w:val="single" w:sz="4" w:space="0" w:color="auto"/>
              <w:bottom w:val="single" w:sz="4" w:space="0" w:color="auto"/>
            </w:tcBorders>
            <w:vAlign w:val="center"/>
          </w:tcPr>
          <w:p w14:paraId="0C87D906" w14:textId="2EEE6607" w:rsidR="006F2E67" w:rsidRPr="00295D35" w:rsidRDefault="006F2E67" w:rsidP="006F2E67">
            <w:pPr>
              <w:pStyle w:val="table10pt"/>
            </w:pPr>
            <w:r>
              <w:t>AICG Champions</w:t>
            </w:r>
          </w:p>
        </w:tc>
      </w:tr>
    </w:tbl>
    <w:p w14:paraId="57F2F1BB" w14:textId="77777777" w:rsidR="00B34484" w:rsidRPr="00B34484" w:rsidRDefault="00B34484" w:rsidP="00B34484">
      <w:pPr>
        <w:pStyle w:val="Heading3"/>
        <w:rPr>
          <w:lang w:val="en-US"/>
        </w:rPr>
      </w:pPr>
      <w:r w:rsidRPr="00B34484">
        <w:rPr>
          <w:lang w:val="en-US"/>
        </w:rPr>
        <w:t>Digital Accessibility</w:t>
      </w:r>
    </w:p>
    <w:tbl>
      <w:tblPr>
        <w:tblStyle w:val="TableGrid"/>
        <w:tblW w:w="8784" w:type="dxa"/>
        <w:tblBorders>
          <w:top w:val="none" w:sz="0" w:space="0" w:color="auto"/>
          <w:left w:val="none" w:sz="0" w:space="0" w:color="auto"/>
          <w:bottom w:val="none" w:sz="0" w:space="0" w:color="auto"/>
          <w:right w:val="none" w:sz="0" w:space="0" w:color="auto"/>
          <w:insideV w:val="none" w:sz="0" w:space="0" w:color="auto"/>
        </w:tblBorders>
        <w:tblCellMar>
          <w:top w:w="113" w:type="dxa"/>
          <w:left w:w="142" w:type="dxa"/>
          <w:bottom w:w="113" w:type="dxa"/>
          <w:right w:w="142" w:type="dxa"/>
        </w:tblCellMar>
        <w:tblLook w:val="04A0" w:firstRow="1" w:lastRow="0" w:firstColumn="1" w:lastColumn="0" w:noHBand="0" w:noVBand="1"/>
      </w:tblPr>
      <w:tblGrid>
        <w:gridCol w:w="1134"/>
        <w:gridCol w:w="4395"/>
        <w:gridCol w:w="1275"/>
        <w:gridCol w:w="1980"/>
      </w:tblGrid>
      <w:tr w:rsidR="00B34484" w:rsidRPr="0097500C" w14:paraId="14C49B5C" w14:textId="77777777" w:rsidTr="001030C4">
        <w:trPr>
          <w:trHeight w:val="567"/>
        </w:trPr>
        <w:tc>
          <w:tcPr>
            <w:tcW w:w="1134" w:type="dxa"/>
            <w:tcBorders>
              <w:top w:val="single" w:sz="4" w:space="0" w:color="auto"/>
              <w:bottom w:val="single" w:sz="4" w:space="0" w:color="auto"/>
            </w:tcBorders>
            <w:shd w:val="clear" w:color="auto" w:fill="E8E8E8" w:themeFill="background2"/>
            <w:vAlign w:val="center"/>
          </w:tcPr>
          <w:p w14:paraId="51FAAF16" w14:textId="77777777" w:rsidR="00B34484" w:rsidRPr="0097500C" w:rsidRDefault="00B34484" w:rsidP="00E03196">
            <w:pPr>
              <w:pStyle w:val="tableheading"/>
            </w:pPr>
            <w:r w:rsidRPr="0097500C">
              <w:t>Number</w:t>
            </w:r>
          </w:p>
        </w:tc>
        <w:tc>
          <w:tcPr>
            <w:tcW w:w="4395" w:type="dxa"/>
            <w:tcBorders>
              <w:top w:val="single" w:sz="4" w:space="0" w:color="auto"/>
              <w:bottom w:val="single" w:sz="4" w:space="0" w:color="auto"/>
            </w:tcBorders>
            <w:shd w:val="clear" w:color="auto" w:fill="E8E8E8" w:themeFill="background2"/>
            <w:vAlign w:val="center"/>
          </w:tcPr>
          <w:p w14:paraId="191BC8F2" w14:textId="77777777" w:rsidR="00B34484" w:rsidRPr="0097500C" w:rsidRDefault="00B34484" w:rsidP="00E03196">
            <w:pPr>
              <w:pStyle w:val="tableheading"/>
            </w:pPr>
            <w:r w:rsidRPr="0097500C">
              <w:t>Action</w:t>
            </w:r>
          </w:p>
        </w:tc>
        <w:tc>
          <w:tcPr>
            <w:tcW w:w="1275" w:type="dxa"/>
            <w:tcBorders>
              <w:top w:val="single" w:sz="4" w:space="0" w:color="auto"/>
              <w:bottom w:val="single" w:sz="4" w:space="0" w:color="auto"/>
            </w:tcBorders>
            <w:shd w:val="clear" w:color="auto" w:fill="E8E8E8" w:themeFill="background2"/>
            <w:vAlign w:val="center"/>
          </w:tcPr>
          <w:p w14:paraId="59F8993F" w14:textId="77777777" w:rsidR="00B34484" w:rsidRPr="0097500C" w:rsidRDefault="00B34484" w:rsidP="00E03196">
            <w:pPr>
              <w:pStyle w:val="tableheading"/>
            </w:pPr>
            <w:r w:rsidRPr="0097500C">
              <w:t>Timeline</w:t>
            </w:r>
          </w:p>
        </w:tc>
        <w:tc>
          <w:tcPr>
            <w:tcW w:w="1980" w:type="dxa"/>
            <w:tcBorders>
              <w:top w:val="single" w:sz="4" w:space="0" w:color="auto"/>
              <w:bottom w:val="single" w:sz="4" w:space="0" w:color="auto"/>
            </w:tcBorders>
            <w:shd w:val="clear" w:color="auto" w:fill="E8E8E8" w:themeFill="background2"/>
            <w:vAlign w:val="center"/>
          </w:tcPr>
          <w:p w14:paraId="311BDB9B" w14:textId="77777777" w:rsidR="00B34484" w:rsidRPr="0097500C" w:rsidRDefault="00B34484" w:rsidP="00E03196">
            <w:pPr>
              <w:pStyle w:val="tableheading"/>
            </w:pPr>
            <w:r w:rsidRPr="0097500C">
              <w:t>Responsibility</w:t>
            </w:r>
          </w:p>
        </w:tc>
      </w:tr>
      <w:tr w:rsidR="00503FAD" w:rsidRPr="00295D35" w14:paraId="1F7FB8EB" w14:textId="77777777" w:rsidTr="001030C4">
        <w:tc>
          <w:tcPr>
            <w:tcW w:w="1134" w:type="dxa"/>
            <w:tcBorders>
              <w:top w:val="single" w:sz="4" w:space="0" w:color="auto"/>
            </w:tcBorders>
            <w:vAlign w:val="center"/>
          </w:tcPr>
          <w:p w14:paraId="5588C7ED" w14:textId="3183735E" w:rsidR="00503FAD" w:rsidRPr="00503FAD" w:rsidRDefault="00503FAD" w:rsidP="00503FAD">
            <w:pPr>
              <w:pStyle w:val="table10pt"/>
            </w:pPr>
            <w:r w:rsidRPr="00503FAD">
              <w:t>7.1</w:t>
            </w:r>
          </w:p>
        </w:tc>
        <w:tc>
          <w:tcPr>
            <w:tcW w:w="4395" w:type="dxa"/>
            <w:tcBorders>
              <w:top w:val="single" w:sz="4" w:space="0" w:color="auto"/>
            </w:tcBorders>
            <w:vAlign w:val="center"/>
          </w:tcPr>
          <w:p w14:paraId="29EE57FA" w14:textId="77777777" w:rsidR="00503FAD" w:rsidRPr="00503FAD" w:rsidRDefault="00503FAD" w:rsidP="00503FAD">
            <w:pPr>
              <w:pStyle w:val="table10pt"/>
            </w:pPr>
            <w:r w:rsidRPr="00503FAD">
              <w:t>Align digital accessibility with the Parliament of Australia Digital Strategy 2023–2027 including:</w:t>
            </w:r>
          </w:p>
          <w:p w14:paraId="37B1CE37" w14:textId="77777777" w:rsidR="00503FAD" w:rsidRPr="00503FAD" w:rsidRDefault="00503FAD" w:rsidP="009F1A50">
            <w:pPr>
              <w:pStyle w:val="tablelist"/>
            </w:pPr>
            <w:r w:rsidRPr="00503FAD">
              <w:t>WCAG Compliance</w:t>
            </w:r>
          </w:p>
          <w:p w14:paraId="3B40D6E4" w14:textId="77777777" w:rsidR="00503FAD" w:rsidRPr="00503FAD" w:rsidRDefault="00503FAD" w:rsidP="009F1A50">
            <w:pPr>
              <w:pStyle w:val="tablelist"/>
            </w:pPr>
            <w:r w:rsidRPr="00503FAD">
              <w:t>APH Website W3C best practice, and</w:t>
            </w:r>
          </w:p>
          <w:p w14:paraId="7B6AAF14" w14:textId="4180CA89" w:rsidR="00503FAD" w:rsidRPr="00503FAD" w:rsidRDefault="00503FAD" w:rsidP="009F1A50">
            <w:pPr>
              <w:pStyle w:val="tablelist"/>
            </w:pPr>
            <w:r w:rsidRPr="00503FAD">
              <w:t>Departmental Intranet W3C compliance.</w:t>
            </w:r>
          </w:p>
        </w:tc>
        <w:tc>
          <w:tcPr>
            <w:tcW w:w="1275" w:type="dxa"/>
            <w:tcBorders>
              <w:top w:val="single" w:sz="4" w:space="0" w:color="auto"/>
            </w:tcBorders>
            <w:vAlign w:val="center"/>
          </w:tcPr>
          <w:p w14:paraId="46CB8641" w14:textId="231C12A8" w:rsidR="00503FAD" w:rsidRPr="00503FAD" w:rsidRDefault="00503FAD" w:rsidP="00503FAD">
            <w:pPr>
              <w:pStyle w:val="table10pt"/>
            </w:pPr>
            <w:r w:rsidRPr="00503FAD">
              <w:t>June 2026</w:t>
            </w:r>
          </w:p>
        </w:tc>
        <w:tc>
          <w:tcPr>
            <w:tcW w:w="1980" w:type="dxa"/>
            <w:tcBorders>
              <w:top w:val="single" w:sz="4" w:space="0" w:color="auto"/>
            </w:tcBorders>
            <w:vAlign w:val="center"/>
          </w:tcPr>
          <w:p w14:paraId="08EA4C59" w14:textId="539E5F0C" w:rsidR="00503FAD" w:rsidRPr="00503FAD" w:rsidRDefault="00503FAD" w:rsidP="00503FAD">
            <w:pPr>
              <w:pStyle w:val="table10pt"/>
            </w:pPr>
            <w:r w:rsidRPr="00503FAD">
              <w:t>Chief Information Officer, DPS</w:t>
            </w:r>
          </w:p>
        </w:tc>
      </w:tr>
      <w:tr w:rsidR="00503FAD" w:rsidRPr="00295D35" w14:paraId="274D9715" w14:textId="77777777" w:rsidTr="00E03196">
        <w:tc>
          <w:tcPr>
            <w:tcW w:w="1134" w:type="dxa"/>
            <w:vAlign w:val="center"/>
          </w:tcPr>
          <w:p w14:paraId="01E5C6E6" w14:textId="11EACB2A" w:rsidR="00503FAD" w:rsidRPr="00503FAD" w:rsidRDefault="00503FAD" w:rsidP="00503FAD">
            <w:pPr>
              <w:pStyle w:val="table10pt"/>
            </w:pPr>
            <w:r w:rsidRPr="00503FAD">
              <w:t>7.2</w:t>
            </w:r>
          </w:p>
        </w:tc>
        <w:tc>
          <w:tcPr>
            <w:tcW w:w="4395" w:type="dxa"/>
            <w:vAlign w:val="center"/>
          </w:tcPr>
          <w:p w14:paraId="670C0985" w14:textId="24D87A7C" w:rsidR="00503FAD" w:rsidRPr="00503FAD" w:rsidRDefault="00503FAD" w:rsidP="00503FAD">
            <w:pPr>
              <w:pStyle w:val="table10pt"/>
            </w:pPr>
            <w:r w:rsidRPr="00503FAD">
              <w:t>Review the visitor bookings process for physical, sensory and cognitive accessibility.</w:t>
            </w:r>
          </w:p>
        </w:tc>
        <w:tc>
          <w:tcPr>
            <w:tcW w:w="1275" w:type="dxa"/>
            <w:vAlign w:val="center"/>
          </w:tcPr>
          <w:p w14:paraId="53D6145A" w14:textId="607155C3" w:rsidR="00503FAD" w:rsidRPr="00503FAD" w:rsidRDefault="00503FAD" w:rsidP="00503FAD">
            <w:pPr>
              <w:pStyle w:val="table10pt"/>
            </w:pPr>
            <w:r w:rsidRPr="00503FAD">
              <w:t>April 2026</w:t>
            </w:r>
          </w:p>
        </w:tc>
        <w:tc>
          <w:tcPr>
            <w:tcW w:w="1980" w:type="dxa"/>
            <w:vAlign w:val="center"/>
          </w:tcPr>
          <w:p w14:paraId="56D793CA" w14:textId="0CAC3447" w:rsidR="00503FAD" w:rsidRPr="00503FAD" w:rsidRDefault="00503FAD" w:rsidP="00503FAD">
            <w:pPr>
              <w:pStyle w:val="table10pt"/>
            </w:pPr>
            <w:r w:rsidRPr="00503FAD">
              <w:t>Parliamentary Engagement, DPS</w:t>
            </w:r>
          </w:p>
        </w:tc>
      </w:tr>
      <w:tr w:rsidR="00503FAD" w:rsidRPr="00295D35" w14:paraId="0451E1BA" w14:textId="77777777" w:rsidTr="00E03196">
        <w:tc>
          <w:tcPr>
            <w:tcW w:w="1134" w:type="dxa"/>
            <w:tcBorders>
              <w:bottom w:val="single" w:sz="4" w:space="0" w:color="auto"/>
            </w:tcBorders>
            <w:vAlign w:val="center"/>
          </w:tcPr>
          <w:p w14:paraId="66A9CD47" w14:textId="49E9A530" w:rsidR="00503FAD" w:rsidRPr="00503FAD" w:rsidRDefault="00503FAD" w:rsidP="00503FAD">
            <w:pPr>
              <w:pStyle w:val="table10pt"/>
            </w:pPr>
            <w:r w:rsidRPr="00503FAD">
              <w:t>7.3</w:t>
            </w:r>
          </w:p>
        </w:tc>
        <w:tc>
          <w:tcPr>
            <w:tcW w:w="4395" w:type="dxa"/>
            <w:tcBorders>
              <w:bottom w:val="single" w:sz="4" w:space="0" w:color="auto"/>
            </w:tcBorders>
            <w:vAlign w:val="center"/>
          </w:tcPr>
          <w:p w14:paraId="1B351608" w14:textId="0E30B6DD" w:rsidR="00503FAD" w:rsidRPr="00503FAD" w:rsidRDefault="00503FAD" w:rsidP="00503FAD">
            <w:pPr>
              <w:pStyle w:val="table10pt"/>
            </w:pPr>
            <w:r w:rsidRPr="00503FAD">
              <w:t>Explore an alternative Hansard transcript for witnesses who require an adjustment due to factors such as disability, limited literacy and/or challenges with comprehension (e.g. larger font, more white space, smaller segments)</w:t>
            </w:r>
          </w:p>
        </w:tc>
        <w:tc>
          <w:tcPr>
            <w:tcW w:w="1275" w:type="dxa"/>
            <w:tcBorders>
              <w:bottom w:val="single" w:sz="4" w:space="0" w:color="auto"/>
            </w:tcBorders>
            <w:vAlign w:val="center"/>
          </w:tcPr>
          <w:p w14:paraId="5E9AE056" w14:textId="2D7A519D" w:rsidR="00503FAD" w:rsidRPr="00503FAD" w:rsidRDefault="00503FAD" w:rsidP="00503FAD">
            <w:pPr>
              <w:pStyle w:val="table10pt"/>
            </w:pPr>
            <w:r w:rsidRPr="00503FAD">
              <w:t>December 2026</w:t>
            </w:r>
          </w:p>
        </w:tc>
        <w:tc>
          <w:tcPr>
            <w:tcW w:w="1980" w:type="dxa"/>
            <w:tcBorders>
              <w:bottom w:val="single" w:sz="4" w:space="0" w:color="auto"/>
            </w:tcBorders>
            <w:vAlign w:val="center"/>
          </w:tcPr>
          <w:p w14:paraId="769D1C41" w14:textId="501CD4CE" w:rsidR="00503FAD" w:rsidRPr="00503FAD" w:rsidRDefault="00503FAD" w:rsidP="00503FAD">
            <w:pPr>
              <w:pStyle w:val="table10pt"/>
            </w:pPr>
            <w:r w:rsidRPr="00503FAD">
              <w:t>Hansard, DPS</w:t>
            </w:r>
          </w:p>
        </w:tc>
      </w:tr>
    </w:tbl>
    <w:p w14:paraId="58D0100F" w14:textId="77777777" w:rsidR="004772EA" w:rsidRDefault="004772EA" w:rsidP="00065A8A">
      <w:pPr>
        <w:pStyle w:val="Heading2"/>
      </w:pPr>
    </w:p>
    <w:p w14:paraId="7819E3A6" w14:textId="77777777" w:rsidR="004772EA" w:rsidRDefault="004772EA">
      <w:pPr>
        <w:spacing w:after="160" w:line="278" w:lineRule="auto"/>
        <w:rPr>
          <w:rFonts w:asciiTheme="majorHAnsi" w:eastAsiaTheme="majorEastAsia" w:hAnsiTheme="majorHAnsi" w:cstheme="majorBidi"/>
          <w:b/>
          <w:bCs/>
          <w:sz w:val="36"/>
          <w:szCs w:val="32"/>
          <w:lang w:val="en-US"/>
        </w:rPr>
      </w:pPr>
      <w:r>
        <w:br w:type="page"/>
      </w:r>
    </w:p>
    <w:p w14:paraId="08D891DA" w14:textId="41050191" w:rsidR="00065A8A" w:rsidRPr="00065A8A" w:rsidRDefault="00065A8A" w:rsidP="00065A8A">
      <w:pPr>
        <w:pStyle w:val="Heading2"/>
      </w:pPr>
      <w:r w:rsidRPr="00065A8A">
        <w:lastRenderedPageBreak/>
        <w:t>Pillar 4: Inclusive Employment and Partnerships</w:t>
      </w:r>
    </w:p>
    <w:p w14:paraId="7760169C" w14:textId="77777777" w:rsidR="00065A8A" w:rsidRDefault="00065A8A" w:rsidP="00457F11">
      <w:pPr>
        <w:spacing w:after="120"/>
        <w:rPr>
          <w:i/>
          <w:iCs/>
          <w:lang w:val="en-US"/>
        </w:rPr>
      </w:pPr>
      <w:r w:rsidRPr="00065A8A">
        <w:rPr>
          <w:i/>
          <w:iCs/>
          <w:lang w:val="en-US"/>
        </w:rPr>
        <w:t>Focus: Driving inclusive recruitment, career development, and partnerships that improve access and equity.</w:t>
      </w:r>
    </w:p>
    <w:p w14:paraId="04CFA13D" w14:textId="77777777" w:rsidR="00065A8A" w:rsidRPr="00065A8A" w:rsidRDefault="00065A8A" w:rsidP="00065A8A">
      <w:pPr>
        <w:pStyle w:val="Heading3"/>
        <w:rPr>
          <w:lang w:val="en-US"/>
        </w:rPr>
      </w:pPr>
      <w:r w:rsidRPr="00065A8A">
        <w:rPr>
          <w:lang w:val="en-US"/>
        </w:rPr>
        <w:t>Relationships</w:t>
      </w:r>
    </w:p>
    <w:tbl>
      <w:tblPr>
        <w:tblStyle w:val="TableGrid"/>
        <w:tblW w:w="8784" w:type="dxa"/>
        <w:tblBorders>
          <w:top w:val="none" w:sz="0" w:space="0" w:color="auto"/>
          <w:left w:val="none" w:sz="0" w:space="0" w:color="auto"/>
          <w:bottom w:val="none" w:sz="0" w:space="0" w:color="auto"/>
          <w:right w:val="none" w:sz="0" w:space="0" w:color="auto"/>
          <w:insideV w:val="none" w:sz="0" w:space="0" w:color="auto"/>
        </w:tblBorders>
        <w:tblCellMar>
          <w:top w:w="113" w:type="dxa"/>
          <w:left w:w="142" w:type="dxa"/>
          <w:bottom w:w="113" w:type="dxa"/>
          <w:right w:w="142" w:type="dxa"/>
        </w:tblCellMar>
        <w:tblLook w:val="04A0" w:firstRow="1" w:lastRow="0" w:firstColumn="1" w:lastColumn="0" w:noHBand="0" w:noVBand="1"/>
      </w:tblPr>
      <w:tblGrid>
        <w:gridCol w:w="1134"/>
        <w:gridCol w:w="4395"/>
        <w:gridCol w:w="1275"/>
        <w:gridCol w:w="1980"/>
      </w:tblGrid>
      <w:tr w:rsidR="004772EA" w:rsidRPr="0097500C" w14:paraId="20163091" w14:textId="77777777" w:rsidTr="001030C4">
        <w:trPr>
          <w:trHeight w:val="567"/>
        </w:trPr>
        <w:tc>
          <w:tcPr>
            <w:tcW w:w="1134" w:type="dxa"/>
            <w:tcBorders>
              <w:top w:val="single" w:sz="4" w:space="0" w:color="auto"/>
              <w:bottom w:val="single" w:sz="4" w:space="0" w:color="auto"/>
            </w:tcBorders>
            <w:shd w:val="clear" w:color="auto" w:fill="E8E8E8" w:themeFill="background2"/>
            <w:vAlign w:val="center"/>
          </w:tcPr>
          <w:p w14:paraId="7097C002" w14:textId="77777777" w:rsidR="004772EA" w:rsidRPr="0097500C" w:rsidRDefault="004772EA" w:rsidP="00E03196">
            <w:pPr>
              <w:pStyle w:val="tableheading"/>
            </w:pPr>
            <w:r w:rsidRPr="0097500C">
              <w:t>Number</w:t>
            </w:r>
          </w:p>
        </w:tc>
        <w:tc>
          <w:tcPr>
            <w:tcW w:w="4395" w:type="dxa"/>
            <w:tcBorders>
              <w:top w:val="single" w:sz="4" w:space="0" w:color="auto"/>
              <w:bottom w:val="single" w:sz="4" w:space="0" w:color="auto"/>
            </w:tcBorders>
            <w:shd w:val="clear" w:color="auto" w:fill="E8E8E8" w:themeFill="background2"/>
            <w:vAlign w:val="center"/>
          </w:tcPr>
          <w:p w14:paraId="08ADF57B" w14:textId="77777777" w:rsidR="004772EA" w:rsidRPr="0097500C" w:rsidRDefault="004772EA" w:rsidP="00E03196">
            <w:pPr>
              <w:pStyle w:val="tableheading"/>
            </w:pPr>
            <w:r w:rsidRPr="0097500C">
              <w:t>Action</w:t>
            </w:r>
          </w:p>
        </w:tc>
        <w:tc>
          <w:tcPr>
            <w:tcW w:w="1275" w:type="dxa"/>
            <w:tcBorders>
              <w:top w:val="single" w:sz="4" w:space="0" w:color="auto"/>
              <w:bottom w:val="single" w:sz="4" w:space="0" w:color="auto"/>
            </w:tcBorders>
            <w:shd w:val="clear" w:color="auto" w:fill="E8E8E8" w:themeFill="background2"/>
            <w:vAlign w:val="center"/>
          </w:tcPr>
          <w:p w14:paraId="14AF20C4" w14:textId="77777777" w:rsidR="004772EA" w:rsidRPr="0097500C" w:rsidRDefault="004772EA" w:rsidP="00E03196">
            <w:pPr>
              <w:pStyle w:val="tableheading"/>
            </w:pPr>
            <w:r w:rsidRPr="0097500C">
              <w:t>Timeline</w:t>
            </w:r>
          </w:p>
        </w:tc>
        <w:tc>
          <w:tcPr>
            <w:tcW w:w="1980" w:type="dxa"/>
            <w:tcBorders>
              <w:top w:val="single" w:sz="4" w:space="0" w:color="auto"/>
              <w:bottom w:val="single" w:sz="4" w:space="0" w:color="auto"/>
            </w:tcBorders>
            <w:shd w:val="clear" w:color="auto" w:fill="E8E8E8" w:themeFill="background2"/>
            <w:vAlign w:val="center"/>
          </w:tcPr>
          <w:p w14:paraId="1D88B1B5" w14:textId="77777777" w:rsidR="004772EA" w:rsidRPr="0097500C" w:rsidRDefault="004772EA" w:rsidP="00E03196">
            <w:pPr>
              <w:pStyle w:val="tableheading"/>
            </w:pPr>
            <w:r w:rsidRPr="0097500C">
              <w:t>Responsibility</w:t>
            </w:r>
          </w:p>
        </w:tc>
      </w:tr>
      <w:tr w:rsidR="001E3F8D" w:rsidRPr="00295D35" w14:paraId="5BB7D8F8" w14:textId="77777777" w:rsidTr="001030C4">
        <w:tc>
          <w:tcPr>
            <w:tcW w:w="1134" w:type="dxa"/>
            <w:tcBorders>
              <w:top w:val="single" w:sz="4" w:space="0" w:color="auto"/>
            </w:tcBorders>
            <w:vAlign w:val="center"/>
          </w:tcPr>
          <w:p w14:paraId="0E51ECEA" w14:textId="0FEF5B17" w:rsidR="001E3F8D" w:rsidRPr="00295D35" w:rsidRDefault="001E3F8D" w:rsidP="001E3F8D">
            <w:pPr>
              <w:pStyle w:val="table10pt"/>
            </w:pPr>
            <w:r>
              <w:t>8.1</w:t>
            </w:r>
          </w:p>
        </w:tc>
        <w:tc>
          <w:tcPr>
            <w:tcW w:w="4395" w:type="dxa"/>
            <w:tcBorders>
              <w:top w:val="single" w:sz="4" w:space="0" w:color="auto"/>
            </w:tcBorders>
            <w:vAlign w:val="center"/>
          </w:tcPr>
          <w:p w14:paraId="77FA965C" w14:textId="761E0499" w:rsidR="001E3F8D" w:rsidRPr="00295D35" w:rsidRDefault="001E3F8D" w:rsidP="001E3F8D">
            <w:pPr>
              <w:pStyle w:val="table10pt"/>
            </w:pPr>
            <w:r>
              <w:t>Maintain the Parliamentary Service AccessABILITY Employee Network.</w:t>
            </w:r>
          </w:p>
        </w:tc>
        <w:tc>
          <w:tcPr>
            <w:tcW w:w="1275" w:type="dxa"/>
            <w:tcBorders>
              <w:top w:val="single" w:sz="4" w:space="0" w:color="auto"/>
            </w:tcBorders>
            <w:vAlign w:val="center"/>
          </w:tcPr>
          <w:p w14:paraId="636740F4" w14:textId="2B3C5830" w:rsidR="001E3F8D" w:rsidRPr="00295D35" w:rsidRDefault="001E3F8D" w:rsidP="001E3F8D">
            <w:pPr>
              <w:pStyle w:val="table10pt"/>
            </w:pPr>
            <w:r>
              <w:t>Ongoing</w:t>
            </w:r>
          </w:p>
        </w:tc>
        <w:tc>
          <w:tcPr>
            <w:tcW w:w="1980" w:type="dxa"/>
            <w:tcBorders>
              <w:top w:val="single" w:sz="4" w:space="0" w:color="auto"/>
            </w:tcBorders>
            <w:vAlign w:val="center"/>
          </w:tcPr>
          <w:p w14:paraId="0B33C276" w14:textId="0EF0B3C8" w:rsidR="001E3F8D" w:rsidRPr="00295D35" w:rsidRDefault="001E3F8D" w:rsidP="001E3F8D">
            <w:pPr>
              <w:pStyle w:val="table10pt"/>
            </w:pPr>
            <w:r>
              <w:t>Parliamentary Heads Group</w:t>
            </w:r>
          </w:p>
        </w:tc>
      </w:tr>
      <w:tr w:rsidR="001E3F8D" w:rsidRPr="00295D35" w14:paraId="2E39CFD6" w14:textId="77777777" w:rsidTr="00E03196">
        <w:tc>
          <w:tcPr>
            <w:tcW w:w="1134" w:type="dxa"/>
            <w:vAlign w:val="center"/>
          </w:tcPr>
          <w:p w14:paraId="370B9376" w14:textId="4EF28658" w:rsidR="001E3F8D" w:rsidRPr="00295D35" w:rsidRDefault="001E3F8D" w:rsidP="001E3F8D">
            <w:pPr>
              <w:pStyle w:val="table10pt"/>
            </w:pPr>
            <w:r>
              <w:t>8.2</w:t>
            </w:r>
          </w:p>
        </w:tc>
        <w:tc>
          <w:tcPr>
            <w:tcW w:w="4395" w:type="dxa"/>
            <w:vAlign w:val="center"/>
          </w:tcPr>
          <w:p w14:paraId="5224E8E3" w14:textId="5769AE2D" w:rsidR="001E3F8D" w:rsidRPr="00295D35" w:rsidRDefault="001E3F8D" w:rsidP="001E3F8D">
            <w:pPr>
              <w:pStyle w:val="table10pt"/>
            </w:pPr>
            <w:r>
              <w:t>Undertake consultation and actively involve people with disability and carers on disability-specific matters.</w:t>
            </w:r>
          </w:p>
        </w:tc>
        <w:tc>
          <w:tcPr>
            <w:tcW w:w="1275" w:type="dxa"/>
            <w:vAlign w:val="center"/>
          </w:tcPr>
          <w:p w14:paraId="6D073031" w14:textId="5526029B" w:rsidR="001E3F8D" w:rsidRPr="00295D35" w:rsidRDefault="001E3F8D" w:rsidP="001E3F8D">
            <w:pPr>
              <w:pStyle w:val="table10pt"/>
            </w:pPr>
            <w:r>
              <w:t>Ongoing</w:t>
            </w:r>
          </w:p>
        </w:tc>
        <w:tc>
          <w:tcPr>
            <w:tcW w:w="1980" w:type="dxa"/>
            <w:vAlign w:val="center"/>
          </w:tcPr>
          <w:p w14:paraId="47D0BEF0" w14:textId="3C2C45D2" w:rsidR="001E3F8D" w:rsidRPr="00295D35" w:rsidRDefault="001E3F8D" w:rsidP="001E3F8D">
            <w:pPr>
              <w:pStyle w:val="table10pt"/>
            </w:pPr>
            <w:r>
              <w:t>AICG Champions</w:t>
            </w:r>
          </w:p>
        </w:tc>
      </w:tr>
      <w:tr w:rsidR="001E3F8D" w:rsidRPr="00295D35" w14:paraId="58807D5B" w14:textId="77777777" w:rsidTr="00E03196">
        <w:tc>
          <w:tcPr>
            <w:tcW w:w="1134" w:type="dxa"/>
            <w:tcBorders>
              <w:bottom w:val="single" w:sz="4" w:space="0" w:color="auto"/>
            </w:tcBorders>
            <w:vAlign w:val="center"/>
          </w:tcPr>
          <w:p w14:paraId="7AE705A0" w14:textId="75169129" w:rsidR="001E3F8D" w:rsidRPr="00295D35" w:rsidRDefault="001E3F8D" w:rsidP="001E3F8D">
            <w:pPr>
              <w:pStyle w:val="table10pt"/>
            </w:pPr>
            <w:r>
              <w:t>8.3</w:t>
            </w:r>
          </w:p>
        </w:tc>
        <w:tc>
          <w:tcPr>
            <w:tcW w:w="4395" w:type="dxa"/>
            <w:tcBorders>
              <w:bottom w:val="single" w:sz="4" w:space="0" w:color="auto"/>
            </w:tcBorders>
            <w:vAlign w:val="center"/>
          </w:tcPr>
          <w:p w14:paraId="0BCFD6DF" w14:textId="0D70700B" w:rsidR="001E3F8D" w:rsidRPr="00295D35" w:rsidRDefault="001E3F8D" w:rsidP="001E3F8D">
            <w:pPr>
              <w:pStyle w:val="table10pt"/>
            </w:pPr>
            <w:r>
              <w:t>Investigate partnerships with disability organisations including training providers.</w:t>
            </w:r>
          </w:p>
        </w:tc>
        <w:tc>
          <w:tcPr>
            <w:tcW w:w="1275" w:type="dxa"/>
            <w:tcBorders>
              <w:bottom w:val="single" w:sz="4" w:space="0" w:color="auto"/>
            </w:tcBorders>
            <w:vAlign w:val="center"/>
          </w:tcPr>
          <w:p w14:paraId="3F72D359" w14:textId="2F4CC699" w:rsidR="001E3F8D" w:rsidRPr="00295D35" w:rsidRDefault="001E3F8D" w:rsidP="001E3F8D">
            <w:pPr>
              <w:pStyle w:val="table10pt"/>
            </w:pPr>
            <w:r>
              <w:t>Ongoing</w:t>
            </w:r>
          </w:p>
        </w:tc>
        <w:tc>
          <w:tcPr>
            <w:tcW w:w="1980" w:type="dxa"/>
            <w:tcBorders>
              <w:bottom w:val="single" w:sz="4" w:space="0" w:color="auto"/>
            </w:tcBorders>
            <w:vAlign w:val="center"/>
          </w:tcPr>
          <w:p w14:paraId="3322C8DC" w14:textId="4FC01D10" w:rsidR="001E3F8D" w:rsidRPr="00295D35" w:rsidRDefault="001E3F8D" w:rsidP="001E3F8D">
            <w:pPr>
              <w:pStyle w:val="table10pt"/>
            </w:pPr>
            <w:r>
              <w:t>AICG Champions</w:t>
            </w:r>
          </w:p>
        </w:tc>
      </w:tr>
      <w:tr w:rsidR="001E3F8D" w:rsidRPr="00295D35" w14:paraId="7E6E798A" w14:textId="77777777" w:rsidTr="00E03196">
        <w:tc>
          <w:tcPr>
            <w:tcW w:w="1134" w:type="dxa"/>
            <w:tcBorders>
              <w:top w:val="single" w:sz="4" w:space="0" w:color="auto"/>
              <w:bottom w:val="single" w:sz="4" w:space="0" w:color="auto"/>
            </w:tcBorders>
            <w:vAlign w:val="center"/>
          </w:tcPr>
          <w:p w14:paraId="5455F94E" w14:textId="4C6E5C21" w:rsidR="001E3F8D" w:rsidRPr="00295D35" w:rsidRDefault="001E3F8D" w:rsidP="001E3F8D">
            <w:pPr>
              <w:pStyle w:val="table10pt"/>
            </w:pPr>
            <w:r>
              <w:t>8.4</w:t>
            </w:r>
          </w:p>
        </w:tc>
        <w:tc>
          <w:tcPr>
            <w:tcW w:w="4395" w:type="dxa"/>
            <w:tcBorders>
              <w:top w:val="single" w:sz="4" w:space="0" w:color="auto"/>
              <w:bottom w:val="single" w:sz="4" w:space="0" w:color="auto"/>
            </w:tcBorders>
            <w:vAlign w:val="center"/>
          </w:tcPr>
          <w:p w14:paraId="0149F8BC" w14:textId="34D357A3" w:rsidR="001E3F8D" w:rsidRPr="00295D35" w:rsidRDefault="001E3F8D" w:rsidP="001E3F8D">
            <w:pPr>
              <w:pStyle w:val="table10pt"/>
            </w:pPr>
            <w:r>
              <w:t>Participate in inter-departmental disability networks.</w:t>
            </w:r>
          </w:p>
        </w:tc>
        <w:tc>
          <w:tcPr>
            <w:tcW w:w="1275" w:type="dxa"/>
            <w:tcBorders>
              <w:top w:val="single" w:sz="4" w:space="0" w:color="auto"/>
              <w:bottom w:val="single" w:sz="4" w:space="0" w:color="auto"/>
            </w:tcBorders>
            <w:vAlign w:val="center"/>
          </w:tcPr>
          <w:p w14:paraId="0DD7FE25" w14:textId="69E68969" w:rsidR="001E3F8D" w:rsidRPr="00295D35" w:rsidRDefault="001E3F8D" w:rsidP="001E3F8D">
            <w:pPr>
              <w:pStyle w:val="table10pt"/>
            </w:pPr>
            <w:r>
              <w:t xml:space="preserve">Ongoing  </w:t>
            </w:r>
          </w:p>
        </w:tc>
        <w:tc>
          <w:tcPr>
            <w:tcW w:w="1980" w:type="dxa"/>
            <w:tcBorders>
              <w:top w:val="single" w:sz="4" w:space="0" w:color="auto"/>
              <w:bottom w:val="single" w:sz="4" w:space="0" w:color="auto"/>
            </w:tcBorders>
            <w:vAlign w:val="center"/>
          </w:tcPr>
          <w:p w14:paraId="323D8D9C" w14:textId="47C44E93" w:rsidR="001E3F8D" w:rsidRPr="00295D35" w:rsidRDefault="001E3F8D" w:rsidP="001E3F8D">
            <w:pPr>
              <w:pStyle w:val="table10pt"/>
            </w:pPr>
            <w:r>
              <w:t>AICG Champions</w:t>
            </w:r>
          </w:p>
        </w:tc>
      </w:tr>
      <w:tr w:rsidR="001E3F8D" w:rsidRPr="00295D35" w14:paraId="43DC0572" w14:textId="77777777" w:rsidTr="00E03196">
        <w:tc>
          <w:tcPr>
            <w:tcW w:w="1134" w:type="dxa"/>
            <w:tcBorders>
              <w:top w:val="single" w:sz="4" w:space="0" w:color="auto"/>
              <w:bottom w:val="single" w:sz="4" w:space="0" w:color="auto"/>
            </w:tcBorders>
            <w:vAlign w:val="center"/>
          </w:tcPr>
          <w:p w14:paraId="6F399FD9" w14:textId="1C831B56" w:rsidR="001E3F8D" w:rsidRPr="00295D35" w:rsidRDefault="001E3F8D" w:rsidP="001E3F8D">
            <w:pPr>
              <w:pStyle w:val="table10pt"/>
            </w:pPr>
            <w:r>
              <w:t>8.5</w:t>
            </w:r>
          </w:p>
        </w:tc>
        <w:tc>
          <w:tcPr>
            <w:tcW w:w="4395" w:type="dxa"/>
            <w:tcBorders>
              <w:top w:val="single" w:sz="4" w:space="0" w:color="auto"/>
              <w:bottom w:val="single" w:sz="4" w:space="0" w:color="auto"/>
            </w:tcBorders>
            <w:vAlign w:val="center"/>
          </w:tcPr>
          <w:p w14:paraId="10B6420B" w14:textId="1509B953" w:rsidR="001E3F8D" w:rsidRPr="00295D35" w:rsidRDefault="001E3F8D" w:rsidP="001E3F8D">
            <w:pPr>
              <w:pStyle w:val="table10pt"/>
            </w:pPr>
            <w:r>
              <w:t>Establish a process for staff, building occupants and visitors to provide feedback on access, inclusion and disability-related matters.</w:t>
            </w:r>
          </w:p>
        </w:tc>
        <w:tc>
          <w:tcPr>
            <w:tcW w:w="1275" w:type="dxa"/>
            <w:tcBorders>
              <w:top w:val="single" w:sz="4" w:space="0" w:color="auto"/>
              <w:bottom w:val="single" w:sz="4" w:space="0" w:color="auto"/>
            </w:tcBorders>
            <w:vAlign w:val="center"/>
          </w:tcPr>
          <w:p w14:paraId="3B105D5D" w14:textId="6AF74465" w:rsidR="001E3F8D" w:rsidRPr="00295D35" w:rsidRDefault="001E3F8D" w:rsidP="001E3F8D">
            <w:pPr>
              <w:pStyle w:val="table10pt"/>
            </w:pPr>
            <w:r>
              <w:t>April 2026</w:t>
            </w:r>
          </w:p>
        </w:tc>
        <w:tc>
          <w:tcPr>
            <w:tcW w:w="1980" w:type="dxa"/>
            <w:tcBorders>
              <w:top w:val="single" w:sz="4" w:space="0" w:color="auto"/>
              <w:bottom w:val="single" w:sz="4" w:space="0" w:color="auto"/>
            </w:tcBorders>
            <w:vAlign w:val="center"/>
          </w:tcPr>
          <w:p w14:paraId="7DDA898E" w14:textId="649E3A07" w:rsidR="001E3F8D" w:rsidRPr="00295D35" w:rsidRDefault="001E3F8D" w:rsidP="001E3F8D">
            <w:pPr>
              <w:pStyle w:val="table10pt"/>
            </w:pPr>
            <w:r>
              <w:t>Parliamentary Engagement, DPS</w:t>
            </w:r>
          </w:p>
        </w:tc>
      </w:tr>
    </w:tbl>
    <w:p w14:paraId="2E06D228" w14:textId="77777777" w:rsidR="00B75E3A" w:rsidRDefault="00B75E3A">
      <w:pPr>
        <w:spacing w:after="160" w:line="278" w:lineRule="auto"/>
        <w:rPr>
          <w:rFonts w:eastAsiaTheme="majorEastAsia" w:cstheme="majorBidi"/>
          <w:caps/>
          <w:sz w:val="28"/>
          <w:szCs w:val="28"/>
          <w:lang w:val="en-US"/>
        </w:rPr>
      </w:pPr>
      <w:r>
        <w:rPr>
          <w:lang w:val="en-US"/>
        </w:rPr>
        <w:br w:type="page"/>
      </w:r>
    </w:p>
    <w:p w14:paraId="5D622A8E" w14:textId="16113ABB" w:rsidR="00457F11" w:rsidRDefault="00457F11" w:rsidP="00457F11">
      <w:pPr>
        <w:pStyle w:val="Heading3"/>
        <w:rPr>
          <w:lang w:val="en-US"/>
        </w:rPr>
      </w:pPr>
      <w:r w:rsidRPr="00457F11">
        <w:rPr>
          <w:lang w:val="en-US"/>
        </w:rPr>
        <w:lastRenderedPageBreak/>
        <w:t>Employment</w:t>
      </w:r>
    </w:p>
    <w:tbl>
      <w:tblPr>
        <w:tblStyle w:val="TableGrid"/>
        <w:tblW w:w="8788" w:type="dxa"/>
        <w:tblBorders>
          <w:top w:val="none" w:sz="0" w:space="0" w:color="auto"/>
          <w:left w:val="none" w:sz="0" w:space="0" w:color="auto"/>
          <w:bottom w:val="none" w:sz="0" w:space="0" w:color="auto"/>
          <w:right w:val="none" w:sz="0" w:space="0" w:color="auto"/>
          <w:insideV w:val="none" w:sz="0" w:space="0" w:color="auto"/>
        </w:tblBorders>
        <w:tblCellMar>
          <w:top w:w="113" w:type="dxa"/>
          <w:left w:w="142" w:type="dxa"/>
          <w:bottom w:w="113" w:type="dxa"/>
          <w:right w:w="142" w:type="dxa"/>
        </w:tblCellMar>
        <w:tblLook w:val="04A0" w:firstRow="1" w:lastRow="0" w:firstColumn="1" w:lastColumn="0" w:noHBand="0" w:noVBand="1"/>
      </w:tblPr>
      <w:tblGrid>
        <w:gridCol w:w="1111"/>
        <w:gridCol w:w="4276"/>
        <w:gridCol w:w="1276"/>
        <w:gridCol w:w="2125"/>
      </w:tblGrid>
      <w:tr w:rsidR="00457F11" w:rsidRPr="0097500C" w14:paraId="7279C08C" w14:textId="77777777" w:rsidTr="001030C4">
        <w:trPr>
          <w:trHeight w:val="567"/>
        </w:trPr>
        <w:tc>
          <w:tcPr>
            <w:tcW w:w="1111" w:type="dxa"/>
            <w:tcBorders>
              <w:top w:val="single" w:sz="4" w:space="0" w:color="auto"/>
              <w:bottom w:val="single" w:sz="4" w:space="0" w:color="auto"/>
            </w:tcBorders>
            <w:shd w:val="clear" w:color="auto" w:fill="E8E8E8" w:themeFill="background2"/>
            <w:vAlign w:val="center"/>
          </w:tcPr>
          <w:p w14:paraId="4CEAEAAE" w14:textId="77777777" w:rsidR="00457F11" w:rsidRPr="0097500C" w:rsidRDefault="00457F11" w:rsidP="00E03196">
            <w:pPr>
              <w:pStyle w:val="tableheading"/>
            </w:pPr>
            <w:r w:rsidRPr="0097500C">
              <w:t>Number</w:t>
            </w:r>
          </w:p>
        </w:tc>
        <w:tc>
          <w:tcPr>
            <w:tcW w:w="4276" w:type="dxa"/>
            <w:tcBorders>
              <w:top w:val="single" w:sz="4" w:space="0" w:color="auto"/>
              <w:bottom w:val="single" w:sz="4" w:space="0" w:color="auto"/>
            </w:tcBorders>
            <w:shd w:val="clear" w:color="auto" w:fill="E8E8E8" w:themeFill="background2"/>
            <w:vAlign w:val="center"/>
          </w:tcPr>
          <w:p w14:paraId="6B39EFB9" w14:textId="77777777" w:rsidR="00457F11" w:rsidRPr="0097500C" w:rsidRDefault="00457F11" w:rsidP="00E03196">
            <w:pPr>
              <w:pStyle w:val="tableheading"/>
            </w:pPr>
            <w:r w:rsidRPr="0097500C">
              <w:t>Action</w:t>
            </w:r>
          </w:p>
        </w:tc>
        <w:tc>
          <w:tcPr>
            <w:tcW w:w="1276" w:type="dxa"/>
            <w:tcBorders>
              <w:top w:val="single" w:sz="4" w:space="0" w:color="auto"/>
              <w:bottom w:val="single" w:sz="4" w:space="0" w:color="auto"/>
            </w:tcBorders>
            <w:shd w:val="clear" w:color="auto" w:fill="E8E8E8" w:themeFill="background2"/>
            <w:vAlign w:val="center"/>
          </w:tcPr>
          <w:p w14:paraId="28AE763B" w14:textId="77777777" w:rsidR="00457F11" w:rsidRPr="0097500C" w:rsidRDefault="00457F11" w:rsidP="00E03196">
            <w:pPr>
              <w:pStyle w:val="tableheading"/>
            </w:pPr>
            <w:r w:rsidRPr="0097500C">
              <w:t>Timeline</w:t>
            </w:r>
          </w:p>
        </w:tc>
        <w:tc>
          <w:tcPr>
            <w:tcW w:w="2125" w:type="dxa"/>
            <w:tcBorders>
              <w:top w:val="single" w:sz="4" w:space="0" w:color="auto"/>
              <w:bottom w:val="single" w:sz="4" w:space="0" w:color="auto"/>
            </w:tcBorders>
            <w:shd w:val="clear" w:color="auto" w:fill="E8E8E8" w:themeFill="background2"/>
            <w:vAlign w:val="center"/>
          </w:tcPr>
          <w:p w14:paraId="47FA902C" w14:textId="77777777" w:rsidR="00457F11" w:rsidRPr="0097500C" w:rsidRDefault="00457F11" w:rsidP="00E03196">
            <w:pPr>
              <w:pStyle w:val="tableheading"/>
            </w:pPr>
            <w:r w:rsidRPr="0097500C">
              <w:t>Responsibility</w:t>
            </w:r>
          </w:p>
        </w:tc>
      </w:tr>
      <w:tr w:rsidR="00457F11" w:rsidRPr="00295D35" w14:paraId="47573823" w14:textId="77777777" w:rsidTr="001030C4">
        <w:tc>
          <w:tcPr>
            <w:tcW w:w="1111" w:type="dxa"/>
            <w:tcBorders>
              <w:top w:val="single" w:sz="4" w:space="0" w:color="auto"/>
            </w:tcBorders>
            <w:vAlign w:val="center"/>
          </w:tcPr>
          <w:p w14:paraId="43DCAF86" w14:textId="23265B27" w:rsidR="00457F11" w:rsidRPr="00295D35" w:rsidRDefault="00457F11" w:rsidP="00457F11">
            <w:pPr>
              <w:pStyle w:val="table10pt"/>
            </w:pPr>
            <w:r>
              <w:t>9.1</w:t>
            </w:r>
          </w:p>
        </w:tc>
        <w:tc>
          <w:tcPr>
            <w:tcW w:w="4276" w:type="dxa"/>
            <w:tcBorders>
              <w:top w:val="single" w:sz="4" w:space="0" w:color="auto"/>
            </w:tcBorders>
            <w:vAlign w:val="center"/>
          </w:tcPr>
          <w:p w14:paraId="04467A7B" w14:textId="05204BF5" w:rsidR="00457F11" w:rsidRPr="00295D35" w:rsidRDefault="00457F11" w:rsidP="00457F11">
            <w:pPr>
              <w:pStyle w:val="table10pt"/>
            </w:pPr>
            <w:r>
              <w:t>Include an accessibility and inclusion statement on all job advertisements encouraging people with disability t</w:t>
            </w:r>
            <w:r>
              <w:rPr>
                <w:rStyle w:val="Nobreak"/>
              </w:rPr>
              <w:t>o apply</w:t>
            </w:r>
            <w:r>
              <w:t>.</w:t>
            </w:r>
          </w:p>
        </w:tc>
        <w:tc>
          <w:tcPr>
            <w:tcW w:w="1276" w:type="dxa"/>
            <w:tcBorders>
              <w:top w:val="single" w:sz="4" w:space="0" w:color="auto"/>
            </w:tcBorders>
            <w:vAlign w:val="center"/>
          </w:tcPr>
          <w:p w14:paraId="1ED56926" w14:textId="230776B0" w:rsidR="00457F11" w:rsidRPr="00295D35" w:rsidRDefault="00457F11" w:rsidP="00457F11">
            <w:pPr>
              <w:pStyle w:val="table10pt"/>
            </w:pPr>
            <w:r>
              <w:t>December 2025</w:t>
            </w:r>
          </w:p>
        </w:tc>
        <w:tc>
          <w:tcPr>
            <w:tcW w:w="2125" w:type="dxa"/>
            <w:tcBorders>
              <w:top w:val="single" w:sz="4" w:space="0" w:color="auto"/>
            </w:tcBorders>
            <w:vAlign w:val="center"/>
          </w:tcPr>
          <w:p w14:paraId="7C2F8D93" w14:textId="544DA7D5" w:rsidR="00457F11" w:rsidRPr="00295D35" w:rsidRDefault="00457F11" w:rsidP="00457F11">
            <w:pPr>
              <w:pStyle w:val="table10pt"/>
            </w:pPr>
            <w:r>
              <w:t>HR Directors across all Parliamentary Departments and the PWSS</w:t>
            </w:r>
          </w:p>
        </w:tc>
      </w:tr>
      <w:tr w:rsidR="00457F11" w:rsidRPr="00295D35" w14:paraId="35999298" w14:textId="77777777" w:rsidTr="00457F11">
        <w:tc>
          <w:tcPr>
            <w:tcW w:w="1111" w:type="dxa"/>
            <w:vAlign w:val="center"/>
          </w:tcPr>
          <w:p w14:paraId="78117ABE" w14:textId="3D7DEA28" w:rsidR="00457F11" w:rsidRPr="00295D35" w:rsidRDefault="00457F11" w:rsidP="00457F11">
            <w:pPr>
              <w:pStyle w:val="table10pt"/>
            </w:pPr>
            <w:r>
              <w:t>9.2</w:t>
            </w:r>
          </w:p>
        </w:tc>
        <w:tc>
          <w:tcPr>
            <w:tcW w:w="4276" w:type="dxa"/>
            <w:vAlign w:val="center"/>
          </w:tcPr>
          <w:p w14:paraId="519EB7AB" w14:textId="0D552635" w:rsidR="00457F11" w:rsidRPr="00295D35" w:rsidRDefault="00457F11" w:rsidP="00457F11">
            <w:pPr>
              <w:pStyle w:val="table10pt"/>
            </w:pPr>
            <w:r>
              <w:t>Each department to review recruitment practices to remove barriers.</w:t>
            </w:r>
          </w:p>
        </w:tc>
        <w:tc>
          <w:tcPr>
            <w:tcW w:w="1276" w:type="dxa"/>
            <w:vAlign w:val="center"/>
          </w:tcPr>
          <w:p w14:paraId="50F903A5" w14:textId="34309BD8" w:rsidR="00457F11" w:rsidRPr="00295D35" w:rsidRDefault="00457F11" w:rsidP="00457F11">
            <w:pPr>
              <w:pStyle w:val="table10pt"/>
            </w:pPr>
            <w:r>
              <w:t>December 2025</w:t>
            </w:r>
          </w:p>
        </w:tc>
        <w:tc>
          <w:tcPr>
            <w:tcW w:w="2125" w:type="dxa"/>
            <w:vAlign w:val="center"/>
          </w:tcPr>
          <w:p w14:paraId="7C0DB9B0" w14:textId="30410C76" w:rsidR="00457F11" w:rsidRPr="00295D35" w:rsidRDefault="00457F11" w:rsidP="00457F11">
            <w:pPr>
              <w:pStyle w:val="table10pt"/>
            </w:pPr>
            <w:r>
              <w:t>HR Directors across all Parliamentary Departments and the PWSS</w:t>
            </w:r>
          </w:p>
        </w:tc>
      </w:tr>
      <w:tr w:rsidR="00457F11" w:rsidRPr="00295D35" w14:paraId="31956C09" w14:textId="77777777" w:rsidTr="00457F11">
        <w:tc>
          <w:tcPr>
            <w:tcW w:w="1111" w:type="dxa"/>
            <w:tcBorders>
              <w:bottom w:val="single" w:sz="4" w:space="0" w:color="auto"/>
            </w:tcBorders>
            <w:vAlign w:val="center"/>
          </w:tcPr>
          <w:p w14:paraId="5F999C38" w14:textId="5960D0CE" w:rsidR="00457F11" w:rsidRPr="00295D35" w:rsidRDefault="00457F11" w:rsidP="00457F11">
            <w:pPr>
              <w:pStyle w:val="table10pt"/>
            </w:pPr>
            <w:r>
              <w:t>9.3</w:t>
            </w:r>
          </w:p>
        </w:tc>
        <w:tc>
          <w:tcPr>
            <w:tcW w:w="4276" w:type="dxa"/>
            <w:tcBorders>
              <w:bottom w:val="single" w:sz="4" w:space="0" w:color="auto"/>
            </w:tcBorders>
            <w:vAlign w:val="center"/>
          </w:tcPr>
          <w:p w14:paraId="230B09BB" w14:textId="5075894B" w:rsidR="00457F11" w:rsidRPr="00295D35" w:rsidRDefault="00457F11" w:rsidP="00457F11">
            <w:pPr>
              <w:pStyle w:val="table10pt"/>
            </w:pPr>
            <w:r>
              <w:t xml:space="preserve">Identify suitable positions and undertake affirmative measures recruitment, including RecruitAbility, as an option for job vacancies. </w:t>
            </w:r>
          </w:p>
        </w:tc>
        <w:tc>
          <w:tcPr>
            <w:tcW w:w="1276" w:type="dxa"/>
            <w:tcBorders>
              <w:bottom w:val="single" w:sz="4" w:space="0" w:color="auto"/>
            </w:tcBorders>
            <w:vAlign w:val="center"/>
          </w:tcPr>
          <w:p w14:paraId="7981084C" w14:textId="2DFE9CCE" w:rsidR="00457F11" w:rsidRPr="00295D35" w:rsidRDefault="00457F11" w:rsidP="00457F11">
            <w:pPr>
              <w:pStyle w:val="table10pt"/>
            </w:pPr>
            <w:r>
              <w:t>July 2026</w:t>
            </w:r>
          </w:p>
        </w:tc>
        <w:tc>
          <w:tcPr>
            <w:tcW w:w="2125" w:type="dxa"/>
            <w:tcBorders>
              <w:bottom w:val="single" w:sz="4" w:space="0" w:color="auto"/>
            </w:tcBorders>
            <w:vAlign w:val="center"/>
          </w:tcPr>
          <w:p w14:paraId="662842BE" w14:textId="70C65A05" w:rsidR="00457F11" w:rsidRPr="00295D35" w:rsidRDefault="00457F11" w:rsidP="00457F11">
            <w:pPr>
              <w:pStyle w:val="table10pt"/>
            </w:pPr>
            <w:r>
              <w:t>HR Directors across all Parliamentary Departments and the PWSS</w:t>
            </w:r>
          </w:p>
        </w:tc>
      </w:tr>
      <w:tr w:rsidR="00457F11" w:rsidRPr="00295D35" w14:paraId="6A6922AE" w14:textId="77777777" w:rsidTr="00457F11">
        <w:tc>
          <w:tcPr>
            <w:tcW w:w="1111" w:type="dxa"/>
            <w:tcBorders>
              <w:top w:val="single" w:sz="4" w:space="0" w:color="auto"/>
              <w:bottom w:val="single" w:sz="4" w:space="0" w:color="auto"/>
            </w:tcBorders>
            <w:vAlign w:val="center"/>
          </w:tcPr>
          <w:p w14:paraId="4C5E5628" w14:textId="173D2F4C" w:rsidR="00457F11" w:rsidRPr="00295D35" w:rsidRDefault="00457F11" w:rsidP="00457F11">
            <w:pPr>
              <w:pStyle w:val="table10pt"/>
            </w:pPr>
            <w:r>
              <w:t>9.4</w:t>
            </w:r>
          </w:p>
        </w:tc>
        <w:tc>
          <w:tcPr>
            <w:tcW w:w="4276" w:type="dxa"/>
            <w:tcBorders>
              <w:top w:val="single" w:sz="4" w:space="0" w:color="auto"/>
              <w:bottom w:val="single" w:sz="4" w:space="0" w:color="auto"/>
            </w:tcBorders>
            <w:vAlign w:val="center"/>
          </w:tcPr>
          <w:p w14:paraId="5A1C21E8" w14:textId="02C3767C" w:rsidR="00457F11" w:rsidRPr="00295D35" w:rsidRDefault="00457F11" w:rsidP="00457F11">
            <w:pPr>
              <w:pStyle w:val="table10pt"/>
            </w:pPr>
            <w:r>
              <w:t>Explore the use of disability internship programs.</w:t>
            </w:r>
          </w:p>
        </w:tc>
        <w:tc>
          <w:tcPr>
            <w:tcW w:w="1276" w:type="dxa"/>
            <w:tcBorders>
              <w:top w:val="single" w:sz="4" w:space="0" w:color="auto"/>
              <w:bottom w:val="single" w:sz="4" w:space="0" w:color="auto"/>
            </w:tcBorders>
            <w:vAlign w:val="center"/>
          </w:tcPr>
          <w:p w14:paraId="044DB845" w14:textId="1FD77C6E" w:rsidR="00457F11" w:rsidRPr="00295D35" w:rsidRDefault="00457F11" w:rsidP="00457F11">
            <w:pPr>
              <w:pStyle w:val="table10pt"/>
            </w:pPr>
            <w:r>
              <w:t>March 2026</w:t>
            </w:r>
          </w:p>
        </w:tc>
        <w:tc>
          <w:tcPr>
            <w:tcW w:w="2125" w:type="dxa"/>
            <w:tcBorders>
              <w:top w:val="single" w:sz="4" w:space="0" w:color="auto"/>
              <w:bottom w:val="single" w:sz="4" w:space="0" w:color="auto"/>
            </w:tcBorders>
            <w:vAlign w:val="center"/>
          </w:tcPr>
          <w:p w14:paraId="34A2F3A0" w14:textId="688A1A06" w:rsidR="00457F11" w:rsidRPr="00295D35" w:rsidRDefault="00457F11" w:rsidP="00457F11">
            <w:pPr>
              <w:pStyle w:val="table10pt"/>
            </w:pPr>
            <w:r>
              <w:t>HR Directors across all Parliamentary Departments and the PWSS</w:t>
            </w:r>
          </w:p>
        </w:tc>
      </w:tr>
    </w:tbl>
    <w:p w14:paraId="6C1F4D6E" w14:textId="656CC068" w:rsidR="00BB716D" w:rsidRPr="00B75E3A" w:rsidRDefault="00B75E3A" w:rsidP="00BD4DE6">
      <w:pPr>
        <w:spacing w:before="120"/>
        <w:rPr>
          <w:lang w:val="en-US"/>
        </w:rPr>
      </w:pPr>
      <w:r w:rsidRPr="00B75E3A">
        <w:rPr>
          <w:lang w:val="en-US"/>
        </w:rPr>
        <w:t xml:space="preserve">For further information, please contact the AICG Secretariat via </w:t>
      </w:r>
      <w:hyperlink r:id="rId13" w:history="1">
        <w:r w:rsidRPr="00B75E3A">
          <w:rPr>
            <w:rStyle w:val="Hyperlink"/>
            <w:lang w:val="en-US"/>
          </w:rPr>
          <w:t>inclusion@aph.gov.au</w:t>
        </w:r>
      </w:hyperlink>
      <w:r w:rsidRPr="00B75E3A">
        <w:rPr>
          <w:lang w:val="en-US"/>
        </w:rPr>
        <w:t>.</w:t>
      </w:r>
    </w:p>
    <w:sectPr w:rsidR="00BB716D" w:rsidRPr="00B75E3A" w:rsidSect="0074024C">
      <w:pgSz w:w="12240" w:h="15840"/>
      <w:pgMar w:top="1440" w:right="2268" w:bottom="1134" w:left="2268"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C9A00D" w14:textId="77777777" w:rsidR="001E20F0" w:rsidRDefault="001E20F0" w:rsidP="001E20F0">
      <w:pPr>
        <w:spacing w:after="0" w:line="240" w:lineRule="auto"/>
      </w:pPr>
      <w:r>
        <w:separator/>
      </w:r>
    </w:p>
  </w:endnote>
  <w:endnote w:type="continuationSeparator" w:id="0">
    <w:p w14:paraId="73F47C1B" w14:textId="77777777" w:rsidR="001E20F0" w:rsidRDefault="001E20F0" w:rsidP="001E20F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leo Thin">
    <w:charset w:val="00"/>
    <w:family w:val="auto"/>
    <w:pitch w:val="variable"/>
    <w:sig w:usb0="A00000FF" w:usb1="4000604A" w:usb2="00000000" w:usb3="00000000" w:csb0="00000093" w:csb1="00000000"/>
  </w:font>
  <w:font w:name="Trade Gothic Next LT Pro">
    <w:panose1 w:val="00000000000000000000"/>
    <w:charset w:val="00"/>
    <w:family w:val="swiss"/>
    <w:notTrueType/>
    <w:pitch w:val="variable"/>
    <w:sig w:usb0="A00000AF" w:usb1="5000205A" w:usb2="00000000" w:usb3="00000000" w:csb0="0000009B"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FD2E15" w14:textId="77777777" w:rsidR="001E20F0" w:rsidRDefault="001E20F0" w:rsidP="001E20F0">
      <w:pPr>
        <w:spacing w:after="0" w:line="240" w:lineRule="auto"/>
      </w:pPr>
      <w:r>
        <w:separator/>
      </w:r>
    </w:p>
  </w:footnote>
  <w:footnote w:type="continuationSeparator" w:id="0">
    <w:p w14:paraId="4B638C07" w14:textId="77777777" w:rsidR="001E20F0" w:rsidRDefault="001E20F0" w:rsidP="001E20F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B63060" w14:textId="7E2461D1" w:rsidR="001E20F0" w:rsidRDefault="001E20F0">
    <w:pPr>
      <w:pStyle w:val="Header"/>
    </w:pPr>
    <w:r>
      <w:rPr>
        <w:noProof/>
      </w:rPr>
      <w:drawing>
        <wp:anchor distT="0" distB="0" distL="114300" distR="114300" simplePos="0" relativeHeight="251658240" behindDoc="0" locked="0" layoutInCell="1" allowOverlap="1" wp14:anchorId="54C98529" wp14:editId="675A3016">
          <wp:simplePos x="0" y="0"/>
          <wp:positionH relativeFrom="margin">
            <wp:align>center</wp:align>
          </wp:positionH>
          <wp:positionV relativeFrom="paragraph">
            <wp:posOffset>609600</wp:posOffset>
          </wp:positionV>
          <wp:extent cx="2170350" cy="1219200"/>
          <wp:effectExtent l="0" t="0" r="1905" b="0"/>
          <wp:wrapNone/>
          <wp:docPr id="2014000594" name="Picture 1" descr="A black background with a black squar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1783785" name="Picture 1" descr="A black background with a black square&#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2170350" cy="1219200"/>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76624F" w14:textId="120A891B" w:rsidR="00915011" w:rsidRDefault="0091501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0E1855"/>
    <w:multiLevelType w:val="hybridMultilevel"/>
    <w:tmpl w:val="60DEB2EC"/>
    <w:lvl w:ilvl="0" w:tplc="0C09000F">
      <w:start w:val="1"/>
      <w:numFmt w:val="lowerLetter"/>
      <w:lvlText w:val="%1)"/>
      <w:lvlJc w:val="left"/>
      <w:pPr>
        <w:ind w:left="360" w:hanging="360"/>
      </w:pPr>
      <w:rPr>
        <w:rFont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 w15:restartNumberingAfterBreak="0">
    <w:nsid w:val="22D20FA4"/>
    <w:multiLevelType w:val="hybridMultilevel"/>
    <w:tmpl w:val="845A019A"/>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2" w15:restartNumberingAfterBreak="0">
    <w:nsid w:val="44CE5608"/>
    <w:multiLevelType w:val="hybridMultilevel"/>
    <w:tmpl w:val="4EC43DC6"/>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3" w15:restartNumberingAfterBreak="0">
    <w:nsid w:val="48FC25CC"/>
    <w:multiLevelType w:val="hybridMultilevel"/>
    <w:tmpl w:val="82D4972A"/>
    <w:lvl w:ilvl="0" w:tplc="9E6E48CC">
      <w:start w:val="1"/>
      <w:numFmt w:val="decimal"/>
      <w:pStyle w:val="ListParagraph-number"/>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4" w15:restartNumberingAfterBreak="0">
    <w:nsid w:val="4DED3DA4"/>
    <w:multiLevelType w:val="hybridMultilevel"/>
    <w:tmpl w:val="0A804432"/>
    <w:lvl w:ilvl="0" w:tplc="94F60FE0">
      <w:start w:val="1"/>
      <w:numFmt w:val="bullet"/>
      <w:pStyle w:val="ListParagraph"/>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5" w15:restartNumberingAfterBreak="0">
    <w:nsid w:val="5ECF03B6"/>
    <w:multiLevelType w:val="hybridMultilevel"/>
    <w:tmpl w:val="B1D00B28"/>
    <w:lvl w:ilvl="0" w:tplc="5F1C0DE4">
      <w:start w:val="1"/>
      <w:numFmt w:val="lowerLetter"/>
      <w:pStyle w:val="ListParagraph-letter"/>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6" w15:restartNumberingAfterBreak="0">
    <w:nsid w:val="78343C98"/>
    <w:multiLevelType w:val="hybridMultilevel"/>
    <w:tmpl w:val="2DFEB0FC"/>
    <w:lvl w:ilvl="0" w:tplc="C6228E98">
      <w:start w:val="1"/>
      <w:numFmt w:val="lowerLetter"/>
      <w:lvlText w:val="%1)"/>
      <w:lvlJc w:val="left"/>
      <w:pPr>
        <w:ind w:left="360" w:hanging="360"/>
      </w:pPr>
      <w:rPr>
        <w:rFont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num w:numId="1" w16cid:durableId="1636638545">
    <w:abstractNumId w:val="1"/>
  </w:num>
  <w:num w:numId="2" w16cid:durableId="583105635">
    <w:abstractNumId w:val="2"/>
  </w:num>
  <w:num w:numId="3" w16cid:durableId="846361782">
    <w:abstractNumId w:val="0"/>
  </w:num>
  <w:num w:numId="4" w16cid:durableId="591548009">
    <w:abstractNumId w:val="4"/>
  </w:num>
  <w:num w:numId="5" w16cid:durableId="1199469199">
    <w:abstractNumId w:val="6"/>
  </w:num>
  <w:num w:numId="6" w16cid:durableId="1453868058">
    <w:abstractNumId w:val="3"/>
  </w:num>
  <w:num w:numId="7" w16cid:durableId="61540812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20F0"/>
    <w:rsid w:val="000215B8"/>
    <w:rsid w:val="00065A8A"/>
    <w:rsid w:val="000C59F2"/>
    <w:rsid w:val="000E4C22"/>
    <w:rsid w:val="000E7DC6"/>
    <w:rsid w:val="000F54F6"/>
    <w:rsid w:val="001030C4"/>
    <w:rsid w:val="0010757F"/>
    <w:rsid w:val="001116AD"/>
    <w:rsid w:val="00117C42"/>
    <w:rsid w:val="0012105F"/>
    <w:rsid w:val="00133F6A"/>
    <w:rsid w:val="00155D80"/>
    <w:rsid w:val="001E20F0"/>
    <w:rsid w:val="001E3F8D"/>
    <w:rsid w:val="002019C7"/>
    <w:rsid w:val="00211E9D"/>
    <w:rsid w:val="00295D35"/>
    <w:rsid w:val="002F47DE"/>
    <w:rsid w:val="00365E9C"/>
    <w:rsid w:val="003C45DF"/>
    <w:rsid w:val="003D53A9"/>
    <w:rsid w:val="0043260B"/>
    <w:rsid w:val="0043277C"/>
    <w:rsid w:val="004406EE"/>
    <w:rsid w:val="004522FB"/>
    <w:rsid w:val="00457F11"/>
    <w:rsid w:val="00463424"/>
    <w:rsid w:val="004772EA"/>
    <w:rsid w:val="004A46DE"/>
    <w:rsid w:val="004B01A7"/>
    <w:rsid w:val="00503FAD"/>
    <w:rsid w:val="005D0D35"/>
    <w:rsid w:val="006059B2"/>
    <w:rsid w:val="006308AE"/>
    <w:rsid w:val="006C1123"/>
    <w:rsid w:val="006D1F0B"/>
    <w:rsid w:val="006F2E67"/>
    <w:rsid w:val="0073786B"/>
    <w:rsid w:val="0074024C"/>
    <w:rsid w:val="00772880"/>
    <w:rsid w:val="007A297D"/>
    <w:rsid w:val="007C4791"/>
    <w:rsid w:val="00826299"/>
    <w:rsid w:val="00890F4C"/>
    <w:rsid w:val="008C7E26"/>
    <w:rsid w:val="008D6E7E"/>
    <w:rsid w:val="008F4D37"/>
    <w:rsid w:val="00915011"/>
    <w:rsid w:val="00921700"/>
    <w:rsid w:val="00924032"/>
    <w:rsid w:val="00965DB0"/>
    <w:rsid w:val="0097500C"/>
    <w:rsid w:val="009A6068"/>
    <w:rsid w:val="009D1C6A"/>
    <w:rsid w:val="009F1A50"/>
    <w:rsid w:val="00A33243"/>
    <w:rsid w:val="00A42E17"/>
    <w:rsid w:val="00A92E60"/>
    <w:rsid w:val="00AE590A"/>
    <w:rsid w:val="00B15018"/>
    <w:rsid w:val="00B34484"/>
    <w:rsid w:val="00B75E3A"/>
    <w:rsid w:val="00BB716D"/>
    <w:rsid w:val="00BD4DE6"/>
    <w:rsid w:val="00C62D2B"/>
    <w:rsid w:val="00CE13D2"/>
    <w:rsid w:val="00D34182"/>
    <w:rsid w:val="00D61C0C"/>
    <w:rsid w:val="00D81AEF"/>
    <w:rsid w:val="00D92DE7"/>
    <w:rsid w:val="00DA4E94"/>
    <w:rsid w:val="00DD074E"/>
    <w:rsid w:val="00DD7CF2"/>
    <w:rsid w:val="00DE7040"/>
    <w:rsid w:val="00E558BD"/>
    <w:rsid w:val="00E724C5"/>
    <w:rsid w:val="00F22976"/>
    <w:rsid w:val="00F91DE4"/>
    <w:rsid w:val="00FD08E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7E084F5C"/>
  <w15:chartTrackingRefBased/>
  <w15:docId w15:val="{0F677873-0429-486D-822E-02A18BFE63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A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F47DE"/>
    <w:pPr>
      <w:spacing w:after="240" w:line="264" w:lineRule="auto"/>
    </w:pPr>
  </w:style>
  <w:style w:type="paragraph" w:styleId="Heading1">
    <w:name w:val="heading 1"/>
    <w:basedOn w:val="Normal"/>
    <w:next w:val="Normal"/>
    <w:link w:val="Heading1Char"/>
    <w:uiPriority w:val="9"/>
    <w:qFormat/>
    <w:rsid w:val="00155D80"/>
    <w:pPr>
      <w:keepNext/>
      <w:keepLines/>
      <w:spacing w:before="360" w:after="360"/>
      <w:outlineLvl w:val="0"/>
    </w:pPr>
    <w:rPr>
      <w:rFonts w:asciiTheme="majorHAnsi" w:eastAsiaTheme="majorEastAsia" w:hAnsiTheme="majorHAnsi" w:cstheme="majorBidi"/>
      <w:b/>
      <w:bCs/>
      <w:color w:val="007280" w:themeColor="accent1" w:themeShade="BF"/>
      <w:sz w:val="44"/>
      <w:szCs w:val="44"/>
      <w:lang w:val="en-US"/>
    </w:rPr>
  </w:style>
  <w:style w:type="paragraph" w:styleId="Heading2">
    <w:name w:val="heading 2"/>
    <w:basedOn w:val="Normal"/>
    <w:next w:val="Normal"/>
    <w:link w:val="Heading2Char"/>
    <w:uiPriority w:val="9"/>
    <w:unhideWhenUsed/>
    <w:qFormat/>
    <w:rsid w:val="008C7E26"/>
    <w:pPr>
      <w:keepNext/>
      <w:keepLines/>
      <w:spacing w:before="360" w:after="80"/>
      <w:outlineLvl w:val="1"/>
    </w:pPr>
    <w:rPr>
      <w:rFonts w:asciiTheme="majorHAnsi" w:eastAsiaTheme="majorEastAsia" w:hAnsiTheme="majorHAnsi" w:cstheme="majorBidi"/>
      <w:b/>
      <w:bCs/>
      <w:sz w:val="36"/>
      <w:szCs w:val="32"/>
      <w:lang w:val="en-US"/>
    </w:rPr>
  </w:style>
  <w:style w:type="paragraph" w:styleId="Heading3">
    <w:name w:val="heading 3"/>
    <w:basedOn w:val="Normal"/>
    <w:next w:val="Normal"/>
    <w:link w:val="Heading3Char"/>
    <w:uiPriority w:val="9"/>
    <w:unhideWhenUsed/>
    <w:qFormat/>
    <w:rsid w:val="00C62D2B"/>
    <w:pPr>
      <w:keepNext/>
      <w:keepLines/>
      <w:spacing w:before="480" w:after="80" w:line="240" w:lineRule="auto"/>
      <w:outlineLvl w:val="2"/>
    </w:pPr>
    <w:rPr>
      <w:rFonts w:eastAsiaTheme="majorEastAsia" w:cstheme="majorBidi"/>
      <w:caps/>
      <w:sz w:val="28"/>
      <w:szCs w:val="28"/>
    </w:rPr>
  </w:style>
  <w:style w:type="paragraph" w:styleId="Heading4">
    <w:name w:val="heading 4"/>
    <w:basedOn w:val="Normal"/>
    <w:next w:val="Normal"/>
    <w:link w:val="Heading4Char"/>
    <w:uiPriority w:val="9"/>
    <w:semiHidden/>
    <w:unhideWhenUsed/>
    <w:qFormat/>
    <w:rsid w:val="001E20F0"/>
    <w:pPr>
      <w:keepNext/>
      <w:keepLines/>
      <w:spacing w:before="80" w:after="40"/>
      <w:outlineLvl w:val="3"/>
    </w:pPr>
    <w:rPr>
      <w:rFonts w:eastAsiaTheme="majorEastAsia" w:cstheme="majorBidi"/>
      <w:i/>
      <w:iCs/>
      <w:color w:val="007280" w:themeColor="accent1" w:themeShade="BF"/>
    </w:rPr>
  </w:style>
  <w:style w:type="paragraph" w:styleId="Heading5">
    <w:name w:val="heading 5"/>
    <w:basedOn w:val="Normal"/>
    <w:next w:val="Normal"/>
    <w:link w:val="Heading5Char"/>
    <w:uiPriority w:val="9"/>
    <w:semiHidden/>
    <w:unhideWhenUsed/>
    <w:qFormat/>
    <w:rsid w:val="001E20F0"/>
    <w:pPr>
      <w:keepNext/>
      <w:keepLines/>
      <w:spacing w:before="80" w:after="40"/>
      <w:outlineLvl w:val="4"/>
    </w:pPr>
    <w:rPr>
      <w:rFonts w:eastAsiaTheme="majorEastAsia" w:cstheme="majorBidi"/>
      <w:color w:val="007280" w:themeColor="accent1" w:themeShade="BF"/>
    </w:rPr>
  </w:style>
  <w:style w:type="paragraph" w:styleId="Heading6">
    <w:name w:val="heading 6"/>
    <w:basedOn w:val="Normal"/>
    <w:next w:val="Normal"/>
    <w:link w:val="Heading6Char"/>
    <w:uiPriority w:val="9"/>
    <w:semiHidden/>
    <w:unhideWhenUsed/>
    <w:qFormat/>
    <w:rsid w:val="001E20F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E20F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E20F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E20F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55D80"/>
    <w:rPr>
      <w:rFonts w:asciiTheme="majorHAnsi" w:eastAsiaTheme="majorEastAsia" w:hAnsiTheme="majorHAnsi" w:cstheme="majorBidi"/>
      <w:b/>
      <w:bCs/>
      <w:color w:val="007280" w:themeColor="accent1" w:themeShade="BF"/>
      <w:sz w:val="44"/>
      <w:szCs w:val="44"/>
      <w:lang w:val="en-US"/>
    </w:rPr>
  </w:style>
  <w:style w:type="character" w:customStyle="1" w:styleId="Heading2Char">
    <w:name w:val="Heading 2 Char"/>
    <w:basedOn w:val="DefaultParagraphFont"/>
    <w:link w:val="Heading2"/>
    <w:uiPriority w:val="9"/>
    <w:rsid w:val="008C7E26"/>
    <w:rPr>
      <w:rFonts w:asciiTheme="majorHAnsi" w:eastAsiaTheme="majorEastAsia" w:hAnsiTheme="majorHAnsi" w:cstheme="majorBidi"/>
      <w:b/>
      <w:bCs/>
      <w:sz w:val="36"/>
      <w:szCs w:val="32"/>
      <w:lang w:val="en-US"/>
    </w:rPr>
  </w:style>
  <w:style w:type="character" w:customStyle="1" w:styleId="Heading3Char">
    <w:name w:val="Heading 3 Char"/>
    <w:basedOn w:val="DefaultParagraphFont"/>
    <w:link w:val="Heading3"/>
    <w:uiPriority w:val="9"/>
    <w:rsid w:val="00C62D2B"/>
    <w:rPr>
      <w:rFonts w:eastAsiaTheme="majorEastAsia" w:cstheme="majorBidi"/>
      <w:caps/>
      <w:sz w:val="28"/>
      <w:szCs w:val="28"/>
    </w:rPr>
  </w:style>
  <w:style w:type="character" w:customStyle="1" w:styleId="Heading4Char">
    <w:name w:val="Heading 4 Char"/>
    <w:basedOn w:val="DefaultParagraphFont"/>
    <w:link w:val="Heading4"/>
    <w:uiPriority w:val="9"/>
    <w:semiHidden/>
    <w:rsid w:val="001E20F0"/>
    <w:rPr>
      <w:rFonts w:eastAsiaTheme="majorEastAsia" w:cstheme="majorBidi"/>
      <w:i/>
      <w:iCs/>
      <w:color w:val="007280" w:themeColor="accent1" w:themeShade="BF"/>
    </w:rPr>
  </w:style>
  <w:style w:type="character" w:customStyle="1" w:styleId="Heading5Char">
    <w:name w:val="Heading 5 Char"/>
    <w:basedOn w:val="DefaultParagraphFont"/>
    <w:link w:val="Heading5"/>
    <w:uiPriority w:val="9"/>
    <w:semiHidden/>
    <w:rsid w:val="001E20F0"/>
    <w:rPr>
      <w:rFonts w:eastAsiaTheme="majorEastAsia" w:cstheme="majorBidi"/>
      <w:color w:val="007280" w:themeColor="accent1" w:themeShade="BF"/>
    </w:rPr>
  </w:style>
  <w:style w:type="character" w:customStyle="1" w:styleId="Heading6Char">
    <w:name w:val="Heading 6 Char"/>
    <w:basedOn w:val="DefaultParagraphFont"/>
    <w:link w:val="Heading6"/>
    <w:uiPriority w:val="9"/>
    <w:semiHidden/>
    <w:rsid w:val="001E20F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E20F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E20F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E20F0"/>
    <w:rPr>
      <w:rFonts w:eastAsiaTheme="majorEastAsia" w:cstheme="majorBidi"/>
      <w:color w:val="272727" w:themeColor="text1" w:themeTint="D8"/>
    </w:rPr>
  </w:style>
  <w:style w:type="paragraph" w:styleId="Title">
    <w:name w:val="Title"/>
    <w:basedOn w:val="Normal"/>
    <w:next w:val="Normal"/>
    <w:link w:val="TitleChar"/>
    <w:uiPriority w:val="10"/>
    <w:qFormat/>
    <w:rsid w:val="007C4791"/>
    <w:pPr>
      <w:spacing w:after="120"/>
      <w:contextualSpacing/>
    </w:pPr>
    <w:rPr>
      <w:rFonts w:asciiTheme="majorHAnsi" w:eastAsiaTheme="majorEastAsia" w:hAnsiTheme="majorHAnsi" w:cstheme="majorBidi"/>
      <w:b/>
      <w:bCs/>
      <w:color w:val="009AAB" w:themeColor="accent1"/>
      <w:kern w:val="28"/>
      <w:sz w:val="60"/>
      <w:szCs w:val="60"/>
      <w:lang w:val="en-US"/>
    </w:rPr>
  </w:style>
  <w:style w:type="character" w:customStyle="1" w:styleId="TitleChar">
    <w:name w:val="Title Char"/>
    <w:basedOn w:val="DefaultParagraphFont"/>
    <w:link w:val="Title"/>
    <w:uiPriority w:val="10"/>
    <w:rsid w:val="007C4791"/>
    <w:rPr>
      <w:rFonts w:asciiTheme="majorHAnsi" w:eastAsiaTheme="majorEastAsia" w:hAnsiTheme="majorHAnsi" w:cstheme="majorBidi"/>
      <w:b/>
      <w:bCs/>
      <w:color w:val="009AAB" w:themeColor="accent1"/>
      <w:kern w:val="28"/>
      <w:sz w:val="60"/>
      <w:szCs w:val="60"/>
      <w:lang w:val="en-US"/>
    </w:rPr>
  </w:style>
  <w:style w:type="paragraph" w:styleId="Subtitle">
    <w:name w:val="Subtitle"/>
    <w:basedOn w:val="Normal"/>
    <w:next w:val="Normal"/>
    <w:link w:val="SubtitleChar"/>
    <w:uiPriority w:val="11"/>
    <w:qFormat/>
    <w:rsid w:val="007C4791"/>
    <w:pPr>
      <w:numPr>
        <w:ilvl w:val="1"/>
      </w:numPr>
    </w:pPr>
    <w:rPr>
      <w:rFonts w:eastAsiaTheme="majorEastAsia" w:cstheme="majorBidi"/>
      <w:spacing w:val="5"/>
      <w:sz w:val="34"/>
      <w:szCs w:val="34"/>
      <w:lang w:val="en-US"/>
    </w:rPr>
  </w:style>
  <w:style w:type="character" w:customStyle="1" w:styleId="SubtitleChar">
    <w:name w:val="Subtitle Char"/>
    <w:basedOn w:val="DefaultParagraphFont"/>
    <w:link w:val="Subtitle"/>
    <w:uiPriority w:val="11"/>
    <w:rsid w:val="007C4791"/>
    <w:rPr>
      <w:rFonts w:eastAsiaTheme="majorEastAsia" w:cstheme="majorBidi"/>
      <w:spacing w:val="5"/>
      <w:sz w:val="34"/>
      <w:szCs w:val="34"/>
      <w:lang w:val="en-US"/>
    </w:rPr>
  </w:style>
  <w:style w:type="paragraph" w:styleId="Quote">
    <w:name w:val="Quote"/>
    <w:basedOn w:val="Normal"/>
    <w:next w:val="Normal"/>
    <w:link w:val="QuoteChar"/>
    <w:uiPriority w:val="29"/>
    <w:qFormat/>
    <w:rsid w:val="001E20F0"/>
    <w:pPr>
      <w:spacing w:before="160"/>
      <w:jc w:val="center"/>
    </w:pPr>
    <w:rPr>
      <w:i/>
      <w:iCs/>
      <w:color w:val="404040" w:themeColor="text1" w:themeTint="BF"/>
    </w:rPr>
  </w:style>
  <w:style w:type="character" w:customStyle="1" w:styleId="QuoteChar">
    <w:name w:val="Quote Char"/>
    <w:basedOn w:val="DefaultParagraphFont"/>
    <w:link w:val="Quote"/>
    <w:uiPriority w:val="29"/>
    <w:rsid w:val="001E20F0"/>
    <w:rPr>
      <w:i/>
      <w:iCs/>
      <w:color w:val="404040" w:themeColor="text1" w:themeTint="BF"/>
    </w:rPr>
  </w:style>
  <w:style w:type="paragraph" w:styleId="ListParagraph">
    <w:name w:val="List Paragraph"/>
    <w:basedOn w:val="Normal"/>
    <w:uiPriority w:val="34"/>
    <w:qFormat/>
    <w:rsid w:val="006059B2"/>
    <w:pPr>
      <w:numPr>
        <w:numId w:val="4"/>
      </w:numPr>
      <w:spacing w:after="120"/>
    </w:pPr>
    <w:rPr>
      <w:lang w:val="en-US"/>
    </w:rPr>
  </w:style>
  <w:style w:type="character" w:styleId="IntenseEmphasis">
    <w:name w:val="Intense Emphasis"/>
    <w:basedOn w:val="DefaultParagraphFont"/>
    <w:uiPriority w:val="21"/>
    <w:qFormat/>
    <w:rsid w:val="001E20F0"/>
    <w:rPr>
      <w:i/>
      <w:iCs/>
      <w:color w:val="007280" w:themeColor="accent1" w:themeShade="BF"/>
    </w:rPr>
  </w:style>
  <w:style w:type="paragraph" w:styleId="IntenseQuote">
    <w:name w:val="Intense Quote"/>
    <w:basedOn w:val="Normal"/>
    <w:next w:val="Normal"/>
    <w:link w:val="IntenseQuoteChar"/>
    <w:uiPriority w:val="30"/>
    <w:qFormat/>
    <w:rsid w:val="001E20F0"/>
    <w:pPr>
      <w:pBdr>
        <w:top w:val="single" w:sz="4" w:space="10" w:color="007280" w:themeColor="accent1" w:themeShade="BF"/>
        <w:bottom w:val="single" w:sz="4" w:space="10" w:color="007280" w:themeColor="accent1" w:themeShade="BF"/>
      </w:pBdr>
      <w:spacing w:before="360" w:after="360"/>
      <w:ind w:left="864" w:right="864"/>
      <w:jc w:val="center"/>
    </w:pPr>
    <w:rPr>
      <w:i/>
      <w:iCs/>
      <w:color w:val="007280" w:themeColor="accent1" w:themeShade="BF"/>
    </w:rPr>
  </w:style>
  <w:style w:type="character" w:customStyle="1" w:styleId="IntenseQuoteChar">
    <w:name w:val="Intense Quote Char"/>
    <w:basedOn w:val="DefaultParagraphFont"/>
    <w:link w:val="IntenseQuote"/>
    <w:uiPriority w:val="30"/>
    <w:rsid w:val="001E20F0"/>
    <w:rPr>
      <w:i/>
      <w:iCs/>
      <w:color w:val="007280" w:themeColor="accent1" w:themeShade="BF"/>
    </w:rPr>
  </w:style>
  <w:style w:type="character" w:styleId="IntenseReference">
    <w:name w:val="Intense Reference"/>
    <w:basedOn w:val="DefaultParagraphFont"/>
    <w:uiPriority w:val="32"/>
    <w:qFormat/>
    <w:rsid w:val="001E20F0"/>
    <w:rPr>
      <w:b/>
      <w:bCs/>
      <w:smallCaps/>
      <w:color w:val="007280" w:themeColor="accent1" w:themeShade="BF"/>
      <w:spacing w:val="5"/>
    </w:rPr>
  </w:style>
  <w:style w:type="paragraph" w:styleId="Header">
    <w:name w:val="header"/>
    <w:basedOn w:val="Normal"/>
    <w:link w:val="HeaderChar"/>
    <w:uiPriority w:val="99"/>
    <w:unhideWhenUsed/>
    <w:rsid w:val="001E20F0"/>
    <w:pPr>
      <w:tabs>
        <w:tab w:val="center" w:pos="4513"/>
        <w:tab w:val="right" w:pos="9026"/>
      </w:tabs>
      <w:spacing w:after="0" w:line="240" w:lineRule="auto"/>
    </w:pPr>
  </w:style>
  <w:style w:type="character" w:customStyle="1" w:styleId="HeaderChar">
    <w:name w:val="Header Char"/>
    <w:basedOn w:val="DefaultParagraphFont"/>
    <w:link w:val="Header"/>
    <w:uiPriority w:val="99"/>
    <w:rsid w:val="001E20F0"/>
  </w:style>
  <w:style w:type="paragraph" w:styleId="Footer">
    <w:name w:val="footer"/>
    <w:basedOn w:val="Normal"/>
    <w:link w:val="FooterChar"/>
    <w:uiPriority w:val="99"/>
    <w:unhideWhenUsed/>
    <w:rsid w:val="001E20F0"/>
    <w:pPr>
      <w:tabs>
        <w:tab w:val="center" w:pos="4513"/>
        <w:tab w:val="right" w:pos="9026"/>
      </w:tabs>
      <w:spacing w:after="0" w:line="240" w:lineRule="auto"/>
    </w:pPr>
  </w:style>
  <w:style w:type="character" w:customStyle="1" w:styleId="FooterChar">
    <w:name w:val="Footer Char"/>
    <w:basedOn w:val="DefaultParagraphFont"/>
    <w:link w:val="Footer"/>
    <w:uiPriority w:val="99"/>
    <w:rsid w:val="001E20F0"/>
  </w:style>
  <w:style w:type="paragraph" w:customStyle="1" w:styleId="ListParagraph-letter">
    <w:name w:val="List Paragraph - letter"/>
    <w:basedOn w:val="ListParagraph"/>
    <w:qFormat/>
    <w:rsid w:val="006C1123"/>
    <w:pPr>
      <w:numPr>
        <w:numId w:val="7"/>
      </w:numPr>
    </w:pPr>
  </w:style>
  <w:style w:type="paragraph" w:customStyle="1" w:styleId="06Heading1">
    <w:name w:val="06 Heading 1"/>
    <w:basedOn w:val="Normal"/>
    <w:uiPriority w:val="99"/>
    <w:rsid w:val="000215B8"/>
    <w:pPr>
      <w:suppressAutoHyphens/>
      <w:autoSpaceDE w:val="0"/>
      <w:autoSpaceDN w:val="0"/>
      <w:adjustRightInd w:val="0"/>
      <w:spacing w:after="567" w:line="288" w:lineRule="auto"/>
      <w:textAlignment w:val="center"/>
    </w:pPr>
    <w:rPr>
      <w:rFonts w:ascii="Aleo Thin" w:hAnsi="Aleo Thin" w:cs="Aleo Thin"/>
      <w:color w:val="009AAB"/>
      <w:spacing w:val="-3"/>
      <w:kern w:val="0"/>
      <w:sz w:val="52"/>
      <w:szCs w:val="52"/>
      <w:lang w:val="en-US"/>
    </w:rPr>
  </w:style>
  <w:style w:type="character" w:styleId="Hyperlink">
    <w:name w:val="Hyperlink"/>
    <w:basedOn w:val="DefaultParagraphFont"/>
    <w:uiPriority w:val="99"/>
    <w:unhideWhenUsed/>
    <w:rsid w:val="00D92DE7"/>
    <w:rPr>
      <w:color w:val="467886" w:themeColor="hyperlink"/>
      <w:u w:val="single"/>
    </w:rPr>
  </w:style>
  <w:style w:type="character" w:styleId="UnresolvedMention">
    <w:name w:val="Unresolved Mention"/>
    <w:basedOn w:val="DefaultParagraphFont"/>
    <w:uiPriority w:val="99"/>
    <w:semiHidden/>
    <w:unhideWhenUsed/>
    <w:rsid w:val="00D92DE7"/>
    <w:rPr>
      <w:color w:val="605E5C"/>
      <w:shd w:val="clear" w:color="auto" w:fill="E1DFDD"/>
    </w:rPr>
  </w:style>
  <w:style w:type="paragraph" w:customStyle="1" w:styleId="ListParagraph-number">
    <w:name w:val="List Paragraph - number"/>
    <w:basedOn w:val="ListParagraph"/>
    <w:qFormat/>
    <w:rsid w:val="009A6068"/>
    <w:pPr>
      <w:numPr>
        <w:numId w:val="6"/>
      </w:numPr>
    </w:pPr>
  </w:style>
  <w:style w:type="table" w:styleId="TableGrid">
    <w:name w:val="Table Grid"/>
    <w:basedOn w:val="TableNormal"/>
    <w:uiPriority w:val="39"/>
    <w:rsid w:val="0046342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break">
    <w:name w:val="No break"/>
    <w:uiPriority w:val="99"/>
    <w:rsid w:val="00295D35"/>
  </w:style>
  <w:style w:type="paragraph" w:customStyle="1" w:styleId="table10pt">
    <w:name w:val="table 10pt"/>
    <w:basedOn w:val="Normal"/>
    <w:qFormat/>
    <w:rsid w:val="00211E9D"/>
    <w:pPr>
      <w:spacing w:after="0"/>
    </w:pPr>
    <w:rPr>
      <w:sz w:val="20"/>
      <w:szCs w:val="20"/>
    </w:rPr>
  </w:style>
  <w:style w:type="paragraph" w:customStyle="1" w:styleId="tableheading">
    <w:name w:val="table heading"/>
    <w:basedOn w:val="table10pt"/>
    <w:qFormat/>
    <w:rsid w:val="0097500C"/>
    <w:rPr>
      <w:b/>
      <w:bCs/>
    </w:rPr>
  </w:style>
  <w:style w:type="paragraph" w:customStyle="1" w:styleId="14tablebody">
    <w:name w:val="14 table body"/>
    <w:basedOn w:val="Normal"/>
    <w:uiPriority w:val="99"/>
    <w:rsid w:val="00DD074E"/>
    <w:pPr>
      <w:suppressAutoHyphens/>
      <w:autoSpaceDE w:val="0"/>
      <w:autoSpaceDN w:val="0"/>
      <w:adjustRightInd w:val="0"/>
      <w:spacing w:after="85" w:line="220" w:lineRule="atLeast"/>
      <w:textAlignment w:val="center"/>
    </w:pPr>
    <w:rPr>
      <w:rFonts w:ascii="Trade Gothic Next LT Pro" w:hAnsi="Trade Gothic Next LT Pro" w:cs="Trade Gothic Next LT Pro"/>
      <w:color w:val="000000"/>
      <w:kern w:val="0"/>
      <w:sz w:val="18"/>
      <w:szCs w:val="18"/>
      <w:lang w:val="en-US"/>
    </w:rPr>
  </w:style>
  <w:style w:type="paragraph" w:customStyle="1" w:styleId="15tablebullet">
    <w:name w:val="15 table bullet"/>
    <w:basedOn w:val="14tablebody"/>
    <w:uiPriority w:val="99"/>
    <w:rsid w:val="00DD074E"/>
    <w:pPr>
      <w:spacing w:after="57"/>
      <w:ind w:left="227" w:hanging="227"/>
    </w:pPr>
  </w:style>
  <w:style w:type="paragraph" w:customStyle="1" w:styleId="tablelist">
    <w:name w:val="table list"/>
    <w:basedOn w:val="ListParagraph"/>
    <w:qFormat/>
    <w:rsid w:val="00211E9D"/>
    <w:pPr>
      <w:spacing w:after="0"/>
      <w:ind w:left="227" w:hanging="227"/>
    </w:pPr>
    <w:rPr>
      <w:sz w:val="20"/>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parlaph-my.sharepoint.com/personal/marcin_kocik_aph_gov_au/Documents/Comms/APH%20website%20update/2025/inclusion@aph.gov.au"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legislation.gov.au/C2023A00072/latest/text"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Custom 1">
      <a:dk1>
        <a:sysClr val="windowText" lastClr="000000"/>
      </a:dk1>
      <a:lt1>
        <a:sysClr val="window" lastClr="FFFFFF"/>
      </a:lt1>
      <a:dk2>
        <a:srgbClr val="0E2841"/>
      </a:dk2>
      <a:lt2>
        <a:srgbClr val="E8E8E8"/>
      </a:lt2>
      <a:accent1>
        <a:srgbClr val="009AAB"/>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2f36f7a5-0336-4270-bc8b-34f91fc7373c" xsi:nil="true"/>
    <lcf76f155ced4ddcb4097134ff3c332f xmlns="5ceed23c-7200-4e7f-8bca-74d7ce1fccaf">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90B5D2FA7593A4D8F3EAB7E9DA784D0" ma:contentTypeVersion="13" ma:contentTypeDescription="Create a new document." ma:contentTypeScope="" ma:versionID="ac873d9d89d493842f60c40601c0965c">
  <xsd:schema xmlns:xsd="http://www.w3.org/2001/XMLSchema" xmlns:xs="http://www.w3.org/2001/XMLSchema" xmlns:p="http://schemas.microsoft.com/office/2006/metadata/properties" xmlns:ns2="5ceed23c-7200-4e7f-8bca-74d7ce1fccaf" xmlns:ns3="2f36f7a5-0336-4270-bc8b-34f91fc7373c" targetNamespace="http://schemas.microsoft.com/office/2006/metadata/properties" ma:root="true" ma:fieldsID="38dbb58240b892512ceaf280efa8bc57" ns2:_="" ns3:_="">
    <xsd:import namespace="5ceed23c-7200-4e7f-8bca-74d7ce1fccaf"/>
    <xsd:import namespace="2f36f7a5-0336-4270-bc8b-34f91fc7373c"/>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SearchProperties" minOccurs="0"/>
                <xsd:element ref="ns3:SharedWithUsers" minOccurs="0"/>
                <xsd:element ref="ns3:SharedWithDetail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ceed23c-7200-4e7f-8bca-74d7ce1fcca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a9a74cbd-bcda-4e2a-9850-f2d88d4ffda6"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7" nillable="true" ma:displayName="MediaServiceSearchProperties" ma:hidden="true" ma:internalName="MediaServiceSearchProperties" ma:readOnly="true">
      <xsd:simpleType>
        <xsd:restriction base="dms:Note"/>
      </xsd:simpleType>
    </xsd:element>
    <xsd:element name="MediaServiceDateTaken" ma:index="20"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36f7a5-0336-4270-bc8b-34f91fc7373c"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456c036a-ee68-44c6-8918-a01c2bf367ad}" ma:internalName="TaxCatchAll" ma:showField="CatchAllData" ma:web="2f36f7a5-0336-4270-bc8b-34f91fc7373c">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C7A20FA-B08B-4A02-95B6-08833D06A826}">
  <ds:schemaRefs>
    <ds:schemaRef ds:uri="f1ed84ab-d103-40f4-ad7d-b706cea1eb8a"/>
    <ds:schemaRef ds:uri="http://schemas.microsoft.com/office/2006/documentManagement/types"/>
    <ds:schemaRef ds:uri="http://schemas.microsoft.com/office/infopath/2007/PartnerControls"/>
    <ds:schemaRef ds:uri="http://schemas.microsoft.com/office/2006/metadata/properties"/>
    <ds:schemaRef ds:uri="c8a96d85-97b7-468a-863c-d41a964a6e6f"/>
    <ds:schemaRef ds:uri="http://purl.org/dc/terms/"/>
    <ds:schemaRef ds:uri="http://purl.org/dc/elements/1.1/"/>
    <ds:schemaRef ds:uri="http://www.w3.org/XML/1998/namespace"/>
    <ds:schemaRef ds:uri="http://schemas.openxmlformats.org/package/2006/metadata/core-properties"/>
    <ds:schemaRef ds:uri="4a5628b5-9325-47fb-b4d4-5929ffa27036"/>
    <ds:schemaRef ds:uri="http://purl.org/dc/dcmitype/"/>
    <ds:schemaRef ds:uri="2f36f7a5-0336-4270-bc8b-34f91fc7373c"/>
    <ds:schemaRef ds:uri="5ceed23c-7200-4e7f-8bca-74d7ce1fccaf"/>
  </ds:schemaRefs>
</ds:datastoreItem>
</file>

<file path=customXml/itemProps2.xml><?xml version="1.0" encoding="utf-8"?>
<ds:datastoreItem xmlns:ds="http://schemas.openxmlformats.org/officeDocument/2006/customXml" ds:itemID="{393D8456-EBF0-4513-8DEE-EBF6FF6AB98B}">
  <ds:schemaRefs>
    <ds:schemaRef ds:uri="http://schemas.microsoft.com/sharepoint/v3/contenttype/forms"/>
  </ds:schemaRefs>
</ds:datastoreItem>
</file>

<file path=customXml/itemProps3.xml><?xml version="1.0" encoding="utf-8"?>
<ds:datastoreItem xmlns:ds="http://schemas.openxmlformats.org/officeDocument/2006/customXml" ds:itemID="{0CE82AC6-ED53-41E8-94F2-B055889C305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ceed23c-7200-4e7f-8bca-74d7ce1fccaf"/>
    <ds:schemaRef ds:uri="2f36f7a5-0336-4270-bc8b-34f91fc737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2701</Words>
  <Characters>15402</Characters>
  <Application>Microsoft Office Word</Application>
  <DocSecurity>0</DocSecurity>
  <Lines>128</Lines>
  <Paragraphs>36</Paragraphs>
  <ScaleCrop>false</ScaleCrop>
  <HeadingPairs>
    <vt:vector size="2" baseType="variant">
      <vt:variant>
        <vt:lpstr>Title</vt:lpstr>
      </vt:variant>
      <vt:variant>
        <vt:i4>1</vt:i4>
      </vt:variant>
    </vt:vector>
  </HeadingPairs>
  <TitlesOfParts>
    <vt:vector size="1" baseType="lpstr">
      <vt:lpstr>Australian Parliamentary Service Access and Inclusion Action Plan</vt:lpstr>
    </vt:vector>
  </TitlesOfParts>
  <Company>Parliament of Australia</Company>
  <LinksUpToDate>false</LinksUpToDate>
  <CharactersWithSpaces>18067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Australian Parliamentary Service Access and Inclusion Action Plan</dc:title>
  <dc:subject/>
  <dc:creator>People performance and strategy branch. Corporate services division</dc:creator>
  <cp:keywords/>
  <dc:description/>
  <cp:lastModifiedBy>Kocik, Marcin (DPS)</cp:lastModifiedBy>
  <cp:revision>2</cp:revision>
  <dcterms:created xsi:type="dcterms:W3CDTF">2025-12-09T23:21:00Z</dcterms:created>
  <dcterms:modified xsi:type="dcterms:W3CDTF">2025-12-09T23:21:00Z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0x010100090B5D2FA7593A4D8F3EAB7E9DA784D0</vt:lpwstr>
  </property>
  <property fmtid="{D5CDD505-2E9C-101B-9397-08002B2CF9AE}" pid="3" name="MediaServiceImageTags">
    <vt:lpwstr/>
  </property>
  <property fmtid="{D5CDD505-2E9C-101B-9397-08002B2CF9AE}" pid="4" name="MSIP_Label_234ea0fa-41da-4eb0-b95e-07c328641c0b_Enabled">
    <vt:lpwstr>true</vt:lpwstr>
  </property>
  <property fmtid="{D5CDD505-2E9C-101B-9397-08002B2CF9AE}" pid="5" name="MSIP_Label_234ea0fa-41da-4eb0-b95e-07c328641c0b_SetDate">
    <vt:lpwstr>2025-12-09T23:16:15Z</vt:lpwstr>
  </property>
  <property fmtid="{D5CDD505-2E9C-101B-9397-08002B2CF9AE}" pid="6" name="MSIP_Label_234ea0fa-41da-4eb0-b95e-07c328641c0b_Method">
    <vt:lpwstr>Privileged</vt:lpwstr>
  </property>
  <property fmtid="{D5CDD505-2E9C-101B-9397-08002B2CF9AE}" pid="7" name="MSIP_Label_234ea0fa-41da-4eb0-b95e-07c328641c0b_Name">
    <vt:lpwstr>BLANK</vt:lpwstr>
  </property>
  <property fmtid="{D5CDD505-2E9C-101B-9397-08002B2CF9AE}" pid="8" name="MSIP_Label_234ea0fa-41da-4eb0-b95e-07c328641c0b_SiteId">
    <vt:lpwstr>f6214c15-3a99-47d1-b862-c9648e927316</vt:lpwstr>
  </property>
  <property fmtid="{D5CDD505-2E9C-101B-9397-08002B2CF9AE}" pid="9" name="MSIP_Label_234ea0fa-41da-4eb0-b95e-07c328641c0b_ActionId">
    <vt:lpwstr>267c5df8-2435-40d4-b50f-caa92c745c7e</vt:lpwstr>
  </property>
  <property fmtid="{D5CDD505-2E9C-101B-9397-08002B2CF9AE}" pid="10" name="MSIP_Label_234ea0fa-41da-4eb0-b95e-07c328641c0b_ContentBits">
    <vt:lpwstr>0</vt:lpwstr>
  </property>
  <property fmtid="{D5CDD505-2E9C-101B-9397-08002B2CF9AE}" pid="11" name="MSIP_Label_234ea0fa-41da-4eb0-b95e-07c328641c0b_Tag">
    <vt:lpwstr>10, 0, 1, 1</vt:lpwstr>
  </property>
</Properties>
</file>