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1627F" w14:textId="5845C4DC" w:rsidR="00220443" w:rsidRPr="006E4D6B" w:rsidRDefault="001E28FA" w:rsidP="006E4D6B">
      <w:pPr>
        <w:spacing w:before="360" w:after="60"/>
        <w:rPr>
          <w:rFonts w:ascii="Calibri" w:eastAsia="Calibri" w:hAnsi="Calibri"/>
          <w:b/>
          <w:color w:val="3D4D7D"/>
          <w:sz w:val="28"/>
          <w:szCs w:val="28"/>
          <w:lang w:eastAsia="en-US"/>
        </w:rPr>
      </w:pPr>
      <w:bookmarkStart w:id="0" w:name="_GoBack"/>
      <w:bookmarkEnd w:id="0"/>
      <w:r>
        <w:rPr>
          <w:rFonts w:ascii="Calibri" w:eastAsia="Calibri" w:hAnsi="Calibri"/>
          <w:b/>
          <w:color w:val="3D4D7D"/>
          <w:sz w:val="28"/>
          <w:szCs w:val="28"/>
          <w:lang w:eastAsia="en-US"/>
        </w:rPr>
        <w:t>4</w:t>
      </w:r>
      <w:r w:rsidR="005376B3" w:rsidRPr="00BB1A0F">
        <w:rPr>
          <w:rFonts w:ascii="Calibri" w:eastAsia="Calibri" w:hAnsi="Calibri"/>
          <w:b/>
          <w:color w:val="3D4D7D"/>
          <w:sz w:val="28"/>
          <w:szCs w:val="28"/>
          <w:lang w:eastAsia="en-US"/>
        </w:rPr>
        <w:t xml:space="preserve"> March</w:t>
      </w:r>
      <w:r w:rsidR="00CF57B3" w:rsidRPr="005376B3">
        <w:rPr>
          <w:rFonts w:ascii="Calibri" w:eastAsia="Calibri" w:hAnsi="Calibri"/>
          <w:b/>
          <w:color w:val="3D4D7D"/>
          <w:sz w:val="28"/>
          <w:szCs w:val="28"/>
          <w:lang w:eastAsia="en-US"/>
        </w:rPr>
        <w:t xml:space="preserve"> </w:t>
      </w:r>
      <w:r w:rsidR="006E4D6B" w:rsidRPr="005376B3">
        <w:rPr>
          <w:rFonts w:ascii="Calibri" w:eastAsia="Calibri" w:hAnsi="Calibri"/>
          <w:b/>
          <w:color w:val="3D4D7D"/>
          <w:sz w:val="28"/>
          <w:szCs w:val="28"/>
          <w:lang w:eastAsia="en-US"/>
        </w:rPr>
        <w:t>20</w:t>
      </w:r>
      <w:r w:rsidR="00CF57B3" w:rsidRPr="005376B3">
        <w:rPr>
          <w:rFonts w:ascii="Calibri" w:eastAsia="Calibri" w:hAnsi="Calibri"/>
          <w:b/>
          <w:color w:val="3D4D7D"/>
          <w:sz w:val="28"/>
          <w:szCs w:val="28"/>
          <w:lang w:eastAsia="en-US"/>
        </w:rPr>
        <w:t>21</w:t>
      </w:r>
    </w:p>
    <w:p w14:paraId="49FC73E2" w14:textId="77777777" w:rsidR="00CF57B3" w:rsidRDefault="00CF57B3" w:rsidP="00DB1F9B">
      <w:pPr>
        <w:pStyle w:val="Heading1"/>
      </w:pPr>
      <w:r>
        <w:t>2020</w:t>
      </w:r>
      <w:r>
        <w:noBreakHyphen/>
        <w:t>21 National fiscal outlook</w:t>
      </w:r>
      <w:r w:rsidR="00835ACD">
        <w:t>:</w:t>
      </w:r>
      <w:r w:rsidR="00835ACD" w:rsidRPr="00835ACD" w:rsidDel="00382E06">
        <w:t xml:space="preserve"> </w:t>
      </w:r>
    </w:p>
    <w:p w14:paraId="74F68575" w14:textId="583B0E60" w:rsidR="00671E47" w:rsidRDefault="00FD5BF2" w:rsidP="00DB1F9B">
      <w:pPr>
        <w:pStyle w:val="Heading1"/>
      </w:pPr>
      <w:r>
        <w:t>T</w:t>
      </w:r>
      <w:r w:rsidR="00382E06">
        <w:t>echnical appendix</w:t>
      </w:r>
      <w:r w:rsidR="00835ACD" w:rsidDel="00835ACD">
        <w:t xml:space="preserve"> </w:t>
      </w:r>
    </w:p>
    <w:p w14:paraId="47BFF8FC" w14:textId="2B26E8E4" w:rsidR="00091B6C" w:rsidRPr="00091B6C" w:rsidRDefault="00CB6971" w:rsidP="002E130B">
      <w:r>
        <w:rPr>
          <w:noProof/>
        </w:rPr>
        <mc:AlternateContent>
          <mc:Choice Requires="wps">
            <w:drawing>
              <wp:inline distT="0" distB="0" distL="0" distR="0" wp14:anchorId="6F04482C" wp14:editId="1251BE04">
                <wp:extent cx="536400" cy="0"/>
                <wp:effectExtent l="0" t="19050" r="35560" b="19050"/>
                <wp:docPr id="9" name="Straight Connector 9"/>
                <wp:cNvGraphicFramePr/>
                <a:graphic xmlns:a="http://schemas.openxmlformats.org/drawingml/2006/main">
                  <a:graphicData uri="http://schemas.microsoft.com/office/word/2010/wordprocessingShape">
                    <wps:wsp>
                      <wps:cNvCnPr/>
                      <wps:spPr>
                        <a:xfrm>
                          <a:off x="0" y="0"/>
                          <a:ext cx="536400" cy="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433590"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" strokecolor="#3d4d7d [3214]" strokeweight="3pt">
                <w10:anchorlock/>
              </v:line>
            </w:pict>
          </mc:Fallback>
        </mc:AlternateContent>
      </w:r>
      <w:bookmarkStart w:id="1" w:name="_Toc25676873"/>
      <w:bookmarkStart w:id="2" w:name="_Toc495678483"/>
      <w:bookmarkStart w:id="3" w:name="_Toc496168778"/>
      <w:bookmarkStart w:id="4" w:name="_Toc24101683"/>
      <w:bookmarkStart w:id="5" w:name="_Toc25676874"/>
    </w:p>
    <w:p w14:paraId="58227F80" w14:textId="258AD19E" w:rsidR="00091B6C" w:rsidRPr="00846B2B" w:rsidRDefault="00091B6C" w:rsidP="00091B6C">
      <w:pPr>
        <w:pStyle w:val="Heading2"/>
      </w:pPr>
      <w:r w:rsidRPr="00846B2B">
        <w:t>Glossary</w:t>
      </w:r>
      <w:bookmarkEnd w:id="1"/>
      <w:r w:rsidR="002E130B" w:rsidRPr="00E632DD">
        <w:rPr>
          <w:rStyle w:val="FootnoteReference"/>
          <w:color w:val="3D4D7D" w:themeColor="background2"/>
        </w:rPr>
        <w:footnoteReference w:id="1"/>
      </w:r>
    </w:p>
    <w:p w14:paraId="1288443B" w14:textId="4006FFFF" w:rsidR="00E958B7" w:rsidRDefault="00E958B7" w:rsidP="00091B6C">
      <w:pPr>
        <w:pStyle w:val="Heading4"/>
        <w:rPr>
          <w:rStyle w:val="Heading4Char"/>
          <w:i/>
          <w:iCs/>
        </w:rPr>
      </w:pPr>
      <w:r>
        <w:rPr>
          <w:rStyle w:val="Heading4Char"/>
          <w:i/>
          <w:iCs/>
        </w:rPr>
        <w:t xml:space="preserve">Expenses </w:t>
      </w:r>
    </w:p>
    <w:p w14:paraId="10AE34DF" w14:textId="2C8F6651" w:rsidR="00E958B7" w:rsidRPr="00E958B7" w:rsidRDefault="00E958B7" w:rsidP="00E958B7">
      <w:pPr>
        <w:pStyle w:val="BodyText"/>
      </w:pPr>
      <w:r w:rsidRPr="00E958B7">
        <w:t>Expense in the budget context refers to the cost of providing government services, excluding costs related to revaluations such as the write down of assets.</w:t>
      </w:r>
      <w:r w:rsidR="00E632DD">
        <w:t xml:space="preserve"> </w:t>
      </w:r>
      <w:r>
        <w:t xml:space="preserve"> </w:t>
      </w:r>
      <w:r w:rsidRPr="00E958B7">
        <w:t>Expenses are recorded when costs are incurred, regardless of whether any cash is paid.  This reflects an accrual accounting framework.</w:t>
      </w:r>
    </w:p>
    <w:p w14:paraId="3E8234C8" w14:textId="42291CDB" w:rsidR="00091B6C" w:rsidRPr="00091B6C" w:rsidRDefault="00091B6C" w:rsidP="00091B6C">
      <w:pPr>
        <w:pStyle w:val="Heading4"/>
        <w:rPr>
          <w:rStyle w:val="Heading4Char"/>
          <w:bCs/>
          <w:i/>
          <w:iCs/>
        </w:rPr>
      </w:pPr>
      <w:r w:rsidRPr="00091B6C">
        <w:rPr>
          <w:rStyle w:val="Heading4Char"/>
          <w:i/>
          <w:iCs/>
        </w:rPr>
        <w:t>Fiscal balance</w:t>
      </w:r>
      <w:r w:rsidR="000527B2">
        <w:rPr>
          <w:rStyle w:val="Heading4Char"/>
          <w:i/>
          <w:iCs/>
        </w:rPr>
        <w:t xml:space="preserve"> </w:t>
      </w:r>
    </w:p>
    <w:p w14:paraId="242FA9FC" w14:textId="25EBC05D" w:rsidR="00091B6C" w:rsidRPr="00B8768A" w:rsidRDefault="00465EF3" w:rsidP="00091B6C">
      <w:pPr>
        <w:pStyle w:val="BodyText"/>
      </w:pPr>
      <w:r>
        <w:t xml:space="preserve">The fiscal </w:t>
      </w:r>
      <w:r w:rsidR="0097628C">
        <w:t>balance</w:t>
      </w:r>
      <w:r w:rsidR="0029278C">
        <w:t xml:space="preserve"> </w:t>
      </w:r>
      <w:r w:rsidR="0029278C" w:rsidRPr="0029278C">
        <w:t xml:space="preserve">is one of several indicators known as 'budget aggregates' that measure the impact of the government's </w:t>
      </w:r>
      <w:r w:rsidR="0029278C" w:rsidRPr="003F6E3F">
        <w:t xml:space="preserve">budget on the economy.  </w:t>
      </w:r>
      <w:r w:rsidR="003E04BF">
        <w:t>T</w:t>
      </w:r>
      <w:r w:rsidR="003F6E3F">
        <w:t xml:space="preserve">he fiscal balance is </w:t>
      </w:r>
      <w:r w:rsidR="00091B6C">
        <w:t xml:space="preserve">equal to the </w:t>
      </w:r>
      <w:r w:rsidR="0029278C" w:rsidRPr="0029278C">
        <w:t xml:space="preserve">government's revenue </w:t>
      </w:r>
      <w:r w:rsidR="0029278C">
        <w:t>minus its expenses</w:t>
      </w:r>
      <w:r w:rsidR="0029278C" w:rsidRPr="0029278C">
        <w:t xml:space="preserve">, adjusted for </w:t>
      </w:r>
      <w:r w:rsidR="0029278C">
        <w:t xml:space="preserve">government </w:t>
      </w:r>
      <w:r w:rsidR="0029278C" w:rsidRPr="0029278C">
        <w:t>capital investments</w:t>
      </w:r>
      <w:r w:rsidR="003F6E3F" w:rsidRPr="003F6E3F">
        <w:t xml:space="preserve"> </w:t>
      </w:r>
      <w:r w:rsidR="003F6E3F" w:rsidRPr="00465EF3">
        <w:t>when they are acquired or sold.</w:t>
      </w:r>
      <w:r w:rsidR="003F6E3F">
        <w:t xml:space="preserve">  It</w:t>
      </w:r>
      <w:r w:rsidR="003F6E3F" w:rsidRPr="00E958B7">
        <w:t xml:space="preserve"> reflects an accrual accounting framework</w:t>
      </w:r>
      <w:r w:rsidR="0029278C">
        <w:t xml:space="preserve">. </w:t>
      </w:r>
    </w:p>
    <w:p w14:paraId="5398ED68" w14:textId="410093D8" w:rsidR="00091B6C" w:rsidRPr="00091B6C" w:rsidRDefault="00091B6C" w:rsidP="00091B6C">
      <w:pPr>
        <w:pStyle w:val="Heading4"/>
        <w:rPr>
          <w:i w:val="0"/>
        </w:rPr>
      </w:pPr>
      <w:r w:rsidRPr="00091B6C">
        <w:rPr>
          <w:rStyle w:val="Heading4Char"/>
          <w:i/>
          <w:iCs/>
        </w:rPr>
        <w:t>General government sector</w:t>
      </w:r>
      <w:r w:rsidR="000527B2">
        <w:rPr>
          <w:rStyle w:val="Heading4Char"/>
          <w:i/>
          <w:iCs/>
        </w:rPr>
        <w:t xml:space="preserve"> </w:t>
      </w:r>
    </w:p>
    <w:p w14:paraId="2CD885D9" w14:textId="1E6E6DBC" w:rsidR="00091B6C" w:rsidRDefault="00091B6C" w:rsidP="00091B6C">
      <w:pPr>
        <w:pStyle w:val="BodyText"/>
      </w:pPr>
      <w:r>
        <w:t xml:space="preserve">The general government sector consists primarily of </w:t>
      </w:r>
      <w:r w:rsidRPr="00C96E27">
        <w:t>government</w:t>
      </w:r>
      <w:r>
        <w:t xml:space="preserve"> departments and agencies providing </w:t>
      </w:r>
      <w:r w:rsidR="00F067A8" w:rsidRPr="00F067A8">
        <w:t>public services and benefits for free or at subsidised prices</w:t>
      </w:r>
      <w:r w:rsidR="00F067A8" w:rsidRPr="00F067A8" w:rsidDel="00F067A8">
        <w:t xml:space="preserve"> </w:t>
      </w:r>
      <w:r>
        <w:t>that are funded mainly through taxes.</w:t>
      </w:r>
    </w:p>
    <w:p w14:paraId="0993B239" w14:textId="71A4BF5C" w:rsidR="00091B6C" w:rsidRPr="00F970EB" w:rsidRDefault="00091B6C" w:rsidP="00091B6C">
      <w:pPr>
        <w:pStyle w:val="Heading4"/>
      </w:pPr>
      <w:r w:rsidRPr="00F970EB">
        <w:t>Government</w:t>
      </w:r>
      <w:r w:rsidR="00144035" w:rsidRPr="00F970EB">
        <w:t xml:space="preserve"> businesses</w:t>
      </w:r>
      <w:r w:rsidR="00197246" w:rsidRPr="00F970EB">
        <w:t xml:space="preserve"> [Not </w:t>
      </w:r>
      <w:r w:rsidR="008E5187" w:rsidRPr="00F970EB">
        <w:t>available in</w:t>
      </w:r>
      <w:r w:rsidR="00197246" w:rsidRPr="00F970EB">
        <w:t xml:space="preserve"> PBO </w:t>
      </w:r>
      <w:r w:rsidR="00711712">
        <w:t xml:space="preserve">online </w:t>
      </w:r>
      <w:r w:rsidR="00197246" w:rsidRPr="00F970EB">
        <w:t>glossary]</w:t>
      </w:r>
    </w:p>
    <w:p w14:paraId="0228E6C3" w14:textId="6B262337" w:rsidR="00091B6C" w:rsidRDefault="00E62D30" w:rsidP="00091B6C">
      <w:pPr>
        <w:pStyle w:val="BodyText"/>
      </w:pPr>
      <w:r>
        <w:t>For the purpose of this report, g</w:t>
      </w:r>
      <w:r w:rsidR="00091B6C" w:rsidRPr="002E4457">
        <w:t>overnment</w:t>
      </w:r>
      <w:r w:rsidR="00144035" w:rsidRPr="002E4457">
        <w:t xml:space="preserve"> businesses</w:t>
      </w:r>
      <w:r>
        <w:t xml:space="preserve"> refer to</w:t>
      </w:r>
      <w:r w:rsidR="00091B6C" w:rsidRPr="002E4457">
        <w:t xml:space="preserve"> public non-financial corporations, </w:t>
      </w:r>
      <w:r>
        <w:t>which</w:t>
      </w:r>
      <w:r w:rsidR="00091B6C" w:rsidRPr="002E4457">
        <w:t xml:space="preserve"> provide services on a fee-for</w:t>
      </w:r>
      <w:r>
        <w:noBreakHyphen/>
      </w:r>
      <w:r w:rsidR="00091B6C" w:rsidRPr="002E4457">
        <w:t>service basis.</w:t>
      </w:r>
      <w:r w:rsidR="00091B6C">
        <w:t xml:space="preserve">  These corporations are funded through a combination of </w:t>
      </w:r>
      <w:r w:rsidR="00E632DD">
        <w:t xml:space="preserve">income </w:t>
      </w:r>
      <w:r w:rsidR="00091B6C">
        <w:t xml:space="preserve">from the provision of goods and services and </w:t>
      </w:r>
      <w:r w:rsidR="00091B6C" w:rsidRPr="00C96E27">
        <w:t>government</w:t>
      </w:r>
      <w:r w:rsidR="00091B6C">
        <w:t xml:space="preserve"> grants.</w:t>
      </w:r>
    </w:p>
    <w:p w14:paraId="2A719FBF" w14:textId="4E349DE2" w:rsidR="00091B6C" w:rsidRPr="00183253" w:rsidRDefault="00091B6C" w:rsidP="00091B6C">
      <w:pPr>
        <w:pStyle w:val="Heading4"/>
      </w:pPr>
      <w:r w:rsidRPr="00183253">
        <w:t>Net capital investment</w:t>
      </w:r>
      <w:r w:rsidR="000527B2">
        <w:t xml:space="preserve"> </w:t>
      </w:r>
    </w:p>
    <w:p w14:paraId="640A2239" w14:textId="7C34BEF0" w:rsidR="00091B6C" w:rsidRDefault="00091B6C" w:rsidP="00091B6C">
      <w:pPr>
        <w:pStyle w:val="BodyText"/>
      </w:pPr>
      <w:r>
        <w:t>Net capital investment, sometimes referred to as net acquisition of non</w:t>
      </w:r>
      <w:r>
        <w:noBreakHyphen/>
        <w:t xml:space="preserve">financial assets, is </w:t>
      </w:r>
      <w:r w:rsidR="00CD547B" w:rsidRPr="00CD547B">
        <w:t>calculated by deducting the value of any sales of non</w:t>
      </w:r>
      <w:r w:rsidR="000B0EE5">
        <w:t>-</w:t>
      </w:r>
      <w:r w:rsidR="00CD547B" w:rsidRPr="00CD547B">
        <w:t>financial assets from the value of non</w:t>
      </w:r>
      <w:r w:rsidR="000B0EE5">
        <w:t>-</w:t>
      </w:r>
      <w:r w:rsidR="00CD547B" w:rsidRPr="00CD547B">
        <w:t>financial assets purchased and adjusting for changes in the value of non-financial assets</w:t>
      </w:r>
      <w:r w:rsidR="00BB1A0F">
        <w:t>,</w:t>
      </w:r>
      <w:r w:rsidR="00CD547B" w:rsidRPr="00CD547B">
        <w:t xml:space="preserve"> such as</w:t>
      </w:r>
      <w:r w:rsidR="00BB1A0F">
        <w:t xml:space="preserve"> for</w:t>
      </w:r>
      <w:r w:rsidR="00CD547B" w:rsidRPr="00CD547B">
        <w:t xml:space="preserve"> depreciation. </w:t>
      </w:r>
      <w:r w:rsidR="00CD547B">
        <w:t xml:space="preserve"> </w:t>
      </w:r>
    </w:p>
    <w:p w14:paraId="73CFDB9E" w14:textId="437951CD" w:rsidR="00091B6C" w:rsidRPr="00183253" w:rsidRDefault="00091B6C" w:rsidP="00091B6C">
      <w:pPr>
        <w:pStyle w:val="Heading4"/>
      </w:pPr>
      <w:r w:rsidRPr="00183253">
        <w:t>Net debt</w:t>
      </w:r>
      <w:r w:rsidR="000527B2">
        <w:t xml:space="preserve"> </w:t>
      </w:r>
    </w:p>
    <w:p w14:paraId="0829205B" w14:textId="12B27E0F" w:rsidR="00091B6C" w:rsidRDefault="00091B6C" w:rsidP="00091B6C">
      <w:pPr>
        <w:pStyle w:val="BodyText"/>
      </w:pPr>
      <w:r>
        <w:t xml:space="preserve">Net debt is a widely used measure of the strength of the </w:t>
      </w:r>
      <w:r w:rsidRPr="00C96E27">
        <w:t>government’s</w:t>
      </w:r>
      <w:r>
        <w:t xml:space="preserve"> balance sheet.  </w:t>
      </w:r>
      <w:r w:rsidRPr="00C02161">
        <w:t>Net debt is the sum of selected financial liabilities (</w:t>
      </w:r>
      <w:r w:rsidR="00D91F2A">
        <w:t>deposits held, advances received, government securities, loans and other borrowings</w:t>
      </w:r>
      <w:r w:rsidRPr="00C02161">
        <w:t>) less the sum of selected financial assets (</w:t>
      </w:r>
      <w:r w:rsidR="00D91F2A">
        <w:t>cash and deposits, advances paid, and investments, loans and placements</w:t>
      </w:r>
      <w:r w:rsidRPr="00C02161">
        <w:t xml:space="preserve">).  </w:t>
      </w:r>
      <w:r>
        <w:t xml:space="preserve">It does not include superannuation-related liabilities </w:t>
      </w:r>
      <w:r w:rsidRPr="00DF0236">
        <w:t>but may include superannuation</w:t>
      </w:r>
      <w:r w:rsidR="008672B1">
        <w:noBreakHyphen/>
      </w:r>
      <w:r w:rsidRPr="00DF0236">
        <w:t xml:space="preserve">related assets where these </w:t>
      </w:r>
      <w:r w:rsidR="00D91F2A">
        <w:t xml:space="preserve">are </w:t>
      </w:r>
      <w:r w:rsidRPr="00DF0236">
        <w:t>classified as one of the ‘selected financial assets’ listed above.</w:t>
      </w:r>
    </w:p>
    <w:p w14:paraId="2CCB0286" w14:textId="0A890420" w:rsidR="00091B6C" w:rsidRPr="00183253" w:rsidRDefault="00091B6C" w:rsidP="00091B6C">
      <w:pPr>
        <w:pStyle w:val="Heading4"/>
      </w:pPr>
      <w:r w:rsidRPr="00183253">
        <w:lastRenderedPageBreak/>
        <w:t xml:space="preserve">Net </w:t>
      </w:r>
      <w:r>
        <w:t>financial worth</w:t>
      </w:r>
      <w:r w:rsidR="000527B2">
        <w:t xml:space="preserve"> </w:t>
      </w:r>
    </w:p>
    <w:p w14:paraId="032CA2C1" w14:textId="79A0473D" w:rsidR="00091B6C" w:rsidRDefault="00091B6C" w:rsidP="00091B6C">
      <w:pPr>
        <w:pStyle w:val="BodyText"/>
      </w:pPr>
      <w:r>
        <w:t xml:space="preserve">Net financial worth is a broader measure of the strength of the </w:t>
      </w:r>
      <w:r w:rsidRPr="00C96E27">
        <w:t>government’s</w:t>
      </w:r>
      <w:r>
        <w:t xml:space="preserve"> balance sheet than</w:t>
      </w:r>
      <w:r>
        <w:br/>
        <w:t xml:space="preserve">net debt.  Net financial worth is the sum of all financial assets </w:t>
      </w:r>
      <w:r w:rsidR="00D1116B" w:rsidRPr="00D1116B">
        <w:t>(such as cash</w:t>
      </w:r>
      <w:r w:rsidR="00BB1A0F">
        <w:t>,</w:t>
      </w:r>
      <w:r w:rsidR="00D1116B" w:rsidRPr="00D1116B">
        <w:t xml:space="preserve"> or shares in a company) </w:t>
      </w:r>
      <w:r>
        <w:t>less the sum of all financial liabilities</w:t>
      </w:r>
      <w:r w:rsidR="00D1116B" w:rsidRPr="00D1116B">
        <w:t>, such as outstanding debts</w:t>
      </w:r>
      <w:r w:rsidR="00045C6F">
        <w:t xml:space="preserve"> and </w:t>
      </w:r>
      <w:r>
        <w:t>superannuation-related liabilities.</w:t>
      </w:r>
    </w:p>
    <w:p w14:paraId="755C34B8" w14:textId="74662BC0" w:rsidR="00091B6C" w:rsidRPr="00183253" w:rsidRDefault="00091B6C" w:rsidP="00091B6C">
      <w:pPr>
        <w:pStyle w:val="Heading4"/>
      </w:pPr>
      <w:r w:rsidRPr="00183253">
        <w:t>Net operating balance</w:t>
      </w:r>
      <w:r w:rsidR="000527B2">
        <w:t xml:space="preserve"> </w:t>
      </w:r>
    </w:p>
    <w:p w14:paraId="6D5F6596" w14:textId="4932A2AE" w:rsidR="00091B6C" w:rsidRDefault="00091B6C" w:rsidP="00091B6C">
      <w:pPr>
        <w:pStyle w:val="BodyText"/>
      </w:pPr>
      <w:r>
        <w:t xml:space="preserve">The net operating balance is an accrual budget aggregate </w:t>
      </w:r>
      <w:r w:rsidR="00FD287D" w:rsidRPr="00FD287D">
        <w:t>equal to the government's revenue minus its expenses</w:t>
      </w:r>
      <w:r>
        <w:t>.  It does not include net capital investment, but does include the consumption of capital (depreciation).  The net operating balance plus net capital investment is equal to the fiscal balance</w:t>
      </w:r>
      <w:r w:rsidR="00711712">
        <w:t>.</w:t>
      </w:r>
      <w:r w:rsidR="001576B6">
        <w:t xml:space="preserve"> </w:t>
      </w:r>
    </w:p>
    <w:p w14:paraId="7FC9174F" w14:textId="7876E6FC" w:rsidR="00091B6C" w:rsidRDefault="00091B6C" w:rsidP="00091B6C">
      <w:pPr>
        <w:pStyle w:val="BodyText"/>
      </w:pPr>
      <w:r>
        <w:t xml:space="preserve">The net operating balance is the measure of budget balance used in the annual national fiscal outlook while the PBO’s </w:t>
      </w:r>
      <w:r w:rsidR="001850AD">
        <w:t xml:space="preserve">last </w:t>
      </w:r>
      <w:r>
        <w:t>medium</w:t>
      </w:r>
      <w:r>
        <w:noBreakHyphen/>
        <w:t xml:space="preserve">term projections </w:t>
      </w:r>
      <w:r w:rsidR="001850AD">
        <w:t xml:space="preserve">report </w:t>
      </w:r>
      <w:r>
        <w:t>for the Commonwealth budget uses</w:t>
      </w:r>
      <w:r w:rsidR="001850AD">
        <w:t xml:space="preserve"> </w:t>
      </w:r>
      <w:r>
        <w:t xml:space="preserve">the underlying cash balance as its main measure of budget balance.  </w:t>
      </w:r>
    </w:p>
    <w:p w14:paraId="60904096" w14:textId="0BC26267" w:rsidR="00091B6C" w:rsidRDefault="00091B6C" w:rsidP="00091B6C">
      <w:pPr>
        <w:pStyle w:val="BodyText"/>
      </w:pPr>
      <w:r>
        <w:t xml:space="preserve">The primary reason for </w:t>
      </w:r>
      <w:r w:rsidR="003E04BF">
        <w:t xml:space="preserve">using </w:t>
      </w:r>
      <w:r>
        <w:t>the net operating balance in this publication is that presenting</w:t>
      </w:r>
      <w:r>
        <w:br/>
        <w:t>the net operating balance and net capital investment allows a clear distinction between recurrent and capital expenses, which is particularly important for understanding state budget positions.</w:t>
      </w:r>
    </w:p>
    <w:p w14:paraId="794EB2EB" w14:textId="46448158" w:rsidR="0077684E" w:rsidRPr="0077684E" w:rsidRDefault="0077684E" w:rsidP="00091B6C">
      <w:pPr>
        <w:pStyle w:val="BodyText"/>
        <w:rPr>
          <w:bCs/>
          <w:i/>
          <w:szCs w:val="28"/>
        </w:rPr>
      </w:pPr>
      <w:r w:rsidRPr="0077684E">
        <w:rPr>
          <w:bCs/>
          <w:i/>
          <w:szCs w:val="28"/>
        </w:rPr>
        <w:t>Public debt interest</w:t>
      </w:r>
    </w:p>
    <w:p w14:paraId="5B32C88C" w14:textId="78F83A3A" w:rsidR="0077684E" w:rsidRDefault="00E958B7" w:rsidP="00091B6C">
      <w:pPr>
        <w:pStyle w:val="BodyText"/>
      </w:pPr>
      <w:r>
        <w:t xml:space="preserve">Public debt interest </w:t>
      </w:r>
      <w:r w:rsidR="0077684E" w:rsidRPr="0077684E">
        <w:t xml:space="preserve">is the borrowing costs of the government, mainly incurred through issuing and servicing government debt, and recorded as a cost to government in the budget.  </w:t>
      </w:r>
    </w:p>
    <w:p w14:paraId="582F6270" w14:textId="0E8E069C" w:rsidR="00E958B7" w:rsidRPr="005376B3" w:rsidRDefault="0077684E" w:rsidP="00E958B7">
      <w:pPr>
        <w:pStyle w:val="Heading4"/>
      </w:pPr>
      <w:r w:rsidRPr="007F49A0">
        <w:rPr>
          <w:bCs w:val="0"/>
        </w:rPr>
        <w:t>Payment</w:t>
      </w:r>
      <w:r w:rsidR="00BB1A0F">
        <w:rPr>
          <w:bCs w:val="0"/>
        </w:rPr>
        <w:t>s</w:t>
      </w:r>
      <w:r w:rsidR="00E958B7" w:rsidRPr="007F49A0">
        <w:rPr>
          <w:bCs w:val="0"/>
        </w:rPr>
        <w:t xml:space="preserve"> </w:t>
      </w:r>
    </w:p>
    <w:p w14:paraId="66676B96" w14:textId="77777777" w:rsidR="00094ABD" w:rsidRDefault="0077684E" w:rsidP="00094ABD">
      <w:pPr>
        <w:pStyle w:val="BodyText"/>
      </w:pPr>
      <w:r w:rsidRPr="0077684E">
        <w:t>Payments capture all outgoing cash transactions</w:t>
      </w:r>
      <w:r w:rsidRPr="005A46FA">
        <w:t xml:space="preserve">.  </w:t>
      </w:r>
      <w:r w:rsidR="001576B6" w:rsidRPr="005A46FA">
        <w:t xml:space="preserve">In the Commonwealth </w:t>
      </w:r>
      <w:r w:rsidR="001576B6" w:rsidRPr="002E4457">
        <w:t>and state and territory b</w:t>
      </w:r>
      <w:r w:rsidRPr="002E4457">
        <w:t>udget context</w:t>
      </w:r>
      <w:r w:rsidRPr="008672B1">
        <w:t>,</w:t>
      </w:r>
      <w:r w:rsidRPr="005A46FA">
        <w:t xml:space="preserve"> payments are those that affect the underlying cash balance and comprise cash transactions for operating activities and the purchase of non-financial assets.</w:t>
      </w:r>
      <w:r w:rsidR="00094ABD" w:rsidRPr="00094ABD">
        <w:t xml:space="preserve"> </w:t>
      </w:r>
    </w:p>
    <w:p w14:paraId="31455B4D" w14:textId="7CBDA42E" w:rsidR="00E958B7" w:rsidRPr="00183253" w:rsidRDefault="00E958B7" w:rsidP="00E958B7">
      <w:pPr>
        <w:pStyle w:val="Heading4"/>
      </w:pPr>
      <w:r>
        <w:t xml:space="preserve">Revenue </w:t>
      </w:r>
    </w:p>
    <w:p w14:paraId="5D4C395D" w14:textId="693825D7" w:rsidR="00E958B7" w:rsidRDefault="00E958B7" w:rsidP="00094ABD">
      <w:pPr>
        <w:pStyle w:val="BodyText"/>
      </w:pPr>
      <w:r w:rsidRPr="00E958B7">
        <w:t>Revenue is government income, recorded at the time it is earned as reported on an 'accrual accounting' basis.</w:t>
      </w:r>
    </w:p>
    <w:p w14:paraId="14D9F4AF" w14:textId="77777777" w:rsidR="00BB1A0F" w:rsidRDefault="00BB1A0F" w:rsidP="00094ABD">
      <w:pPr>
        <w:pStyle w:val="BodyText"/>
      </w:pPr>
    </w:p>
    <w:p w14:paraId="7DA38575" w14:textId="0FE67C85" w:rsidR="0077684E" w:rsidRDefault="00094ABD" w:rsidP="00091B6C">
      <w:pPr>
        <w:pStyle w:val="BodyText"/>
      </w:pPr>
      <w:r>
        <w:t xml:space="preserve">The </w:t>
      </w:r>
      <w:hyperlink r:id="rId8" w:history="1">
        <w:r w:rsidR="00D41F67">
          <w:rPr>
            <w:rStyle w:val="Hyperlink"/>
          </w:rPr>
          <w:t>At a G</w:t>
        </w:r>
        <w:r w:rsidR="00B575FA" w:rsidRPr="00B575FA">
          <w:rPr>
            <w:rStyle w:val="Hyperlink"/>
          </w:rPr>
          <w:t>lance</w:t>
        </w:r>
      </w:hyperlink>
      <w:r w:rsidR="00B575FA">
        <w:t xml:space="preserve"> document</w:t>
      </w:r>
      <w:r>
        <w:t xml:space="preserve"> that accompanies the national fiscal outlook presents net operating balance, fiscal balance and net capital investment, revenue and expenses, and net debt for each state and the Commonwea</w:t>
      </w:r>
      <w:r w:rsidR="00F5010C">
        <w:t>lth as well as national totals.</w:t>
      </w:r>
    </w:p>
    <w:p w14:paraId="75C7797E" w14:textId="1CC50CE4" w:rsidR="000963AA" w:rsidRDefault="000963AA">
      <w:r>
        <w:br w:type="page"/>
      </w:r>
    </w:p>
    <w:p w14:paraId="0BD321AA" w14:textId="77777777" w:rsidR="00206262" w:rsidRDefault="00206262" w:rsidP="00206262">
      <w:pPr>
        <w:pStyle w:val="Heading2"/>
      </w:pPr>
      <w:r>
        <w:lastRenderedPageBreak/>
        <w:t>Data and method</w:t>
      </w:r>
      <w:bookmarkEnd w:id="2"/>
      <w:bookmarkEnd w:id="3"/>
      <w:bookmarkEnd w:id="4"/>
      <w:bookmarkEnd w:id="5"/>
    </w:p>
    <w:p w14:paraId="3DBF1FD2" w14:textId="088CAB6E" w:rsidR="00206262" w:rsidRPr="00DB1201" w:rsidRDefault="00206262" w:rsidP="00206262">
      <w:pPr>
        <w:pStyle w:val="BodyText"/>
        <w:rPr>
          <w:spacing w:val="-3"/>
        </w:rPr>
      </w:pPr>
      <w:r w:rsidRPr="00DB1201">
        <w:rPr>
          <w:spacing w:val="-3"/>
        </w:rPr>
        <w:t xml:space="preserve">The budget aggregates </w:t>
      </w:r>
      <w:r w:rsidRPr="00B86DA5">
        <w:rPr>
          <w:spacing w:val="-3"/>
        </w:rPr>
        <w:t xml:space="preserve">in </w:t>
      </w:r>
      <w:r w:rsidR="00686DC4">
        <w:rPr>
          <w:spacing w:val="-3"/>
        </w:rPr>
        <w:t>‘</w:t>
      </w:r>
      <w:r w:rsidR="003521F8" w:rsidRPr="00B86DA5">
        <w:rPr>
          <w:spacing w:val="-3"/>
        </w:rPr>
        <w:t>What has changed since</w:t>
      </w:r>
      <w:r w:rsidR="003521F8" w:rsidRPr="003521F8">
        <w:rPr>
          <w:spacing w:val="-3"/>
        </w:rPr>
        <w:t xml:space="preserve"> the 2019-20 National Fiscal Outlook?</w:t>
      </w:r>
      <w:r w:rsidR="00686DC4">
        <w:rPr>
          <w:spacing w:val="-3"/>
        </w:rPr>
        <w:t>'</w:t>
      </w:r>
      <w:r w:rsidR="003521F8">
        <w:rPr>
          <w:spacing w:val="-3"/>
        </w:rPr>
        <w:t xml:space="preserve"> </w:t>
      </w:r>
      <w:r w:rsidR="00BB1A0F">
        <w:rPr>
          <w:spacing w:val="-3"/>
        </w:rPr>
        <w:t xml:space="preserve">(page 2) </w:t>
      </w:r>
      <w:r w:rsidRPr="00DB1201">
        <w:rPr>
          <w:spacing w:val="-3"/>
        </w:rPr>
        <w:t>comprise</w:t>
      </w:r>
      <w:r w:rsidR="00686DC4">
        <w:rPr>
          <w:spacing w:val="-3"/>
        </w:rPr>
        <w:t xml:space="preserve"> </w:t>
      </w:r>
      <w:r w:rsidRPr="00DB1201">
        <w:rPr>
          <w:spacing w:val="-3"/>
        </w:rPr>
        <w:t>Commonwealth, state and territory, and local government</w:t>
      </w:r>
      <w:r w:rsidR="00686DC4">
        <w:rPr>
          <w:spacing w:val="-3"/>
        </w:rPr>
        <w:t>s</w:t>
      </w:r>
      <w:r w:rsidRPr="00DB1201">
        <w:rPr>
          <w:spacing w:val="-3"/>
        </w:rPr>
        <w:t xml:space="preserve">.  </w:t>
      </w:r>
      <w:r w:rsidR="004512EF">
        <w:rPr>
          <w:spacing w:val="-3"/>
        </w:rPr>
        <w:t xml:space="preserve">The section </w:t>
      </w:r>
      <w:r w:rsidR="00686DC4">
        <w:rPr>
          <w:spacing w:val="-3"/>
        </w:rPr>
        <w:t>‘</w:t>
      </w:r>
      <w:r w:rsidR="003521F8">
        <w:rPr>
          <w:spacing w:val="-3"/>
        </w:rPr>
        <w:t>State trends</w:t>
      </w:r>
      <w:r w:rsidR="00686DC4">
        <w:rPr>
          <w:spacing w:val="-3"/>
        </w:rPr>
        <w:t>’</w:t>
      </w:r>
      <w:r w:rsidR="003521F8">
        <w:rPr>
          <w:spacing w:val="-3"/>
        </w:rPr>
        <w:t xml:space="preserve"> </w:t>
      </w:r>
      <w:r w:rsidR="004512EF">
        <w:rPr>
          <w:spacing w:val="-3"/>
        </w:rPr>
        <w:t>only</w:t>
      </w:r>
      <w:r w:rsidRPr="00DB1201">
        <w:rPr>
          <w:spacing w:val="-3"/>
        </w:rPr>
        <w:t xml:space="preserve"> include</w:t>
      </w:r>
      <w:r w:rsidR="002E4457">
        <w:rPr>
          <w:spacing w:val="-3"/>
        </w:rPr>
        <w:t>s</w:t>
      </w:r>
      <w:r w:rsidR="004512EF">
        <w:rPr>
          <w:spacing w:val="-3"/>
        </w:rPr>
        <w:t xml:space="preserve"> state</w:t>
      </w:r>
      <w:r w:rsidRPr="00DB1201">
        <w:rPr>
          <w:spacing w:val="-3"/>
        </w:rPr>
        <w:t xml:space="preserve"> </w:t>
      </w:r>
      <w:r w:rsidR="00153446">
        <w:rPr>
          <w:spacing w:val="-3"/>
        </w:rPr>
        <w:t xml:space="preserve">and </w:t>
      </w:r>
      <w:r w:rsidR="008672B1">
        <w:rPr>
          <w:spacing w:val="-3"/>
        </w:rPr>
        <w:t xml:space="preserve">territory </w:t>
      </w:r>
      <w:r w:rsidRPr="00DB1201">
        <w:rPr>
          <w:spacing w:val="-3"/>
        </w:rPr>
        <w:t>government</w:t>
      </w:r>
      <w:r w:rsidR="004512EF">
        <w:rPr>
          <w:spacing w:val="-3"/>
        </w:rPr>
        <w:t>s</w:t>
      </w:r>
      <w:r w:rsidRPr="00DB1201">
        <w:rPr>
          <w:spacing w:val="-3"/>
        </w:rPr>
        <w:t xml:space="preserve">, unless </w:t>
      </w:r>
      <w:r w:rsidR="00686DC4">
        <w:rPr>
          <w:spacing w:val="-3"/>
        </w:rPr>
        <w:t xml:space="preserve">otherwise </w:t>
      </w:r>
      <w:r w:rsidRPr="00DB1201">
        <w:rPr>
          <w:spacing w:val="-3"/>
        </w:rPr>
        <w:t>indicated.  With the exception of local government projections, this report does not include any PBO projections.  The PBO adjusts historical data and budget projections to improve comparability across jurisdictions and over time as discussed below, but does not otherwise adjust historical or budget data.  The analysis uses the budget papers as published, so only current government policies at the time of the respective budgets are included.</w:t>
      </w:r>
    </w:p>
    <w:p w14:paraId="68348371" w14:textId="77777777" w:rsidR="00206262" w:rsidRPr="00183253" w:rsidRDefault="00206262" w:rsidP="00206262">
      <w:pPr>
        <w:pStyle w:val="Heading3"/>
      </w:pPr>
      <w:r w:rsidRPr="00183253">
        <w:t>Data sources</w:t>
      </w:r>
    </w:p>
    <w:p w14:paraId="3DF076F6" w14:textId="6D6E3182" w:rsidR="00992500" w:rsidRDefault="005A46FA" w:rsidP="00206262">
      <w:pPr>
        <w:pStyle w:val="BodyText"/>
      </w:pPr>
      <w:r>
        <w:t>In general, the scope of this report is the</w:t>
      </w:r>
      <w:r w:rsidRPr="0036164B">
        <w:t xml:space="preserve"> general government sector</w:t>
      </w:r>
      <w:r>
        <w:t>.  T</w:t>
      </w:r>
      <w:r w:rsidR="00206262" w:rsidRPr="00EE1BFA">
        <w:t xml:space="preserve">he exception </w:t>
      </w:r>
      <w:r>
        <w:t>is</w:t>
      </w:r>
      <w:r w:rsidRPr="00EE1BFA">
        <w:t xml:space="preserve"> </w:t>
      </w:r>
      <w:r>
        <w:t>information provided on net capital investment including</w:t>
      </w:r>
      <w:r w:rsidR="00206262" w:rsidRPr="00EE1BFA">
        <w:t xml:space="preserve"> </w:t>
      </w:r>
      <w:r>
        <w:t>government businesses</w:t>
      </w:r>
      <w:r w:rsidR="00206262">
        <w:t>.</w:t>
      </w:r>
      <w:r>
        <w:t xml:space="preserve"> </w:t>
      </w:r>
      <w:r w:rsidR="00206262">
        <w:t xml:space="preserve"> </w:t>
      </w:r>
    </w:p>
    <w:p w14:paraId="41A3832E" w14:textId="6EF6CA45" w:rsidR="00206262" w:rsidRDefault="00206262" w:rsidP="00206262">
      <w:pPr>
        <w:pStyle w:val="BodyText"/>
      </w:pPr>
      <w:r>
        <w:t>Historical data, from 2002</w:t>
      </w:r>
      <w:r w:rsidR="005A46FA">
        <w:noBreakHyphen/>
      </w:r>
      <w:r w:rsidRPr="005C748B">
        <w:t>0</w:t>
      </w:r>
      <w:r>
        <w:t>3</w:t>
      </w:r>
      <w:r w:rsidRPr="005C748B">
        <w:t xml:space="preserve"> to </w:t>
      </w:r>
      <w:r w:rsidRPr="00EE1BFA">
        <w:t>2018</w:t>
      </w:r>
      <w:r w:rsidR="005A46FA">
        <w:noBreakHyphen/>
      </w:r>
      <w:r w:rsidRPr="00EE1BFA">
        <w:t>19</w:t>
      </w:r>
      <w:r>
        <w:t>,</w:t>
      </w:r>
      <w:r w:rsidRPr="005C748B">
        <w:t xml:space="preserve"> are </w:t>
      </w:r>
      <w:r w:rsidR="004512EF">
        <w:t xml:space="preserve">sourced </w:t>
      </w:r>
      <w:r w:rsidR="006D00E6">
        <w:t xml:space="preserve">from </w:t>
      </w:r>
      <w:r w:rsidR="005A46FA">
        <w:t>the Australian Bureau of Statistics</w:t>
      </w:r>
      <w:r w:rsidR="00482CEC">
        <w:t xml:space="preserve"> (ABS)</w:t>
      </w:r>
      <w:r w:rsidR="005A46FA">
        <w:t>,</w:t>
      </w:r>
      <w:r w:rsidRPr="005C748B">
        <w:t xml:space="preserve"> </w:t>
      </w:r>
      <w:r w:rsidRPr="00DF0236">
        <w:rPr>
          <w:i/>
        </w:rPr>
        <w:t xml:space="preserve">Government Finance Statistics, </w:t>
      </w:r>
      <w:r w:rsidR="008672B1">
        <w:rPr>
          <w:i/>
        </w:rPr>
        <w:t>Annual</w:t>
      </w:r>
      <w:r w:rsidRPr="006F5A9E">
        <w:rPr>
          <w:i/>
        </w:rPr>
        <w:t>,</w:t>
      </w:r>
      <w:r w:rsidRPr="0077054A">
        <w:rPr>
          <w:i/>
        </w:rPr>
        <w:t xml:space="preserve"> </w:t>
      </w:r>
      <w:r w:rsidR="002B7E01" w:rsidRPr="0077054A">
        <w:rPr>
          <w:i/>
        </w:rPr>
        <w:t>201</w:t>
      </w:r>
      <w:r w:rsidR="002B7E01">
        <w:rPr>
          <w:i/>
        </w:rPr>
        <w:t>8</w:t>
      </w:r>
      <w:r w:rsidR="005A46FA">
        <w:rPr>
          <w:i/>
        </w:rPr>
        <w:noBreakHyphen/>
      </w:r>
      <w:r w:rsidR="002B7E01" w:rsidRPr="0077054A">
        <w:rPr>
          <w:i/>
        </w:rPr>
        <w:t>1</w:t>
      </w:r>
      <w:r w:rsidR="002B7E01">
        <w:rPr>
          <w:i/>
        </w:rPr>
        <w:t>9</w:t>
      </w:r>
      <w:r w:rsidR="005A46FA">
        <w:rPr>
          <w:i/>
        </w:rPr>
        <w:t xml:space="preserve"> </w:t>
      </w:r>
      <w:r w:rsidR="005A46FA" w:rsidRPr="001709FC">
        <w:t>(formerly known as catalogue number 5512.0)</w:t>
      </w:r>
      <w:r w:rsidRPr="00BB1A0F">
        <w:t>.</w:t>
      </w:r>
      <w:r>
        <w:t xml:space="preserve">  Data for </w:t>
      </w:r>
      <w:r w:rsidR="006079BE" w:rsidRPr="006079BE">
        <w:t>2019</w:t>
      </w:r>
      <w:r w:rsidR="005A46FA">
        <w:noBreakHyphen/>
      </w:r>
      <w:r w:rsidR="006079BE" w:rsidRPr="006079BE">
        <w:t xml:space="preserve">20 </w:t>
      </w:r>
      <w:r w:rsidR="004512EF">
        <w:t>are sourced from the latest Commonwealth, state and territory budgets or mid-year budget</w:t>
      </w:r>
      <w:r w:rsidR="00BB1A0F">
        <w:t xml:space="preserve"> updates</w:t>
      </w:r>
      <w:r w:rsidR="004512EF">
        <w:t>.</w:t>
      </w:r>
      <w:r w:rsidR="00CA0271">
        <w:t xml:space="preserve">  </w:t>
      </w:r>
      <w:r w:rsidR="00992500">
        <w:t>If 2019</w:t>
      </w:r>
      <w:r w:rsidR="00992500">
        <w:noBreakHyphen/>
        <w:t xml:space="preserve">20 data were not provided in the budget, </w:t>
      </w:r>
      <w:r w:rsidR="004512EF">
        <w:t xml:space="preserve">they </w:t>
      </w:r>
      <w:r w:rsidR="00992500">
        <w:t xml:space="preserve">were instead </w:t>
      </w:r>
      <w:r w:rsidR="004512EF">
        <w:t xml:space="preserve">sourced from the </w:t>
      </w:r>
      <w:r w:rsidR="00E72116">
        <w:t>2019</w:t>
      </w:r>
      <w:r w:rsidR="008672B1">
        <w:noBreakHyphen/>
      </w:r>
      <w:r w:rsidR="00E72116">
        <w:t xml:space="preserve">20 </w:t>
      </w:r>
      <w:r w:rsidR="004512EF">
        <w:t xml:space="preserve">final budget outcome. </w:t>
      </w:r>
      <w:r w:rsidR="008672B1">
        <w:t xml:space="preserve"> </w:t>
      </w:r>
      <w:r w:rsidR="004512EF">
        <w:t>Data for</w:t>
      </w:r>
      <w:r w:rsidR="006079BE">
        <w:t xml:space="preserve"> </w:t>
      </w:r>
      <w:r>
        <w:t>the forward estimates period,</w:t>
      </w:r>
      <w:r w:rsidR="004512EF">
        <w:t xml:space="preserve"> </w:t>
      </w:r>
      <w:r>
        <w:t xml:space="preserve">from </w:t>
      </w:r>
      <w:r w:rsidR="006079BE">
        <w:t>2020</w:t>
      </w:r>
      <w:r w:rsidR="008672B1">
        <w:t>-</w:t>
      </w:r>
      <w:r>
        <w:t>2</w:t>
      </w:r>
      <w:r w:rsidR="006079BE">
        <w:t>1</w:t>
      </w:r>
      <w:r w:rsidRPr="005C748B">
        <w:t xml:space="preserve"> to 202</w:t>
      </w:r>
      <w:r>
        <w:t>3</w:t>
      </w:r>
      <w:r w:rsidR="008672B1">
        <w:t>-</w:t>
      </w:r>
      <w:r w:rsidRPr="005C748B">
        <w:t>2</w:t>
      </w:r>
      <w:r>
        <w:t>4,</w:t>
      </w:r>
      <w:r w:rsidRPr="005C748B">
        <w:t xml:space="preserve"> are sourced from Commonwealth, state and territory budgets</w:t>
      </w:r>
      <w:r w:rsidR="008F2AF3">
        <w:t xml:space="preserve"> or mid-year budget updates</w:t>
      </w:r>
      <w:r w:rsidRPr="005C748B">
        <w:t>.</w:t>
      </w:r>
      <w:r w:rsidR="008F2AF3">
        <w:t xml:space="preserve">  The budget updates used in preparing this report </w:t>
      </w:r>
      <w:r w:rsidR="006D00E6">
        <w:t xml:space="preserve">are shown in Table </w:t>
      </w:r>
      <w:r w:rsidR="00EC38F3">
        <w:t>A</w:t>
      </w:r>
      <w:r w:rsidR="006D00E6">
        <w:t>1.</w:t>
      </w:r>
      <w:r w:rsidR="00F465F9">
        <w:t xml:space="preserve">  The detailed sources for the COVID</w:t>
      </w:r>
      <w:r w:rsidR="00F465F9">
        <w:noBreakHyphen/>
        <w:t>19 amounts announced are shown at Table A2.</w:t>
      </w:r>
    </w:p>
    <w:p w14:paraId="066AFAFB" w14:textId="04E3803B" w:rsidR="004512EF" w:rsidRDefault="004512EF" w:rsidP="004512EF">
      <w:pPr>
        <w:pStyle w:val="BodyText"/>
        <w:rPr>
          <w:spacing w:val="-3"/>
        </w:rPr>
      </w:pPr>
      <w:r w:rsidRPr="00DB1201">
        <w:rPr>
          <w:spacing w:val="-3"/>
        </w:rPr>
        <w:t>Historical net debt figures were provided to the PBO through the ABS’</w:t>
      </w:r>
      <w:r w:rsidR="00482CEC">
        <w:rPr>
          <w:spacing w:val="-3"/>
        </w:rPr>
        <w:t>s</w:t>
      </w:r>
      <w:r w:rsidRPr="00DB1201">
        <w:rPr>
          <w:spacing w:val="-3"/>
        </w:rPr>
        <w:t xml:space="preserve"> special data service consistent with the presentation in ABS </w:t>
      </w:r>
      <w:r w:rsidRPr="00DB1201">
        <w:rPr>
          <w:i/>
          <w:spacing w:val="-3"/>
        </w:rPr>
        <w:t xml:space="preserve">Government Finance Statistics, </w:t>
      </w:r>
      <w:r w:rsidR="008672B1">
        <w:rPr>
          <w:i/>
          <w:spacing w:val="-3"/>
        </w:rPr>
        <w:t>Annual</w:t>
      </w:r>
      <w:r w:rsidRPr="00DB1201">
        <w:rPr>
          <w:i/>
          <w:spacing w:val="-3"/>
        </w:rPr>
        <w:t xml:space="preserve">, </w:t>
      </w:r>
      <w:r w:rsidR="00482CEC" w:rsidRPr="00DB1201">
        <w:rPr>
          <w:i/>
          <w:spacing w:val="-3"/>
        </w:rPr>
        <w:t>201</w:t>
      </w:r>
      <w:r w:rsidR="00482CEC">
        <w:rPr>
          <w:i/>
          <w:spacing w:val="-3"/>
        </w:rPr>
        <w:t>6</w:t>
      </w:r>
      <w:r w:rsidR="00482CEC">
        <w:rPr>
          <w:i/>
          <w:spacing w:val="-3"/>
        </w:rPr>
        <w:noBreakHyphen/>
        <w:t>17</w:t>
      </w:r>
      <w:r w:rsidRPr="00DB1201">
        <w:rPr>
          <w:spacing w:val="-3"/>
        </w:rPr>
        <w:t>.  The ABS no longer publishes a single measure of net debt, and has instead introduced a debt matrix presentation</w:t>
      </w:r>
      <w:r>
        <w:rPr>
          <w:spacing w:val="-3"/>
        </w:rPr>
        <w:t xml:space="preserve"> </w:t>
      </w:r>
      <w:r w:rsidRPr="00DB1201">
        <w:rPr>
          <w:spacing w:val="-3"/>
        </w:rPr>
        <w:t xml:space="preserve">for public sector debt statistics, disaggregated by government sector and debt instrument.  Under the matrix presentation, </w:t>
      </w:r>
      <w:r w:rsidR="00BB1A0F">
        <w:rPr>
          <w:spacing w:val="-3"/>
        </w:rPr>
        <w:t xml:space="preserve">item code </w:t>
      </w:r>
      <w:r w:rsidRPr="00DB1201">
        <w:rPr>
          <w:spacing w:val="-3"/>
        </w:rPr>
        <w:t xml:space="preserve">L2 is the closest comparable measure to government reporting of net debt </w:t>
      </w:r>
      <w:r w:rsidR="00E72116">
        <w:rPr>
          <w:spacing w:val="-3"/>
        </w:rPr>
        <w:t>in line with</w:t>
      </w:r>
      <w:r w:rsidRPr="00DB1201">
        <w:rPr>
          <w:spacing w:val="-3"/>
        </w:rPr>
        <w:t xml:space="preserve"> </w:t>
      </w:r>
      <w:r>
        <w:rPr>
          <w:spacing w:val="-3"/>
        </w:rPr>
        <w:t xml:space="preserve">the </w:t>
      </w:r>
      <w:r w:rsidRPr="00666958">
        <w:rPr>
          <w:spacing w:val="-3"/>
        </w:rPr>
        <w:t>Uniform Presentation Framework</w:t>
      </w:r>
      <w:r w:rsidRPr="00DB1201">
        <w:rPr>
          <w:spacing w:val="-3"/>
        </w:rPr>
        <w:t>.</w:t>
      </w:r>
      <w:r w:rsidR="00BB1A0F">
        <w:rPr>
          <w:rStyle w:val="FootnoteReference"/>
          <w:spacing w:val="-3"/>
        </w:rPr>
        <w:footnoteReference w:id="2"/>
      </w:r>
      <w:r w:rsidRPr="00DB1201">
        <w:rPr>
          <w:spacing w:val="-3"/>
        </w:rPr>
        <w:t xml:space="preserve">  </w:t>
      </w:r>
    </w:p>
    <w:p w14:paraId="3A6539CA" w14:textId="1A8E2B3B" w:rsidR="00CF16C6" w:rsidRPr="00044FA3" w:rsidRDefault="002028A1" w:rsidP="00044FA3">
      <w:pPr>
        <w:pStyle w:val="Captionheading1"/>
        <w:rPr>
          <w:color w:val="3D4D7D" w:themeColor="background2"/>
        </w:rPr>
      </w:pPr>
      <w:r w:rsidRPr="00044FA3">
        <w:rPr>
          <w:color w:val="3D4D7D" w:themeColor="background2"/>
        </w:rPr>
        <w:t xml:space="preserve">Table </w:t>
      </w:r>
      <w:r w:rsidR="00EC38F3">
        <w:rPr>
          <w:color w:val="3D4D7D" w:themeColor="background2"/>
        </w:rPr>
        <w:t>A</w:t>
      </w:r>
      <w:r w:rsidRPr="00044FA3">
        <w:rPr>
          <w:color w:val="3D4D7D" w:themeColor="background2"/>
        </w:rPr>
        <w:t xml:space="preserve">1: </w:t>
      </w:r>
      <w:r w:rsidR="00485BFE" w:rsidRPr="00044FA3">
        <w:rPr>
          <w:color w:val="3D4D7D" w:themeColor="background2"/>
        </w:rPr>
        <w:t>Budget</w:t>
      </w:r>
      <w:r w:rsidR="00453D8C" w:rsidRPr="00044FA3">
        <w:rPr>
          <w:color w:val="3D4D7D" w:themeColor="background2"/>
        </w:rPr>
        <w:t xml:space="preserve"> or budget </w:t>
      </w:r>
      <w:r w:rsidR="008F2AF3">
        <w:rPr>
          <w:color w:val="3D4D7D" w:themeColor="background2"/>
        </w:rPr>
        <w:t xml:space="preserve">updates </w:t>
      </w:r>
      <w:r w:rsidR="00453D8C" w:rsidRPr="00044FA3">
        <w:rPr>
          <w:color w:val="3D4D7D" w:themeColor="background2"/>
        </w:rPr>
        <w:t>used in preparing this report</w:t>
      </w:r>
    </w:p>
    <w:tbl>
      <w:tblPr>
        <w:tblStyle w:val="TableGrid"/>
        <w:tblW w:w="5000" w:type="pct"/>
        <w:tblBorders>
          <w:top w:val="dotted" w:sz="4" w:space="0" w:color="000000" w:themeColor="text1"/>
          <w:bottom w:val="dotted" w:sz="4" w:space="0" w:color="000000" w:themeColor="text1"/>
          <w:insideH w:val="dotted" w:sz="4" w:space="0" w:color="000000" w:themeColor="text1"/>
        </w:tblBorders>
        <w:tblLook w:val="04A0" w:firstRow="1" w:lastRow="0" w:firstColumn="1" w:lastColumn="0" w:noHBand="0" w:noVBand="1"/>
      </w:tblPr>
      <w:tblGrid>
        <w:gridCol w:w="3233"/>
        <w:gridCol w:w="4761"/>
        <w:gridCol w:w="1929"/>
      </w:tblGrid>
      <w:tr w:rsidR="00EC7A30" w14:paraId="64623DA2" w14:textId="77777777" w:rsidTr="00EC7A3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629" w:type="pct"/>
            <w:tcBorders>
              <w:bottom w:val="single" w:sz="4" w:space="0" w:color="000000" w:themeColor="text1"/>
            </w:tcBorders>
            <w:shd w:val="clear" w:color="auto" w:fill="A7B2D4" w:themeFill="background2" w:themeFillTint="66"/>
          </w:tcPr>
          <w:p w14:paraId="3EF8CA3E" w14:textId="550BAF68"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J</w:t>
            </w:r>
            <w:r w:rsidRPr="00044FA3">
              <w:rPr>
                <w:rFonts w:eastAsia="Times New Roman" w:cs="Arial"/>
                <w:color w:val="3D4D7D" w:themeColor="background2"/>
                <w:szCs w:val="20"/>
                <w:lang w:val="en-US" w:eastAsia="en-AU"/>
              </w:rPr>
              <w:t>urisdiction</w:t>
            </w:r>
          </w:p>
        </w:tc>
        <w:tc>
          <w:tcPr>
            <w:tcW w:w="2399" w:type="pct"/>
            <w:tcBorders>
              <w:bottom w:val="single" w:sz="4" w:space="0" w:color="000000" w:themeColor="text1"/>
            </w:tcBorders>
            <w:shd w:val="clear" w:color="auto" w:fill="A7B2D4" w:themeFill="background2" w:themeFillTint="66"/>
          </w:tcPr>
          <w:p w14:paraId="69738084" w14:textId="7EAFA3DE" w:rsidR="00EC7A30" w:rsidRPr="00044FA3" w:rsidRDefault="00EC7A30" w:rsidP="00044FA3">
            <w:pPr>
              <w:spacing w:before="70" w:after="70"/>
              <w:cnfStyle w:val="100000000000" w:firstRow="1" w:lastRow="0" w:firstColumn="0" w:lastColumn="0" w:oddVBand="0" w:evenVBand="0" w:oddHBand="0" w:evenHBand="0" w:firstRowFirstColumn="0" w:firstRowLastColumn="0" w:lastRowFirstColumn="0" w:lastRowLastColumn="0"/>
              <w:rPr>
                <w:rFonts w:cs="Arial"/>
                <w:color w:val="3D4D7D" w:themeColor="background2"/>
                <w:szCs w:val="20"/>
                <w:lang w:val="en-US"/>
              </w:rPr>
            </w:pPr>
            <w:r w:rsidRPr="00044FA3">
              <w:rPr>
                <w:rFonts w:cs="Arial"/>
                <w:color w:val="3D4D7D" w:themeColor="background2"/>
                <w:szCs w:val="20"/>
                <w:lang w:val="en-US"/>
              </w:rPr>
              <w:t>Budget or budget updates used</w:t>
            </w:r>
          </w:p>
        </w:tc>
        <w:tc>
          <w:tcPr>
            <w:tcW w:w="972" w:type="pct"/>
            <w:tcBorders>
              <w:bottom w:val="single" w:sz="4" w:space="0" w:color="000000" w:themeColor="text1"/>
            </w:tcBorders>
            <w:shd w:val="clear" w:color="auto" w:fill="A7B2D4" w:themeFill="background2" w:themeFillTint="66"/>
          </w:tcPr>
          <w:p w14:paraId="0F164503" w14:textId="7D468D0C" w:rsidR="00EC7A30" w:rsidRPr="00044FA3" w:rsidRDefault="00EC7A30" w:rsidP="00044FA3">
            <w:pPr>
              <w:spacing w:before="70" w:after="70"/>
              <w:cnfStyle w:val="100000000000" w:firstRow="1" w:lastRow="0" w:firstColumn="0" w:lastColumn="0" w:oddVBand="0" w:evenVBand="0" w:oddHBand="0" w:evenHBand="0" w:firstRowFirstColumn="0" w:firstRowLastColumn="0" w:lastRowFirstColumn="0" w:lastRowLastColumn="0"/>
              <w:rPr>
                <w:rFonts w:cs="Arial"/>
                <w:color w:val="3D4D7D" w:themeColor="background2"/>
                <w:szCs w:val="20"/>
                <w:lang w:val="en-US"/>
              </w:rPr>
            </w:pPr>
            <w:r w:rsidRPr="00044FA3">
              <w:rPr>
                <w:rFonts w:cs="Arial"/>
                <w:color w:val="3D4D7D" w:themeColor="background2"/>
                <w:szCs w:val="20"/>
                <w:lang w:val="en-US"/>
              </w:rPr>
              <w:t>Date</w:t>
            </w:r>
            <w:r w:rsidR="002B6D40">
              <w:rPr>
                <w:rFonts w:cs="Arial"/>
                <w:color w:val="3D4D7D" w:themeColor="background2"/>
                <w:szCs w:val="20"/>
                <w:lang w:val="en-US"/>
              </w:rPr>
              <w:t xml:space="preserve"> released</w:t>
            </w:r>
          </w:p>
        </w:tc>
      </w:tr>
      <w:tr w:rsidR="00EC7A30" w14:paraId="7693BE3E" w14:textId="77777777" w:rsidTr="00EC7A30">
        <w:tc>
          <w:tcPr>
            <w:tcW w:w="1629" w:type="pct"/>
            <w:tcBorders>
              <w:top w:val="single" w:sz="4" w:space="0" w:color="000000" w:themeColor="text1"/>
            </w:tcBorders>
          </w:tcPr>
          <w:p w14:paraId="09F37D8A" w14:textId="72EF6E78"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Commonwealth</w:t>
            </w:r>
          </w:p>
        </w:tc>
        <w:tc>
          <w:tcPr>
            <w:tcW w:w="2399" w:type="pct"/>
            <w:tcBorders>
              <w:top w:val="single" w:sz="4" w:space="0" w:color="000000" w:themeColor="text1"/>
            </w:tcBorders>
          </w:tcPr>
          <w:p w14:paraId="5D23C5E3" w14:textId="48FCFEFD" w:rsidR="00EC7A30" w:rsidRPr="00044FA3" w:rsidRDefault="00EC7A30" w:rsidP="00C42168">
            <w:pPr>
              <w:spacing w:before="70" w:after="70"/>
              <w:rPr>
                <w:rFonts w:cs="Arial"/>
                <w:color w:val="3D4D7D" w:themeColor="background2"/>
                <w:szCs w:val="20"/>
                <w:lang w:val="en-US"/>
              </w:rPr>
            </w:pPr>
            <w:r w:rsidRPr="00044FA3">
              <w:rPr>
                <w:rFonts w:cs="Arial"/>
                <w:color w:val="3D4D7D" w:themeColor="background2"/>
                <w:szCs w:val="20"/>
                <w:lang w:val="en-US"/>
              </w:rPr>
              <w:t>2020-21 Mid-</w:t>
            </w:r>
            <w:r w:rsidR="008A56FE">
              <w:rPr>
                <w:rFonts w:cs="Arial"/>
                <w:color w:val="3D4D7D" w:themeColor="background2"/>
                <w:szCs w:val="20"/>
                <w:lang w:val="en-US"/>
              </w:rPr>
              <w:t>Y</w:t>
            </w:r>
            <w:r w:rsidRPr="00044FA3">
              <w:rPr>
                <w:rFonts w:cs="Arial"/>
                <w:color w:val="3D4D7D" w:themeColor="background2"/>
                <w:szCs w:val="20"/>
                <w:lang w:val="en-US"/>
              </w:rPr>
              <w:t xml:space="preserve">ear </w:t>
            </w:r>
            <w:r w:rsidR="00C42168">
              <w:rPr>
                <w:rFonts w:cs="Arial"/>
                <w:color w:val="3D4D7D" w:themeColor="background2"/>
                <w:szCs w:val="20"/>
                <w:lang w:val="en-US"/>
              </w:rPr>
              <w:t>Economic and</w:t>
            </w:r>
            <w:r w:rsidRPr="00044FA3">
              <w:rPr>
                <w:rFonts w:cs="Arial"/>
                <w:color w:val="3D4D7D" w:themeColor="background2"/>
                <w:szCs w:val="20"/>
                <w:lang w:val="en-US"/>
              </w:rPr>
              <w:t xml:space="preserve"> Fiscal Outlook</w:t>
            </w:r>
          </w:p>
        </w:tc>
        <w:tc>
          <w:tcPr>
            <w:tcW w:w="972" w:type="pct"/>
            <w:tcBorders>
              <w:top w:val="single" w:sz="4" w:space="0" w:color="000000" w:themeColor="text1"/>
            </w:tcBorders>
          </w:tcPr>
          <w:p w14:paraId="406B7C7E" w14:textId="1F5599BA"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17 December 2020</w:t>
            </w:r>
          </w:p>
        </w:tc>
      </w:tr>
      <w:tr w:rsidR="00EC7A30" w14:paraId="0389CEFA" w14:textId="77777777" w:rsidTr="00EC7A30">
        <w:trPr>
          <w:cnfStyle w:val="000000010000" w:firstRow="0" w:lastRow="0" w:firstColumn="0" w:lastColumn="0" w:oddVBand="0" w:evenVBand="0" w:oddHBand="0" w:evenHBand="1" w:firstRowFirstColumn="0" w:firstRowLastColumn="0" w:lastRowFirstColumn="0" w:lastRowLastColumn="0"/>
        </w:trPr>
        <w:tc>
          <w:tcPr>
            <w:tcW w:w="1629" w:type="pct"/>
          </w:tcPr>
          <w:p w14:paraId="230D90D6" w14:textId="4EC4039A"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Australian Capital</w:t>
            </w:r>
            <w:r>
              <w:rPr>
                <w:rFonts w:cs="Arial"/>
                <w:color w:val="3D4D7D" w:themeColor="background2"/>
                <w:szCs w:val="20"/>
                <w:lang w:val="en-US"/>
              </w:rPr>
              <w:t xml:space="preserve"> </w:t>
            </w:r>
            <w:r w:rsidRPr="00044FA3">
              <w:rPr>
                <w:rFonts w:cs="Arial"/>
                <w:color w:val="3D4D7D" w:themeColor="background2"/>
                <w:szCs w:val="20"/>
                <w:lang w:val="en-US"/>
              </w:rPr>
              <w:t>Territory</w:t>
            </w:r>
          </w:p>
        </w:tc>
        <w:tc>
          <w:tcPr>
            <w:tcW w:w="2399" w:type="pct"/>
          </w:tcPr>
          <w:p w14:paraId="5A7A1F68" w14:textId="7DC5C382"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2020-21 Budget</w:t>
            </w:r>
          </w:p>
        </w:tc>
        <w:tc>
          <w:tcPr>
            <w:tcW w:w="972" w:type="pct"/>
          </w:tcPr>
          <w:p w14:paraId="1A13C56E" w14:textId="77777777"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9 February 2021</w:t>
            </w:r>
          </w:p>
        </w:tc>
      </w:tr>
      <w:tr w:rsidR="00EC7A30" w14:paraId="3C1AAFB9" w14:textId="77777777" w:rsidTr="00EC7A30">
        <w:tc>
          <w:tcPr>
            <w:tcW w:w="1629" w:type="pct"/>
          </w:tcPr>
          <w:p w14:paraId="58D60145" w14:textId="77777777" w:rsidR="00EC7A30" w:rsidRPr="007F49A0" w:rsidRDefault="00EC7A30" w:rsidP="00044FA3">
            <w:pPr>
              <w:spacing w:before="70" w:after="70"/>
              <w:rPr>
                <w:rFonts w:cs="Arial"/>
                <w:color w:val="3D4D7D" w:themeColor="background2"/>
                <w:szCs w:val="20"/>
                <w:lang w:val="en-US"/>
              </w:rPr>
            </w:pPr>
            <w:r w:rsidRPr="007F49A0">
              <w:rPr>
                <w:rFonts w:cs="Arial"/>
                <w:color w:val="3D4D7D" w:themeColor="background2"/>
                <w:szCs w:val="20"/>
                <w:lang w:val="en-US"/>
              </w:rPr>
              <w:t>New South Wales</w:t>
            </w:r>
          </w:p>
        </w:tc>
        <w:tc>
          <w:tcPr>
            <w:tcW w:w="2399" w:type="pct"/>
          </w:tcPr>
          <w:p w14:paraId="24FB939A" w14:textId="5D0309BF" w:rsidR="00EC7A30" w:rsidRPr="007F49A0" w:rsidRDefault="00EC7A30" w:rsidP="00044FA3">
            <w:pPr>
              <w:spacing w:before="70" w:after="70"/>
              <w:rPr>
                <w:rFonts w:cs="Arial"/>
                <w:color w:val="3D4D7D" w:themeColor="background2"/>
                <w:szCs w:val="20"/>
                <w:lang w:val="en-US"/>
              </w:rPr>
            </w:pPr>
            <w:r w:rsidRPr="007F49A0">
              <w:rPr>
                <w:rFonts w:cs="Arial"/>
                <w:color w:val="3D4D7D" w:themeColor="background2"/>
                <w:szCs w:val="20"/>
                <w:lang w:val="en-US"/>
              </w:rPr>
              <w:t xml:space="preserve">2020-21 </w:t>
            </w:r>
            <w:r w:rsidR="003E04BF" w:rsidRPr="007F49A0">
              <w:rPr>
                <w:rFonts w:cs="Arial"/>
                <w:color w:val="3D4D7D" w:themeColor="background2"/>
                <w:szCs w:val="20"/>
                <w:lang w:val="en-US"/>
              </w:rPr>
              <w:t>Half-Yearly Review</w:t>
            </w:r>
          </w:p>
        </w:tc>
        <w:tc>
          <w:tcPr>
            <w:tcW w:w="972" w:type="pct"/>
          </w:tcPr>
          <w:p w14:paraId="625A451F" w14:textId="1EA4B76A" w:rsidR="00EC7A30" w:rsidRPr="007F49A0" w:rsidRDefault="003E04BF" w:rsidP="003E04BF">
            <w:pPr>
              <w:spacing w:before="70" w:after="70"/>
              <w:rPr>
                <w:rFonts w:cs="Arial"/>
                <w:color w:val="3D4D7D" w:themeColor="background2"/>
                <w:szCs w:val="20"/>
                <w:lang w:val="en-US"/>
              </w:rPr>
            </w:pPr>
            <w:r w:rsidRPr="007F49A0">
              <w:rPr>
                <w:rFonts w:cs="Arial"/>
                <w:color w:val="3D4D7D" w:themeColor="background2"/>
                <w:szCs w:val="20"/>
                <w:lang w:val="en-US"/>
              </w:rPr>
              <w:t>25 February</w:t>
            </w:r>
            <w:r w:rsidR="00EC7A30" w:rsidRPr="007F49A0">
              <w:rPr>
                <w:rFonts w:cs="Arial"/>
                <w:color w:val="3D4D7D" w:themeColor="background2"/>
                <w:szCs w:val="20"/>
                <w:lang w:val="en-US"/>
              </w:rPr>
              <w:t xml:space="preserve"> 202</w:t>
            </w:r>
            <w:r w:rsidRPr="007F49A0">
              <w:rPr>
                <w:rFonts w:cs="Arial"/>
                <w:color w:val="3D4D7D" w:themeColor="background2"/>
                <w:szCs w:val="20"/>
                <w:lang w:val="en-US"/>
              </w:rPr>
              <w:t>1</w:t>
            </w:r>
          </w:p>
        </w:tc>
      </w:tr>
      <w:tr w:rsidR="00EC7A30" w14:paraId="4F616FCA" w14:textId="77777777" w:rsidTr="00EC7A30">
        <w:trPr>
          <w:cnfStyle w:val="000000010000" w:firstRow="0" w:lastRow="0" w:firstColumn="0" w:lastColumn="0" w:oddVBand="0" w:evenVBand="0" w:oddHBand="0" w:evenHBand="1" w:firstRowFirstColumn="0" w:firstRowLastColumn="0" w:lastRowFirstColumn="0" w:lastRowLastColumn="0"/>
        </w:trPr>
        <w:tc>
          <w:tcPr>
            <w:tcW w:w="1629" w:type="pct"/>
          </w:tcPr>
          <w:p w14:paraId="66D4108A" w14:textId="77777777" w:rsidR="00EC7A30" w:rsidRPr="005376B3" w:rsidRDefault="00EC7A30" w:rsidP="00044FA3">
            <w:pPr>
              <w:spacing w:before="70" w:after="70"/>
              <w:rPr>
                <w:rFonts w:cs="Arial"/>
                <w:color w:val="3D4D7D" w:themeColor="background2"/>
                <w:szCs w:val="20"/>
                <w:lang w:val="en-US"/>
              </w:rPr>
            </w:pPr>
            <w:r w:rsidRPr="005376B3">
              <w:rPr>
                <w:rFonts w:cs="Arial"/>
                <w:color w:val="3D4D7D" w:themeColor="background2"/>
                <w:szCs w:val="20"/>
                <w:lang w:val="en-US"/>
              </w:rPr>
              <w:t>Northern Territory</w:t>
            </w:r>
          </w:p>
        </w:tc>
        <w:tc>
          <w:tcPr>
            <w:tcW w:w="2399" w:type="pct"/>
          </w:tcPr>
          <w:p w14:paraId="708B7125" w14:textId="071C3173" w:rsidR="00EC7A30" w:rsidRPr="005376B3" w:rsidRDefault="00EC7A30" w:rsidP="00044FA3">
            <w:pPr>
              <w:spacing w:before="70" w:after="70"/>
              <w:rPr>
                <w:rFonts w:cs="Arial"/>
                <w:color w:val="3D4D7D" w:themeColor="background2"/>
                <w:szCs w:val="20"/>
                <w:lang w:val="en-US"/>
              </w:rPr>
            </w:pPr>
            <w:r w:rsidRPr="005376B3">
              <w:rPr>
                <w:rFonts w:cs="Arial"/>
                <w:color w:val="3D4D7D" w:themeColor="background2"/>
                <w:szCs w:val="20"/>
                <w:lang w:val="en-US"/>
              </w:rPr>
              <w:t>2020-21 Budget</w:t>
            </w:r>
          </w:p>
        </w:tc>
        <w:tc>
          <w:tcPr>
            <w:tcW w:w="972" w:type="pct"/>
          </w:tcPr>
          <w:p w14:paraId="308091AD" w14:textId="77777777" w:rsidR="00EC7A30" w:rsidRPr="005376B3" w:rsidRDefault="00EC7A30" w:rsidP="00044FA3">
            <w:pPr>
              <w:spacing w:before="70" w:after="70"/>
              <w:rPr>
                <w:rFonts w:cs="Arial"/>
                <w:color w:val="3D4D7D" w:themeColor="background2"/>
                <w:szCs w:val="20"/>
                <w:lang w:val="en-US"/>
              </w:rPr>
            </w:pPr>
            <w:r w:rsidRPr="005376B3">
              <w:rPr>
                <w:rFonts w:cs="Arial"/>
                <w:color w:val="3D4D7D" w:themeColor="background2"/>
                <w:szCs w:val="20"/>
                <w:lang w:val="en-US"/>
              </w:rPr>
              <w:t>10 November 2020</w:t>
            </w:r>
          </w:p>
        </w:tc>
      </w:tr>
      <w:tr w:rsidR="00EC7A30" w14:paraId="19C3D233" w14:textId="77777777" w:rsidTr="00EC7A30">
        <w:tc>
          <w:tcPr>
            <w:tcW w:w="1629" w:type="pct"/>
          </w:tcPr>
          <w:p w14:paraId="680A7F55" w14:textId="77777777" w:rsidR="00EC7A30" w:rsidRPr="005376B3" w:rsidRDefault="00EC7A30" w:rsidP="00044FA3">
            <w:pPr>
              <w:spacing w:before="70" w:after="70"/>
              <w:rPr>
                <w:rFonts w:cs="Arial"/>
                <w:color w:val="3D4D7D" w:themeColor="background2"/>
                <w:szCs w:val="20"/>
                <w:lang w:val="en-US"/>
              </w:rPr>
            </w:pPr>
            <w:r w:rsidRPr="005376B3">
              <w:rPr>
                <w:rFonts w:cs="Arial"/>
                <w:color w:val="3D4D7D" w:themeColor="background2"/>
                <w:szCs w:val="20"/>
                <w:lang w:val="en-US"/>
              </w:rPr>
              <w:t>Queensland</w:t>
            </w:r>
          </w:p>
        </w:tc>
        <w:tc>
          <w:tcPr>
            <w:tcW w:w="2399" w:type="pct"/>
          </w:tcPr>
          <w:p w14:paraId="75C3CFBE" w14:textId="5D8B9B15" w:rsidR="00EC7A30" w:rsidRPr="005376B3" w:rsidRDefault="00EC7A30" w:rsidP="00044FA3">
            <w:pPr>
              <w:spacing w:before="70" w:after="70"/>
              <w:rPr>
                <w:rFonts w:cs="Arial"/>
                <w:color w:val="3D4D7D" w:themeColor="background2"/>
                <w:szCs w:val="20"/>
                <w:lang w:val="en-US"/>
              </w:rPr>
            </w:pPr>
            <w:r w:rsidRPr="005376B3">
              <w:rPr>
                <w:rFonts w:cs="Arial"/>
                <w:color w:val="3D4D7D" w:themeColor="background2"/>
                <w:szCs w:val="20"/>
                <w:lang w:val="en-US"/>
              </w:rPr>
              <w:t>2020-21 Budget</w:t>
            </w:r>
          </w:p>
        </w:tc>
        <w:tc>
          <w:tcPr>
            <w:tcW w:w="972" w:type="pct"/>
          </w:tcPr>
          <w:p w14:paraId="7405B37E" w14:textId="77777777" w:rsidR="00EC7A30" w:rsidRPr="005376B3" w:rsidRDefault="00EC7A30" w:rsidP="00044FA3">
            <w:pPr>
              <w:spacing w:before="70" w:after="70"/>
              <w:rPr>
                <w:rFonts w:cs="Arial"/>
                <w:color w:val="3D4D7D" w:themeColor="background2"/>
                <w:szCs w:val="20"/>
                <w:lang w:val="en-US"/>
              </w:rPr>
            </w:pPr>
            <w:r w:rsidRPr="005376B3">
              <w:rPr>
                <w:rFonts w:cs="Arial"/>
                <w:color w:val="3D4D7D" w:themeColor="background2"/>
                <w:szCs w:val="20"/>
                <w:lang w:val="en-US"/>
              </w:rPr>
              <w:t>1 December 2020</w:t>
            </w:r>
          </w:p>
        </w:tc>
      </w:tr>
      <w:tr w:rsidR="00EC7A30" w14:paraId="2C8EA8E7" w14:textId="77777777" w:rsidTr="00EC7A30">
        <w:trPr>
          <w:cnfStyle w:val="000000010000" w:firstRow="0" w:lastRow="0" w:firstColumn="0" w:lastColumn="0" w:oddVBand="0" w:evenVBand="0" w:oddHBand="0" w:evenHBand="1" w:firstRowFirstColumn="0" w:firstRowLastColumn="0" w:lastRowFirstColumn="0" w:lastRowLastColumn="0"/>
        </w:trPr>
        <w:tc>
          <w:tcPr>
            <w:tcW w:w="1629" w:type="pct"/>
          </w:tcPr>
          <w:p w14:paraId="0863B7E3" w14:textId="77777777" w:rsidR="00EC7A30" w:rsidRPr="005376B3" w:rsidRDefault="00EC7A30" w:rsidP="00044FA3">
            <w:pPr>
              <w:spacing w:before="70" w:after="70"/>
              <w:rPr>
                <w:rFonts w:cs="Arial"/>
                <w:color w:val="3D4D7D" w:themeColor="background2"/>
                <w:szCs w:val="20"/>
                <w:lang w:val="en-US"/>
              </w:rPr>
            </w:pPr>
            <w:r w:rsidRPr="005376B3">
              <w:rPr>
                <w:rFonts w:cs="Arial"/>
                <w:color w:val="3D4D7D" w:themeColor="background2"/>
                <w:szCs w:val="20"/>
                <w:lang w:val="en-US"/>
              </w:rPr>
              <w:t>South Australia</w:t>
            </w:r>
          </w:p>
        </w:tc>
        <w:tc>
          <w:tcPr>
            <w:tcW w:w="2399" w:type="pct"/>
          </w:tcPr>
          <w:p w14:paraId="74922C45" w14:textId="7A35B35B" w:rsidR="00EC7A30" w:rsidRPr="005376B3" w:rsidRDefault="00EC7A30" w:rsidP="00044FA3">
            <w:pPr>
              <w:spacing w:before="70" w:after="70"/>
              <w:rPr>
                <w:rFonts w:cs="Arial"/>
                <w:color w:val="3D4D7D" w:themeColor="background2"/>
                <w:szCs w:val="20"/>
                <w:lang w:val="en-US"/>
              </w:rPr>
            </w:pPr>
            <w:r w:rsidRPr="005376B3">
              <w:rPr>
                <w:rFonts w:cs="Arial"/>
                <w:color w:val="3D4D7D" w:themeColor="background2"/>
                <w:szCs w:val="20"/>
                <w:lang w:val="en-US"/>
              </w:rPr>
              <w:t>2020-21 Budget</w:t>
            </w:r>
          </w:p>
        </w:tc>
        <w:tc>
          <w:tcPr>
            <w:tcW w:w="972" w:type="pct"/>
          </w:tcPr>
          <w:p w14:paraId="26B944BC" w14:textId="77777777" w:rsidR="00EC7A30" w:rsidRPr="005376B3" w:rsidRDefault="00EC7A30" w:rsidP="00044FA3">
            <w:pPr>
              <w:spacing w:before="70" w:after="70"/>
              <w:rPr>
                <w:rFonts w:cs="Arial"/>
                <w:color w:val="3D4D7D" w:themeColor="background2"/>
                <w:szCs w:val="20"/>
                <w:lang w:val="en-US"/>
              </w:rPr>
            </w:pPr>
            <w:r w:rsidRPr="005376B3">
              <w:rPr>
                <w:rFonts w:cs="Arial"/>
                <w:color w:val="3D4D7D" w:themeColor="background2"/>
                <w:szCs w:val="20"/>
                <w:lang w:val="en-US"/>
              </w:rPr>
              <w:t>10 November 2020</w:t>
            </w:r>
          </w:p>
        </w:tc>
      </w:tr>
      <w:tr w:rsidR="00EC7A30" w14:paraId="171FBB47" w14:textId="77777777" w:rsidTr="00EC7A30">
        <w:tc>
          <w:tcPr>
            <w:tcW w:w="1629" w:type="pct"/>
          </w:tcPr>
          <w:p w14:paraId="77F28021" w14:textId="77777777" w:rsidR="00EC7A30" w:rsidRPr="007F49A0" w:rsidRDefault="00EC7A30" w:rsidP="00044FA3">
            <w:pPr>
              <w:spacing w:before="70" w:after="70"/>
              <w:rPr>
                <w:rFonts w:cs="Arial"/>
                <w:color w:val="3D4D7D" w:themeColor="background2"/>
                <w:szCs w:val="20"/>
                <w:lang w:val="en-US"/>
              </w:rPr>
            </w:pPr>
            <w:r w:rsidRPr="007F49A0">
              <w:rPr>
                <w:rFonts w:cs="Arial"/>
                <w:color w:val="3D4D7D" w:themeColor="background2"/>
                <w:szCs w:val="20"/>
                <w:lang w:val="en-US"/>
              </w:rPr>
              <w:t>Tasmania</w:t>
            </w:r>
          </w:p>
        </w:tc>
        <w:tc>
          <w:tcPr>
            <w:tcW w:w="2399" w:type="pct"/>
          </w:tcPr>
          <w:p w14:paraId="2D2A6681" w14:textId="301D27C3" w:rsidR="00EC7A30" w:rsidRPr="007F49A0" w:rsidRDefault="003E04BF" w:rsidP="00044FA3">
            <w:pPr>
              <w:spacing w:before="70" w:after="70"/>
              <w:rPr>
                <w:rFonts w:cs="Arial"/>
                <w:color w:val="3D4D7D" w:themeColor="background2"/>
                <w:szCs w:val="20"/>
                <w:lang w:val="en-US"/>
              </w:rPr>
            </w:pPr>
            <w:r w:rsidRPr="007F49A0">
              <w:rPr>
                <w:rFonts w:cs="Arial"/>
                <w:color w:val="3D4D7D" w:themeColor="background2"/>
                <w:szCs w:val="20"/>
                <w:lang w:val="en-US"/>
              </w:rPr>
              <w:t>Revised Estimates Report 2020-21</w:t>
            </w:r>
          </w:p>
        </w:tc>
        <w:tc>
          <w:tcPr>
            <w:tcW w:w="972" w:type="pct"/>
          </w:tcPr>
          <w:p w14:paraId="4EAB27B9" w14:textId="698B3DE7" w:rsidR="00EC7A30" w:rsidRPr="007F49A0" w:rsidRDefault="003E04BF" w:rsidP="003E04BF">
            <w:pPr>
              <w:spacing w:before="70" w:after="70"/>
              <w:rPr>
                <w:rFonts w:cs="Arial"/>
                <w:color w:val="3D4D7D" w:themeColor="background2"/>
                <w:szCs w:val="20"/>
                <w:lang w:val="en-US"/>
              </w:rPr>
            </w:pPr>
            <w:r w:rsidRPr="007F49A0">
              <w:rPr>
                <w:rFonts w:cs="Arial"/>
                <w:color w:val="3D4D7D" w:themeColor="background2"/>
                <w:szCs w:val="20"/>
                <w:lang w:val="en-US"/>
              </w:rPr>
              <w:t>15 February 2021</w:t>
            </w:r>
          </w:p>
        </w:tc>
      </w:tr>
      <w:tr w:rsidR="00EC7A30" w14:paraId="38F629D8" w14:textId="77777777" w:rsidTr="00EC7A30">
        <w:trPr>
          <w:cnfStyle w:val="000000010000" w:firstRow="0" w:lastRow="0" w:firstColumn="0" w:lastColumn="0" w:oddVBand="0" w:evenVBand="0" w:oddHBand="0" w:evenHBand="1" w:firstRowFirstColumn="0" w:firstRowLastColumn="0" w:lastRowFirstColumn="0" w:lastRowLastColumn="0"/>
        </w:trPr>
        <w:tc>
          <w:tcPr>
            <w:tcW w:w="1629" w:type="pct"/>
          </w:tcPr>
          <w:p w14:paraId="376048D1" w14:textId="77777777"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Victoria</w:t>
            </w:r>
          </w:p>
        </w:tc>
        <w:tc>
          <w:tcPr>
            <w:tcW w:w="2399" w:type="pct"/>
          </w:tcPr>
          <w:p w14:paraId="03D65258" w14:textId="270EBF77"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2020-21 Budget</w:t>
            </w:r>
          </w:p>
        </w:tc>
        <w:tc>
          <w:tcPr>
            <w:tcW w:w="972" w:type="pct"/>
          </w:tcPr>
          <w:p w14:paraId="5021BA55" w14:textId="77777777"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24 November 2020</w:t>
            </w:r>
          </w:p>
        </w:tc>
      </w:tr>
      <w:tr w:rsidR="00EC7A30" w14:paraId="421A3374" w14:textId="77777777" w:rsidTr="00EC7A30">
        <w:tc>
          <w:tcPr>
            <w:tcW w:w="1629" w:type="pct"/>
          </w:tcPr>
          <w:p w14:paraId="56B00A93" w14:textId="77777777"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Western Australia</w:t>
            </w:r>
          </w:p>
        </w:tc>
        <w:tc>
          <w:tcPr>
            <w:tcW w:w="2399" w:type="pct"/>
          </w:tcPr>
          <w:p w14:paraId="3A9291B4" w14:textId="30400264"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2020-21 Mid-year Financial Projections</w:t>
            </w:r>
            <w:r w:rsidR="008672B1">
              <w:rPr>
                <w:rFonts w:cs="Arial"/>
                <w:color w:val="3D4D7D" w:themeColor="background2"/>
                <w:szCs w:val="20"/>
                <w:lang w:val="en-US"/>
              </w:rPr>
              <w:t xml:space="preserve"> Statement</w:t>
            </w:r>
          </w:p>
        </w:tc>
        <w:tc>
          <w:tcPr>
            <w:tcW w:w="972" w:type="pct"/>
          </w:tcPr>
          <w:p w14:paraId="23EC7A3D" w14:textId="77777777" w:rsidR="00EC7A30" w:rsidRPr="00044FA3" w:rsidRDefault="00EC7A30" w:rsidP="00044FA3">
            <w:pPr>
              <w:spacing w:before="70" w:after="70"/>
              <w:rPr>
                <w:rFonts w:cs="Arial"/>
                <w:color w:val="3D4D7D" w:themeColor="background2"/>
                <w:szCs w:val="20"/>
                <w:lang w:val="en-US"/>
              </w:rPr>
            </w:pPr>
            <w:r w:rsidRPr="00044FA3">
              <w:rPr>
                <w:rFonts w:cs="Arial"/>
                <w:color w:val="3D4D7D" w:themeColor="background2"/>
                <w:szCs w:val="20"/>
                <w:lang w:val="en-US"/>
              </w:rPr>
              <w:t>14 December 2020</w:t>
            </w:r>
          </w:p>
        </w:tc>
      </w:tr>
    </w:tbl>
    <w:p w14:paraId="072E4167" w14:textId="7FE3FB36" w:rsidR="004E0C59" w:rsidRPr="00044FA3" w:rsidRDefault="004E0C59" w:rsidP="004E0C59">
      <w:pPr>
        <w:pStyle w:val="Captionheading1"/>
        <w:rPr>
          <w:color w:val="3D4D7D" w:themeColor="background2"/>
        </w:rPr>
      </w:pPr>
      <w:r w:rsidRPr="00044FA3">
        <w:rPr>
          <w:color w:val="3D4D7D" w:themeColor="background2"/>
        </w:rPr>
        <w:lastRenderedPageBreak/>
        <w:t xml:space="preserve">Table </w:t>
      </w:r>
      <w:r>
        <w:rPr>
          <w:color w:val="3D4D7D" w:themeColor="background2"/>
        </w:rPr>
        <w:t>A2</w:t>
      </w:r>
      <w:r w:rsidRPr="00044FA3">
        <w:rPr>
          <w:color w:val="3D4D7D" w:themeColor="background2"/>
        </w:rPr>
        <w:t xml:space="preserve">: </w:t>
      </w:r>
      <w:r w:rsidR="006874AD">
        <w:rPr>
          <w:color w:val="3D4D7D" w:themeColor="background2"/>
        </w:rPr>
        <w:t>COVID-19 amounts announced</w:t>
      </w:r>
    </w:p>
    <w:tbl>
      <w:tblPr>
        <w:tblStyle w:val="TableGrid"/>
        <w:tblW w:w="5000" w:type="pct"/>
        <w:tblBorders>
          <w:top w:val="dotted" w:sz="4" w:space="0" w:color="000000" w:themeColor="text1"/>
          <w:bottom w:val="dotted" w:sz="4" w:space="0" w:color="000000" w:themeColor="text1"/>
          <w:insideH w:val="dotted" w:sz="4" w:space="0" w:color="000000" w:themeColor="text1"/>
        </w:tblBorders>
        <w:tblLook w:val="04A0" w:firstRow="1" w:lastRow="0" w:firstColumn="1" w:lastColumn="0" w:noHBand="0" w:noVBand="1"/>
      </w:tblPr>
      <w:tblGrid>
        <w:gridCol w:w="2552"/>
        <w:gridCol w:w="1701"/>
        <w:gridCol w:w="5670"/>
      </w:tblGrid>
      <w:tr w:rsidR="004E0C59" w14:paraId="70A5E312" w14:textId="77777777" w:rsidTr="004E0C5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286" w:type="pct"/>
            <w:tcBorders>
              <w:bottom w:val="single" w:sz="4" w:space="0" w:color="000000" w:themeColor="text1"/>
            </w:tcBorders>
            <w:shd w:val="clear" w:color="auto" w:fill="A7B2D4" w:themeFill="background2" w:themeFillTint="66"/>
          </w:tcPr>
          <w:p w14:paraId="148FBFE6" w14:textId="77777777" w:rsidR="004E0C59" w:rsidRPr="00044FA3" w:rsidRDefault="004E0C59" w:rsidP="004E0C59">
            <w:pPr>
              <w:spacing w:before="70" w:after="70"/>
              <w:jc w:val="center"/>
              <w:rPr>
                <w:rFonts w:cs="Arial"/>
                <w:color w:val="3D4D7D" w:themeColor="background2"/>
                <w:szCs w:val="20"/>
                <w:lang w:val="en-US"/>
              </w:rPr>
            </w:pPr>
            <w:r w:rsidRPr="00044FA3">
              <w:rPr>
                <w:rFonts w:cs="Arial"/>
                <w:color w:val="3D4D7D" w:themeColor="background2"/>
                <w:szCs w:val="20"/>
                <w:lang w:val="en-US"/>
              </w:rPr>
              <w:t>J</w:t>
            </w:r>
            <w:r w:rsidRPr="00044FA3">
              <w:rPr>
                <w:rFonts w:eastAsia="Times New Roman" w:cs="Arial"/>
                <w:color w:val="3D4D7D" w:themeColor="background2"/>
                <w:szCs w:val="20"/>
                <w:lang w:val="en-US" w:eastAsia="en-AU"/>
              </w:rPr>
              <w:t>urisdiction</w:t>
            </w:r>
          </w:p>
        </w:tc>
        <w:tc>
          <w:tcPr>
            <w:tcW w:w="857" w:type="pct"/>
            <w:tcBorders>
              <w:bottom w:val="single" w:sz="4" w:space="0" w:color="000000" w:themeColor="text1"/>
            </w:tcBorders>
            <w:shd w:val="clear" w:color="auto" w:fill="A7B2D4" w:themeFill="background2" w:themeFillTint="66"/>
          </w:tcPr>
          <w:p w14:paraId="69C185DC" w14:textId="6E6EA9FE" w:rsidR="004E0C59" w:rsidRPr="00044FA3" w:rsidRDefault="004E0C59" w:rsidP="004E0C59">
            <w:pPr>
              <w:spacing w:before="70" w:after="70"/>
              <w:jc w:val="center"/>
              <w:cnfStyle w:val="100000000000" w:firstRow="1" w:lastRow="0" w:firstColumn="0" w:lastColumn="0" w:oddVBand="0" w:evenVBand="0" w:oddHBand="0" w:evenHBand="0" w:firstRowFirstColumn="0" w:firstRowLastColumn="0" w:lastRowFirstColumn="0" w:lastRowLastColumn="0"/>
              <w:rPr>
                <w:rFonts w:cs="Arial"/>
                <w:color w:val="3D4D7D" w:themeColor="background2"/>
                <w:szCs w:val="20"/>
                <w:lang w:val="en-US"/>
              </w:rPr>
            </w:pPr>
            <w:r>
              <w:rPr>
                <w:rFonts w:cs="Arial"/>
                <w:color w:val="3D4D7D" w:themeColor="background2"/>
                <w:szCs w:val="20"/>
                <w:lang w:val="en-US"/>
              </w:rPr>
              <w:t>COVID-19 amount announced</w:t>
            </w:r>
          </w:p>
        </w:tc>
        <w:tc>
          <w:tcPr>
            <w:tcW w:w="2857" w:type="pct"/>
            <w:tcBorders>
              <w:bottom w:val="single" w:sz="4" w:space="0" w:color="000000" w:themeColor="text1"/>
            </w:tcBorders>
            <w:shd w:val="clear" w:color="auto" w:fill="A7B2D4" w:themeFill="background2" w:themeFillTint="66"/>
          </w:tcPr>
          <w:p w14:paraId="403948AD" w14:textId="19BF3FA9" w:rsidR="004E0C59" w:rsidRPr="00044FA3" w:rsidRDefault="004E0C59" w:rsidP="004E0C59">
            <w:pPr>
              <w:spacing w:before="70" w:after="70"/>
              <w:jc w:val="center"/>
              <w:cnfStyle w:val="100000000000" w:firstRow="1" w:lastRow="0" w:firstColumn="0" w:lastColumn="0" w:oddVBand="0" w:evenVBand="0" w:oddHBand="0" w:evenHBand="0" w:firstRowFirstColumn="0" w:firstRowLastColumn="0" w:lastRowFirstColumn="0" w:lastRowLastColumn="0"/>
              <w:rPr>
                <w:rFonts w:cs="Arial"/>
                <w:color w:val="3D4D7D" w:themeColor="background2"/>
                <w:szCs w:val="20"/>
                <w:lang w:val="en-US"/>
              </w:rPr>
            </w:pPr>
            <w:r>
              <w:rPr>
                <w:rFonts w:cs="Arial"/>
                <w:color w:val="3D4D7D" w:themeColor="background2"/>
                <w:szCs w:val="20"/>
                <w:lang w:val="en-US"/>
              </w:rPr>
              <w:t>Data source</w:t>
            </w:r>
          </w:p>
        </w:tc>
      </w:tr>
      <w:tr w:rsidR="004E0C59" w14:paraId="73B90014" w14:textId="77777777" w:rsidTr="004E0C59">
        <w:tc>
          <w:tcPr>
            <w:tcW w:w="1286" w:type="pct"/>
            <w:tcBorders>
              <w:top w:val="single" w:sz="4" w:space="0" w:color="000000" w:themeColor="text1"/>
            </w:tcBorders>
          </w:tcPr>
          <w:p w14:paraId="27051BA8" w14:textId="77777777" w:rsidR="004E0C59" w:rsidRPr="00044FA3" w:rsidRDefault="004E0C59" w:rsidP="004E0C59">
            <w:pPr>
              <w:spacing w:before="70" w:after="70"/>
              <w:rPr>
                <w:rFonts w:cs="Arial"/>
                <w:color w:val="3D4D7D" w:themeColor="background2"/>
                <w:szCs w:val="20"/>
                <w:lang w:val="en-US"/>
              </w:rPr>
            </w:pPr>
            <w:r w:rsidRPr="00044FA3">
              <w:rPr>
                <w:rFonts w:cs="Arial"/>
                <w:color w:val="3D4D7D" w:themeColor="background2"/>
                <w:szCs w:val="20"/>
                <w:lang w:val="en-US"/>
              </w:rPr>
              <w:t>Commonwealth</w:t>
            </w:r>
          </w:p>
        </w:tc>
        <w:tc>
          <w:tcPr>
            <w:tcW w:w="857" w:type="pct"/>
            <w:tcBorders>
              <w:top w:val="single" w:sz="4" w:space="0" w:color="000000" w:themeColor="text1"/>
            </w:tcBorders>
          </w:tcPr>
          <w:p w14:paraId="0A02C816" w14:textId="267C6C43" w:rsidR="004E0C59" w:rsidRPr="00044FA3" w:rsidRDefault="004E0C59" w:rsidP="004E0C59">
            <w:pPr>
              <w:spacing w:before="70" w:after="70"/>
              <w:rPr>
                <w:rFonts w:cs="Arial"/>
                <w:color w:val="3D4D7D" w:themeColor="background2"/>
                <w:szCs w:val="20"/>
                <w:lang w:val="en-US"/>
              </w:rPr>
            </w:pPr>
            <w:r>
              <w:rPr>
                <w:rFonts w:cs="Arial"/>
                <w:color w:val="3D4D7D" w:themeColor="background2"/>
                <w:szCs w:val="20"/>
                <w:lang w:val="en-US"/>
              </w:rPr>
              <w:t>$267 billion</w:t>
            </w:r>
          </w:p>
        </w:tc>
        <w:tc>
          <w:tcPr>
            <w:tcW w:w="2857" w:type="pct"/>
            <w:tcBorders>
              <w:top w:val="single" w:sz="4" w:space="0" w:color="000000" w:themeColor="text1"/>
            </w:tcBorders>
          </w:tcPr>
          <w:p w14:paraId="27C2B57B" w14:textId="184B26CC" w:rsidR="002E59AF" w:rsidRPr="00044FA3" w:rsidRDefault="006E1C69" w:rsidP="002E59AF">
            <w:pPr>
              <w:spacing w:before="70" w:after="70"/>
              <w:rPr>
                <w:rFonts w:cs="Arial"/>
                <w:color w:val="3D4D7D" w:themeColor="background2"/>
                <w:szCs w:val="20"/>
                <w:lang w:val="en-US"/>
              </w:rPr>
            </w:pPr>
            <w:hyperlink r:id="rId9" w:history="1">
              <w:r w:rsidR="004E0C59" w:rsidRPr="002E59AF">
                <w:rPr>
                  <w:rStyle w:val="Hyperlink"/>
                  <w:rFonts w:cs="Arial"/>
                  <w:szCs w:val="20"/>
                  <w:lang w:val="en-US"/>
                </w:rPr>
                <w:t>Mid-Year Economic and Fiscal Outlook 2020-21</w:t>
              </w:r>
            </w:hyperlink>
            <w:r w:rsidR="004E0C59">
              <w:rPr>
                <w:rFonts w:cs="Arial"/>
                <w:color w:val="3D4D7D" w:themeColor="background2"/>
                <w:szCs w:val="20"/>
                <w:lang w:val="en-US"/>
              </w:rPr>
              <w:t>, page 1</w:t>
            </w:r>
            <w:r w:rsidR="00A36B35">
              <w:rPr>
                <w:rFonts w:cs="Arial"/>
                <w:color w:val="3D4D7D" w:themeColor="background2"/>
                <w:szCs w:val="20"/>
                <w:lang w:val="en-US"/>
              </w:rPr>
              <w:t>.</w:t>
            </w:r>
          </w:p>
        </w:tc>
      </w:tr>
      <w:tr w:rsidR="004E0C59" w14:paraId="4DCFFE9A" w14:textId="77777777" w:rsidTr="004E0C59">
        <w:trPr>
          <w:cnfStyle w:val="000000010000" w:firstRow="0" w:lastRow="0" w:firstColumn="0" w:lastColumn="0" w:oddVBand="0" w:evenVBand="0" w:oddHBand="0" w:evenHBand="1" w:firstRowFirstColumn="0" w:firstRowLastColumn="0" w:lastRowFirstColumn="0" w:lastRowLastColumn="0"/>
        </w:trPr>
        <w:tc>
          <w:tcPr>
            <w:tcW w:w="1286" w:type="pct"/>
          </w:tcPr>
          <w:p w14:paraId="1B44FBA6" w14:textId="77777777" w:rsidR="004E0C59" w:rsidRPr="00044FA3" w:rsidRDefault="004E0C59" w:rsidP="004E0C59">
            <w:pPr>
              <w:spacing w:before="70" w:after="70"/>
              <w:rPr>
                <w:rFonts w:cs="Arial"/>
                <w:color w:val="3D4D7D" w:themeColor="background2"/>
                <w:szCs w:val="20"/>
                <w:lang w:val="en-US"/>
              </w:rPr>
            </w:pPr>
            <w:r w:rsidRPr="00044FA3">
              <w:rPr>
                <w:rFonts w:cs="Arial"/>
                <w:color w:val="3D4D7D" w:themeColor="background2"/>
                <w:szCs w:val="20"/>
                <w:lang w:val="en-US"/>
              </w:rPr>
              <w:t>Australian Capital</w:t>
            </w:r>
            <w:r>
              <w:rPr>
                <w:rFonts w:cs="Arial"/>
                <w:color w:val="3D4D7D" w:themeColor="background2"/>
                <w:szCs w:val="20"/>
                <w:lang w:val="en-US"/>
              </w:rPr>
              <w:t xml:space="preserve"> </w:t>
            </w:r>
            <w:r w:rsidRPr="00044FA3">
              <w:rPr>
                <w:rFonts w:cs="Arial"/>
                <w:color w:val="3D4D7D" w:themeColor="background2"/>
                <w:szCs w:val="20"/>
                <w:lang w:val="en-US"/>
              </w:rPr>
              <w:t>Territory</w:t>
            </w:r>
          </w:p>
        </w:tc>
        <w:tc>
          <w:tcPr>
            <w:tcW w:w="857" w:type="pct"/>
          </w:tcPr>
          <w:p w14:paraId="4076D6DD" w14:textId="7742A875" w:rsidR="004E0C59" w:rsidRPr="00044FA3" w:rsidRDefault="004E0C59" w:rsidP="004E0C59">
            <w:pPr>
              <w:spacing w:before="70" w:after="70"/>
              <w:rPr>
                <w:rFonts w:cs="Arial"/>
                <w:color w:val="3D4D7D" w:themeColor="background2"/>
                <w:szCs w:val="20"/>
                <w:lang w:val="en-US"/>
              </w:rPr>
            </w:pPr>
            <w:r>
              <w:rPr>
                <w:rFonts w:cs="Arial"/>
                <w:color w:val="3D4D7D" w:themeColor="background2"/>
                <w:szCs w:val="20"/>
                <w:lang w:val="en-US"/>
              </w:rPr>
              <w:t>$0.369 billion</w:t>
            </w:r>
          </w:p>
        </w:tc>
        <w:tc>
          <w:tcPr>
            <w:tcW w:w="2857" w:type="pct"/>
          </w:tcPr>
          <w:p w14:paraId="2A1DA1AC" w14:textId="161C17D9" w:rsidR="004E0C59" w:rsidRPr="00044FA3" w:rsidRDefault="006E1C69" w:rsidP="004E0C59">
            <w:pPr>
              <w:spacing w:before="70" w:after="70"/>
              <w:rPr>
                <w:rFonts w:cs="Arial"/>
                <w:color w:val="3D4D7D" w:themeColor="background2"/>
                <w:szCs w:val="20"/>
                <w:lang w:val="en-US"/>
              </w:rPr>
            </w:pPr>
            <w:hyperlink r:id="rId10" w:history="1">
              <w:r w:rsidR="004E0C59" w:rsidRPr="002E59AF">
                <w:rPr>
                  <w:rStyle w:val="Hyperlink"/>
                  <w:rFonts w:cs="Arial"/>
                  <w:szCs w:val="20"/>
                  <w:lang w:val="en-US"/>
                </w:rPr>
                <w:t>Canberra’s Recovery Plan</w:t>
              </w:r>
            </w:hyperlink>
            <w:r w:rsidR="004E0C59">
              <w:rPr>
                <w:rFonts w:cs="Arial"/>
                <w:color w:val="3D4D7D" w:themeColor="background2"/>
                <w:szCs w:val="20"/>
                <w:lang w:val="en-US"/>
              </w:rPr>
              <w:t>, Economic Recovery Roadmap</w:t>
            </w:r>
            <w:r w:rsidR="00A36B35">
              <w:rPr>
                <w:rFonts w:cs="Arial"/>
                <w:color w:val="3D4D7D" w:themeColor="background2"/>
                <w:szCs w:val="20"/>
                <w:lang w:val="en-US"/>
              </w:rPr>
              <w:t>.</w:t>
            </w:r>
          </w:p>
        </w:tc>
      </w:tr>
      <w:tr w:rsidR="004E0C59" w14:paraId="614FB752" w14:textId="77777777" w:rsidTr="004E0C59">
        <w:tc>
          <w:tcPr>
            <w:tcW w:w="1286" w:type="pct"/>
          </w:tcPr>
          <w:p w14:paraId="3F673FD9" w14:textId="77777777" w:rsidR="004E0C59" w:rsidRPr="007F49A0" w:rsidRDefault="004E0C59" w:rsidP="004E0C59">
            <w:pPr>
              <w:spacing w:before="70" w:after="70"/>
              <w:rPr>
                <w:rFonts w:cs="Arial"/>
                <w:color w:val="3D4D7D" w:themeColor="background2"/>
                <w:szCs w:val="20"/>
                <w:lang w:val="en-US"/>
              </w:rPr>
            </w:pPr>
            <w:r w:rsidRPr="007F49A0">
              <w:rPr>
                <w:rFonts w:cs="Arial"/>
                <w:color w:val="3D4D7D" w:themeColor="background2"/>
                <w:szCs w:val="20"/>
                <w:lang w:val="en-US"/>
              </w:rPr>
              <w:t>New South Wales</w:t>
            </w:r>
          </w:p>
        </w:tc>
        <w:tc>
          <w:tcPr>
            <w:tcW w:w="857" w:type="pct"/>
          </w:tcPr>
          <w:p w14:paraId="770942DE" w14:textId="53458A56" w:rsidR="004E0C59" w:rsidRPr="007F49A0" w:rsidRDefault="004E0C59" w:rsidP="004E0C59">
            <w:pPr>
              <w:spacing w:before="70" w:after="70"/>
              <w:rPr>
                <w:rFonts w:cs="Arial"/>
                <w:color w:val="3D4D7D" w:themeColor="background2"/>
                <w:szCs w:val="20"/>
                <w:lang w:val="en-US"/>
              </w:rPr>
            </w:pPr>
            <w:r>
              <w:rPr>
                <w:rFonts w:cs="Arial"/>
                <w:color w:val="3D4D7D" w:themeColor="background2"/>
                <w:szCs w:val="20"/>
                <w:lang w:val="en-US"/>
              </w:rPr>
              <w:t>$29 billion</w:t>
            </w:r>
          </w:p>
        </w:tc>
        <w:tc>
          <w:tcPr>
            <w:tcW w:w="2857" w:type="pct"/>
          </w:tcPr>
          <w:p w14:paraId="39573316" w14:textId="4ECBAFD1" w:rsidR="004E0C59" w:rsidRPr="007F49A0" w:rsidRDefault="006E1C69" w:rsidP="002E59AF">
            <w:pPr>
              <w:spacing w:before="70" w:after="70"/>
              <w:rPr>
                <w:rFonts w:cs="Arial"/>
                <w:color w:val="3D4D7D" w:themeColor="background2"/>
                <w:szCs w:val="20"/>
                <w:lang w:val="en-US"/>
              </w:rPr>
            </w:pPr>
            <w:hyperlink r:id="rId11" w:history="1">
              <w:r w:rsidR="002E59AF" w:rsidRPr="00C330A4">
                <w:rPr>
                  <w:rStyle w:val="Hyperlink"/>
                  <w:rFonts w:cs="Arial"/>
                  <w:szCs w:val="20"/>
                  <w:lang w:val="en-US"/>
                </w:rPr>
                <w:t>The NSW Budget 2020-21 Half-Yearly Review</w:t>
              </w:r>
            </w:hyperlink>
            <w:r w:rsidR="002E59AF">
              <w:rPr>
                <w:rFonts w:cs="Arial"/>
                <w:color w:val="3D4D7D" w:themeColor="background2"/>
                <w:szCs w:val="20"/>
                <w:lang w:val="en-US"/>
              </w:rPr>
              <w:t>, page </w:t>
            </w:r>
            <w:r w:rsidR="004E0C59">
              <w:rPr>
                <w:rFonts w:cs="Arial"/>
                <w:color w:val="3D4D7D" w:themeColor="background2"/>
                <w:szCs w:val="20"/>
                <w:lang w:val="en-US"/>
              </w:rPr>
              <w:t>3</w:t>
            </w:r>
            <w:r w:rsidR="00A36B35">
              <w:rPr>
                <w:rFonts w:cs="Arial"/>
                <w:color w:val="3D4D7D" w:themeColor="background2"/>
                <w:szCs w:val="20"/>
                <w:lang w:val="en-US"/>
              </w:rPr>
              <w:t>.</w:t>
            </w:r>
          </w:p>
        </w:tc>
      </w:tr>
      <w:tr w:rsidR="004E0C59" w14:paraId="3DFFE341" w14:textId="77777777" w:rsidTr="004E0C59">
        <w:trPr>
          <w:cnfStyle w:val="000000010000" w:firstRow="0" w:lastRow="0" w:firstColumn="0" w:lastColumn="0" w:oddVBand="0" w:evenVBand="0" w:oddHBand="0" w:evenHBand="1" w:firstRowFirstColumn="0" w:firstRowLastColumn="0" w:lastRowFirstColumn="0" w:lastRowLastColumn="0"/>
        </w:trPr>
        <w:tc>
          <w:tcPr>
            <w:tcW w:w="1286" w:type="pct"/>
          </w:tcPr>
          <w:p w14:paraId="4A38A6F2" w14:textId="77777777" w:rsidR="004E0C59" w:rsidRPr="005376B3" w:rsidRDefault="004E0C59" w:rsidP="004E0C59">
            <w:pPr>
              <w:spacing w:before="70" w:after="70"/>
              <w:rPr>
                <w:rFonts w:cs="Arial"/>
                <w:color w:val="3D4D7D" w:themeColor="background2"/>
                <w:szCs w:val="20"/>
                <w:lang w:val="en-US"/>
              </w:rPr>
            </w:pPr>
            <w:r w:rsidRPr="005376B3">
              <w:rPr>
                <w:rFonts w:cs="Arial"/>
                <w:color w:val="3D4D7D" w:themeColor="background2"/>
                <w:szCs w:val="20"/>
                <w:lang w:val="en-US"/>
              </w:rPr>
              <w:t>Northern Territory</w:t>
            </w:r>
          </w:p>
        </w:tc>
        <w:tc>
          <w:tcPr>
            <w:tcW w:w="857" w:type="pct"/>
          </w:tcPr>
          <w:p w14:paraId="7A6969CD" w14:textId="2DD8EC92" w:rsidR="004E0C59" w:rsidRPr="005376B3" w:rsidRDefault="004E0C59" w:rsidP="004E0C59">
            <w:pPr>
              <w:spacing w:before="70" w:after="70"/>
              <w:rPr>
                <w:rFonts w:cs="Arial"/>
                <w:color w:val="3D4D7D" w:themeColor="background2"/>
                <w:szCs w:val="20"/>
                <w:lang w:val="en-US"/>
              </w:rPr>
            </w:pPr>
            <w:r>
              <w:rPr>
                <w:rFonts w:cs="Arial"/>
                <w:color w:val="3D4D7D" w:themeColor="background2"/>
                <w:szCs w:val="20"/>
                <w:lang w:val="en-US"/>
              </w:rPr>
              <w:t>$0.383 billion</w:t>
            </w:r>
          </w:p>
        </w:tc>
        <w:tc>
          <w:tcPr>
            <w:tcW w:w="2857" w:type="pct"/>
          </w:tcPr>
          <w:p w14:paraId="390CE026" w14:textId="7724CE29" w:rsidR="004E0C59" w:rsidRPr="005376B3" w:rsidRDefault="006E1C69" w:rsidP="004E0C59">
            <w:pPr>
              <w:spacing w:before="70" w:after="70"/>
              <w:rPr>
                <w:rFonts w:cs="Arial"/>
                <w:color w:val="3D4D7D" w:themeColor="background2"/>
                <w:szCs w:val="20"/>
                <w:lang w:val="en-US"/>
              </w:rPr>
            </w:pPr>
            <w:hyperlink r:id="rId12" w:history="1">
              <w:r w:rsidR="00DE07FB" w:rsidRPr="009E7CA2">
                <w:rPr>
                  <w:rStyle w:val="Hyperlink"/>
                  <w:rFonts w:cs="Arial"/>
                  <w:szCs w:val="20"/>
                  <w:lang w:val="en-US"/>
                </w:rPr>
                <w:t>Northern Territory Budget 2020-21</w:t>
              </w:r>
            </w:hyperlink>
            <w:r w:rsidR="00DE07FB">
              <w:rPr>
                <w:rFonts w:cs="Arial"/>
                <w:color w:val="3D4D7D" w:themeColor="background2"/>
                <w:szCs w:val="20"/>
                <w:lang w:val="en-US"/>
              </w:rPr>
              <w:t>,</w:t>
            </w:r>
            <w:r w:rsidR="009E7CA2">
              <w:rPr>
                <w:rFonts w:cs="Arial"/>
                <w:color w:val="3D4D7D" w:themeColor="background2"/>
                <w:szCs w:val="20"/>
                <w:lang w:val="en-US"/>
              </w:rPr>
              <w:t xml:space="preserve"> Budget Paper No. 2,</w:t>
            </w:r>
            <w:r w:rsidR="00DE07FB">
              <w:rPr>
                <w:rFonts w:cs="Arial"/>
                <w:color w:val="3D4D7D" w:themeColor="background2"/>
                <w:szCs w:val="20"/>
                <w:lang w:val="en-US"/>
              </w:rPr>
              <w:t xml:space="preserve"> </w:t>
            </w:r>
            <w:r w:rsidR="00F53B88">
              <w:rPr>
                <w:rFonts w:cs="Arial"/>
                <w:color w:val="3D4D7D" w:themeColor="background2"/>
                <w:szCs w:val="20"/>
                <w:lang w:val="en-US"/>
              </w:rPr>
              <w:t xml:space="preserve">Budget Strategy and Outlook, </w:t>
            </w:r>
            <w:r w:rsidR="00DE07FB">
              <w:rPr>
                <w:rFonts w:cs="Arial"/>
                <w:color w:val="3D4D7D" w:themeColor="background2"/>
                <w:szCs w:val="20"/>
                <w:lang w:val="en-US"/>
              </w:rPr>
              <w:t>page 5</w:t>
            </w:r>
            <w:r w:rsidR="00A36B35">
              <w:rPr>
                <w:rFonts w:cs="Arial"/>
                <w:color w:val="3D4D7D" w:themeColor="background2"/>
                <w:szCs w:val="20"/>
                <w:lang w:val="en-US"/>
              </w:rPr>
              <w:t>.</w:t>
            </w:r>
          </w:p>
        </w:tc>
      </w:tr>
      <w:tr w:rsidR="004E0C59" w14:paraId="0ED4DA15" w14:textId="77777777" w:rsidTr="004E0C59">
        <w:tc>
          <w:tcPr>
            <w:tcW w:w="1286" w:type="pct"/>
          </w:tcPr>
          <w:p w14:paraId="1CBDF91A" w14:textId="77777777" w:rsidR="004E0C59" w:rsidRPr="005376B3" w:rsidRDefault="004E0C59" w:rsidP="004E0C59">
            <w:pPr>
              <w:spacing w:before="70" w:after="70"/>
              <w:rPr>
                <w:rFonts w:cs="Arial"/>
                <w:color w:val="3D4D7D" w:themeColor="background2"/>
                <w:szCs w:val="20"/>
                <w:lang w:val="en-US"/>
              </w:rPr>
            </w:pPr>
            <w:r w:rsidRPr="005376B3">
              <w:rPr>
                <w:rFonts w:cs="Arial"/>
                <w:color w:val="3D4D7D" w:themeColor="background2"/>
                <w:szCs w:val="20"/>
                <w:lang w:val="en-US"/>
              </w:rPr>
              <w:t>Queensland</w:t>
            </w:r>
          </w:p>
        </w:tc>
        <w:tc>
          <w:tcPr>
            <w:tcW w:w="857" w:type="pct"/>
          </w:tcPr>
          <w:p w14:paraId="3F0A0EAC" w14:textId="55A96395" w:rsidR="004E0C59" w:rsidRPr="004E0C59" w:rsidRDefault="004E0C59" w:rsidP="004E0C59">
            <w:pPr>
              <w:spacing w:before="70" w:after="70"/>
              <w:rPr>
                <w:rFonts w:cs="Arial"/>
                <w:b/>
                <w:color w:val="3D4D7D" w:themeColor="background2"/>
                <w:szCs w:val="20"/>
                <w:lang w:val="en-US"/>
              </w:rPr>
            </w:pPr>
            <w:r>
              <w:rPr>
                <w:rFonts w:cs="Arial"/>
                <w:color w:val="3D4D7D" w:themeColor="background2"/>
                <w:szCs w:val="20"/>
                <w:lang w:val="en-US"/>
              </w:rPr>
              <w:t>$7 billion</w:t>
            </w:r>
          </w:p>
        </w:tc>
        <w:tc>
          <w:tcPr>
            <w:tcW w:w="2857" w:type="pct"/>
          </w:tcPr>
          <w:p w14:paraId="5C9A343E" w14:textId="77777777" w:rsidR="00DE07FB" w:rsidRDefault="006E1C69" w:rsidP="00F53B88">
            <w:pPr>
              <w:spacing w:before="70" w:after="70"/>
              <w:rPr>
                <w:rFonts w:cs="Arial"/>
                <w:color w:val="3D4D7D" w:themeColor="background2"/>
                <w:szCs w:val="20"/>
                <w:lang w:val="en-US"/>
              </w:rPr>
            </w:pPr>
            <w:hyperlink r:id="rId13" w:history="1">
              <w:r w:rsidR="00DE07FB" w:rsidRPr="00F53B88">
                <w:rPr>
                  <w:rStyle w:val="Hyperlink"/>
                  <w:rFonts w:cs="Arial"/>
                  <w:szCs w:val="20"/>
                  <w:lang w:val="en-US"/>
                </w:rPr>
                <w:t>Queensland Budget</w:t>
              </w:r>
              <w:r w:rsidR="00F53B88" w:rsidRPr="00F53B88">
                <w:rPr>
                  <w:rStyle w:val="Hyperlink"/>
                  <w:rFonts w:cs="Arial"/>
                  <w:szCs w:val="20"/>
                  <w:lang w:val="en-US"/>
                </w:rPr>
                <w:t xml:space="preserve"> 2020-21</w:t>
              </w:r>
            </w:hyperlink>
            <w:r w:rsidR="00F53B88">
              <w:rPr>
                <w:rFonts w:cs="Arial"/>
                <w:color w:val="3D4D7D" w:themeColor="background2"/>
                <w:szCs w:val="20"/>
                <w:lang w:val="en-US"/>
              </w:rPr>
              <w:t>, Budget Paper No. 2, Budget</w:t>
            </w:r>
            <w:r w:rsidR="00DE07FB">
              <w:rPr>
                <w:rFonts w:cs="Arial"/>
                <w:color w:val="3D4D7D" w:themeColor="background2"/>
                <w:szCs w:val="20"/>
                <w:lang w:val="en-US"/>
              </w:rPr>
              <w:t xml:space="preserve"> Strategy and Outlook, page 7</w:t>
            </w:r>
            <w:r w:rsidR="00A36B35">
              <w:rPr>
                <w:rFonts w:cs="Arial"/>
                <w:color w:val="3D4D7D" w:themeColor="background2"/>
                <w:szCs w:val="20"/>
                <w:lang w:val="en-US"/>
              </w:rPr>
              <w:t>.</w:t>
            </w:r>
          </w:p>
          <w:p w14:paraId="7FE1A71C" w14:textId="178CAB96" w:rsidR="00E2404F" w:rsidRPr="005376B3" w:rsidRDefault="006E1C69" w:rsidP="00E2404F">
            <w:pPr>
              <w:spacing w:before="70" w:after="70"/>
              <w:rPr>
                <w:rFonts w:cs="Arial"/>
                <w:color w:val="3D4D7D" w:themeColor="background2"/>
                <w:szCs w:val="20"/>
                <w:lang w:val="en-US"/>
              </w:rPr>
            </w:pPr>
            <w:hyperlink r:id="rId14" w:history="1">
              <w:r w:rsidR="00E2404F" w:rsidRPr="00F53B88">
                <w:rPr>
                  <w:rStyle w:val="Hyperlink"/>
                  <w:rFonts w:cs="Arial"/>
                  <w:szCs w:val="20"/>
                  <w:lang w:val="en-US"/>
                </w:rPr>
                <w:t>Queensland’s economic recovery plan</w:t>
              </w:r>
            </w:hyperlink>
            <w:r w:rsidR="00E2404F">
              <w:rPr>
                <w:rFonts w:cs="Arial"/>
                <w:color w:val="3D4D7D" w:themeColor="background2"/>
                <w:szCs w:val="20"/>
                <w:lang w:val="en-US"/>
              </w:rPr>
              <w:t>, page 6.</w:t>
            </w:r>
          </w:p>
        </w:tc>
      </w:tr>
      <w:tr w:rsidR="004E0C59" w14:paraId="1CD5F60B" w14:textId="77777777" w:rsidTr="004E0C59">
        <w:trPr>
          <w:cnfStyle w:val="000000010000" w:firstRow="0" w:lastRow="0" w:firstColumn="0" w:lastColumn="0" w:oddVBand="0" w:evenVBand="0" w:oddHBand="0" w:evenHBand="1" w:firstRowFirstColumn="0" w:firstRowLastColumn="0" w:lastRowFirstColumn="0" w:lastRowLastColumn="0"/>
        </w:trPr>
        <w:tc>
          <w:tcPr>
            <w:tcW w:w="1286" w:type="pct"/>
          </w:tcPr>
          <w:p w14:paraId="16BF0351" w14:textId="77777777" w:rsidR="004E0C59" w:rsidRPr="005376B3" w:rsidRDefault="004E0C59" w:rsidP="004E0C59">
            <w:pPr>
              <w:spacing w:before="70" w:after="70"/>
              <w:rPr>
                <w:rFonts w:cs="Arial"/>
                <w:color w:val="3D4D7D" w:themeColor="background2"/>
                <w:szCs w:val="20"/>
                <w:lang w:val="en-US"/>
              </w:rPr>
            </w:pPr>
            <w:r w:rsidRPr="005376B3">
              <w:rPr>
                <w:rFonts w:cs="Arial"/>
                <w:color w:val="3D4D7D" w:themeColor="background2"/>
                <w:szCs w:val="20"/>
                <w:lang w:val="en-US"/>
              </w:rPr>
              <w:t>South Australia</w:t>
            </w:r>
          </w:p>
        </w:tc>
        <w:tc>
          <w:tcPr>
            <w:tcW w:w="857" w:type="pct"/>
          </w:tcPr>
          <w:p w14:paraId="38EEE9EE" w14:textId="5E5E3021" w:rsidR="004E0C59" w:rsidRPr="005376B3" w:rsidRDefault="004E0C59" w:rsidP="004E0C59">
            <w:pPr>
              <w:spacing w:before="70" w:after="70"/>
              <w:rPr>
                <w:rFonts w:cs="Arial"/>
                <w:color w:val="3D4D7D" w:themeColor="background2"/>
                <w:szCs w:val="20"/>
                <w:lang w:val="en-US"/>
              </w:rPr>
            </w:pPr>
            <w:r>
              <w:rPr>
                <w:rFonts w:cs="Arial"/>
                <w:color w:val="3D4D7D" w:themeColor="background2"/>
                <w:szCs w:val="20"/>
                <w:lang w:val="en-US"/>
              </w:rPr>
              <w:t>$4 billion</w:t>
            </w:r>
          </w:p>
        </w:tc>
        <w:tc>
          <w:tcPr>
            <w:tcW w:w="2857" w:type="pct"/>
          </w:tcPr>
          <w:p w14:paraId="40912F72" w14:textId="60B61C1E" w:rsidR="004E0C59" w:rsidRPr="005376B3" w:rsidRDefault="006E1C69" w:rsidP="00A01525">
            <w:pPr>
              <w:spacing w:before="70" w:after="70"/>
              <w:rPr>
                <w:rFonts w:cs="Arial"/>
                <w:color w:val="3D4D7D" w:themeColor="background2"/>
                <w:szCs w:val="20"/>
                <w:lang w:val="en-US"/>
              </w:rPr>
            </w:pPr>
            <w:hyperlink r:id="rId15" w:history="1">
              <w:r w:rsidR="006C0BD6" w:rsidRPr="006874AD">
                <w:rPr>
                  <w:rStyle w:val="Hyperlink"/>
                  <w:rFonts w:cs="Arial"/>
                  <w:szCs w:val="20"/>
                  <w:lang w:val="en-US"/>
                </w:rPr>
                <w:t>South Austr</w:t>
              </w:r>
              <w:r w:rsidR="00A01525" w:rsidRPr="006874AD">
                <w:rPr>
                  <w:rStyle w:val="Hyperlink"/>
                  <w:rFonts w:cs="Arial"/>
                  <w:szCs w:val="20"/>
                  <w:lang w:val="en-US"/>
                </w:rPr>
                <w:t xml:space="preserve">alia </w:t>
              </w:r>
              <w:r w:rsidR="006874AD" w:rsidRPr="006874AD">
                <w:rPr>
                  <w:rStyle w:val="Hyperlink"/>
                  <w:rFonts w:cs="Arial"/>
                  <w:szCs w:val="20"/>
                  <w:lang w:val="en-US"/>
                </w:rPr>
                <w:t xml:space="preserve">State </w:t>
              </w:r>
              <w:r w:rsidR="00A01525" w:rsidRPr="006874AD">
                <w:rPr>
                  <w:rStyle w:val="Hyperlink"/>
                  <w:rFonts w:cs="Arial"/>
                  <w:szCs w:val="20"/>
                  <w:lang w:val="en-US"/>
                </w:rPr>
                <w:t>Budget 2020-21</w:t>
              </w:r>
            </w:hyperlink>
            <w:r w:rsidR="00A01525">
              <w:rPr>
                <w:rFonts w:cs="Arial"/>
                <w:color w:val="3D4D7D" w:themeColor="background2"/>
                <w:szCs w:val="20"/>
                <w:lang w:val="en-US"/>
              </w:rPr>
              <w:t xml:space="preserve">, </w:t>
            </w:r>
            <w:r w:rsidR="006874AD">
              <w:rPr>
                <w:rFonts w:cs="Arial"/>
                <w:color w:val="3D4D7D" w:themeColor="background2"/>
                <w:szCs w:val="20"/>
                <w:lang w:val="en-US"/>
              </w:rPr>
              <w:t>Budget Paper</w:t>
            </w:r>
            <w:r w:rsidR="00067BFC">
              <w:rPr>
                <w:rFonts w:cs="Arial"/>
                <w:color w:val="3D4D7D" w:themeColor="background2"/>
                <w:szCs w:val="20"/>
                <w:lang w:val="en-US"/>
              </w:rPr>
              <w:t xml:space="preserve"> No.</w:t>
            </w:r>
            <w:r w:rsidR="006874AD">
              <w:rPr>
                <w:rFonts w:cs="Arial"/>
                <w:color w:val="3D4D7D" w:themeColor="background2"/>
                <w:szCs w:val="20"/>
                <w:lang w:val="en-US"/>
              </w:rPr>
              <w:t xml:space="preserve"> 3, Budget Statement, </w:t>
            </w:r>
            <w:r w:rsidR="00A01525">
              <w:rPr>
                <w:rFonts w:cs="Arial"/>
                <w:color w:val="3D4D7D" w:themeColor="background2"/>
                <w:szCs w:val="20"/>
                <w:lang w:val="en-US"/>
              </w:rPr>
              <w:t>page 3</w:t>
            </w:r>
            <w:r w:rsidR="00A36B35">
              <w:rPr>
                <w:rFonts w:cs="Arial"/>
                <w:color w:val="3D4D7D" w:themeColor="background2"/>
                <w:szCs w:val="20"/>
                <w:lang w:val="en-US"/>
              </w:rPr>
              <w:t>.</w:t>
            </w:r>
          </w:p>
        </w:tc>
      </w:tr>
      <w:tr w:rsidR="004E0C59" w14:paraId="0E2B2B9F" w14:textId="77777777" w:rsidTr="004E0C59">
        <w:tc>
          <w:tcPr>
            <w:tcW w:w="1286" w:type="pct"/>
          </w:tcPr>
          <w:p w14:paraId="574CBE5D" w14:textId="77777777" w:rsidR="004E0C59" w:rsidRPr="007F49A0" w:rsidRDefault="004E0C59" w:rsidP="004E0C59">
            <w:pPr>
              <w:spacing w:before="70" w:after="70"/>
              <w:rPr>
                <w:rFonts w:cs="Arial"/>
                <w:color w:val="3D4D7D" w:themeColor="background2"/>
                <w:szCs w:val="20"/>
                <w:lang w:val="en-US"/>
              </w:rPr>
            </w:pPr>
            <w:r w:rsidRPr="007F49A0">
              <w:rPr>
                <w:rFonts w:cs="Arial"/>
                <w:color w:val="3D4D7D" w:themeColor="background2"/>
                <w:szCs w:val="20"/>
                <w:lang w:val="en-US"/>
              </w:rPr>
              <w:t>Tasmania</w:t>
            </w:r>
          </w:p>
        </w:tc>
        <w:tc>
          <w:tcPr>
            <w:tcW w:w="857" w:type="pct"/>
          </w:tcPr>
          <w:p w14:paraId="362FE2BB" w14:textId="46F7A91B" w:rsidR="004E0C59" w:rsidRPr="007F49A0" w:rsidRDefault="00F8084C" w:rsidP="004E0C59">
            <w:pPr>
              <w:spacing w:before="70" w:after="70"/>
              <w:rPr>
                <w:rFonts w:cs="Arial"/>
                <w:color w:val="3D4D7D" w:themeColor="background2"/>
                <w:szCs w:val="20"/>
                <w:lang w:val="en-US"/>
              </w:rPr>
            </w:pPr>
            <w:r>
              <w:rPr>
                <w:rFonts w:cs="Arial"/>
                <w:color w:val="3D4D7D" w:themeColor="background2"/>
                <w:szCs w:val="20"/>
                <w:lang w:val="en-US"/>
              </w:rPr>
              <w:t xml:space="preserve">Over </w:t>
            </w:r>
            <w:r w:rsidR="004E0C59">
              <w:rPr>
                <w:rFonts w:cs="Arial"/>
                <w:color w:val="3D4D7D" w:themeColor="background2"/>
                <w:szCs w:val="20"/>
                <w:lang w:val="en-US"/>
              </w:rPr>
              <w:t>$1 billion</w:t>
            </w:r>
          </w:p>
        </w:tc>
        <w:tc>
          <w:tcPr>
            <w:tcW w:w="2857" w:type="pct"/>
          </w:tcPr>
          <w:p w14:paraId="4ED959B3" w14:textId="5E9A4E2E" w:rsidR="004E0C59" w:rsidRDefault="006E1C69" w:rsidP="00A01525">
            <w:pPr>
              <w:spacing w:before="70" w:after="70"/>
              <w:rPr>
                <w:rFonts w:cs="Arial"/>
                <w:color w:val="3D4D7D" w:themeColor="background2"/>
                <w:szCs w:val="20"/>
                <w:lang w:val="en-US"/>
              </w:rPr>
            </w:pPr>
            <w:hyperlink r:id="rId16" w:history="1">
              <w:r w:rsidR="00A01525" w:rsidRPr="00E63405">
                <w:rPr>
                  <w:rStyle w:val="Hyperlink"/>
                  <w:rFonts w:cs="Arial"/>
                  <w:szCs w:val="20"/>
                  <w:lang w:val="en-US"/>
                </w:rPr>
                <w:t>Tasmania Budget 2020-21</w:t>
              </w:r>
            </w:hyperlink>
            <w:r w:rsidR="00A01525">
              <w:rPr>
                <w:rFonts w:cs="Arial"/>
                <w:color w:val="3D4D7D" w:themeColor="background2"/>
                <w:szCs w:val="20"/>
                <w:lang w:val="en-US"/>
              </w:rPr>
              <w:t>, Budget Paper No</w:t>
            </w:r>
            <w:r w:rsidR="00067BFC">
              <w:rPr>
                <w:rFonts w:cs="Arial"/>
                <w:color w:val="3D4D7D" w:themeColor="background2"/>
                <w:szCs w:val="20"/>
                <w:lang w:val="en-US"/>
              </w:rPr>
              <w:t>.</w:t>
            </w:r>
            <w:r w:rsidR="00A01525">
              <w:rPr>
                <w:rFonts w:cs="Arial"/>
                <w:color w:val="3D4D7D" w:themeColor="background2"/>
                <w:szCs w:val="20"/>
                <w:lang w:val="en-US"/>
              </w:rPr>
              <w:t xml:space="preserve"> 1, page 4</w:t>
            </w:r>
            <w:r w:rsidR="00A36B35">
              <w:rPr>
                <w:rFonts w:cs="Arial"/>
                <w:color w:val="3D4D7D" w:themeColor="background2"/>
                <w:szCs w:val="20"/>
                <w:lang w:val="en-US"/>
              </w:rPr>
              <w:t>.</w:t>
            </w:r>
          </w:p>
          <w:p w14:paraId="6619FDD1" w14:textId="7412D7D7" w:rsidR="00A01525" w:rsidRPr="007F49A0" w:rsidRDefault="006E1C69" w:rsidP="00A01525">
            <w:pPr>
              <w:spacing w:before="70" w:after="70"/>
              <w:rPr>
                <w:rFonts w:cs="Arial"/>
                <w:color w:val="3D4D7D" w:themeColor="background2"/>
                <w:szCs w:val="20"/>
                <w:lang w:val="en-US"/>
              </w:rPr>
            </w:pPr>
            <w:hyperlink r:id="rId17" w:history="1">
              <w:r w:rsidR="00A01525" w:rsidRPr="00E63405">
                <w:rPr>
                  <w:rStyle w:val="Hyperlink"/>
                  <w:rFonts w:cs="Arial"/>
                  <w:szCs w:val="20"/>
                  <w:lang w:val="en-US"/>
                </w:rPr>
                <w:t>Tasmanian Budget 2020-21</w:t>
              </w:r>
            </w:hyperlink>
            <w:r w:rsidR="00192631">
              <w:rPr>
                <w:rStyle w:val="Hyperlink"/>
                <w:rFonts w:cs="Arial"/>
                <w:szCs w:val="20"/>
                <w:lang w:val="en-US"/>
              </w:rPr>
              <w:t xml:space="preserve"> Highlights</w:t>
            </w:r>
            <w:r w:rsidR="00A01525">
              <w:rPr>
                <w:rFonts w:cs="Arial"/>
                <w:color w:val="3D4D7D" w:themeColor="background2"/>
                <w:szCs w:val="20"/>
                <w:lang w:val="en-US"/>
              </w:rPr>
              <w:t>, page 10</w:t>
            </w:r>
            <w:r w:rsidR="00A36B35">
              <w:rPr>
                <w:rFonts w:cs="Arial"/>
                <w:color w:val="3D4D7D" w:themeColor="background2"/>
                <w:szCs w:val="20"/>
                <w:lang w:val="en-US"/>
              </w:rPr>
              <w:t>.</w:t>
            </w:r>
          </w:p>
        </w:tc>
      </w:tr>
      <w:tr w:rsidR="004E0C59" w14:paraId="46FBB655" w14:textId="77777777" w:rsidTr="004E0C59">
        <w:trPr>
          <w:cnfStyle w:val="000000010000" w:firstRow="0" w:lastRow="0" w:firstColumn="0" w:lastColumn="0" w:oddVBand="0" w:evenVBand="0" w:oddHBand="0" w:evenHBand="1" w:firstRowFirstColumn="0" w:firstRowLastColumn="0" w:lastRowFirstColumn="0" w:lastRowLastColumn="0"/>
        </w:trPr>
        <w:tc>
          <w:tcPr>
            <w:tcW w:w="1286" w:type="pct"/>
          </w:tcPr>
          <w:p w14:paraId="29352D6F" w14:textId="77777777" w:rsidR="004E0C59" w:rsidRPr="00044FA3" w:rsidRDefault="004E0C59" w:rsidP="004E0C59">
            <w:pPr>
              <w:spacing w:before="70" w:after="70"/>
              <w:rPr>
                <w:rFonts w:cs="Arial"/>
                <w:color w:val="3D4D7D" w:themeColor="background2"/>
                <w:szCs w:val="20"/>
                <w:lang w:val="en-US"/>
              </w:rPr>
            </w:pPr>
            <w:r w:rsidRPr="00044FA3">
              <w:rPr>
                <w:rFonts w:cs="Arial"/>
                <w:color w:val="3D4D7D" w:themeColor="background2"/>
                <w:szCs w:val="20"/>
                <w:lang w:val="en-US"/>
              </w:rPr>
              <w:t>Victoria</w:t>
            </w:r>
          </w:p>
        </w:tc>
        <w:tc>
          <w:tcPr>
            <w:tcW w:w="857" w:type="pct"/>
          </w:tcPr>
          <w:p w14:paraId="781CB76A" w14:textId="0B0E4D4E" w:rsidR="004E0C59" w:rsidRPr="00044FA3" w:rsidRDefault="004E0C59" w:rsidP="004E0C59">
            <w:pPr>
              <w:spacing w:before="70" w:after="70"/>
              <w:rPr>
                <w:rFonts w:cs="Arial"/>
                <w:color w:val="3D4D7D" w:themeColor="background2"/>
                <w:szCs w:val="20"/>
                <w:lang w:val="en-US"/>
              </w:rPr>
            </w:pPr>
            <w:r>
              <w:rPr>
                <w:rFonts w:cs="Arial"/>
                <w:color w:val="3D4D7D" w:themeColor="background2"/>
                <w:szCs w:val="20"/>
                <w:lang w:val="en-US"/>
              </w:rPr>
              <w:t>Over $13 billion</w:t>
            </w:r>
          </w:p>
        </w:tc>
        <w:tc>
          <w:tcPr>
            <w:tcW w:w="2857" w:type="pct"/>
          </w:tcPr>
          <w:p w14:paraId="00B55147" w14:textId="73D9F951" w:rsidR="004E0C59" w:rsidRPr="00044FA3" w:rsidRDefault="006E1C69" w:rsidP="00E63405">
            <w:pPr>
              <w:spacing w:before="70" w:after="70"/>
              <w:rPr>
                <w:rFonts w:cs="Arial"/>
                <w:color w:val="3D4D7D" w:themeColor="background2"/>
                <w:szCs w:val="20"/>
                <w:lang w:val="en-US"/>
              </w:rPr>
            </w:pPr>
            <w:hyperlink r:id="rId18" w:history="1">
              <w:r w:rsidR="00A01525" w:rsidRPr="00E63405">
                <w:rPr>
                  <w:rStyle w:val="Hyperlink"/>
                  <w:rFonts w:cs="Arial"/>
                  <w:szCs w:val="20"/>
                  <w:lang w:val="en-US"/>
                </w:rPr>
                <w:t>Victorian Budget 2020/21</w:t>
              </w:r>
            </w:hyperlink>
            <w:r w:rsidR="00A01525">
              <w:rPr>
                <w:rFonts w:cs="Arial"/>
                <w:color w:val="3D4D7D" w:themeColor="background2"/>
                <w:szCs w:val="20"/>
                <w:lang w:val="en-US"/>
              </w:rPr>
              <w:t xml:space="preserve">, </w:t>
            </w:r>
            <w:r w:rsidR="00E63405">
              <w:rPr>
                <w:rFonts w:cs="Arial"/>
                <w:color w:val="3D4D7D" w:themeColor="background2"/>
                <w:szCs w:val="20"/>
                <w:lang w:val="en-US"/>
              </w:rPr>
              <w:t>Budget Paper No. 2, Strategy and Outlook,</w:t>
            </w:r>
            <w:r w:rsidR="002E59AF">
              <w:rPr>
                <w:rFonts w:cs="Arial"/>
                <w:color w:val="3D4D7D" w:themeColor="background2"/>
                <w:szCs w:val="20"/>
                <w:lang w:val="en-US"/>
              </w:rPr>
              <w:t xml:space="preserve"> </w:t>
            </w:r>
            <w:r w:rsidR="00A01525">
              <w:rPr>
                <w:rFonts w:cs="Arial"/>
                <w:color w:val="3D4D7D" w:themeColor="background2"/>
                <w:szCs w:val="20"/>
                <w:lang w:val="en-US"/>
              </w:rPr>
              <w:t>page 1</w:t>
            </w:r>
            <w:r w:rsidR="00A36B35">
              <w:rPr>
                <w:rFonts w:cs="Arial"/>
                <w:color w:val="3D4D7D" w:themeColor="background2"/>
                <w:szCs w:val="20"/>
                <w:lang w:val="en-US"/>
              </w:rPr>
              <w:t>.</w:t>
            </w:r>
          </w:p>
        </w:tc>
      </w:tr>
      <w:tr w:rsidR="004E0C59" w14:paraId="1A301CAC" w14:textId="77777777" w:rsidTr="004E0C59">
        <w:tc>
          <w:tcPr>
            <w:tcW w:w="1286" w:type="pct"/>
          </w:tcPr>
          <w:p w14:paraId="418EB4CB" w14:textId="77777777" w:rsidR="004E0C59" w:rsidRPr="00044FA3" w:rsidRDefault="004E0C59" w:rsidP="004E0C59">
            <w:pPr>
              <w:spacing w:before="70" w:after="70"/>
              <w:rPr>
                <w:rFonts w:cs="Arial"/>
                <w:color w:val="3D4D7D" w:themeColor="background2"/>
                <w:szCs w:val="20"/>
                <w:lang w:val="en-US"/>
              </w:rPr>
            </w:pPr>
            <w:r w:rsidRPr="00044FA3">
              <w:rPr>
                <w:rFonts w:cs="Arial"/>
                <w:color w:val="3D4D7D" w:themeColor="background2"/>
                <w:szCs w:val="20"/>
                <w:lang w:val="en-US"/>
              </w:rPr>
              <w:t>Western Australia</w:t>
            </w:r>
          </w:p>
        </w:tc>
        <w:tc>
          <w:tcPr>
            <w:tcW w:w="857" w:type="pct"/>
          </w:tcPr>
          <w:p w14:paraId="1ABAB3DA" w14:textId="3EB862A8" w:rsidR="004E0C59" w:rsidRPr="00044FA3" w:rsidRDefault="004E0C59" w:rsidP="004E0C59">
            <w:pPr>
              <w:spacing w:before="70" w:after="70"/>
              <w:rPr>
                <w:rFonts w:cs="Arial"/>
                <w:color w:val="3D4D7D" w:themeColor="background2"/>
                <w:szCs w:val="20"/>
                <w:lang w:val="en-US"/>
              </w:rPr>
            </w:pPr>
            <w:r>
              <w:rPr>
                <w:rFonts w:cs="Arial"/>
                <w:color w:val="3D4D7D" w:themeColor="background2"/>
                <w:szCs w:val="20"/>
                <w:lang w:val="en-US"/>
              </w:rPr>
              <w:t>$5.5 billion</w:t>
            </w:r>
          </w:p>
        </w:tc>
        <w:tc>
          <w:tcPr>
            <w:tcW w:w="2857" w:type="pct"/>
          </w:tcPr>
          <w:p w14:paraId="78C14B77" w14:textId="38FF50A0" w:rsidR="004E0C59" w:rsidRDefault="006E1C69" w:rsidP="004E0C59">
            <w:pPr>
              <w:spacing w:before="70" w:after="70"/>
              <w:rPr>
                <w:rFonts w:cs="Arial"/>
                <w:color w:val="3D4D7D" w:themeColor="background2"/>
                <w:szCs w:val="20"/>
                <w:lang w:val="en-US"/>
              </w:rPr>
            </w:pPr>
            <w:hyperlink r:id="rId19" w:history="1">
              <w:r w:rsidR="00A01525" w:rsidRPr="00E63405">
                <w:rPr>
                  <w:rStyle w:val="Hyperlink"/>
                  <w:rFonts w:cs="Arial"/>
                  <w:szCs w:val="20"/>
                  <w:lang w:val="en-US"/>
                </w:rPr>
                <w:t>Western Australia State Budget 2020-21</w:t>
              </w:r>
            </w:hyperlink>
            <w:r w:rsidR="00A01525">
              <w:rPr>
                <w:rFonts w:cs="Arial"/>
                <w:color w:val="3D4D7D" w:themeColor="background2"/>
                <w:szCs w:val="20"/>
                <w:lang w:val="en-US"/>
              </w:rPr>
              <w:t>, Budget Paper No. 3, Economic and Fiscal Outlook, page 1.</w:t>
            </w:r>
          </w:p>
          <w:p w14:paraId="07927F73" w14:textId="0D79C4F6" w:rsidR="00A01525" w:rsidRPr="00044FA3" w:rsidRDefault="006E1C69" w:rsidP="004E0C59">
            <w:pPr>
              <w:spacing w:before="70" w:after="70"/>
              <w:rPr>
                <w:rFonts w:cs="Arial"/>
                <w:color w:val="3D4D7D" w:themeColor="background2"/>
                <w:szCs w:val="20"/>
                <w:lang w:val="en-US"/>
              </w:rPr>
            </w:pPr>
            <w:hyperlink r:id="rId20" w:history="1">
              <w:r w:rsidR="00A01525" w:rsidRPr="00E63405">
                <w:rPr>
                  <w:rStyle w:val="Hyperlink"/>
                  <w:rFonts w:cs="Arial"/>
                  <w:szCs w:val="20"/>
                  <w:lang w:val="en-US"/>
                </w:rPr>
                <w:t>Western Australia Recovery Plan</w:t>
              </w:r>
            </w:hyperlink>
            <w:r w:rsidR="00192631">
              <w:rPr>
                <w:rFonts w:cs="Arial"/>
                <w:color w:val="3D4D7D" w:themeColor="background2"/>
                <w:szCs w:val="20"/>
                <w:lang w:val="en-US"/>
              </w:rPr>
              <w:t>, page 13.</w:t>
            </w:r>
          </w:p>
        </w:tc>
      </w:tr>
    </w:tbl>
    <w:p w14:paraId="1CC501C2" w14:textId="2ED74C46" w:rsidR="00D00E49" w:rsidRDefault="00D00E49" w:rsidP="007F49A0">
      <w:pPr>
        <w:pStyle w:val="Heading3"/>
        <w:keepNext/>
      </w:pPr>
    </w:p>
    <w:p w14:paraId="1495F046" w14:textId="77777777" w:rsidR="00D00E49" w:rsidRDefault="00D00E49">
      <w:pPr>
        <w:rPr>
          <w:rFonts w:ascii="Calibri" w:hAnsi="Calibri"/>
          <w:b/>
        </w:rPr>
      </w:pPr>
      <w:r>
        <w:br w:type="page"/>
      </w:r>
    </w:p>
    <w:p w14:paraId="0B9BCA8F" w14:textId="77777777" w:rsidR="00206262" w:rsidRDefault="00206262" w:rsidP="007F49A0">
      <w:pPr>
        <w:pStyle w:val="Heading3"/>
        <w:keepNext/>
      </w:pPr>
      <w:r>
        <w:lastRenderedPageBreak/>
        <w:t>Method</w:t>
      </w:r>
    </w:p>
    <w:p w14:paraId="72B692A2" w14:textId="77777777" w:rsidR="00206262" w:rsidRDefault="00206262" w:rsidP="00206262">
      <w:pPr>
        <w:pStyle w:val="BodyText"/>
      </w:pPr>
      <w:r w:rsidRPr="005C748B">
        <w:t xml:space="preserve">Data </w:t>
      </w:r>
      <w:r>
        <w:t>are</w:t>
      </w:r>
      <w:r w:rsidRPr="005C748B">
        <w:t xml:space="preserve"> generally comparable across the </w:t>
      </w:r>
      <w:r>
        <w:t xml:space="preserve">historical and forward estimates </w:t>
      </w:r>
      <w:r w:rsidRPr="005C748B">
        <w:t xml:space="preserve">periods, but there are differences in the budget treatment </w:t>
      </w:r>
      <w:r>
        <w:t>of items across jurisdictions.</w:t>
      </w:r>
    </w:p>
    <w:p w14:paraId="68F59CDB" w14:textId="37835D5F" w:rsidR="00011236" w:rsidRDefault="00011236" w:rsidP="00206262">
      <w:pPr>
        <w:pStyle w:val="BodyText"/>
      </w:pPr>
      <w:r w:rsidRPr="00BB1A0F">
        <w:t>Reported revenue and expenses for the Commonwealth</w:t>
      </w:r>
      <w:r w:rsidR="00FD5BF2" w:rsidRPr="00BB1A0F">
        <w:t xml:space="preserve"> and</w:t>
      </w:r>
      <w:r w:rsidRPr="00BB1A0F">
        <w:t xml:space="preserve"> state governments include transfers </w:t>
      </w:r>
      <w:r w:rsidR="00E96740" w:rsidRPr="00BB1A0F">
        <w:t>between</w:t>
      </w:r>
      <w:r w:rsidRPr="00BB1A0F">
        <w:t xml:space="preserve"> governments</w:t>
      </w:r>
      <w:r w:rsidR="00FD5BF2" w:rsidRPr="00BB1A0F">
        <w:t>.  F</w:t>
      </w:r>
      <w:r w:rsidRPr="00BB1A0F">
        <w:t>or example</w:t>
      </w:r>
      <w:r w:rsidR="005376B3" w:rsidRPr="00BB1A0F">
        <w:t>,</w:t>
      </w:r>
      <w:r w:rsidRPr="00BB1A0F">
        <w:t xml:space="preserve"> GST is collected by the Commonwealth </w:t>
      </w:r>
      <w:r w:rsidR="005376B3" w:rsidRPr="00BB1A0F">
        <w:t>G</w:t>
      </w:r>
      <w:r w:rsidRPr="00BB1A0F">
        <w:t>overnment</w:t>
      </w:r>
      <w:r w:rsidR="005376B3" w:rsidRPr="00BB1A0F">
        <w:t>, where it is counted as Commonwealth revenue,</w:t>
      </w:r>
      <w:r w:rsidRPr="00BB1A0F">
        <w:t xml:space="preserve"> and</w:t>
      </w:r>
      <w:r w:rsidR="00E96740" w:rsidRPr="00BB1A0F">
        <w:t xml:space="preserve"> then</w:t>
      </w:r>
      <w:r w:rsidRPr="00BB1A0F">
        <w:t xml:space="preserve"> passed onto state governments</w:t>
      </w:r>
      <w:r w:rsidR="005376B3" w:rsidRPr="00BB1A0F">
        <w:t>, where it is counted as state government revenue</w:t>
      </w:r>
      <w:r w:rsidRPr="00BB1A0F">
        <w:t xml:space="preserve">.  </w:t>
      </w:r>
      <w:r w:rsidR="005376B3" w:rsidRPr="00BB1A0F">
        <w:t>W</w:t>
      </w:r>
      <w:r w:rsidRPr="00BB1A0F">
        <w:t xml:space="preserve">hen consolidating the national aggregates, </w:t>
      </w:r>
      <w:r w:rsidR="005376B3" w:rsidRPr="00BB1A0F">
        <w:t>totals</w:t>
      </w:r>
      <w:r w:rsidRPr="00BB1A0F">
        <w:t xml:space="preserve"> are adjusted to remove double accounting.</w:t>
      </w:r>
    </w:p>
    <w:p w14:paraId="61244404" w14:textId="4B72E9ED" w:rsidR="00206262" w:rsidRDefault="00206262" w:rsidP="00206262">
      <w:pPr>
        <w:pStyle w:val="BodyText"/>
        <w:rPr>
          <w:spacing w:val="-3"/>
        </w:rPr>
      </w:pPr>
      <w:r w:rsidRPr="00DB1201">
        <w:rPr>
          <w:spacing w:val="-3"/>
        </w:rPr>
        <w:t xml:space="preserve">The projections of revenue and expenses </w:t>
      </w:r>
      <w:r w:rsidRPr="00EE1BFA">
        <w:rPr>
          <w:spacing w:val="-3"/>
        </w:rPr>
        <w:t>for New South Wales and Western Australia</w:t>
      </w:r>
      <w:r w:rsidRPr="00DB1201">
        <w:rPr>
          <w:spacing w:val="-3"/>
        </w:rPr>
        <w:t xml:space="preserve"> have been adjusted by the PBO to improve comparability across periods.  The budget estimates </w:t>
      </w:r>
      <w:r w:rsidR="00B5572C">
        <w:rPr>
          <w:spacing w:val="-3"/>
        </w:rPr>
        <w:t xml:space="preserve">published by New South Wales and Western Australia </w:t>
      </w:r>
      <w:r w:rsidRPr="00DB1201">
        <w:rPr>
          <w:spacing w:val="-3"/>
        </w:rPr>
        <w:t>exclude Commonwealth transfers that ‘pass through’ their state accounts and, as such, their reported revenue and expenses do not include these amounts (these mainly relate to payments to non</w:t>
      </w:r>
      <w:r w:rsidRPr="00DB1201">
        <w:rPr>
          <w:spacing w:val="-3"/>
        </w:rPr>
        <w:noBreakHyphen/>
        <w:t>government schools and local governments which the Commonwealth makes through the states).  In contrast,</w:t>
      </w:r>
      <w:r>
        <w:rPr>
          <w:spacing w:val="-3"/>
        </w:rPr>
        <w:t xml:space="preserve"> </w:t>
      </w:r>
      <w:r w:rsidRPr="00DB1201">
        <w:rPr>
          <w:spacing w:val="-3"/>
        </w:rPr>
        <w:t xml:space="preserve">the ABS requires that the full ‘grossed up’ amount be reported.  Revenue and expenses for New South Wales and Western Australia from </w:t>
      </w:r>
      <w:r>
        <w:rPr>
          <w:spacing w:val="-3"/>
        </w:rPr>
        <w:t>2019</w:t>
      </w:r>
      <w:r w:rsidR="00B5572C">
        <w:rPr>
          <w:spacing w:val="-3"/>
        </w:rPr>
        <w:noBreakHyphen/>
      </w:r>
      <w:r>
        <w:rPr>
          <w:spacing w:val="-3"/>
        </w:rPr>
        <w:t>2</w:t>
      </w:r>
      <w:r w:rsidR="0099098A">
        <w:rPr>
          <w:spacing w:val="-3"/>
        </w:rPr>
        <w:t>0</w:t>
      </w:r>
      <w:r w:rsidRPr="00DB1201">
        <w:rPr>
          <w:spacing w:val="-3"/>
        </w:rPr>
        <w:t xml:space="preserve"> onwards are adjusted using the estimates</w:t>
      </w:r>
      <w:r>
        <w:rPr>
          <w:spacing w:val="-3"/>
        </w:rPr>
        <w:t xml:space="preserve"> </w:t>
      </w:r>
      <w:r w:rsidRPr="00DB1201">
        <w:rPr>
          <w:spacing w:val="-3"/>
        </w:rPr>
        <w:t>of these transfers in state and Commonwealth budget papers.</w:t>
      </w:r>
    </w:p>
    <w:p w14:paraId="697F9CB6" w14:textId="7C39B8AC" w:rsidR="001D32EC" w:rsidRPr="00DB1201" w:rsidRDefault="00666958" w:rsidP="00666958">
      <w:pPr>
        <w:pStyle w:val="BodyText"/>
        <w:rPr>
          <w:spacing w:val="-3"/>
        </w:rPr>
      </w:pPr>
      <w:r>
        <w:rPr>
          <w:spacing w:val="-3"/>
        </w:rPr>
        <w:t xml:space="preserve">The projections of net debt for the </w:t>
      </w:r>
      <w:r w:rsidRPr="00666958">
        <w:rPr>
          <w:spacing w:val="-3"/>
        </w:rPr>
        <w:t xml:space="preserve">Australian Capital Territory </w:t>
      </w:r>
      <w:r>
        <w:rPr>
          <w:spacing w:val="-3"/>
        </w:rPr>
        <w:t xml:space="preserve">are </w:t>
      </w:r>
      <w:r w:rsidR="00B5572C">
        <w:rPr>
          <w:spacing w:val="-3"/>
        </w:rPr>
        <w:t xml:space="preserve">adjusted </w:t>
      </w:r>
      <w:r>
        <w:rPr>
          <w:spacing w:val="-3"/>
        </w:rPr>
        <w:t>by the PBO</w:t>
      </w:r>
      <w:r w:rsidR="00B5572C">
        <w:rPr>
          <w:spacing w:val="-3"/>
        </w:rPr>
        <w:t xml:space="preserve"> to be</w:t>
      </w:r>
      <w:r>
        <w:rPr>
          <w:spacing w:val="-3"/>
        </w:rPr>
        <w:t xml:space="preserve"> consistent with the </w:t>
      </w:r>
      <w:r w:rsidRPr="00666958">
        <w:rPr>
          <w:spacing w:val="-3"/>
        </w:rPr>
        <w:t>Uniform Presentation Framework</w:t>
      </w:r>
      <w:r>
        <w:rPr>
          <w:spacing w:val="-3"/>
        </w:rPr>
        <w:t>.</w:t>
      </w:r>
      <w:r w:rsidR="001D32EC">
        <w:rPr>
          <w:spacing w:val="-3"/>
        </w:rPr>
        <w:t xml:space="preserve">  </w:t>
      </w:r>
    </w:p>
    <w:p w14:paraId="47522E56" w14:textId="24BCBADD" w:rsidR="00206262" w:rsidRDefault="00206262" w:rsidP="00206262">
      <w:pPr>
        <w:pStyle w:val="BodyText"/>
      </w:pPr>
      <w:r w:rsidRPr="00B86DA5">
        <w:t xml:space="preserve">Charts </w:t>
      </w:r>
      <w:r w:rsidRPr="00F15181">
        <w:t>comparing variables from the previous and current outlook</w:t>
      </w:r>
      <w:r>
        <w:t xml:space="preserve"> use </w:t>
      </w:r>
      <w:r w:rsidRPr="00DB5BCC">
        <w:t xml:space="preserve">the </w:t>
      </w:r>
      <w:r w:rsidRPr="00F15181">
        <w:t xml:space="preserve">GDP projections underpinning the </w:t>
      </w:r>
      <w:r>
        <w:t>corresponding</w:t>
      </w:r>
      <w:r w:rsidRPr="00F15181">
        <w:t xml:space="preserve"> Commonwealth</w:t>
      </w:r>
      <w:r>
        <w:t xml:space="preserve"> </w:t>
      </w:r>
      <w:r w:rsidR="008A56FE">
        <w:t>b</w:t>
      </w:r>
      <w:r>
        <w:t>udget</w:t>
      </w:r>
      <w:r w:rsidRPr="00F15181">
        <w:t xml:space="preserve"> </w:t>
      </w:r>
      <w:r w:rsidR="008A56FE">
        <w:t xml:space="preserve">update </w:t>
      </w:r>
      <w:r w:rsidRPr="00F15181">
        <w:t>when calculating share</w:t>
      </w:r>
      <w:r w:rsidRPr="00E424D9">
        <w:t>s</w:t>
      </w:r>
      <w:r w:rsidRPr="00EB0474">
        <w:t xml:space="preserve"> of GDP.  For example, the </w:t>
      </w:r>
      <w:r w:rsidRPr="00DB5BCC">
        <w:t xml:space="preserve">net debt projections from the </w:t>
      </w:r>
      <w:r>
        <w:t>2019</w:t>
      </w:r>
      <w:r w:rsidR="00B5572C">
        <w:noBreakHyphen/>
      </w:r>
      <w:r>
        <w:t>20</w:t>
      </w:r>
      <w:r w:rsidRPr="00F15181">
        <w:t xml:space="preserve"> </w:t>
      </w:r>
      <w:r>
        <w:t xml:space="preserve">outlook </w:t>
      </w:r>
      <w:r w:rsidRPr="00F15181">
        <w:t>are expressed as a share of the GDP projection in the 201</w:t>
      </w:r>
      <w:r>
        <w:t>9</w:t>
      </w:r>
      <w:r w:rsidR="00B5572C">
        <w:noBreakHyphen/>
      </w:r>
      <w:r>
        <w:t>20</w:t>
      </w:r>
      <w:r w:rsidRPr="00F15181">
        <w:t xml:space="preserve"> outlook. </w:t>
      </w:r>
    </w:p>
    <w:p w14:paraId="36C86DC3" w14:textId="72E1F1E4" w:rsidR="00206262" w:rsidRDefault="00206262" w:rsidP="00206262">
      <w:pPr>
        <w:pStyle w:val="BodyText"/>
        <w:rPr>
          <w:spacing w:val="-3"/>
        </w:rPr>
      </w:pPr>
      <w:r>
        <w:t>From 2019</w:t>
      </w:r>
      <w:r w:rsidR="00B5572C">
        <w:noBreakHyphen/>
      </w:r>
      <w:r>
        <w:t xml:space="preserve">20, aggregated local government data </w:t>
      </w:r>
      <w:r w:rsidR="00452B63">
        <w:t xml:space="preserve">on revenue and expenses </w:t>
      </w:r>
      <w:r>
        <w:t>are projected by the PBO using historical trends</w:t>
      </w:r>
      <w:r w:rsidR="00B37CAC">
        <w:t>,</w:t>
      </w:r>
      <w:r w:rsidR="00452B63">
        <w:t xml:space="preserve"> and </w:t>
      </w:r>
      <w:r w:rsidR="00B11E2B">
        <w:t xml:space="preserve">net capital investments are projected in line with the projected </w:t>
      </w:r>
      <w:r w:rsidR="00452B63">
        <w:t>GDP</w:t>
      </w:r>
      <w:r>
        <w:t xml:space="preserve">.  </w:t>
      </w:r>
      <w:r w:rsidR="00B5572C">
        <w:rPr>
          <w:spacing w:val="-3"/>
        </w:rPr>
        <w:t>T</w:t>
      </w:r>
      <w:r w:rsidR="00B86DA5">
        <w:rPr>
          <w:spacing w:val="-3"/>
        </w:rPr>
        <w:t>hese projections</w:t>
      </w:r>
      <w:r w:rsidR="00B37CAC">
        <w:rPr>
          <w:spacing w:val="-3"/>
        </w:rPr>
        <w:t xml:space="preserve"> </w:t>
      </w:r>
      <w:r w:rsidR="00B5572C">
        <w:rPr>
          <w:spacing w:val="-3"/>
        </w:rPr>
        <w:t>use</w:t>
      </w:r>
      <w:r w:rsidR="00B37CAC">
        <w:rPr>
          <w:spacing w:val="-3"/>
        </w:rPr>
        <w:t xml:space="preserve"> the </w:t>
      </w:r>
      <w:r w:rsidR="00B86DA5">
        <w:rPr>
          <w:spacing w:val="-3"/>
        </w:rPr>
        <w:t xml:space="preserve">methodology adopted in the </w:t>
      </w:r>
      <w:r w:rsidR="00B37CAC">
        <w:rPr>
          <w:spacing w:val="-3"/>
        </w:rPr>
        <w:t>2019-20 outlook</w:t>
      </w:r>
      <w:r w:rsidR="003B06E6">
        <w:rPr>
          <w:spacing w:val="-3"/>
        </w:rPr>
        <w:t>.  The impact of the COVID</w:t>
      </w:r>
      <w:r w:rsidR="003B06E6">
        <w:rPr>
          <w:spacing w:val="-3"/>
        </w:rPr>
        <w:noBreakHyphen/>
        <w:t xml:space="preserve">19 pandemic is not taken into account in the </w:t>
      </w:r>
      <w:r w:rsidR="0036670D">
        <w:rPr>
          <w:spacing w:val="-3"/>
        </w:rPr>
        <w:t xml:space="preserve">local government projections </w:t>
      </w:r>
      <w:r w:rsidR="003B06E6">
        <w:rPr>
          <w:spacing w:val="-3"/>
        </w:rPr>
        <w:t>because</w:t>
      </w:r>
      <w:r w:rsidR="0036670D">
        <w:rPr>
          <w:spacing w:val="-3"/>
        </w:rPr>
        <w:t xml:space="preserve"> there is limited aggregated information available</w:t>
      </w:r>
      <w:r w:rsidR="001A5895">
        <w:rPr>
          <w:spacing w:val="-3"/>
        </w:rPr>
        <w:t>.  T</w:t>
      </w:r>
      <w:r w:rsidR="0036670D">
        <w:rPr>
          <w:spacing w:val="-3"/>
        </w:rPr>
        <w:t xml:space="preserve">he impacts are </w:t>
      </w:r>
      <w:r w:rsidR="001A5895">
        <w:rPr>
          <w:spacing w:val="-3"/>
        </w:rPr>
        <w:t xml:space="preserve">also </w:t>
      </w:r>
      <w:r w:rsidR="0036670D">
        <w:rPr>
          <w:spacing w:val="-3"/>
        </w:rPr>
        <w:t>highly uncertain</w:t>
      </w:r>
      <w:r w:rsidR="001A5895">
        <w:rPr>
          <w:spacing w:val="-3"/>
        </w:rPr>
        <w:t xml:space="preserve"> and</w:t>
      </w:r>
      <w:r w:rsidR="0036670D">
        <w:rPr>
          <w:spacing w:val="-3"/>
        </w:rPr>
        <w:t xml:space="preserve"> likely to differ between </w:t>
      </w:r>
      <w:r w:rsidR="001A5895">
        <w:rPr>
          <w:spacing w:val="-3"/>
        </w:rPr>
        <w:t>locations</w:t>
      </w:r>
      <w:r w:rsidR="00B37CAC">
        <w:rPr>
          <w:spacing w:val="-3"/>
        </w:rPr>
        <w:t>.</w:t>
      </w:r>
    </w:p>
    <w:p w14:paraId="425B5D17" w14:textId="5FA2956C" w:rsidR="00706936" w:rsidRDefault="00F65047" w:rsidP="001E180C">
      <w:pPr>
        <w:pStyle w:val="BodyText"/>
      </w:pPr>
      <w:r>
        <w:t>C</w:t>
      </w:r>
      <w:r w:rsidR="00B5572C">
        <w:t>OVID</w:t>
      </w:r>
      <w:r>
        <w:t xml:space="preserve">-19 responses as a proportion of income </w:t>
      </w:r>
      <w:r w:rsidR="00094ABD">
        <w:t>are</w:t>
      </w:r>
      <w:r w:rsidR="0041061A">
        <w:t xml:space="preserve"> calculated by </w:t>
      </w:r>
      <w:r>
        <w:t>divid</w:t>
      </w:r>
      <w:r w:rsidR="0041061A">
        <w:t>ing</w:t>
      </w:r>
      <w:r>
        <w:t xml:space="preserve"> </w:t>
      </w:r>
      <w:r w:rsidR="0041061A">
        <w:t>COVID-</w:t>
      </w:r>
      <w:r w:rsidR="00094ABD">
        <w:t xml:space="preserve">19 </w:t>
      </w:r>
      <w:r w:rsidR="0041061A">
        <w:t>response packages</w:t>
      </w:r>
      <w:r w:rsidR="00094ABD">
        <w:t xml:space="preserve"> </w:t>
      </w:r>
      <w:r w:rsidR="00CA0271">
        <w:t xml:space="preserve">as </w:t>
      </w:r>
      <w:r w:rsidR="00094ABD">
        <w:t xml:space="preserve">reported by the </w:t>
      </w:r>
      <w:r w:rsidR="00B5572C">
        <w:t>C</w:t>
      </w:r>
      <w:r w:rsidR="00094ABD">
        <w:t>ommonwealth and state and territory budgets</w:t>
      </w:r>
      <w:r w:rsidR="0041061A">
        <w:t xml:space="preserve"> </w:t>
      </w:r>
      <w:r>
        <w:t xml:space="preserve">by the total revenue </w:t>
      </w:r>
      <w:r w:rsidR="00B5572C">
        <w:t>of each</w:t>
      </w:r>
      <w:r>
        <w:t xml:space="preserve"> government </w:t>
      </w:r>
      <w:r w:rsidR="00781D96" w:rsidRPr="001F44E2">
        <w:t>in 2018</w:t>
      </w:r>
      <w:r w:rsidR="00781D96">
        <w:t xml:space="preserve">-19 </w:t>
      </w:r>
      <w:r w:rsidR="00781D96" w:rsidRPr="00781D96">
        <w:t>(</w:t>
      </w:r>
      <w:r w:rsidR="008D5845">
        <w:t>adjusting for</w:t>
      </w:r>
      <w:r w:rsidRPr="00781D96">
        <w:t xml:space="preserve"> transfers </w:t>
      </w:r>
      <w:r w:rsidR="001E180C" w:rsidRPr="00781D96">
        <w:t xml:space="preserve">between </w:t>
      </w:r>
      <w:r w:rsidRPr="00781D96">
        <w:t>governments</w:t>
      </w:r>
      <w:r w:rsidR="00781D96" w:rsidRPr="00781D96">
        <w:t>)</w:t>
      </w:r>
      <w:r w:rsidR="00B86DA5">
        <w:t xml:space="preserve">.  </w:t>
      </w:r>
      <w:r w:rsidR="00153EE6">
        <w:t xml:space="preserve">The 2018-19 reference year is </w:t>
      </w:r>
      <w:r w:rsidR="00781D96">
        <w:t xml:space="preserve">used </w:t>
      </w:r>
      <w:r w:rsidR="00153EE6">
        <w:t>as it is the last complete financial year not affected by COVID-19.</w:t>
      </w:r>
    </w:p>
    <w:tbl>
      <w:tblPr>
        <w:tblpPr w:leftFromText="181" w:rightFromText="181" w:topFromText="170" w:horzAnchor="margin" w:tblpYSpec="bottom"/>
        <w:tblOverlap w:val="never"/>
        <w:tblW w:w="5000" w:type="pct"/>
        <w:tblLook w:val="04A0" w:firstRow="1" w:lastRow="0" w:firstColumn="1" w:lastColumn="0" w:noHBand="0" w:noVBand="1"/>
      </w:tblPr>
      <w:tblGrid>
        <w:gridCol w:w="9923"/>
      </w:tblGrid>
      <w:tr w:rsidR="006E4D6B" w14:paraId="4A0C2396" w14:textId="77777777" w:rsidTr="00C94C1C">
        <w:sdt>
          <w:sdtPr>
            <w:id w:val="-1542580590"/>
            <w:lock w:val="sdtLocked"/>
            <w:placeholder>
              <w:docPart w:val="CFA866906894477AA0A6AFB5DF0C6734"/>
            </w:placeholder>
          </w:sdtPr>
          <w:sdtEndPr/>
          <w:sdtContent>
            <w:tc>
              <w:tcPr>
                <w:tcW w:w="1450" w:type="pct"/>
              </w:tcPr>
              <w:p w14:paraId="460F0A54" w14:textId="77777777" w:rsidR="006E4D6B" w:rsidRDefault="001A3C99" w:rsidP="001A3C99">
                <w:r>
                  <w:t xml:space="preserve"> </w:t>
                </w:r>
              </w:p>
            </w:tc>
          </w:sdtContent>
        </w:sdt>
      </w:tr>
    </w:tbl>
    <w:p w14:paraId="22CADF83" w14:textId="5A572AF8" w:rsidR="00011236" w:rsidRDefault="001E180C" w:rsidP="001E180C">
      <w:pPr>
        <w:pStyle w:val="BodyText"/>
      </w:pPr>
      <w:r>
        <w:t xml:space="preserve">National spending on the response to COVID-19 is calculated by aggregating all reported COVID-19 response packages from the Commonwealth and state and territory budget papers over the forward estimates. </w:t>
      </w:r>
      <w:r w:rsidR="008672B1">
        <w:t xml:space="preserve"> Local government spending on COVID-19 </w:t>
      </w:r>
      <w:r w:rsidR="002E4457">
        <w:t>is</w:t>
      </w:r>
      <w:r w:rsidR="008672B1">
        <w:t xml:space="preserve"> not included in this calculation.</w:t>
      </w:r>
    </w:p>
    <w:p w14:paraId="5D1849FA" w14:textId="77777777" w:rsidR="00011236" w:rsidRDefault="00011236">
      <w:r>
        <w:br w:type="page"/>
      </w:r>
    </w:p>
    <w:p w14:paraId="341421F1" w14:textId="707EC5C1" w:rsidR="00E77C33" w:rsidRDefault="00E77C33" w:rsidP="00E77C33">
      <w:pPr>
        <w:pStyle w:val="Heading3"/>
        <w:keepNext/>
      </w:pPr>
      <w:r>
        <w:lastRenderedPageBreak/>
        <w:t>Supplementary data tables</w:t>
      </w:r>
    </w:p>
    <w:p w14:paraId="5E51FB67" w14:textId="10A8AF25" w:rsidR="00E77C33" w:rsidRDefault="00E77C33" w:rsidP="007F49A0">
      <w:pPr>
        <w:pStyle w:val="BodyText"/>
      </w:pPr>
      <w:r>
        <w:t xml:space="preserve">Additional data on the net operating balance, revenue, expenses and net debt for the forward estimates period are provided below.  These tables are also available in </w:t>
      </w:r>
      <w:r w:rsidR="00EE2E31">
        <w:t xml:space="preserve">the </w:t>
      </w:r>
      <w:r w:rsidR="00EE2E31" w:rsidRPr="007F49A0">
        <w:rPr>
          <w:i/>
        </w:rPr>
        <w:t>Chart and additional data</w:t>
      </w:r>
      <w:r w:rsidR="00EE2E31">
        <w:t xml:space="preserve"> spreadsheet in the </w:t>
      </w:r>
      <w:r w:rsidR="00EE2E31" w:rsidRPr="00B575FA">
        <w:t xml:space="preserve">PBO’s </w:t>
      </w:r>
      <w:hyperlink r:id="rId21" w:history="1">
        <w:r w:rsidR="00EE2E31" w:rsidRPr="00B575FA">
          <w:rPr>
            <w:rStyle w:val="Hyperlink"/>
          </w:rPr>
          <w:t>data portal</w:t>
        </w:r>
      </w:hyperlink>
      <w:r w:rsidR="00103A97" w:rsidRPr="00B575FA">
        <w:t>.</w:t>
      </w:r>
    </w:p>
    <w:tbl>
      <w:tblPr>
        <w:tblW w:w="9923" w:type="dxa"/>
        <w:tblLook w:val="04A0" w:firstRow="1" w:lastRow="0" w:firstColumn="1" w:lastColumn="0" w:noHBand="0" w:noVBand="1"/>
      </w:tblPr>
      <w:tblGrid>
        <w:gridCol w:w="2080"/>
        <w:gridCol w:w="940"/>
        <w:gridCol w:w="980"/>
        <w:gridCol w:w="980"/>
        <w:gridCol w:w="980"/>
        <w:gridCol w:w="980"/>
        <w:gridCol w:w="980"/>
        <w:gridCol w:w="980"/>
        <w:gridCol w:w="1023"/>
      </w:tblGrid>
      <w:tr w:rsidR="009E215B" w:rsidRPr="00EC38F3" w14:paraId="57446E83" w14:textId="77777777" w:rsidTr="007D2509">
        <w:trPr>
          <w:trHeight w:val="300"/>
        </w:trPr>
        <w:tc>
          <w:tcPr>
            <w:tcW w:w="9923" w:type="dxa"/>
            <w:gridSpan w:val="9"/>
            <w:tcBorders>
              <w:top w:val="nil"/>
              <w:left w:val="nil"/>
              <w:bottom w:val="single" w:sz="4" w:space="0" w:color="auto"/>
              <w:right w:val="nil"/>
            </w:tcBorders>
            <w:shd w:val="clear" w:color="auto" w:fill="auto"/>
            <w:noWrap/>
            <w:vAlign w:val="bottom"/>
            <w:hideMark/>
          </w:tcPr>
          <w:p w14:paraId="11391E19" w14:textId="7A4863C6" w:rsidR="009E215B" w:rsidRPr="007D2509" w:rsidRDefault="009E215B" w:rsidP="006874AD">
            <w:pPr>
              <w:pStyle w:val="Captionheading1"/>
              <w:rPr>
                <w:b w:val="0"/>
                <w:bCs w:val="0"/>
                <w:color w:val="3D4D7D" w:themeColor="background2"/>
              </w:rPr>
            </w:pPr>
            <w:r w:rsidRPr="007D2509">
              <w:rPr>
                <w:color w:val="3D4D7D" w:themeColor="background2"/>
              </w:rPr>
              <w:t xml:space="preserve">Table </w:t>
            </w:r>
            <w:r w:rsidR="00EC38F3" w:rsidRPr="007D2509">
              <w:rPr>
                <w:color w:val="3D4D7D" w:themeColor="background2"/>
              </w:rPr>
              <w:t>A</w:t>
            </w:r>
            <w:r w:rsidR="006874AD">
              <w:rPr>
                <w:color w:val="3D4D7D" w:themeColor="background2"/>
              </w:rPr>
              <w:t>3</w:t>
            </w:r>
            <w:r w:rsidRPr="007D2509">
              <w:rPr>
                <w:color w:val="3D4D7D" w:themeColor="background2"/>
              </w:rPr>
              <w:t>: Net operating balance</w:t>
            </w:r>
          </w:p>
        </w:tc>
      </w:tr>
      <w:tr w:rsidR="009E215B" w:rsidRPr="009E215B" w14:paraId="49879322" w14:textId="77777777" w:rsidTr="007D2509">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3D4D7D"/>
            <w:vAlign w:val="center"/>
            <w:hideMark/>
          </w:tcPr>
          <w:p w14:paraId="775071BA"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Net operating balance</w:t>
            </w:r>
          </w:p>
        </w:tc>
        <w:tc>
          <w:tcPr>
            <w:tcW w:w="940" w:type="dxa"/>
            <w:tcBorders>
              <w:top w:val="single" w:sz="4" w:space="0" w:color="auto"/>
              <w:left w:val="nil"/>
              <w:bottom w:val="single" w:sz="4" w:space="0" w:color="auto"/>
              <w:right w:val="single" w:sz="4" w:space="0" w:color="auto"/>
            </w:tcBorders>
            <w:shd w:val="clear" w:color="000000" w:fill="3D4D7D"/>
            <w:vAlign w:val="center"/>
            <w:hideMark/>
          </w:tcPr>
          <w:p w14:paraId="6427DA1D"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67E779F4"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2018-19</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363E634D"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2019-20</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12745CC3"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2020-21</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15176BE0"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2021-22</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3E922B58"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2022-23</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0895A6F0"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2023-24</w:t>
            </w:r>
          </w:p>
        </w:tc>
        <w:tc>
          <w:tcPr>
            <w:tcW w:w="1023" w:type="dxa"/>
            <w:tcBorders>
              <w:top w:val="single" w:sz="4" w:space="0" w:color="auto"/>
              <w:left w:val="nil"/>
              <w:bottom w:val="single" w:sz="4" w:space="0" w:color="auto"/>
              <w:right w:val="single" w:sz="4" w:space="0" w:color="auto"/>
            </w:tcBorders>
            <w:shd w:val="clear" w:color="000000" w:fill="3D4D7D"/>
            <w:vAlign w:val="center"/>
            <w:hideMark/>
          </w:tcPr>
          <w:p w14:paraId="7032021A"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 </w:t>
            </w:r>
          </w:p>
        </w:tc>
      </w:tr>
      <w:tr w:rsidR="009E215B" w:rsidRPr="009E215B" w14:paraId="4C8463BE"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1246A92" w14:textId="77777777" w:rsidR="009E215B" w:rsidRPr="009E215B" w:rsidRDefault="009E215B" w:rsidP="009E215B">
            <w:pPr>
              <w:spacing w:line="240" w:lineRule="auto"/>
              <w:jc w:val="center"/>
              <w:rPr>
                <w:rFonts w:ascii="Arial" w:hAnsi="Arial" w:cs="Arial"/>
                <w:b/>
                <w:bCs/>
                <w:color w:val="000000"/>
                <w:sz w:val="14"/>
                <w:szCs w:val="14"/>
              </w:rPr>
            </w:pPr>
            <w:r w:rsidRPr="009E215B">
              <w:rPr>
                <w:rFonts w:ascii="Arial" w:hAnsi="Arial" w:cs="Arial"/>
                <w:b/>
                <w:bCs/>
                <w:color w:val="000000"/>
                <w:sz w:val="14"/>
                <w:szCs w:val="14"/>
              </w:rPr>
              <w:t>National</w:t>
            </w:r>
          </w:p>
        </w:tc>
        <w:tc>
          <w:tcPr>
            <w:tcW w:w="940" w:type="dxa"/>
            <w:tcBorders>
              <w:top w:val="single" w:sz="4" w:space="0" w:color="auto"/>
              <w:left w:val="single" w:sz="4" w:space="0" w:color="auto"/>
              <w:bottom w:val="nil"/>
              <w:right w:val="nil"/>
            </w:tcBorders>
            <w:shd w:val="clear" w:color="000000" w:fill="D2D9EA"/>
            <w:vAlign w:val="center"/>
            <w:hideMark/>
          </w:tcPr>
          <w:p w14:paraId="1D196079"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single" w:sz="4" w:space="0" w:color="auto"/>
              <w:left w:val="single" w:sz="4" w:space="0" w:color="auto"/>
              <w:bottom w:val="nil"/>
              <w:right w:val="nil"/>
            </w:tcBorders>
            <w:shd w:val="clear" w:color="000000" w:fill="D2D9EA"/>
            <w:vAlign w:val="center"/>
            <w:hideMark/>
          </w:tcPr>
          <w:p w14:paraId="7196B821"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2.6</w:t>
            </w:r>
          </w:p>
        </w:tc>
        <w:tc>
          <w:tcPr>
            <w:tcW w:w="980" w:type="dxa"/>
            <w:tcBorders>
              <w:top w:val="single" w:sz="4" w:space="0" w:color="auto"/>
              <w:left w:val="single" w:sz="4" w:space="0" w:color="auto"/>
              <w:bottom w:val="nil"/>
              <w:right w:val="nil"/>
            </w:tcBorders>
            <w:shd w:val="clear" w:color="000000" w:fill="D2D9EA"/>
            <w:vAlign w:val="center"/>
            <w:hideMark/>
          </w:tcPr>
          <w:p w14:paraId="3E22B057"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-5.2</w:t>
            </w:r>
          </w:p>
        </w:tc>
        <w:tc>
          <w:tcPr>
            <w:tcW w:w="980" w:type="dxa"/>
            <w:tcBorders>
              <w:top w:val="single" w:sz="4" w:space="0" w:color="auto"/>
              <w:left w:val="single" w:sz="4" w:space="0" w:color="auto"/>
              <w:bottom w:val="nil"/>
              <w:right w:val="nil"/>
            </w:tcBorders>
            <w:shd w:val="clear" w:color="000000" w:fill="D2D9EA"/>
            <w:vAlign w:val="center"/>
            <w:hideMark/>
          </w:tcPr>
          <w:p w14:paraId="53D3D83D"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-11.1</w:t>
            </w:r>
          </w:p>
        </w:tc>
        <w:tc>
          <w:tcPr>
            <w:tcW w:w="980" w:type="dxa"/>
            <w:tcBorders>
              <w:top w:val="single" w:sz="4" w:space="0" w:color="auto"/>
              <w:left w:val="single" w:sz="4" w:space="0" w:color="auto"/>
              <w:bottom w:val="nil"/>
              <w:right w:val="nil"/>
            </w:tcBorders>
            <w:shd w:val="clear" w:color="000000" w:fill="D2D9EA"/>
            <w:vAlign w:val="center"/>
            <w:hideMark/>
          </w:tcPr>
          <w:p w14:paraId="011B85D0"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-5.4</w:t>
            </w:r>
          </w:p>
        </w:tc>
        <w:tc>
          <w:tcPr>
            <w:tcW w:w="980" w:type="dxa"/>
            <w:tcBorders>
              <w:top w:val="single" w:sz="4" w:space="0" w:color="auto"/>
              <w:left w:val="single" w:sz="4" w:space="0" w:color="auto"/>
              <w:bottom w:val="nil"/>
              <w:right w:val="nil"/>
            </w:tcBorders>
            <w:shd w:val="clear" w:color="000000" w:fill="D2D9EA"/>
            <w:vAlign w:val="center"/>
            <w:hideMark/>
          </w:tcPr>
          <w:p w14:paraId="17E93463"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-3.7</w:t>
            </w:r>
          </w:p>
        </w:tc>
        <w:tc>
          <w:tcPr>
            <w:tcW w:w="980" w:type="dxa"/>
            <w:tcBorders>
              <w:top w:val="single" w:sz="4" w:space="0" w:color="auto"/>
              <w:left w:val="single" w:sz="4" w:space="0" w:color="auto"/>
              <w:bottom w:val="nil"/>
              <w:right w:val="nil"/>
            </w:tcBorders>
            <w:shd w:val="clear" w:color="000000" w:fill="D2D9EA"/>
            <w:vAlign w:val="center"/>
            <w:hideMark/>
          </w:tcPr>
          <w:p w14:paraId="688B79CE"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-2.2</w:t>
            </w:r>
          </w:p>
        </w:tc>
        <w:tc>
          <w:tcPr>
            <w:tcW w:w="1023" w:type="dxa"/>
            <w:tcBorders>
              <w:top w:val="single" w:sz="4" w:space="0" w:color="auto"/>
              <w:left w:val="single" w:sz="4" w:space="0" w:color="auto"/>
              <w:bottom w:val="nil"/>
              <w:right w:val="single" w:sz="4" w:space="0" w:color="auto"/>
            </w:tcBorders>
            <w:shd w:val="clear" w:color="000000" w:fill="D2D9EA"/>
            <w:vAlign w:val="center"/>
            <w:hideMark/>
          </w:tcPr>
          <w:p w14:paraId="49CCAFE3"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 </w:t>
            </w:r>
          </w:p>
        </w:tc>
      </w:tr>
      <w:tr w:rsidR="009E215B" w:rsidRPr="009E215B" w14:paraId="4784DFB8"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0DF3466B" w14:textId="77777777" w:rsidR="009E215B" w:rsidRPr="009E215B" w:rsidRDefault="009E215B" w:rsidP="009E215B">
            <w:pPr>
              <w:spacing w:line="240" w:lineRule="auto"/>
              <w:rPr>
                <w:rFonts w:ascii="Arial" w:hAnsi="Arial" w:cs="Arial"/>
                <w:b/>
                <w:bCs/>
                <w:color w:val="000000"/>
                <w:sz w:val="14"/>
                <w:szCs w:val="14"/>
              </w:rPr>
            </w:pPr>
          </w:p>
        </w:tc>
        <w:tc>
          <w:tcPr>
            <w:tcW w:w="940" w:type="dxa"/>
            <w:tcBorders>
              <w:top w:val="nil"/>
              <w:left w:val="single" w:sz="4" w:space="0" w:color="auto"/>
              <w:bottom w:val="nil"/>
              <w:right w:val="nil"/>
            </w:tcBorders>
            <w:shd w:val="clear" w:color="auto" w:fill="auto"/>
            <w:vAlign w:val="center"/>
            <w:hideMark/>
          </w:tcPr>
          <w:p w14:paraId="48E13AE8"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039DAD6D"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51.5</w:t>
            </w:r>
          </w:p>
        </w:tc>
        <w:tc>
          <w:tcPr>
            <w:tcW w:w="980" w:type="dxa"/>
            <w:tcBorders>
              <w:top w:val="nil"/>
              <w:left w:val="single" w:sz="4" w:space="0" w:color="auto"/>
              <w:bottom w:val="nil"/>
              <w:right w:val="nil"/>
            </w:tcBorders>
            <w:shd w:val="clear" w:color="auto" w:fill="auto"/>
            <w:vAlign w:val="center"/>
            <w:hideMark/>
          </w:tcPr>
          <w:p w14:paraId="5312EB97"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-103.2</w:t>
            </w:r>
          </w:p>
        </w:tc>
        <w:tc>
          <w:tcPr>
            <w:tcW w:w="980" w:type="dxa"/>
            <w:tcBorders>
              <w:top w:val="nil"/>
              <w:left w:val="single" w:sz="4" w:space="0" w:color="auto"/>
              <w:bottom w:val="nil"/>
              <w:right w:val="nil"/>
            </w:tcBorders>
            <w:shd w:val="clear" w:color="auto" w:fill="auto"/>
            <w:vAlign w:val="center"/>
            <w:hideMark/>
          </w:tcPr>
          <w:p w14:paraId="17E4D427"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-222.1</w:t>
            </w:r>
          </w:p>
        </w:tc>
        <w:tc>
          <w:tcPr>
            <w:tcW w:w="980" w:type="dxa"/>
            <w:tcBorders>
              <w:top w:val="nil"/>
              <w:left w:val="single" w:sz="4" w:space="0" w:color="auto"/>
              <w:bottom w:val="nil"/>
              <w:right w:val="nil"/>
            </w:tcBorders>
            <w:shd w:val="clear" w:color="auto" w:fill="auto"/>
            <w:vAlign w:val="center"/>
            <w:hideMark/>
          </w:tcPr>
          <w:p w14:paraId="40AB9CE8"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-110.5</w:t>
            </w:r>
          </w:p>
        </w:tc>
        <w:tc>
          <w:tcPr>
            <w:tcW w:w="980" w:type="dxa"/>
            <w:tcBorders>
              <w:top w:val="nil"/>
              <w:left w:val="single" w:sz="4" w:space="0" w:color="auto"/>
              <w:bottom w:val="nil"/>
              <w:right w:val="nil"/>
            </w:tcBorders>
            <w:shd w:val="clear" w:color="auto" w:fill="auto"/>
            <w:vAlign w:val="center"/>
            <w:hideMark/>
          </w:tcPr>
          <w:p w14:paraId="12AF47BA"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-77.9</w:t>
            </w:r>
          </w:p>
        </w:tc>
        <w:tc>
          <w:tcPr>
            <w:tcW w:w="980" w:type="dxa"/>
            <w:tcBorders>
              <w:top w:val="nil"/>
              <w:left w:val="single" w:sz="4" w:space="0" w:color="auto"/>
              <w:bottom w:val="nil"/>
              <w:right w:val="nil"/>
            </w:tcBorders>
            <w:shd w:val="clear" w:color="auto" w:fill="auto"/>
            <w:vAlign w:val="center"/>
            <w:hideMark/>
          </w:tcPr>
          <w:p w14:paraId="695F5D12"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-48.7</w:t>
            </w:r>
          </w:p>
        </w:tc>
        <w:tc>
          <w:tcPr>
            <w:tcW w:w="1023" w:type="dxa"/>
            <w:tcBorders>
              <w:top w:val="nil"/>
              <w:left w:val="single" w:sz="4" w:space="0" w:color="auto"/>
              <w:bottom w:val="nil"/>
              <w:right w:val="single" w:sz="4" w:space="0" w:color="auto"/>
            </w:tcBorders>
            <w:shd w:val="clear" w:color="auto" w:fill="auto"/>
            <w:vAlign w:val="center"/>
            <w:hideMark/>
          </w:tcPr>
          <w:p w14:paraId="0A8265B7"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 </w:t>
            </w:r>
          </w:p>
        </w:tc>
      </w:tr>
      <w:tr w:rsidR="009E215B" w:rsidRPr="009E215B" w14:paraId="23710C89"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F875F33" w14:textId="77777777" w:rsidR="009E215B" w:rsidRPr="009E215B" w:rsidRDefault="009E215B" w:rsidP="009E215B">
            <w:pPr>
              <w:spacing w:line="240" w:lineRule="auto"/>
              <w:jc w:val="center"/>
              <w:rPr>
                <w:rFonts w:ascii="Arial" w:hAnsi="Arial" w:cs="Arial"/>
                <w:b/>
                <w:bCs/>
                <w:color w:val="000000"/>
                <w:sz w:val="14"/>
                <w:szCs w:val="14"/>
              </w:rPr>
            </w:pPr>
            <w:r w:rsidRPr="009E215B">
              <w:rPr>
                <w:rFonts w:ascii="Arial" w:hAnsi="Arial" w:cs="Arial"/>
                <w:b/>
                <w:bCs/>
                <w:color w:val="000000"/>
                <w:sz w:val="14"/>
                <w:szCs w:val="14"/>
              </w:rPr>
              <w:t>Commonwealth</w:t>
            </w:r>
          </w:p>
        </w:tc>
        <w:tc>
          <w:tcPr>
            <w:tcW w:w="940" w:type="dxa"/>
            <w:tcBorders>
              <w:top w:val="nil"/>
              <w:left w:val="single" w:sz="4" w:space="0" w:color="auto"/>
              <w:bottom w:val="nil"/>
              <w:right w:val="nil"/>
            </w:tcBorders>
            <w:shd w:val="clear" w:color="000000" w:fill="D2D9EA"/>
            <w:vAlign w:val="center"/>
            <w:hideMark/>
          </w:tcPr>
          <w:p w14:paraId="175BFAB3"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3EAD7055"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2.0</w:t>
            </w:r>
          </w:p>
        </w:tc>
        <w:tc>
          <w:tcPr>
            <w:tcW w:w="980" w:type="dxa"/>
            <w:tcBorders>
              <w:top w:val="nil"/>
              <w:left w:val="single" w:sz="4" w:space="0" w:color="auto"/>
              <w:bottom w:val="nil"/>
              <w:right w:val="nil"/>
            </w:tcBorders>
            <w:shd w:val="clear" w:color="000000" w:fill="D2D9EA"/>
            <w:vAlign w:val="center"/>
            <w:hideMark/>
          </w:tcPr>
          <w:p w14:paraId="1EBB3569"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-4.7</w:t>
            </w:r>
          </w:p>
        </w:tc>
        <w:tc>
          <w:tcPr>
            <w:tcW w:w="980" w:type="dxa"/>
            <w:tcBorders>
              <w:top w:val="nil"/>
              <w:left w:val="single" w:sz="4" w:space="0" w:color="auto"/>
              <w:bottom w:val="nil"/>
              <w:right w:val="nil"/>
            </w:tcBorders>
            <w:shd w:val="clear" w:color="000000" w:fill="D2D9EA"/>
            <w:vAlign w:val="center"/>
            <w:hideMark/>
          </w:tcPr>
          <w:p w14:paraId="0EFCD065"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-9.2</w:t>
            </w:r>
          </w:p>
        </w:tc>
        <w:tc>
          <w:tcPr>
            <w:tcW w:w="980" w:type="dxa"/>
            <w:tcBorders>
              <w:top w:val="nil"/>
              <w:left w:val="single" w:sz="4" w:space="0" w:color="auto"/>
              <w:bottom w:val="nil"/>
              <w:right w:val="nil"/>
            </w:tcBorders>
            <w:shd w:val="clear" w:color="000000" w:fill="D2D9EA"/>
            <w:vAlign w:val="center"/>
            <w:hideMark/>
          </w:tcPr>
          <w:p w14:paraId="13D35E9A"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-4.8</w:t>
            </w:r>
          </w:p>
        </w:tc>
        <w:tc>
          <w:tcPr>
            <w:tcW w:w="980" w:type="dxa"/>
            <w:tcBorders>
              <w:top w:val="nil"/>
              <w:left w:val="single" w:sz="4" w:space="0" w:color="auto"/>
              <w:bottom w:val="nil"/>
              <w:right w:val="nil"/>
            </w:tcBorders>
            <w:shd w:val="clear" w:color="000000" w:fill="D2D9EA"/>
            <w:vAlign w:val="center"/>
            <w:hideMark/>
          </w:tcPr>
          <w:p w14:paraId="2EE0FE5B"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-3.8</w:t>
            </w:r>
          </w:p>
        </w:tc>
        <w:tc>
          <w:tcPr>
            <w:tcW w:w="980" w:type="dxa"/>
            <w:tcBorders>
              <w:top w:val="nil"/>
              <w:left w:val="single" w:sz="4" w:space="0" w:color="auto"/>
              <w:bottom w:val="nil"/>
              <w:right w:val="nil"/>
            </w:tcBorders>
            <w:shd w:val="clear" w:color="000000" w:fill="D2D9EA"/>
            <w:vAlign w:val="center"/>
            <w:hideMark/>
          </w:tcPr>
          <w:p w14:paraId="088ABCAF"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-2.6</w:t>
            </w:r>
          </w:p>
        </w:tc>
        <w:tc>
          <w:tcPr>
            <w:tcW w:w="1023" w:type="dxa"/>
            <w:tcBorders>
              <w:top w:val="nil"/>
              <w:left w:val="single" w:sz="4" w:space="0" w:color="auto"/>
              <w:bottom w:val="nil"/>
              <w:right w:val="single" w:sz="4" w:space="0" w:color="auto"/>
            </w:tcBorders>
            <w:shd w:val="clear" w:color="000000" w:fill="D2D9EA"/>
            <w:vAlign w:val="center"/>
            <w:hideMark/>
          </w:tcPr>
          <w:p w14:paraId="4D752DF6"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 </w:t>
            </w:r>
          </w:p>
        </w:tc>
      </w:tr>
      <w:tr w:rsidR="009E215B" w:rsidRPr="009E215B" w14:paraId="3A093647"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42FAB943" w14:textId="77777777" w:rsidR="009E215B" w:rsidRPr="009E215B" w:rsidRDefault="009E215B" w:rsidP="009E215B">
            <w:pPr>
              <w:spacing w:line="240" w:lineRule="auto"/>
              <w:rPr>
                <w:rFonts w:ascii="Arial" w:hAnsi="Arial" w:cs="Arial"/>
                <w:b/>
                <w:bCs/>
                <w:color w:val="000000"/>
                <w:sz w:val="14"/>
                <w:szCs w:val="14"/>
              </w:rPr>
            </w:pPr>
          </w:p>
        </w:tc>
        <w:tc>
          <w:tcPr>
            <w:tcW w:w="940" w:type="dxa"/>
            <w:tcBorders>
              <w:top w:val="nil"/>
              <w:left w:val="single" w:sz="4" w:space="0" w:color="auto"/>
              <w:bottom w:val="nil"/>
              <w:right w:val="nil"/>
            </w:tcBorders>
            <w:shd w:val="clear" w:color="auto" w:fill="auto"/>
            <w:vAlign w:val="center"/>
            <w:hideMark/>
          </w:tcPr>
          <w:p w14:paraId="27A222D9"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121F9AB4"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38.9</w:t>
            </w:r>
          </w:p>
        </w:tc>
        <w:tc>
          <w:tcPr>
            <w:tcW w:w="980" w:type="dxa"/>
            <w:tcBorders>
              <w:top w:val="nil"/>
              <w:left w:val="single" w:sz="4" w:space="0" w:color="auto"/>
              <w:bottom w:val="nil"/>
              <w:right w:val="nil"/>
            </w:tcBorders>
            <w:shd w:val="clear" w:color="auto" w:fill="auto"/>
            <w:vAlign w:val="center"/>
            <w:hideMark/>
          </w:tcPr>
          <w:p w14:paraId="617EA3E3"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-93.5</w:t>
            </w:r>
          </w:p>
        </w:tc>
        <w:tc>
          <w:tcPr>
            <w:tcW w:w="980" w:type="dxa"/>
            <w:tcBorders>
              <w:top w:val="nil"/>
              <w:left w:val="single" w:sz="4" w:space="0" w:color="auto"/>
              <w:bottom w:val="nil"/>
              <w:right w:val="nil"/>
            </w:tcBorders>
            <w:shd w:val="clear" w:color="auto" w:fill="auto"/>
            <w:vAlign w:val="center"/>
            <w:hideMark/>
          </w:tcPr>
          <w:p w14:paraId="526213A8"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-185.2</w:t>
            </w:r>
          </w:p>
        </w:tc>
        <w:tc>
          <w:tcPr>
            <w:tcW w:w="980" w:type="dxa"/>
            <w:tcBorders>
              <w:top w:val="nil"/>
              <w:left w:val="single" w:sz="4" w:space="0" w:color="auto"/>
              <w:bottom w:val="nil"/>
              <w:right w:val="nil"/>
            </w:tcBorders>
            <w:shd w:val="clear" w:color="auto" w:fill="auto"/>
            <w:vAlign w:val="center"/>
            <w:hideMark/>
          </w:tcPr>
          <w:p w14:paraId="1798E5DB"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-98.2</w:t>
            </w:r>
          </w:p>
        </w:tc>
        <w:tc>
          <w:tcPr>
            <w:tcW w:w="980" w:type="dxa"/>
            <w:tcBorders>
              <w:top w:val="nil"/>
              <w:left w:val="single" w:sz="4" w:space="0" w:color="auto"/>
              <w:bottom w:val="nil"/>
              <w:right w:val="nil"/>
            </w:tcBorders>
            <w:shd w:val="clear" w:color="auto" w:fill="auto"/>
            <w:vAlign w:val="center"/>
            <w:hideMark/>
          </w:tcPr>
          <w:p w14:paraId="5FB6C385"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-81.0</w:t>
            </w:r>
          </w:p>
        </w:tc>
        <w:tc>
          <w:tcPr>
            <w:tcW w:w="980" w:type="dxa"/>
            <w:tcBorders>
              <w:top w:val="nil"/>
              <w:left w:val="single" w:sz="4" w:space="0" w:color="auto"/>
              <w:bottom w:val="nil"/>
              <w:right w:val="nil"/>
            </w:tcBorders>
            <w:shd w:val="clear" w:color="auto" w:fill="auto"/>
            <w:vAlign w:val="center"/>
            <w:hideMark/>
          </w:tcPr>
          <w:p w14:paraId="0177B1AB"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-57.1</w:t>
            </w:r>
          </w:p>
        </w:tc>
        <w:tc>
          <w:tcPr>
            <w:tcW w:w="1023" w:type="dxa"/>
            <w:tcBorders>
              <w:top w:val="nil"/>
              <w:left w:val="single" w:sz="4" w:space="0" w:color="auto"/>
              <w:bottom w:val="nil"/>
              <w:right w:val="single" w:sz="4" w:space="0" w:color="auto"/>
            </w:tcBorders>
            <w:shd w:val="clear" w:color="auto" w:fill="auto"/>
            <w:vAlign w:val="center"/>
            <w:hideMark/>
          </w:tcPr>
          <w:p w14:paraId="67E79342"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 </w:t>
            </w:r>
          </w:p>
        </w:tc>
      </w:tr>
      <w:tr w:rsidR="009E215B" w:rsidRPr="009E215B" w14:paraId="3786FEBB"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E7404EF" w14:textId="77777777" w:rsidR="009E215B" w:rsidRPr="009E215B" w:rsidRDefault="009E215B" w:rsidP="009E215B">
            <w:pPr>
              <w:spacing w:line="240" w:lineRule="auto"/>
              <w:jc w:val="center"/>
              <w:rPr>
                <w:rFonts w:ascii="Arial" w:hAnsi="Arial" w:cs="Arial"/>
                <w:b/>
                <w:bCs/>
                <w:color w:val="000000"/>
                <w:sz w:val="14"/>
                <w:szCs w:val="14"/>
              </w:rPr>
            </w:pPr>
            <w:r w:rsidRPr="009E215B">
              <w:rPr>
                <w:rFonts w:ascii="Arial" w:hAnsi="Arial" w:cs="Arial"/>
                <w:b/>
                <w:bCs/>
                <w:color w:val="000000"/>
                <w:sz w:val="14"/>
                <w:szCs w:val="14"/>
              </w:rPr>
              <w:t>State and territory</w:t>
            </w:r>
          </w:p>
        </w:tc>
        <w:tc>
          <w:tcPr>
            <w:tcW w:w="940" w:type="dxa"/>
            <w:tcBorders>
              <w:top w:val="nil"/>
              <w:left w:val="single" w:sz="4" w:space="0" w:color="auto"/>
              <w:bottom w:val="nil"/>
              <w:right w:val="nil"/>
            </w:tcBorders>
            <w:shd w:val="clear" w:color="000000" w:fill="D2D9EA"/>
            <w:vAlign w:val="center"/>
            <w:hideMark/>
          </w:tcPr>
          <w:p w14:paraId="13EDEEB6"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29EB8433"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0.1</w:t>
            </w:r>
          </w:p>
        </w:tc>
        <w:tc>
          <w:tcPr>
            <w:tcW w:w="980" w:type="dxa"/>
            <w:tcBorders>
              <w:top w:val="nil"/>
              <w:left w:val="single" w:sz="4" w:space="0" w:color="auto"/>
              <w:bottom w:val="nil"/>
              <w:right w:val="nil"/>
            </w:tcBorders>
            <w:shd w:val="clear" w:color="000000" w:fill="D2D9EA"/>
            <w:vAlign w:val="center"/>
            <w:hideMark/>
          </w:tcPr>
          <w:p w14:paraId="4B3B6853"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-1.1</w:t>
            </w:r>
          </w:p>
        </w:tc>
        <w:tc>
          <w:tcPr>
            <w:tcW w:w="980" w:type="dxa"/>
            <w:tcBorders>
              <w:top w:val="nil"/>
              <w:left w:val="single" w:sz="4" w:space="0" w:color="auto"/>
              <w:bottom w:val="nil"/>
              <w:right w:val="nil"/>
            </w:tcBorders>
            <w:shd w:val="clear" w:color="000000" w:fill="D2D9EA"/>
            <w:vAlign w:val="center"/>
            <w:hideMark/>
          </w:tcPr>
          <w:p w14:paraId="411E2326"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-2.4</w:t>
            </w:r>
          </w:p>
        </w:tc>
        <w:tc>
          <w:tcPr>
            <w:tcW w:w="980" w:type="dxa"/>
            <w:tcBorders>
              <w:top w:val="nil"/>
              <w:left w:val="single" w:sz="4" w:space="0" w:color="auto"/>
              <w:bottom w:val="nil"/>
              <w:right w:val="nil"/>
            </w:tcBorders>
            <w:shd w:val="clear" w:color="000000" w:fill="D2D9EA"/>
            <w:vAlign w:val="center"/>
            <w:hideMark/>
          </w:tcPr>
          <w:p w14:paraId="3C375155"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-1.2</w:t>
            </w:r>
          </w:p>
        </w:tc>
        <w:tc>
          <w:tcPr>
            <w:tcW w:w="980" w:type="dxa"/>
            <w:tcBorders>
              <w:top w:val="nil"/>
              <w:left w:val="single" w:sz="4" w:space="0" w:color="auto"/>
              <w:bottom w:val="nil"/>
              <w:right w:val="nil"/>
            </w:tcBorders>
            <w:shd w:val="clear" w:color="000000" w:fill="D2D9EA"/>
            <w:vAlign w:val="center"/>
            <w:hideMark/>
          </w:tcPr>
          <w:p w14:paraId="3137EC44"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-0.5</w:t>
            </w:r>
          </w:p>
        </w:tc>
        <w:tc>
          <w:tcPr>
            <w:tcW w:w="980" w:type="dxa"/>
            <w:tcBorders>
              <w:top w:val="nil"/>
              <w:left w:val="single" w:sz="4" w:space="0" w:color="auto"/>
              <w:bottom w:val="nil"/>
              <w:right w:val="nil"/>
            </w:tcBorders>
            <w:shd w:val="clear" w:color="000000" w:fill="D2D9EA"/>
            <w:vAlign w:val="center"/>
            <w:hideMark/>
          </w:tcPr>
          <w:p w14:paraId="496FC3FF"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-0.3</w:t>
            </w:r>
          </w:p>
        </w:tc>
        <w:tc>
          <w:tcPr>
            <w:tcW w:w="1023" w:type="dxa"/>
            <w:tcBorders>
              <w:top w:val="nil"/>
              <w:left w:val="single" w:sz="4" w:space="0" w:color="auto"/>
              <w:bottom w:val="nil"/>
              <w:right w:val="single" w:sz="4" w:space="0" w:color="auto"/>
            </w:tcBorders>
            <w:shd w:val="clear" w:color="000000" w:fill="D2D9EA"/>
            <w:vAlign w:val="center"/>
            <w:hideMark/>
          </w:tcPr>
          <w:p w14:paraId="5FBED890"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 </w:t>
            </w:r>
          </w:p>
        </w:tc>
      </w:tr>
      <w:tr w:rsidR="009E215B" w:rsidRPr="009E215B" w14:paraId="74AD100C"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50E70D6C" w14:textId="77777777" w:rsidR="009E215B" w:rsidRPr="009E215B" w:rsidRDefault="009E215B" w:rsidP="009E215B">
            <w:pPr>
              <w:spacing w:line="240" w:lineRule="auto"/>
              <w:rPr>
                <w:rFonts w:ascii="Arial" w:hAnsi="Arial" w:cs="Arial"/>
                <w:b/>
                <w:bCs/>
                <w:color w:val="000000"/>
                <w:sz w:val="14"/>
                <w:szCs w:val="14"/>
              </w:rPr>
            </w:pPr>
          </w:p>
        </w:tc>
        <w:tc>
          <w:tcPr>
            <w:tcW w:w="940" w:type="dxa"/>
            <w:tcBorders>
              <w:top w:val="nil"/>
              <w:left w:val="single" w:sz="4" w:space="0" w:color="auto"/>
              <w:bottom w:val="single" w:sz="4" w:space="0" w:color="auto"/>
              <w:right w:val="nil"/>
            </w:tcBorders>
            <w:shd w:val="clear" w:color="auto" w:fill="auto"/>
            <w:vAlign w:val="center"/>
            <w:hideMark/>
          </w:tcPr>
          <w:p w14:paraId="4AFAB8A2"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single" w:sz="4" w:space="0" w:color="auto"/>
              <w:right w:val="nil"/>
            </w:tcBorders>
            <w:shd w:val="clear" w:color="auto" w:fill="auto"/>
            <w:vAlign w:val="center"/>
            <w:hideMark/>
          </w:tcPr>
          <w:p w14:paraId="0F89F4DF"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2.3</w:t>
            </w:r>
          </w:p>
        </w:tc>
        <w:tc>
          <w:tcPr>
            <w:tcW w:w="980" w:type="dxa"/>
            <w:tcBorders>
              <w:top w:val="nil"/>
              <w:left w:val="single" w:sz="4" w:space="0" w:color="auto"/>
              <w:bottom w:val="single" w:sz="4" w:space="0" w:color="auto"/>
              <w:right w:val="nil"/>
            </w:tcBorders>
            <w:shd w:val="clear" w:color="auto" w:fill="auto"/>
            <w:vAlign w:val="center"/>
            <w:hideMark/>
          </w:tcPr>
          <w:p w14:paraId="3A83D692"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-21.0</w:t>
            </w:r>
          </w:p>
        </w:tc>
        <w:tc>
          <w:tcPr>
            <w:tcW w:w="980" w:type="dxa"/>
            <w:tcBorders>
              <w:top w:val="nil"/>
              <w:left w:val="single" w:sz="4" w:space="0" w:color="auto"/>
              <w:bottom w:val="single" w:sz="4" w:space="0" w:color="auto"/>
              <w:right w:val="nil"/>
            </w:tcBorders>
            <w:shd w:val="clear" w:color="auto" w:fill="auto"/>
            <w:vAlign w:val="center"/>
            <w:hideMark/>
          </w:tcPr>
          <w:p w14:paraId="6ECB646C"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-49.0</w:t>
            </w:r>
          </w:p>
        </w:tc>
        <w:tc>
          <w:tcPr>
            <w:tcW w:w="980" w:type="dxa"/>
            <w:tcBorders>
              <w:top w:val="nil"/>
              <w:left w:val="single" w:sz="4" w:space="0" w:color="auto"/>
              <w:bottom w:val="single" w:sz="4" w:space="0" w:color="auto"/>
              <w:right w:val="nil"/>
            </w:tcBorders>
            <w:shd w:val="clear" w:color="auto" w:fill="auto"/>
            <w:vAlign w:val="center"/>
            <w:hideMark/>
          </w:tcPr>
          <w:p w14:paraId="0BD864B8"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-25.3</w:t>
            </w:r>
          </w:p>
        </w:tc>
        <w:tc>
          <w:tcPr>
            <w:tcW w:w="980" w:type="dxa"/>
            <w:tcBorders>
              <w:top w:val="nil"/>
              <w:left w:val="single" w:sz="4" w:space="0" w:color="auto"/>
              <w:bottom w:val="single" w:sz="4" w:space="0" w:color="auto"/>
              <w:right w:val="nil"/>
            </w:tcBorders>
            <w:shd w:val="clear" w:color="auto" w:fill="auto"/>
            <w:vAlign w:val="center"/>
            <w:hideMark/>
          </w:tcPr>
          <w:p w14:paraId="079CA676"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-10.7</w:t>
            </w:r>
          </w:p>
        </w:tc>
        <w:tc>
          <w:tcPr>
            <w:tcW w:w="980" w:type="dxa"/>
            <w:tcBorders>
              <w:top w:val="nil"/>
              <w:left w:val="single" w:sz="4" w:space="0" w:color="auto"/>
              <w:bottom w:val="single" w:sz="4" w:space="0" w:color="auto"/>
              <w:right w:val="nil"/>
            </w:tcBorders>
            <w:shd w:val="clear" w:color="auto" w:fill="auto"/>
            <w:vAlign w:val="center"/>
            <w:hideMark/>
          </w:tcPr>
          <w:p w14:paraId="1FAAB883"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-6.0</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14:paraId="7375438B"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 </w:t>
            </w:r>
          </w:p>
        </w:tc>
      </w:tr>
      <w:tr w:rsidR="009E215B" w:rsidRPr="009E215B" w14:paraId="1D0E16F4" w14:textId="77777777" w:rsidTr="007D2509">
        <w:trPr>
          <w:trHeight w:val="540"/>
        </w:trPr>
        <w:tc>
          <w:tcPr>
            <w:tcW w:w="2080" w:type="dxa"/>
            <w:tcBorders>
              <w:top w:val="single" w:sz="4" w:space="0" w:color="auto"/>
              <w:left w:val="single" w:sz="4" w:space="0" w:color="auto"/>
              <w:bottom w:val="single" w:sz="4" w:space="0" w:color="auto"/>
              <w:right w:val="nil"/>
            </w:tcBorders>
            <w:shd w:val="clear" w:color="000000" w:fill="3D4D7D"/>
            <w:vAlign w:val="center"/>
            <w:hideMark/>
          </w:tcPr>
          <w:p w14:paraId="2E4D9392"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Change in net operating balance since 2019-20 National Fiscal Outlook</w:t>
            </w:r>
          </w:p>
        </w:tc>
        <w:tc>
          <w:tcPr>
            <w:tcW w:w="940" w:type="dxa"/>
            <w:tcBorders>
              <w:top w:val="single" w:sz="4" w:space="0" w:color="auto"/>
              <w:left w:val="single" w:sz="4" w:space="0" w:color="auto"/>
              <w:bottom w:val="single" w:sz="4" w:space="0" w:color="auto"/>
              <w:right w:val="single" w:sz="4" w:space="0" w:color="auto"/>
            </w:tcBorders>
            <w:shd w:val="clear" w:color="000000" w:fill="3D4D7D"/>
            <w:vAlign w:val="center"/>
            <w:hideMark/>
          </w:tcPr>
          <w:p w14:paraId="71232193" w14:textId="77777777" w:rsidR="009E215B" w:rsidRPr="00EC38F3" w:rsidRDefault="009E215B" w:rsidP="009E215B">
            <w:pPr>
              <w:spacing w:line="240" w:lineRule="auto"/>
              <w:jc w:val="center"/>
              <w:rPr>
                <w:rFonts w:ascii="Arial" w:hAnsi="Arial" w:cs="Arial"/>
                <w:b/>
                <w:bCs/>
                <w:color w:val="FFFFFF"/>
                <w:sz w:val="14"/>
                <w:szCs w:val="14"/>
              </w:rPr>
            </w:pPr>
            <w:r w:rsidRPr="00EC38F3">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6BCC06ED"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0D329C20"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699C2BFF"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2750D491"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62F78CF9"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4DE8258A"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 </w:t>
            </w:r>
          </w:p>
        </w:tc>
        <w:tc>
          <w:tcPr>
            <w:tcW w:w="1023" w:type="dxa"/>
            <w:tcBorders>
              <w:top w:val="single" w:sz="4" w:space="0" w:color="auto"/>
              <w:left w:val="nil"/>
              <w:bottom w:val="single" w:sz="4" w:space="0" w:color="auto"/>
              <w:right w:val="single" w:sz="4" w:space="0" w:color="auto"/>
            </w:tcBorders>
            <w:shd w:val="clear" w:color="000000" w:fill="3D4D7D"/>
            <w:vAlign w:val="center"/>
            <w:hideMark/>
          </w:tcPr>
          <w:p w14:paraId="5DF50D5A" w14:textId="77777777" w:rsidR="009E215B" w:rsidRPr="009E215B" w:rsidRDefault="009E215B" w:rsidP="009E215B">
            <w:pPr>
              <w:spacing w:line="240" w:lineRule="auto"/>
              <w:jc w:val="center"/>
              <w:rPr>
                <w:rFonts w:ascii="Arial" w:hAnsi="Arial" w:cs="Arial"/>
                <w:b/>
                <w:bCs/>
                <w:color w:val="FFFFFF"/>
                <w:sz w:val="14"/>
                <w:szCs w:val="14"/>
              </w:rPr>
            </w:pPr>
            <w:r w:rsidRPr="009E215B">
              <w:rPr>
                <w:rFonts w:ascii="Arial" w:hAnsi="Arial" w:cs="Arial"/>
                <w:b/>
                <w:bCs/>
                <w:color w:val="FFFFFF"/>
                <w:sz w:val="14"/>
                <w:szCs w:val="14"/>
              </w:rPr>
              <w:t>Total revisions (2019-20 to 2022-23)</w:t>
            </w:r>
          </w:p>
        </w:tc>
      </w:tr>
      <w:tr w:rsidR="009E215B" w:rsidRPr="009E215B" w14:paraId="6FBB30FE"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0935FA3" w14:textId="77777777" w:rsidR="009E215B" w:rsidRPr="009E215B" w:rsidRDefault="009E215B" w:rsidP="009E215B">
            <w:pPr>
              <w:spacing w:line="240" w:lineRule="auto"/>
              <w:jc w:val="center"/>
              <w:rPr>
                <w:rFonts w:ascii="Arial" w:hAnsi="Arial" w:cs="Arial"/>
                <w:b/>
                <w:bCs/>
                <w:color w:val="000000"/>
                <w:sz w:val="14"/>
                <w:szCs w:val="14"/>
              </w:rPr>
            </w:pPr>
            <w:r w:rsidRPr="009E215B">
              <w:rPr>
                <w:rFonts w:ascii="Arial" w:hAnsi="Arial" w:cs="Arial"/>
                <w:b/>
                <w:bCs/>
                <w:color w:val="000000"/>
                <w:sz w:val="14"/>
                <w:szCs w:val="14"/>
              </w:rPr>
              <w:t>National</w:t>
            </w:r>
          </w:p>
        </w:tc>
        <w:tc>
          <w:tcPr>
            <w:tcW w:w="940" w:type="dxa"/>
            <w:tcBorders>
              <w:top w:val="single" w:sz="4" w:space="0" w:color="auto"/>
              <w:left w:val="single" w:sz="4" w:space="0" w:color="auto"/>
              <w:bottom w:val="nil"/>
              <w:right w:val="nil"/>
            </w:tcBorders>
            <w:shd w:val="clear" w:color="000000" w:fill="D2D9EA"/>
            <w:vAlign w:val="center"/>
            <w:hideMark/>
          </w:tcPr>
          <w:p w14:paraId="70C8D79D"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single" w:sz="4" w:space="0" w:color="auto"/>
              <w:left w:val="single" w:sz="4" w:space="0" w:color="auto"/>
              <w:bottom w:val="nil"/>
              <w:right w:val="nil"/>
            </w:tcBorders>
            <w:shd w:val="clear" w:color="000000" w:fill="D2D9EA"/>
            <w:vAlign w:val="center"/>
            <w:hideMark/>
          </w:tcPr>
          <w:p w14:paraId="64049559"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1.5</w:t>
            </w:r>
          </w:p>
        </w:tc>
        <w:tc>
          <w:tcPr>
            <w:tcW w:w="980" w:type="dxa"/>
            <w:tcBorders>
              <w:top w:val="single" w:sz="4" w:space="0" w:color="auto"/>
              <w:left w:val="single" w:sz="4" w:space="0" w:color="auto"/>
              <w:bottom w:val="nil"/>
              <w:right w:val="nil"/>
            </w:tcBorders>
            <w:shd w:val="clear" w:color="000000" w:fill="D2D9EA"/>
            <w:vAlign w:val="center"/>
            <w:hideMark/>
          </w:tcPr>
          <w:p w14:paraId="1EE26627"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-6.6</w:t>
            </w:r>
          </w:p>
        </w:tc>
        <w:tc>
          <w:tcPr>
            <w:tcW w:w="980" w:type="dxa"/>
            <w:tcBorders>
              <w:top w:val="single" w:sz="4" w:space="0" w:color="auto"/>
              <w:left w:val="single" w:sz="4" w:space="0" w:color="auto"/>
              <w:bottom w:val="nil"/>
              <w:right w:val="nil"/>
            </w:tcBorders>
            <w:shd w:val="clear" w:color="000000" w:fill="D2D9EA"/>
            <w:vAlign w:val="center"/>
            <w:hideMark/>
          </w:tcPr>
          <w:p w14:paraId="6E75B271"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-12.8</w:t>
            </w:r>
          </w:p>
        </w:tc>
        <w:tc>
          <w:tcPr>
            <w:tcW w:w="980" w:type="dxa"/>
            <w:tcBorders>
              <w:top w:val="single" w:sz="4" w:space="0" w:color="auto"/>
              <w:left w:val="single" w:sz="4" w:space="0" w:color="auto"/>
              <w:bottom w:val="nil"/>
              <w:right w:val="nil"/>
            </w:tcBorders>
            <w:shd w:val="clear" w:color="000000" w:fill="D2D9EA"/>
            <w:vAlign w:val="center"/>
            <w:hideMark/>
          </w:tcPr>
          <w:p w14:paraId="344B95CF"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-7.9</w:t>
            </w:r>
          </w:p>
        </w:tc>
        <w:tc>
          <w:tcPr>
            <w:tcW w:w="980" w:type="dxa"/>
            <w:tcBorders>
              <w:top w:val="single" w:sz="4" w:space="0" w:color="auto"/>
              <w:left w:val="single" w:sz="4" w:space="0" w:color="auto"/>
              <w:bottom w:val="nil"/>
              <w:right w:val="nil"/>
            </w:tcBorders>
            <w:shd w:val="clear" w:color="000000" w:fill="D2D9EA"/>
            <w:vAlign w:val="center"/>
            <w:hideMark/>
          </w:tcPr>
          <w:p w14:paraId="52BEEA4F"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-5.8</w:t>
            </w:r>
          </w:p>
        </w:tc>
        <w:tc>
          <w:tcPr>
            <w:tcW w:w="980" w:type="dxa"/>
            <w:tcBorders>
              <w:top w:val="single" w:sz="4" w:space="0" w:color="auto"/>
              <w:left w:val="single" w:sz="4" w:space="0" w:color="auto"/>
              <w:bottom w:val="nil"/>
              <w:right w:val="nil"/>
            </w:tcBorders>
            <w:shd w:val="clear" w:color="000000" w:fill="D2D9EA"/>
            <w:vAlign w:val="center"/>
            <w:hideMark/>
          </w:tcPr>
          <w:p w14:paraId="012FB6D0"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w:t>
            </w:r>
          </w:p>
        </w:tc>
        <w:tc>
          <w:tcPr>
            <w:tcW w:w="1023" w:type="dxa"/>
            <w:tcBorders>
              <w:top w:val="single" w:sz="4" w:space="0" w:color="auto"/>
              <w:left w:val="single" w:sz="4" w:space="0" w:color="auto"/>
              <w:bottom w:val="nil"/>
              <w:right w:val="single" w:sz="4" w:space="0" w:color="auto"/>
            </w:tcBorders>
            <w:shd w:val="clear" w:color="000000" w:fill="D2D9EA"/>
            <w:vAlign w:val="center"/>
            <w:hideMark/>
          </w:tcPr>
          <w:p w14:paraId="1E85026F"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 </w:t>
            </w:r>
          </w:p>
        </w:tc>
      </w:tr>
      <w:tr w:rsidR="009E215B" w:rsidRPr="009E215B" w14:paraId="396E23A4"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7B536F5A" w14:textId="77777777" w:rsidR="009E215B" w:rsidRPr="009E215B" w:rsidRDefault="009E215B" w:rsidP="009E215B">
            <w:pPr>
              <w:spacing w:line="240" w:lineRule="auto"/>
              <w:rPr>
                <w:rFonts w:ascii="Arial" w:hAnsi="Arial" w:cs="Arial"/>
                <w:b/>
                <w:bCs/>
                <w:color w:val="000000"/>
                <w:sz w:val="14"/>
                <w:szCs w:val="14"/>
              </w:rPr>
            </w:pPr>
          </w:p>
        </w:tc>
        <w:tc>
          <w:tcPr>
            <w:tcW w:w="940" w:type="dxa"/>
            <w:tcBorders>
              <w:top w:val="nil"/>
              <w:left w:val="single" w:sz="4" w:space="0" w:color="auto"/>
              <w:bottom w:val="nil"/>
              <w:right w:val="nil"/>
            </w:tcBorders>
            <w:shd w:val="clear" w:color="auto" w:fill="auto"/>
            <w:vAlign w:val="center"/>
            <w:hideMark/>
          </w:tcPr>
          <w:p w14:paraId="4AE3C7A8"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1F6F4A88"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30.0</w:t>
            </w:r>
          </w:p>
        </w:tc>
        <w:tc>
          <w:tcPr>
            <w:tcW w:w="980" w:type="dxa"/>
            <w:tcBorders>
              <w:top w:val="nil"/>
              <w:left w:val="single" w:sz="4" w:space="0" w:color="auto"/>
              <w:bottom w:val="nil"/>
              <w:right w:val="nil"/>
            </w:tcBorders>
            <w:shd w:val="clear" w:color="auto" w:fill="auto"/>
            <w:vAlign w:val="center"/>
            <w:hideMark/>
          </w:tcPr>
          <w:p w14:paraId="0B8AF65C"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-130.3</w:t>
            </w:r>
          </w:p>
        </w:tc>
        <w:tc>
          <w:tcPr>
            <w:tcW w:w="980" w:type="dxa"/>
            <w:tcBorders>
              <w:top w:val="nil"/>
              <w:left w:val="single" w:sz="4" w:space="0" w:color="auto"/>
              <w:bottom w:val="nil"/>
              <w:right w:val="nil"/>
            </w:tcBorders>
            <w:shd w:val="clear" w:color="auto" w:fill="auto"/>
            <w:vAlign w:val="center"/>
            <w:hideMark/>
          </w:tcPr>
          <w:p w14:paraId="6D19EEAD"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-257.0</w:t>
            </w:r>
          </w:p>
        </w:tc>
        <w:tc>
          <w:tcPr>
            <w:tcW w:w="980" w:type="dxa"/>
            <w:tcBorders>
              <w:top w:val="nil"/>
              <w:left w:val="single" w:sz="4" w:space="0" w:color="auto"/>
              <w:bottom w:val="nil"/>
              <w:right w:val="nil"/>
            </w:tcBorders>
            <w:shd w:val="clear" w:color="auto" w:fill="auto"/>
            <w:vAlign w:val="center"/>
            <w:hideMark/>
          </w:tcPr>
          <w:p w14:paraId="16E65916"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-160.2</w:t>
            </w:r>
          </w:p>
        </w:tc>
        <w:tc>
          <w:tcPr>
            <w:tcW w:w="980" w:type="dxa"/>
            <w:tcBorders>
              <w:top w:val="nil"/>
              <w:left w:val="single" w:sz="4" w:space="0" w:color="auto"/>
              <w:bottom w:val="nil"/>
              <w:right w:val="nil"/>
            </w:tcBorders>
            <w:shd w:val="clear" w:color="auto" w:fill="auto"/>
            <w:vAlign w:val="center"/>
            <w:hideMark/>
          </w:tcPr>
          <w:p w14:paraId="1DF46CBF"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-123.1</w:t>
            </w:r>
          </w:p>
        </w:tc>
        <w:tc>
          <w:tcPr>
            <w:tcW w:w="980" w:type="dxa"/>
            <w:tcBorders>
              <w:top w:val="nil"/>
              <w:left w:val="single" w:sz="4" w:space="0" w:color="auto"/>
              <w:bottom w:val="nil"/>
              <w:right w:val="nil"/>
            </w:tcBorders>
            <w:shd w:val="clear" w:color="auto" w:fill="auto"/>
            <w:vAlign w:val="center"/>
            <w:hideMark/>
          </w:tcPr>
          <w:p w14:paraId="44FCA75D"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w:t>
            </w:r>
          </w:p>
        </w:tc>
        <w:tc>
          <w:tcPr>
            <w:tcW w:w="1023" w:type="dxa"/>
            <w:tcBorders>
              <w:top w:val="nil"/>
              <w:left w:val="single" w:sz="4" w:space="0" w:color="auto"/>
              <w:bottom w:val="nil"/>
              <w:right w:val="single" w:sz="4" w:space="0" w:color="auto"/>
            </w:tcBorders>
            <w:shd w:val="clear" w:color="auto" w:fill="auto"/>
            <w:vAlign w:val="center"/>
            <w:hideMark/>
          </w:tcPr>
          <w:p w14:paraId="2BAD7BAB" w14:textId="77777777" w:rsidR="009E215B" w:rsidRPr="009E215B" w:rsidRDefault="009E215B" w:rsidP="009E215B">
            <w:pPr>
              <w:spacing w:line="240" w:lineRule="auto"/>
              <w:jc w:val="center"/>
              <w:rPr>
                <w:rFonts w:ascii="Arial" w:hAnsi="Arial" w:cs="Arial"/>
                <w:b/>
                <w:bCs/>
                <w:sz w:val="14"/>
                <w:szCs w:val="14"/>
              </w:rPr>
            </w:pPr>
            <w:r w:rsidRPr="009E215B">
              <w:rPr>
                <w:rFonts w:ascii="Arial" w:hAnsi="Arial" w:cs="Arial"/>
                <w:b/>
                <w:bCs/>
                <w:sz w:val="14"/>
                <w:szCs w:val="14"/>
              </w:rPr>
              <w:t>-670.6</w:t>
            </w:r>
          </w:p>
        </w:tc>
      </w:tr>
      <w:tr w:rsidR="009E215B" w:rsidRPr="009E215B" w14:paraId="36CC5431"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15A2038" w14:textId="77777777" w:rsidR="009E215B" w:rsidRPr="009E215B" w:rsidRDefault="009E215B" w:rsidP="009E215B">
            <w:pPr>
              <w:spacing w:line="240" w:lineRule="auto"/>
              <w:jc w:val="center"/>
              <w:rPr>
                <w:rFonts w:ascii="Arial" w:hAnsi="Arial" w:cs="Arial"/>
                <w:b/>
                <w:bCs/>
                <w:color w:val="000000"/>
                <w:sz w:val="14"/>
                <w:szCs w:val="14"/>
              </w:rPr>
            </w:pPr>
            <w:r w:rsidRPr="009E215B">
              <w:rPr>
                <w:rFonts w:ascii="Arial" w:hAnsi="Arial" w:cs="Arial"/>
                <w:b/>
                <w:bCs/>
                <w:color w:val="000000"/>
                <w:sz w:val="14"/>
                <w:szCs w:val="14"/>
              </w:rPr>
              <w:t>Commonwealth</w:t>
            </w:r>
          </w:p>
        </w:tc>
        <w:tc>
          <w:tcPr>
            <w:tcW w:w="940" w:type="dxa"/>
            <w:tcBorders>
              <w:top w:val="nil"/>
              <w:left w:val="single" w:sz="4" w:space="0" w:color="auto"/>
              <w:bottom w:val="nil"/>
              <w:right w:val="nil"/>
            </w:tcBorders>
            <w:shd w:val="clear" w:color="000000" w:fill="D2D9EA"/>
            <w:vAlign w:val="center"/>
            <w:hideMark/>
          </w:tcPr>
          <w:p w14:paraId="0992F5CA"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65EBFA02"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1.6</w:t>
            </w:r>
          </w:p>
        </w:tc>
        <w:tc>
          <w:tcPr>
            <w:tcW w:w="980" w:type="dxa"/>
            <w:tcBorders>
              <w:top w:val="nil"/>
              <w:left w:val="single" w:sz="4" w:space="0" w:color="auto"/>
              <w:bottom w:val="nil"/>
              <w:right w:val="nil"/>
            </w:tcBorders>
            <w:shd w:val="clear" w:color="000000" w:fill="D2D9EA"/>
            <w:vAlign w:val="center"/>
            <w:hideMark/>
          </w:tcPr>
          <w:p w14:paraId="28E2FE56"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-5.4</w:t>
            </w:r>
          </w:p>
        </w:tc>
        <w:tc>
          <w:tcPr>
            <w:tcW w:w="980" w:type="dxa"/>
            <w:tcBorders>
              <w:top w:val="nil"/>
              <w:left w:val="single" w:sz="4" w:space="0" w:color="auto"/>
              <w:bottom w:val="nil"/>
              <w:right w:val="nil"/>
            </w:tcBorders>
            <w:shd w:val="clear" w:color="000000" w:fill="D2D9EA"/>
            <w:vAlign w:val="center"/>
            <w:hideMark/>
          </w:tcPr>
          <w:p w14:paraId="2743FA64"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-10.1</w:t>
            </w:r>
          </w:p>
        </w:tc>
        <w:tc>
          <w:tcPr>
            <w:tcW w:w="980" w:type="dxa"/>
            <w:tcBorders>
              <w:top w:val="nil"/>
              <w:left w:val="single" w:sz="4" w:space="0" w:color="auto"/>
              <w:bottom w:val="nil"/>
              <w:right w:val="nil"/>
            </w:tcBorders>
            <w:shd w:val="clear" w:color="000000" w:fill="D2D9EA"/>
            <w:vAlign w:val="center"/>
            <w:hideMark/>
          </w:tcPr>
          <w:p w14:paraId="75E99D4D"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-6.2</w:t>
            </w:r>
          </w:p>
        </w:tc>
        <w:tc>
          <w:tcPr>
            <w:tcW w:w="980" w:type="dxa"/>
            <w:tcBorders>
              <w:top w:val="nil"/>
              <w:left w:val="single" w:sz="4" w:space="0" w:color="auto"/>
              <w:bottom w:val="nil"/>
              <w:right w:val="nil"/>
            </w:tcBorders>
            <w:shd w:val="clear" w:color="000000" w:fill="D2D9EA"/>
            <w:vAlign w:val="center"/>
            <w:hideMark/>
          </w:tcPr>
          <w:p w14:paraId="1E447E0C"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-4.8</w:t>
            </w:r>
          </w:p>
        </w:tc>
        <w:tc>
          <w:tcPr>
            <w:tcW w:w="980" w:type="dxa"/>
            <w:tcBorders>
              <w:top w:val="nil"/>
              <w:left w:val="single" w:sz="4" w:space="0" w:color="auto"/>
              <w:bottom w:val="nil"/>
              <w:right w:val="nil"/>
            </w:tcBorders>
            <w:shd w:val="clear" w:color="000000" w:fill="D2D9EA"/>
            <w:vAlign w:val="center"/>
            <w:hideMark/>
          </w:tcPr>
          <w:p w14:paraId="44A45B90"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w:t>
            </w:r>
          </w:p>
        </w:tc>
        <w:tc>
          <w:tcPr>
            <w:tcW w:w="1023" w:type="dxa"/>
            <w:tcBorders>
              <w:top w:val="nil"/>
              <w:left w:val="single" w:sz="4" w:space="0" w:color="auto"/>
              <w:bottom w:val="nil"/>
              <w:right w:val="single" w:sz="4" w:space="0" w:color="auto"/>
            </w:tcBorders>
            <w:shd w:val="clear" w:color="000000" w:fill="D2D9EA"/>
            <w:vAlign w:val="center"/>
            <w:hideMark/>
          </w:tcPr>
          <w:p w14:paraId="70598EE8"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 </w:t>
            </w:r>
          </w:p>
        </w:tc>
      </w:tr>
      <w:tr w:rsidR="009E215B" w:rsidRPr="009E215B" w14:paraId="735BC403"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57C6A3A8" w14:textId="77777777" w:rsidR="009E215B" w:rsidRPr="009E215B" w:rsidRDefault="009E215B" w:rsidP="009E215B">
            <w:pPr>
              <w:spacing w:line="240" w:lineRule="auto"/>
              <w:rPr>
                <w:rFonts w:ascii="Arial" w:hAnsi="Arial" w:cs="Arial"/>
                <w:b/>
                <w:bCs/>
                <w:color w:val="000000"/>
                <w:sz w:val="14"/>
                <w:szCs w:val="14"/>
              </w:rPr>
            </w:pPr>
          </w:p>
        </w:tc>
        <w:tc>
          <w:tcPr>
            <w:tcW w:w="940" w:type="dxa"/>
            <w:tcBorders>
              <w:top w:val="nil"/>
              <w:left w:val="single" w:sz="4" w:space="0" w:color="auto"/>
              <w:bottom w:val="nil"/>
              <w:right w:val="nil"/>
            </w:tcBorders>
            <w:shd w:val="clear" w:color="auto" w:fill="auto"/>
            <w:vAlign w:val="center"/>
            <w:hideMark/>
          </w:tcPr>
          <w:p w14:paraId="7A814549"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4C4BF8E1"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30.4</w:t>
            </w:r>
          </w:p>
        </w:tc>
        <w:tc>
          <w:tcPr>
            <w:tcW w:w="980" w:type="dxa"/>
            <w:tcBorders>
              <w:top w:val="nil"/>
              <w:left w:val="single" w:sz="4" w:space="0" w:color="auto"/>
              <w:bottom w:val="nil"/>
              <w:right w:val="nil"/>
            </w:tcBorders>
            <w:shd w:val="clear" w:color="auto" w:fill="auto"/>
            <w:vAlign w:val="center"/>
            <w:hideMark/>
          </w:tcPr>
          <w:p w14:paraId="1997B738"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-106.4</w:t>
            </w:r>
          </w:p>
        </w:tc>
        <w:tc>
          <w:tcPr>
            <w:tcW w:w="980" w:type="dxa"/>
            <w:tcBorders>
              <w:top w:val="nil"/>
              <w:left w:val="single" w:sz="4" w:space="0" w:color="auto"/>
              <w:bottom w:val="nil"/>
              <w:right w:val="nil"/>
            </w:tcBorders>
            <w:shd w:val="clear" w:color="auto" w:fill="auto"/>
            <w:vAlign w:val="center"/>
            <w:hideMark/>
          </w:tcPr>
          <w:p w14:paraId="6C5C8CE6"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-203.3</w:t>
            </w:r>
          </w:p>
        </w:tc>
        <w:tc>
          <w:tcPr>
            <w:tcW w:w="980" w:type="dxa"/>
            <w:tcBorders>
              <w:top w:val="nil"/>
              <w:left w:val="single" w:sz="4" w:space="0" w:color="auto"/>
              <w:bottom w:val="nil"/>
              <w:right w:val="nil"/>
            </w:tcBorders>
            <w:shd w:val="clear" w:color="auto" w:fill="auto"/>
            <w:vAlign w:val="center"/>
            <w:hideMark/>
          </w:tcPr>
          <w:p w14:paraId="35963E2E"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-127.0</w:t>
            </w:r>
          </w:p>
        </w:tc>
        <w:tc>
          <w:tcPr>
            <w:tcW w:w="980" w:type="dxa"/>
            <w:tcBorders>
              <w:top w:val="nil"/>
              <w:left w:val="single" w:sz="4" w:space="0" w:color="auto"/>
              <w:bottom w:val="nil"/>
              <w:right w:val="nil"/>
            </w:tcBorders>
            <w:shd w:val="clear" w:color="auto" w:fill="auto"/>
            <w:vAlign w:val="center"/>
            <w:hideMark/>
          </w:tcPr>
          <w:p w14:paraId="5FDC3078"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-101.6</w:t>
            </w:r>
          </w:p>
        </w:tc>
        <w:tc>
          <w:tcPr>
            <w:tcW w:w="980" w:type="dxa"/>
            <w:tcBorders>
              <w:top w:val="nil"/>
              <w:left w:val="single" w:sz="4" w:space="0" w:color="auto"/>
              <w:bottom w:val="nil"/>
              <w:right w:val="nil"/>
            </w:tcBorders>
            <w:shd w:val="clear" w:color="auto" w:fill="auto"/>
            <w:vAlign w:val="center"/>
            <w:hideMark/>
          </w:tcPr>
          <w:p w14:paraId="1D3C498E"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w:t>
            </w:r>
          </w:p>
        </w:tc>
        <w:tc>
          <w:tcPr>
            <w:tcW w:w="1023" w:type="dxa"/>
            <w:tcBorders>
              <w:top w:val="nil"/>
              <w:left w:val="single" w:sz="4" w:space="0" w:color="auto"/>
              <w:bottom w:val="nil"/>
              <w:right w:val="single" w:sz="4" w:space="0" w:color="auto"/>
            </w:tcBorders>
            <w:shd w:val="clear" w:color="auto" w:fill="auto"/>
            <w:vAlign w:val="center"/>
            <w:hideMark/>
          </w:tcPr>
          <w:p w14:paraId="2CDE9DE2" w14:textId="77777777" w:rsidR="009E215B" w:rsidRPr="009E215B" w:rsidRDefault="009E215B" w:rsidP="009E215B">
            <w:pPr>
              <w:spacing w:line="240" w:lineRule="auto"/>
              <w:jc w:val="center"/>
              <w:rPr>
                <w:rFonts w:ascii="Arial" w:hAnsi="Arial" w:cs="Arial"/>
                <w:b/>
                <w:bCs/>
                <w:sz w:val="14"/>
                <w:szCs w:val="14"/>
              </w:rPr>
            </w:pPr>
            <w:r w:rsidRPr="009E215B">
              <w:rPr>
                <w:rFonts w:ascii="Arial" w:hAnsi="Arial" w:cs="Arial"/>
                <w:b/>
                <w:bCs/>
                <w:sz w:val="14"/>
                <w:szCs w:val="14"/>
              </w:rPr>
              <w:t>-538.3</w:t>
            </w:r>
          </w:p>
        </w:tc>
      </w:tr>
      <w:tr w:rsidR="009E215B" w:rsidRPr="009E215B" w14:paraId="748E283E"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27B89EC" w14:textId="77777777" w:rsidR="009E215B" w:rsidRPr="009E215B" w:rsidRDefault="009E215B" w:rsidP="009E215B">
            <w:pPr>
              <w:spacing w:line="240" w:lineRule="auto"/>
              <w:jc w:val="center"/>
              <w:rPr>
                <w:rFonts w:ascii="Arial" w:hAnsi="Arial" w:cs="Arial"/>
                <w:b/>
                <w:bCs/>
                <w:color w:val="000000"/>
                <w:sz w:val="14"/>
                <w:szCs w:val="14"/>
              </w:rPr>
            </w:pPr>
            <w:r w:rsidRPr="009E215B">
              <w:rPr>
                <w:rFonts w:ascii="Arial" w:hAnsi="Arial" w:cs="Arial"/>
                <w:b/>
                <w:bCs/>
                <w:color w:val="000000"/>
                <w:sz w:val="14"/>
                <w:szCs w:val="14"/>
              </w:rPr>
              <w:t>State and territory</w:t>
            </w:r>
          </w:p>
        </w:tc>
        <w:tc>
          <w:tcPr>
            <w:tcW w:w="940" w:type="dxa"/>
            <w:tcBorders>
              <w:top w:val="nil"/>
              <w:left w:val="single" w:sz="4" w:space="0" w:color="auto"/>
              <w:bottom w:val="nil"/>
              <w:right w:val="nil"/>
            </w:tcBorders>
            <w:shd w:val="clear" w:color="000000" w:fill="D2D9EA"/>
            <w:vAlign w:val="center"/>
            <w:hideMark/>
          </w:tcPr>
          <w:p w14:paraId="7866ECAF"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1F93007E"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0.0</w:t>
            </w:r>
          </w:p>
        </w:tc>
        <w:tc>
          <w:tcPr>
            <w:tcW w:w="980" w:type="dxa"/>
            <w:tcBorders>
              <w:top w:val="nil"/>
              <w:left w:val="single" w:sz="4" w:space="0" w:color="auto"/>
              <w:bottom w:val="nil"/>
              <w:right w:val="nil"/>
            </w:tcBorders>
            <w:shd w:val="clear" w:color="000000" w:fill="D2D9EA"/>
            <w:vAlign w:val="center"/>
            <w:hideMark/>
          </w:tcPr>
          <w:p w14:paraId="6586B29E"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-1.2</w:t>
            </w:r>
          </w:p>
        </w:tc>
        <w:tc>
          <w:tcPr>
            <w:tcW w:w="980" w:type="dxa"/>
            <w:tcBorders>
              <w:top w:val="nil"/>
              <w:left w:val="single" w:sz="4" w:space="0" w:color="auto"/>
              <w:bottom w:val="nil"/>
              <w:right w:val="nil"/>
            </w:tcBorders>
            <w:shd w:val="clear" w:color="000000" w:fill="D2D9EA"/>
            <w:vAlign w:val="center"/>
            <w:hideMark/>
          </w:tcPr>
          <w:p w14:paraId="7B7F5739"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-2.7</w:t>
            </w:r>
          </w:p>
        </w:tc>
        <w:tc>
          <w:tcPr>
            <w:tcW w:w="980" w:type="dxa"/>
            <w:tcBorders>
              <w:top w:val="nil"/>
              <w:left w:val="single" w:sz="4" w:space="0" w:color="auto"/>
              <w:bottom w:val="nil"/>
              <w:right w:val="nil"/>
            </w:tcBorders>
            <w:shd w:val="clear" w:color="000000" w:fill="D2D9EA"/>
            <w:vAlign w:val="center"/>
            <w:hideMark/>
          </w:tcPr>
          <w:p w14:paraId="5F422143"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-1.6</w:t>
            </w:r>
          </w:p>
        </w:tc>
        <w:tc>
          <w:tcPr>
            <w:tcW w:w="980" w:type="dxa"/>
            <w:tcBorders>
              <w:top w:val="nil"/>
              <w:left w:val="single" w:sz="4" w:space="0" w:color="auto"/>
              <w:bottom w:val="nil"/>
              <w:right w:val="nil"/>
            </w:tcBorders>
            <w:shd w:val="clear" w:color="000000" w:fill="D2D9EA"/>
            <w:vAlign w:val="center"/>
            <w:hideMark/>
          </w:tcPr>
          <w:p w14:paraId="0702F56A"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-1.0</w:t>
            </w:r>
          </w:p>
        </w:tc>
        <w:tc>
          <w:tcPr>
            <w:tcW w:w="980" w:type="dxa"/>
            <w:tcBorders>
              <w:top w:val="nil"/>
              <w:left w:val="single" w:sz="4" w:space="0" w:color="auto"/>
              <w:bottom w:val="nil"/>
              <w:right w:val="nil"/>
            </w:tcBorders>
            <w:shd w:val="clear" w:color="000000" w:fill="D2D9EA"/>
            <w:vAlign w:val="center"/>
            <w:hideMark/>
          </w:tcPr>
          <w:p w14:paraId="178D9078"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w:t>
            </w:r>
          </w:p>
        </w:tc>
        <w:tc>
          <w:tcPr>
            <w:tcW w:w="1023" w:type="dxa"/>
            <w:tcBorders>
              <w:top w:val="nil"/>
              <w:left w:val="single" w:sz="4" w:space="0" w:color="auto"/>
              <w:bottom w:val="nil"/>
              <w:right w:val="single" w:sz="4" w:space="0" w:color="auto"/>
            </w:tcBorders>
            <w:shd w:val="clear" w:color="000000" w:fill="D2D9EA"/>
            <w:vAlign w:val="center"/>
            <w:hideMark/>
          </w:tcPr>
          <w:p w14:paraId="2CEBFE79"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 </w:t>
            </w:r>
          </w:p>
        </w:tc>
      </w:tr>
      <w:tr w:rsidR="009E215B" w:rsidRPr="009E215B" w14:paraId="79884235"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0CAACCE3" w14:textId="77777777" w:rsidR="009E215B" w:rsidRPr="009E215B" w:rsidRDefault="009E215B" w:rsidP="009E215B">
            <w:pPr>
              <w:spacing w:line="240" w:lineRule="auto"/>
              <w:rPr>
                <w:rFonts w:ascii="Arial" w:hAnsi="Arial" w:cs="Arial"/>
                <w:b/>
                <w:bCs/>
                <w:color w:val="000000"/>
                <w:sz w:val="14"/>
                <w:szCs w:val="14"/>
              </w:rPr>
            </w:pPr>
          </w:p>
        </w:tc>
        <w:tc>
          <w:tcPr>
            <w:tcW w:w="940" w:type="dxa"/>
            <w:tcBorders>
              <w:top w:val="nil"/>
              <w:left w:val="single" w:sz="4" w:space="0" w:color="auto"/>
              <w:bottom w:val="single" w:sz="4" w:space="0" w:color="auto"/>
              <w:right w:val="nil"/>
            </w:tcBorders>
            <w:shd w:val="clear" w:color="auto" w:fill="auto"/>
            <w:vAlign w:val="center"/>
            <w:hideMark/>
          </w:tcPr>
          <w:p w14:paraId="0F82C568" w14:textId="77777777" w:rsidR="009E215B" w:rsidRPr="007D2509" w:rsidRDefault="009E215B" w:rsidP="009E215B">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single" w:sz="4" w:space="0" w:color="auto"/>
              <w:right w:val="nil"/>
            </w:tcBorders>
            <w:shd w:val="clear" w:color="auto" w:fill="auto"/>
            <w:vAlign w:val="center"/>
            <w:hideMark/>
          </w:tcPr>
          <w:p w14:paraId="26DBEF50"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-0.3</w:t>
            </w:r>
          </w:p>
        </w:tc>
        <w:tc>
          <w:tcPr>
            <w:tcW w:w="980" w:type="dxa"/>
            <w:tcBorders>
              <w:top w:val="nil"/>
              <w:left w:val="single" w:sz="4" w:space="0" w:color="auto"/>
              <w:bottom w:val="single" w:sz="4" w:space="0" w:color="auto"/>
              <w:right w:val="nil"/>
            </w:tcBorders>
            <w:shd w:val="clear" w:color="auto" w:fill="auto"/>
            <w:vAlign w:val="center"/>
            <w:hideMark/>
          </w:tcPr>
          <w:p w14:paraId="5E78A34E"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-24.0</w:t>
            </w:r>
          </w:p>
        </w:tc>
        <w:tc>
          <w:tcPr>
            <w:tcW w:w="980" w:type="dxa"/>
            <w:tcBorders>
              <w:top w:val="nil"/>
              <w:left w:val="single" w:sz="4" w:space="0" w:color="auto"/>
              <w:bottom w:val="single" w:sz="4" w:space="0" w:color="auto"/>
              <w:right w:val="nil"/>
            </w:tcBorders>
            <w:shd w:val="clear" w:color="auto" w:fill="auto"/>
            <w:vAlign w:val="center"/>
            <w:hideMark/>
          </w:tcPr>
          <w:p w14:paraId="551DDFF8"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-53.9</w:t>
            </w:r>
          </w:p>
        </w:tc>
        <w:tc>
          <w:tcPr>
            <w:tcW w:w="980" w:type="dxa"/>
            <w:tcBorders>
              <w:top w:val="nil"/>
              <w:left w:val="single" w:sz="4" w:space="0" w:color="auto"/>
              <w:bottom w:val="single" w:sz="4" w:space="0" w:color="auto"/>
              <w:right w:val="nil"/>
            </w:tcBorders>
            <w:shd w:val="clear" w:color="auto" w:fill="auto"/>
            <w:vAlign w:val="center"/>
            <w:hideMark/>
          </w:tcPr>
          <w:p w14:paraId="762617DD"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-33.5</w:t>
            </w:r>
          </w:p>
        </w:tc>
        <w:tc>
          <w:tcPr>
            <w:tcW w:w="980" w:type="dxa"/>
            <w:tcBorders>
              <w:top w:val="nil"/>
              <w:left w:val="single" w:sz="4" w:space="0" w:color="auto"/>
              <w:bottom w:val="single" w:sz="4" w:space="0" w:color="auto"/>
              <w:right w:val="nil"/>
            </w:tcBorders>
            <w:shd w:val="clear" w:color="auto" w:fill="auto"/>
            <w:vAlign w:val="center"/>
            <w:hideMark/>
          </w:tcPr>
          <w:p w14:paraId="2E6E7345"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-21.9</w:t>
            </w:r>
          </w:p>
        </w:tc>
        <w:tc>
          <w:tcPr>
            <w:tcW w:w="980" w:type="dxa"/>
            <w:tcBorders>
              <w:top w:val="nil"/>
              <w:left w:val="single" w:sz="4" w:space="0" w:color="auto"/>
              <w:bottom w:val="single" w:sz="4" w:space="0" w:color="auto"/>
              <w:right w:val="nil"/>
            </w:tcBorders>
            <w:shd w:val="clear" w:color="auto" w:fill="auto"/>
            <w:vAlign w:val="center"/>
            <w:hideMark/>
          </w:tcPr>
          <w:p w14:paraId="5E48ECD1" w14:textId="77777777" w:rsidR="009E215B" w:rsidRPr="009E215B" w:rsidRDefault="009E215B" w:rsidP="009E215B">
            <w:pPr>
              <w:spacing w:line="240" w:lineRule="auto"/>
              <w:jc w:val="center"/>
              <w:rPr>
                <w:rFonts w:ascii="Arial" w:hAnsi="Arial" w:cs="Arial"/>
                <w:sz w:val="14"/>
                <w:szCs w:val="14"/>
              </w:rPr>
            </w:pPr>
            <w:r w:rsidRPr="009E215B">
              <w:rPr>
                <w:rFonts w:ascii="Arial" w:hAnsi="Arial" w:cs="Arial"/>
                <w:sz w:val="14"/>
                <w:szCs w:val="14"/>
              </w:rPr>
              <w:t>-</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14:paraId="2EB1E418" w14:textId="77777777" w:rsidR="009E215B" w:rsidRPr="009E215B" w:rsidRDefault="009E215B" w:rsidP="009E215B">
            <w:pPr>
              <w:spacing w:line="240" w:lineRule="auto"/>
              <w:jc w:val="center"/>
              <w:rPr>
                <w:rFonts w:ascii="Arial" w:hAnsi="Arial" w:cs="Arial"/>
                <w:b/>
                <w:bCs/>
                <w:sz w:val="14"/>
                <w:szCs w:val="14"/>
              </w:rPr>
            </w:pPr>
            <w:r w:rsidRPr="009E215B">
              <w:rPr>
                <w:rFonts w:ascii="Arial" w:hAnsi="Arial" w:cs="Arial"/>
                <w:b/>
                <w:bCs/>
                <w:sz w:val="14"/>
                <w:szCs w:val="14"/>
              </w:rPr>
              <w:t>-133.3</w:t>
            </w:r>
          </w:p>
        </w:tc>
      </w:tr>
    </w:tbl>
    <w:p w14:paraId="07DAEC84" w14:textId="77777777" w:rsidR="00011236" w:rsidRDefault="00011236" w:rsidP="001E180C">
      <w:pPr>
        <w:pStyle w:val="BodyText"/>
      </w:pPr>
    </w:p>
    <w:tbl>
      <w:tblPr>
        <w:tblW w:w="9923" w:type="dxa"/>
        <w:tblLook w:val="04A0" w:firstRow="1" w:lastRow="0" w:firstColumn="1" w:lastColumn="0" w:noHBand="0" w:noVBand="1"/>
      </w:tblPr>
      <w:tblGrid>
        <w:gridCol w:w="2080"/>
        <w:gridCol w:w="940"/>
        <w:gridCol w:w="980"/>
        <w:gridCol w:w="980"/>
        <w:gridCol w:w="980"/>
        <w:gridCol w:w="980"/>
        <w:gridCol w:w="980"/>
        <w:gridCol w:w="980"/>
        <w:gridCol w:w="1023"/>
      </w:tblGrid>
      <w:tr w:rsidR="006A4309" w:rsidRPr="00EC38F3" w14:paraId="179CBE9B" w14:textId="77777777" w:rsidTr="007D2509">
        <w:trPr>
          <w:trHeight w:val="300"/>
        </w:trPr>
        <w:tc>
          <w:tcPr>
            <w:tcW w:w="9923" w:type="dxa"/>
            <w:gridSpan w:val="9"/>
            <w:tcBorders>
              <w:top w:val="nil"/>
              <w:left w:val="nil"/>
              <w:bottom w:val="single" w:sz="4" w:space="0" w:color="auto"/>
              <w:right w:val="nil"/>
            </w:tcBorders>
            <w:shd w:val="clear" w:color="auto" w:fill="auto"/>
            <w:vAlign w:val="bottom"/>
            <w:hideMark/>
          </w:tcPr>
          <w:p w14:paraId="3381DA34" w14:textId="1CA30828" w:rsidR="006A4309" w:rsidRPr="007D2509" w:rsidRDefault="006A4309" w:rsidP="006874AD">
            <w:pPr>
              <w:pStyle w:val="Captionheading1"/>
              <w:rPr>
                <w:b w:val="0"/>
                <w:bCs w:val="0"/>
                <w:color w:val="3D4D7D" w:themeColor="background2"/>
              </w:rPr>
            </w:pPr>
            <w:r w:rsidRPr="007D2509">
              <w:rPr>
                <w:color w:val="3D4D7D" w:themeColor="background2"/>
              </w:rPr>
              <w:t xml:space="preserve">Table </w:t>
            </w:r>
            <w:r w:rsidR="00EC38F3" w:rsidRPr="007D2509">
              <w:rPr>
                <w:color w:val="3D4D7D" w:themeColor="background2"/>
              </w:rPr>
              <w:t>A</w:t>
            </w:r>
            <w:r w:rsidR="006874AD">
              <w:rPr>
                <w:color w:val="3D4D7D" w:themeColor="background2"/>
              </w:rPr>
              <w:t>4</w:t>
            </w:r>
            <w:r w:rsidRPr="007D2509">
              <w:rPr>
                <w:color w:val="3D4D7D" w:themeColor="background2"/>
              </w:rPr>
              <w:t>: Revenue</w:t>
            </w:r>
          </w:p>
        </w:tc>
      </w:tr>
      <w:tr w:rsidR="006A4309" w:rsidRPr="006A4309" w14:paraId="25191D4C" w14:textId="77777777" w:rsidTr="007D2509">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3D4D7D"/>
            <w:vAlign w:val="center"/>
            <w:hideMark/>
          </w:tcPr>
          <w:p w14:paraId="7348FF3F"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Revenue</w:t>
            </w:r>
          </w:p>
        </w:tc>
        <w:tc>
          <w:tcPr>
            <w:tcW w:w="940" w:type="dxa"/>
            <w:tcBorders>
              <w:top w:val="single" w:sz="4" w:space="0" w:color="auto"/>
              <w:left w:val="nil"/>
              <w:bottom w:val="single" w:sz="4" w:space="0" w:color="auto"/>
              <w:right w:val="single" w:sz="4" w:space="0" w:color="auto"/>
            </w:tcBorders>
            <w:shd w:val="clear" w:color="000000" w:fill="3D4D7D"/>
            <w:vAlign w:val="center"/>
            <w:hideMark/>
          </w:tcPr>
          <w:p w14:paraId="527503E7"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6E23A409"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2018-19</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6858D56B"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2019-20</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3300564B"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2020-21</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2EFB4EB8"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2021-22</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7A07A9A7"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2022-23</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13047072"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2023-24</w:t>
            </w:r>
          </w:p>
        </w:tc>
        <w:tc>
          <w:tcPr>
            <w:tcW w:w="1023" w:type="dxa"/>
            <w:tcBorders>
              <w:top w:val="single" w:sz="4" w:space="0" w:color="auto"/>
              <w:left w:val="nil"/>
              <w:bottom w:val="single" w:sz="4" w:space="0" w:color="auto"/>
              <w:right w:val="single" w:sz="4" w:space="0" w:color="auto"/>
            </w:tcBorders>
            <w:shd w:val="clear" w:color="000000" w:fill="3D4D7D"/>
            <w:vAlign w:val="center"/>
            <w:hideMark/>
          </w:tcPr>
          <w:p w14:paraId="2C5A73CC"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r>
      <w:tr w:rsidR="006A4309" w:rsidRPr="006A4309" w14:paraId="21ECC89F"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F85AB53"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National</w:t>
            </w:r>
          </w:p>
        </w:tc>
        <w:tc>
          <w:tcPr>
            <w:tcW w:w="940" w:type="dxa"/>
            <w:tcBorders>
              <w:top w:val="single" w:sz="4" w:space="0" w:color="auto"/>
              <w:left w:val="single" w:sz="4" w:space="0" w:color="auto"/>
              <w:bottom w:val="nil"/>
              <w:right w:val="nil"/>
            </w:tcBorders>
            <w:shd w:val="clear" w:color="000000" w:fill="D2D9EA"/>
            <w:vAlign w:val="center"/>
            <w:hideMark/>
          </w:tcPr>
          <w:p w14:paraId="560A6A44"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single" w:sz="4" w:space="0" w:color="auto"/>
              <w:left w:val="single" w:sz="4" w:space="0" w:color="auto"/>
              <w:bottom w:val="nil"/>
              <w:right w:val="nil"/>
            </w:tcBorders>
            <w:shd w:val="clear" w:color="000000" w:fill="D2D9EA"/>
            <w:vAlign w:val="center"/>
            <w:hideMark/>
          </w:tcPr>
          <w:p w14:paraId="689B87B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35.0</w:t>
            </w:r>
          </w:p>
        </w:tc>
        <w:tc>
          <w:tcPr>
            <w:tcW w:w="980" w:type="dxa"/>
            <w:tcBorders>
              <w:top w:val="single" w:sz="4" w:space="0" w:color="auto"/>
              <w:left w:val="single" w:sz="4" w:space="0" w:color="auto"/>
              <w:bottom w:val="nil"/>
              <w:right w:val="nil"/>
            </w:tcBorders>
            <w:shd w:val="clear" w:color="000000" w:fill="D2D9EA"/>
            <w:vAlign w:val="center"/>
            <w:hideMark/>
          </w:tcPr>
          <w:p w14:paraId="31B38A7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34.6</w:t>
            </w:r>
          </w:p>
        </w:tc>
        <w:tc>
          <w:tcPr>
            <w:tcW w:w="980" w:type="dxa"/>
            <w:tcBorders>
              <w:top w:val="single" w:sz="4" w:space="0" w:color="auto"/>
              <w:left w:val="single" w:sz="4" w:space="0" w:color="auto"/>
              <w:bottom w:val="nil"/>
              <w:right w:val="nil"/>
            </w:tcBorders>
            <w:shd w:val="clear" w:color="000000" w:fill="D2D9EA"/>
            <w:vAlign w:val="center"/>
            <w:hideMark/>
          </w:tcPr>
          <w:p w14:paraId="4FD30C0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33.8</w:t>
            </w:r>
          </w:p>
        </w:tc>
        <w:tc>
          <w:tcPr>
            <w:tcW w:w="980" w:type="dxa"/>
            <w:tcBorders>
              <w:top w:val="single" w:sz="4" w:space="0" w:color="auto"/>
              <w:left w:val="single" w:sz="4" w:space="0" w:color="auto"/>
              <w:bottom w:val="nil"/>
              <w:right w:val="nil"/>
            </w:tcBorders>
            <w:shd w:val="clear" w:color="000000" w:fill="D2D9EA"/>
            <w:vAlign w:val="center"/>
            <w:hideMark/>
          </w:tcPr>
          <w:p w14:paraId="6E80855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33.4</w:t>
            </w:r>
          </w:p>
        </w:tc>
        <w:tc>
          <w:tcPr>
            <w:tcW w:w="980" w:type="dxa"/>
            <w:tcBorders>
              <w:top w:val="single" w:sz="4" w:space="0" w:color="auto"/>
              <w:left w:val="single" w:sz="4" w:space="0" w:color="auto"/>
              <w:bottom w:val="nil"/>
              <w:right w:val="nil"/>
            </w:tcBorders>
            <w:shd w:val="clear" w:color="000000" w:fill="D2D9EA"/>
            <w:vAlign w:val="center"/>
            <w:hideMark/>
          </w:tcPr>
          <w:p w14:paraId="5388219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33.7</w:t>
            </w:r>
          </w:p>
        </w:tc>
        <w:tc>
          <w:tcPr>
            <w:tcW w:w="980" w:type="dxa"/>
            <w:tcBorders>
              <w:top w:val="single" w:sz="4" w:space="0" w:color="auto"/>
              <w:left w:val="single" w:sz="4" w:space="0" w:color="auto"/>
              <w:bottom w:val="nil"/>
              <w:right w:val="nil"/>
            </w:tcBorders>
            <w:shd w:val="clear" w:color="000000" w:fill="D2D9EA"/>
            <w:vAlign w:val="center"/>
            <w:hideMark/>
          </w:tcPr>
          <w:p w14:paraId="287C6BC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34.5</w:t>
            </w:r>
          </w:p>
        </w:tc>
        <w:tc>
          <w:tcPr>
            <w:tcW w:w="1023" w:type="dxa"/>
            <w:tcBorders>
              <w:top w:val="single" w:sz="4" w:space="0" w:color="auto"/>
              <w:left w:val="single" w:sz="4" w:space="0" w:color="auto"/>
              <w:bottom w:val="nil"/>
              <w:right w:val="single" w:sz="4" w:space="0" w:color="auto"/>
            </w:tcBorders>
            <w:shd w:val="clear" w:color="000000" w:fill="D2D9EA"/>
            <w:vAlign w:val="center"/>
            <w:hideMark/>
          </w:tcPr>
          <w:p w14:paraId="483E87CE"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7971B632"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13D94CFD"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single" w:sz="4" w:space="0" w:color="auto"/>
              <w:bottom w:val="nil"/>
              <w:right w:val="nil"/>
            </w:tcBorders>
            <w:shd w:val="clear" w:color="auto" w:fill="auto"/>
            <w:vAlign w:val="center"/>
            <w:hideMark/>
          </w:tcPr>
          <w:p w14:paraId="126B357E"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35EFE35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683.6</w:t>
            </w:r>
          </w:p>
        </w:tc>
        <w:tc>
          <w:tcPr>
            <w:tcW w:w="980" w:type="dxa"/>
            <w:tcBorders>
              <w:top w:val="nil"/>
              <w:left w:val="single" w:sz="4" w:space="0" w:color="auto"/>
              <w:bottom w:val="nil"/>
              <w:right w:val="nil"/>
            </w:tcBorders>
            <w:shd w:val="clear" w:color="auto" w:fill="auto"/>
            <w:vAlign w:val="center"/>
            <w:hideMark/>
          </w:tcPr>
          <w:p w14:paraId="4EF2304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687.7</w:t>
            </w:r>
          </w:p>
        </w:tc>
        <w:tc>
          <w:tcPr>
            <w:tcW w:w="980" w:type="dxa"/>
            <w:tcBorders>
              <w:top w:val="nil"/>
              <w:left w:val="single" w:sz="4" w:space="0" w:color="auto"/>
              <w:bottom w:val="nil"/>
              <w:right w:val="nil"/>
            </w:tcBorders>
            <w:shd w:val="clear" w:color="auto" w:fill="auto"/>
            <w:vAlign w:val="center"/>
            <w:hideMark/>
          </w:tcPr>
          <w:p w14:paraId="3C3367FE"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678.9</w:t>
            </w:r>
          </w:p>
        </w:tc>
        <w:tc>
          <w:tcPr>
            <w:tcW w:w="980" w:type="dxa"/>
            <w:tcBorders>
              <w:top w:val="nil"/>
              <w:left w:val="single" w:sz="4" w:space="0" w:color="auto"/>
              <w:bottom w:val="nil"/>
              <w:right w:val="nil"/>
            </w:tcBorders>
            <w:shd w:val="clear" w:color="auto" w:fill="auto"/>
            <w:vAlign w:val="center"/>
            <w:hideMark/>
          </w:tcPr>
          <w:p w14:paraId="1B293E5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678.9</w:t>
            </w:r>
          </w:p>
        </w:tc>
        <w:tc>
          <w:tcPr>
            <w:tcW w:w="980" w:type="dxa"/>
            <w:tcBorders>
              <w:top w:val="nil"/>
              <w:left w:val="single" w:sz="4" w:space="0" w:color="auto"/>
              <w:bottom w:val="nil"/>
              <w:right w:val="nil"/>
            </w:tcBorders>
            <w:shd w:val="clear" w:color="auto" w:fill="auto"/>
            <w:vAlign w:val="center"/>
            <w:hideMark/>
          </w:tcPr>
          <w:p w14:paraId="1849328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711.0</w:t>
            </w:r>
          </w:p>
        </w:tc>
        <w:tc>
          <w:tcPr>
            <w:tcW w:w="980" w:type="dxa"/>
            <w:tcBorders>
              <w:top w:val="nil"/>
              <w:left w:val="single" w:sz="4" w:space="0" w:color="auto"/>
              <w:bottom w:val="nil"/>
              <w:right w:val="nil"/>
            </w:tcBorders>
            <w:shd w:val="clear" w:color="auto" w:fill="auto"/>
            <w:vAlign w:val="center"/>
            <w:hideMark/>
          </w:tcPr>
          <w:p w14:paraId="4B240AE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762.2</w:t>
            </w:r>
          </w:p>
        </w:tc>
        <w:tc>
          <w:tcPr>
            <w:tcW w:w="1023" w:type="dxa"/>
            <w:tcBorders>
              <w:top w:val="nil"/>
              <w:left w:val="single" w:sz="4" w:space="0" w:color="auto"/>
              <w:bottom w:val="nil"/>
              <w:right w:val="single" w:sz="4" w:space="0" w:color="auto"/>
            </w:tcBorders>
            <w:shd w:val="clear" w:color="auto" w:fill="auto"/>
            <w:vAlign w:val="center"/>
            <w:hideMark/>
          </w:tcPr>
          <w:p w14:paraId="40C24F8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785B16A1"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A67994C"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Commonwealth</w:t>
            </w:r>
          </w:p>
        </w:tc>
        <w:tc>
          <w:tcPr>
            <w:tcW w:w="940" w:type="dxa"/>
            <w:tcBorders>
              <w:top w:val="nil"/>
              <w:left w:val="single" w:sz="4" w:space="0" w:color="auto"/>
              <w:bottom w:val="nil"/>
              <w:right w:val="nil"/>
            </w:tcBorders>
            <w:shd w:val="clear" w:color="000000" w:fill="D2D9EA"/>
            <w:vAlign w:val="center"/>
            <w:hideMark/>
          </w:tcPr>
          <w:p w14:paraId="1370B947"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668082E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25.2</w:t>
            </w:r>
          </w:p>
        </w:tc>
        <w:tc>
          <w:tcPr>
            <w:tcW w:w="980" w:type="dxa"/>
            <w:tcBorders>
              <w:top w:val="nil"/>
              <w:left w:val="single" w:sz="4" w:space="0" w:color="auto"/>
              <w:bottom w:val="nil"/>
              <w:right w:val="nil"/>
            </w:tcBorders>
            <w:shd w:val="clear" w:color="000000" w:fill="D2D9EA"/>
            <w:vAlign w:val="center"/>
            <w:hideMark/>
          </w:tcPr>
          <w:p w14:paraId="6B2AB4E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24.5</w:t>
            </w:r>
          </w:p>
        </w:tc>
        <w:tc>
          <w:tcPr>
            <w:tcW w:w="980" w:type="dxa"/>
            <w:tcBorders>
              <w:top w:val="nil"/>
              <w:left w:val="single" w:sz="4" w:space="0" w:color="auto"/>
              <w:bottom w:val="nil"/>
              <w:right w:val="nil"/>
            </w:tcBorders>
            <w:shd w:val="clear" w:color="000000" w:fill="D2D9EA"/>
            <w:vAlign w:val="center"/>
            <w:hideMark/>
          </w:tcPr>
          <w:p w14:paraId="606AEBB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24.0</w:t>
            </w:r>
          </w:p>
        </w:tc>
        <w:tc>
          <w:tcPr>
            <w:tcW w:w="980" w:type="dxa"/>
            <w:tcBorders>
              <w:top w:val="nil"/>
              <w:left w:val="single" w:sz="4" w:space="0" w:color="auto"/>
              <w:bottom w:val="nil"/>
              <w:right w:val="nil"/>
            </w:tcBorders>
            <w:shd w:val="clear" w:color="000000" w:fill="D2D9EA"/>
            <w:vAlign w:val="center"/>
            <w:hideMark/>
          </w:tcPr>
          <w:p w14:paraId="00E1B79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23.2</w:t>
            </w:r>
          </w:p>
        </w:tc>
        <w:tc>
          <w:tcPr>
            <w:tcW w:w="980" w:type="dxa"/>
            <w:tcBorders>
              <w:top w:val="nil"/>
              <w:left w:val="single" w:sz="4" w:space="0" w:color="auto"/>
              <w:bottom w:val="nil"/>
              <w:right w:val="nil"/>
            </w:tcBorders>
            <w:shd w:val="clear" w:color="000000" w:fill="D2D9EA"/>
            <w:vAlign w:val="center"/>
            <w:hideMark/>
          </w:tcPr>
          <w:p w14:paraId="6E4D6CE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23.5</w:t>
            </w:r>
          </w:p>
        </w:tc>
        <w:tc>
          <w:tcPr>
            <w:tcW w:w="980" w:type="dxa"/>
            <w:tcBorders>
              <w:top w:val="nil"/>
              <w:left w:val="single" w:sz="4" w:space="0" w:color="auto"/>
              <w:bottom w:val="nil"/>
              <w:right w:val="nil"/>
            </w:tcBorders>
            <w:shd w:val="clear" w:color="000000" w:fill="D2D9EA"/>
            <w:vAlign w:val="center"/>
            <w:hideMark/>
          </w:tcPr>
          <w:p w14:paraId="2B57D195"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24.4</w:t>
            </w:r>
          </w:p>
        </w:tc>
        <w:tc>
          <w:tcPr>
            <w:tcW w:w="1023" w:type="dxa"/>
            <w:tcBorders>
              <w:top w:val="nil"/>
              <w:left w:val="single" w:sz="4" w:space="0" w:color="auto"/>
              <w:bottom w:val="nil"/>
              <w:right w:val="single" w:sz="4" w:space="0" w:color="auto"/>
            </w:tcBorders>
            <w:shd w:val="clear" w:color="000000" w:fill="D2D9EA"/>
            <w:vAlign w:val="center"/>
            <w:hideMark/>
          </w:tcPr>
          <w:p w14:paraId="6310034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087006AF"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59801C24"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single" w:sz="4" w:space="0" w:color="auto"/>
              <w:bottom w:val="nil"/>
              <w:right w:val="nil"/>
            </w:tcBorders>
            <w:shd w:val="clear" w:color="auto" w:fill="auto"/>
            <w:vAlign w:val="center"/>
            <w:hideMark/>
          </w:tcPr>
          <w:p w14:paraId="22C48272"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67CD226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492.3</w:t>
            </w:r>
          </w:p>
        </w:tc>
        <w:tc>
          <w:tcPr>
            <w:tcW w:w="980" w:type="dxa"/>
            <w:tcBorders>
              <w:top w:val="nil"/>
              <w:left w:val="single" w:sz="4" w:space="0" w:color="auto"/>
              <w:bottom w:val="nil"/>
              <w:right w:val="nil"/>
            </w:tcBorders>
            <w:shd w:val="clear" w:color="auto" w:fill="auto"/>
            <w:vAlign w:val="center"/>
            <w:hideMark/>
          </w:tcPr>
          <w:p w14:paraId="43AEE00E"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486.3</w:t>
            </w:r>
          </w:p>
        </w:tc>
        <w:tc>
          <w:tcPr>
            <w:tcW w:w="980" w:type="dxa"/>
            <w:tcBorders>
              <w:top w:val="nil"/>
              <w:left w:val="single" w:sz="4" w:space="0" w:color="auto"/>
              <w:bottom w:val="nil"/>
              <w:right w:val="nil"/>
            </w:tcBorders>
            <w:shd w:val="clear" w:color="auto" w:fill="auto"/>
            <w:vAlign w:val="center"/>
            <w:hideMark/>
          </w:tcPr>
          <w:p w14:paraId="26D649D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482.1</w:t>
            </w:r>
          </w:p>
        </w:tc>
        <w:tc>
          <w:tcPr>
            <w:tcW w:w="980" w:type="dxa"/>
            <w:tcBorders>
              <w:top w:val="nil"/>
              <w:left w:val="single" w:sz="4" w:space="0" w:color="auto"/>
              <w:bottom w:val="nil"/>
              <w:right w:val="nil"/>
            </w:tcBorders>
            <w:shd w:val="clear" w:color="auto" w:fill="auto"/>
            <w:vAlign w:val="center"/>
            <w:hideMark/>
          </w:tcPr>
          <w:p w14:paraId="05DC4F6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472.6</w:t>
            </w:r>
          </w:p>
        </w:tc>
        <w:tc>
          <w:tcPr>
            <w:tcW w:w="980" w:type="dxa"/>
            <w:tcBorders>
              <w:top w:val="nil"/>
              <w:left w:val="single" w:sz="4" w:space="0" w:color="auto"/>
              <w:bottom w:val="nil"/>
              <w:right w:val="nil"/>
            </w:tcBorders>
            <w:shd w:val="clear" w:color="auto" w:fill="auto"/>
            <w:vAlign w:val="center"/>
            <w:hideMark/>
          </w:tcPr>
          <w:p w14:paraId="6FDF952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494.9</w:t>
            </w:r>
          </w:p>
        </w:tc>
        <w:tc>
          <w:tcPr>
            <w:tcW w:w="980" w:type="dxa"/>
            <w:tcBorders>
              <w:top w:val="nil"/>
              <w:left w:val="single" w:sz="4" w:space="0" w:color="auto"/>
              <w:bottom w:val="nil"/>
              <w:right w:val="nil"/>
            </w:tcBorders>
            <w:shd w:val="clear" w:color="auto" w:fill="auto"/>
            <w:vAlign w:val="center"/>
            <w:hideMark/>
          </w:tcPr>
          <w:p w14:paraId="6F6B19B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538.5</w:t>
            </w:r>
          </w:p>
        </w:tc>
        <w:tc>
          <w:tcPr>
            <w:tcW w:w="1023" w:type="dxa"/>
            <w:tcBorders>
              <w:top w:val="nil"/>
              <w:left w:val="single" w:sz="4" w:space="0" w:color="auto"/>
              <w:bottom w:val="nil"/>
              <w:right w:val="single" w:sz="4" w:space="0" w:color="auto"/>
            </w:tcBorders>
            <w:shd w:val="clear" w:color="auto" w:fill="auto"/>
            <w:vAlign w:val="center"/>
            <w:hideMark/>
          </w:tcPr>
          <w:p w14:paraId="7AC5919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7D5F0798"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CBD2889"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State and territory</w:t>
            </w:r>
          </w:p>
        </w:tc>
        <w:tc>
          <w:tcPr>
            <w:tcW w:w="940" w:type="dxa"/>
            <w:tcBorders>
              <w:top w:val="nil"/>
              <w:left w:val="single" w:sz="4" w:space="0" w:color="auto"/>
              <w:bottom w:val="nil"/>
              <w:right w:val="nil"/>
            </w:tcBorders>
            <w:shd w:val="clear" w:color="000000" w:fill="D2D9EA"/>
            <w:vAlign w:val="center"/>
            <w:hideMark/>
          </w:tcPr>
          <w:p w14:paraId="0FC8FC1E"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2C7CD76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14.5</w:t>
            </w:r>
          </w:p>
        </w:tc>
        <w:tc>
          <w:tcPr>
            <w:tcW w:w="980" w:type="dxa"/>
            <w:tcBorders>
              <w:top w:val="nil"/>
              <w:left w:val="single" w:sz="4" w:space="0" w:color="auto"/>
              <w:bottom w:val="nil"/>
              <w:right w:val="nil"/>
            </w:tcBorders>
            <w:shd w:val="clear" w:color="000000" w:fill="D2D9EA"/>
            <w:vAlign w:val="center"/>
            <w:hideMark/>
          </w:tcPr>
          <w:p w14:paraId="4C604F5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14.3</w:t>
            </w:r>
          </w:p>
        </w:tc>
        <w:tc>
          <w:tcPr>
            <w:tcW w:w="980" w:type="dxa"/>
            <w:tcBorders>
              <w:top w:val="nil"/>
              <w:left w:val="single" w:sz="4" w:space="0" w:color="auto"/>
              <w:bottom w:val="nil"/>
              <w:right w:val="nil"/>
            </w:tcBorders>
            <w:shd w:val="clear" w:color="000000" w:fill="D2D9EA"/>
            <w:vAlign w:val="center"/>
            <w:hideMark/>
          </w:tcPr>
          <w:p w14:paraId="25D10DB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14.3</w:t>
            </w:r>
          </w:p>
        </w:tc>
        <w:tc>
          <w:tcPr>
            <w:tcW w:w="980" w:type="dxa"/>
            <w:tcBorders>
              <w:top w:val="nil"/>
              <w:left w:val="single" w:sz="4" w:space="0" w:color="auto"/>
              <w:bottom w:val="nil"/>
              <w:right w:val="nil"/>
            </w:tcBorders>
            <w:shd w:val="clear" w:color="000000" w:fill="D2D9EA"/>
            <w:vAlign w:val="center"/>
            <w:hideMark/>
          </w:tcPr>
          <w:p w14:paraId="6008973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14.8</w:t>
            </w:r>
          </w:p>
        </w:tc>
        <w:tc>
          <w:tcPr>
            <w:tcW w:w="980" w:type="dxa"/>
            <w:tcBorders>
              <w:top w:val="nil"/>
              <w:left w:val="single" w:sz="4" w:space="0" w:color="auto"/>
              <w:bottom w:val="nil"/>
              <w:right w:val="nil"/>
            </w:tcBorders>
            <w:shd w:val="clear" w:color="000000" w:fill="D2D9EA"/>
            <w:vAlign w:val="center"/>
            <w:hideMark/>
          </w:tcPr>
          <w:p w14:paraId="449D585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15.0</w:t>
            </w:r>
          </w:p>
        </w:tc>
        <w:tc>
          <w:tcPr>
            <w:tcW w:w="980" w:type="dxa"/>
            <w:tcBorders>
              <w:top w:val="nil"/>
              <w:left w:val="single" w:sz="4" w:space="0" w:color="auto"/>
              <w:bottom w:val="nil"/>
              <w:right w:val="nil"/>
            </w:tcBorders>
            <w:shd w:val="clear" w:color="000000" w:fill="D2D9EA"/>
            <w:vAlign w:val="center"/>
            <w:hideMark/>
          </w:tcPr>
          <w:p w14:paraId="6351FEA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14.8</w:t>
            </w:r>
          </w:p>
        </w:tc>
        <w:tc>
          <w:tcPr>
            <w:tcW w:w="1023" w:type="dxa"/>
            <w:tcBorders>
              <w:top w:val="nil"/>
              <w:left w:val="single" w:sz="4" w:space="0" w:color="auto"/>
              <w:bottom w:val="nil"/>
              <w:right w:val="single" w:sz="4" w:space="0" w:color="auto"/>
            </w:tcBorders>
            <w:shd w:val="clear" w:color="000000" w:fill="D2D9EA"/>
            <w:vAlign w:val="center"/>
            <w:hideMark/>
          </w:tcPr>
          <w:p w14:paraId="5BA25335"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4B21C755"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41B34F46"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single" w:sz="4" w:space="0" w:color="auto"/>
              <w:bottom w:val="single" w:sz="4" w:space="0" w:color="auto"/>
              <w:right w:val="nil"/>
            </w:tcBorders>
            <w:shd w:val="clear" w:color="auto" w:fill="auto"/>
            <w:vAlign w:val="center"/>
            <w:hideMark/>
          </w:tcPr>
          <w:p w14:paraId="16F5106A"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single" w:sz="4" w:space="0" w:color="auto"/>
              <w:right w:val="nil"/>
            </w:tcBorders>
            <w:shd w:val="clear" w:color="auto" w:fill="auto"/>
            <w:vAlign w:val="center"/>
            <w:hideMark/>
          </w:tcPr>
          <w:p w14:paraId="5283802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283.1</w:t>
            </w:r>
          </w:p>
        </w:tc>
        <w:tc>
          <w:tcPr>
            <w:tcW w:w="980" w:type="dxa"/>
            <w:tcBorders>
              <w:top w:val="nil"/>
              <w:left w:val="single" w:sz="4" w:space="0" w:color="auto"/>
              <w:bottom w:val="single" w:sz="4" w:space="0" w:color="auto"/>
              <w:right w:val="nil"/>
            </w:tcBorders>
            <w:shd w:val="clear" w:color="auto" w:fill="auto"/>
            <w:vAlign w:val="center"/>
            <w:hideMark/>
          </w:tcPr>
          <w:p w14:paraId="19D7791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284.4</w:t>
            </w:r>
          </w:p>
        </w:tc>
        <w:tc>
          <w:tcPr>
            <w:tcW w:w="980" w:type="dxa"/>
            <w:tcBorders>
              <w:top w:val="nil"/>
              <w:left w:val="single" w:sz="4" w:space="0" w:color="auto"/>
              <w:bottom w:val="single" w:sz="4" w:space="0" w:color="auto"/>
              <w:right w:val="nil"/>
            </w:tcBorders>
            <w:shd w:val="clear" w:color="auto" w:fill="auto"/>
            <w:vAlign w:val="center"/>
            <w:hideMark/>
          </w:tcPr>
          <w:p w14:paraId="7A4D079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286.6</w:t>
            </w:r>
          </w:p>
        </w:tc>
        <w:tc>
          <w:tcPr>
            <w:tcW w:w="980" w:type="dxa"/>
            <w:tcBorders>
              <w:top w:val="nil"/>
              <w:left w:val="single" w:sz="4" w:space="0" w:color="auto"/>
              <w:bottom w:val="single" w:sz="4" w:space="0" w:color="auto"/>
              <w:right w:val="nil"/>
            </w:tcBorders>
            <w:shd w:val="clear" w:color="auto" w:fill="auto"/>
            <w:vAlign w:val="center"/>
            <w:hideMark/>
          </w:tcPr>
          <w:p w14:paraId="7828704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301.5</w:t>
            </w:r>
          </w:p>
        </w:tc>
        <w:tc>
          <w:tcPr>
            <w:tcW w:w="980" w:type="dxa"/>
            <w:tcBorders>
              <w:top w:val="nil"/>
              <w:left w:val="single" w:sz="4" w:space="0" w:color="auto"/>
              <w:bottom w:val="single" w:sz="4" w:space="0" w:color="auto"/>
              <w:right w:val="nil"/>
            </w:tcBorders>
            <w:shd w:val="clear" w:color="auto" w:fill="auto"/>
            <w:vAlign w:val="center"/>
            <w:hideMark/>
          </w:tcPr>
          <w:p w14:paraId="4268914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315.8</w:t>
            </w:r>
          </w:p>
        </w:tc>
        <w:tc>
          <w:tcPr>
            <w:tcW w:w="980" w:type="dxa"/>
            <w:tcBorders>
              <w:top w:val="nil"/>
              <w:left w:val="single" w:sz="4" w:space="0" w:color="auto"/>
              <w:bottom w:val="single" w:sz="4" w:space="0" w:color="auto"/>
              <w:right w:val="nil"/>
            </w:tcBorders>
            <w:shd w:val="clear" w:color="auto" w:fill="auto"/>
            <w:vAlign w:val="center"/>
            <w:hideMark/>
          </w:tcPr>
          <w:p w14:paraId="409A859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327.7</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14:paraId="0303FD8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7B2480FE" w14:textId="77777777" w:rsidTr="007D2509">
        <w:trPr>
          <w:trHeight w:val="540"/>
        </w:trPr>
        <w:tc>
          <w:tcPr>
            <w:tcW w:w="2080" w:type="dxa"/>
            <w:tcBorders>
              <w:top w:val="single" w:sz="4" w:space="0" w:color="auto"/>
              <w:left w:val="single" w:sz="4" w:space="0" w:color="auto"/>
              <w:bottom w:val="single" w:sz="4" w:space="0" w:color="auto"/>
              <w:right w:val="nil"/>
            </w:tcBorders>
            <w:shd w:val="clear" w:color="000000" w:fill="3D4D7D"/>
            <w:vAlign w:val="center"/>
            <w:hideMark/>
          </w:tcPr>
          <w:p w14:paraId="69E8F6EC"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Change in revenue since 2019-20 National Fiscal Outlook</w:t>
            </w:r>
          </w:p>
        </w:tc>
        <w:tc>
          <w:tcPr>
            <w:tcW w:w="940" w:type="dxa"/>
            <w:tcBorders>
              <w:top w:val="single" w:sz="4" w:space="0" w:color="auto"/>
              <w:left w:val="single" w:sz="4" w:space="0" w:color="auto"/>
              <w:bottom w:val="single" w:sz="4" w:space="0" w:color="auto"/>
              <w:right w:val="single" w:sz="4" w:space="0" w:color="auto"/>
            </w:tcBorders>
            <w:shd w:val="clear" w:color="000000" w:fill="3D4D7D"/>
            <w:vAlign w:val="center"/>
            <w:hideMark/>
          </w:tcPr>
          <w:p w14:paraId="2955B3EC" w14:textId="77777777" w:rsidR="006A4309" w:rsidRPr="00EC38F3" w:rsidRDefault="006A4309" w:rsidP="006A4309">
            <w:pPr>
              <w:spacing w:line="240" w:lineRule="auto"/>
              <w:jc w:val="center"/>
              <w:rPr>
                <w:rFonts w:ascii="Arial" w:hAnsi="Arial" w:cs="Arial"/>
                <w:b/>
                <w:bCs/>
                <w:color w:val="FFFFFF"/>
                <w:sz w:val="14"/>
                <w:szCs w:val="14"/>
              </w:rPr>
            </w:pPr>
            <w:r w:rsidRPr="00EC38F3">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57E425B2"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66870A02"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6597E197"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0EB64928"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02213B35"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4FE91228"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1023" w:type="dxa"/>
            <w:tcBorders>
              <w:top w:val="single" w:sz="4" w:space="0" w:color="auto"/>
              <w:left w:val="nil"/>
              <w:bottom w:val="single" w:sz="4" w:space="0" w:color="auto"/>
              <w:right w:val="single" w:sz="4" w:space="0" w:color="auto"/>
            </w:tcBorders>
            <w:shd w:val="clear" w:color="000000" w:fill="3D4D7D"/>
            <w:vAlign w:val="center"/>
            <w:hideMark/>
          </w:tcPr>
          <w:p w14:paraId="3B6A6153"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Total revisions (2019-20 to 2022-23)</w:t>
            </w:r>
          </w:p>
        </w:tc>
      </w:tr>
      <w:tr w:rsidR="006A4309" w:rsidRPr="006A4309" w14:paraId="7E60AD1B"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2759A4B"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National</w:t>
            </w:r>
          </w:p>
        </w:tc>
        <w:tc>
          <w:tcPr>
            <w:tcW w:w="940" w:type="dxa"/>
            <w:tcBorders>
              <w:top w:val="single" w:sz="4" w:space="0" w:color="auto"/>
              <w:left w:val="single" w:sz="4" w:space="0" w:color="auto"/>
              <w:bottom w:val="nil"/>
              <w:right w:val="nil"/>
            </w:tcBorders>
            <w:shd w:val="clear" w:color="000000" w:fill="D2D9EA"/>
            <w:vAlign w:val="center"/>
            <w:hideMark/>
          </w:tcPr>
          <w:p w14:paraId="34ACF934"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single" w:sz="4" w:space="0" w:color="auto"/>
              <w:left w:val="single" w:sz="4" w:space="0" w:color="auto"/>
              <w:bottom w:val="nil"/>
              <w:right w:val="nil"/>
            </w:tcBorders>
            <w:shd w:val="clear" w:color="000000" w:fill="D2D9EA"/>
            <w:vAlign w:val="center"/>
            <w:hideMark/>
          </w:tcPr>
          <w:p w14:paraId="6AE0FE14"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-0.5</w:t>
            </w:r>
          </w:p>
        </w:tc>
        <w:tc>
          <w:tcPr>
            <w:tcW w:w="980" w:type="dxa"/>
            <w:tcBorders>
              <w:top w:val="single" w:sz="4" w:space="0" w:color="auto"/>
              <w:left w:val="single" w:sz="4" w:space="0" w:color="auto"/>
              <w:bottom w:val="nil"/>
              <w:right w:val="nil"/>
            </w:tcBorders>
            <w:shd w:val="clear" w:color="000000" w:fill="D2D9EA"/>
            <w:vAlign w:val="center"/>
            <w:hideMark/>
          </w:tcPr>
          <w:p w14:paraId="54803C5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-1.7</w:t>
            </w:r>
          </w:p>
        </w:tc>
        <w:tc>
          <w:tcPr>
            <w:tcW w:w="980" w:type="dxa"/>
            <w:tcBorders>
              <w:top w:val="single" w:sz="4" w:space="0" w:color="auto"/>
              <w:left w:val="single" w:sz="4" w:space="0" w:color="auto"/>
              <w:bottom w:val="nil"/>
              <w:right w:val="nil"/>
            </w:tcBorders>
            <w:shd w:val="clear" w:color="000000" w:fill="D2D9EA"/>
            <w:vAlign w:val="center"/>
            <w:hideMark/>
          </w:tcPr>
          <w:p w14:paraId="56972E1E"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-3.4</w:t>
            </w:r>
          </w:p>
        </w:tc>
        <w:tc>
          <w:tcPr>
            <w:tcW w:w="980" w:type="dxa"/>
            <w:tcBorders>
              <w:top w:val="single" w:sz="4" w:space="0" w:color="auto"/>
              <w:left w:val="single" w:sz="4" w:space="0" w:color="auto"/>
              <w:bottom w:val="nil"/>
              <w:right w:val="nil"/>
            </w:tcBorders>
            <w:shd w:val="clear" w:color="000000" w:fill="D2D9EA"/>
            <w:vAlign w:val="center"/>
            <w:hideMark/>
          </w:tcPr>
          <w:p w14:paraId="00D1194E"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-5.1</w:t>
            </w:r>
          </w:p>
        </w:tc>
        <w:tc>
          <w:tcPr>
            <w:tcW w:w="980" w:type="dxa"/>
            <w:tcBorders>
              <w:top w:val="single" w:sz="4" w:space="0" w:color="auto"/>
              <w:left w:val="single" w:sz="4" w:space="0" w:color="auto"/>
              <w:bottom w:val="nil"/>
              <w:right w:val="nil"/>
            </w:tcBorders>
            <w:shd w:val="clear" w:color="000000" w:fill="D2D9EA"/>
            <w:vAlign w:val="center"/>
            <w:hideMark/>
          </w:tcPr>
          <w:p w14:paraId="70C4881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-4.4</w:t>
            </w:r>
          </w:p>
        </w:tc>
        <w:tc>
          <w:tcPr>
            <w:tcW w:w="980" w:type="dxa"/>
            <w:tcBorders>
              <w:top w:val="single" w:sz="4" w:space="0" w:color="auto"/>
              <w:left w:val="single" w:sz="4" w:space="0" w:color="auto"/>
              <w:bottom w:val="nil"/>
              <w:right w:val="nil"/>
            </w:tcBorders>
            <w:shd w:val="clear" w:color="000000" w:fill="D2D9EA"/>
            <w:vAlign w:val="center"/>
            <w:hideMark/>
          </w:tcPr>
          <w:p w14:paraId="3EA5FAD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23" w:type="dxa"/>
            <w:tcBorders>
              <w:top w:val="single" w:sz="4" w:space="0" w:color="auto"/>
              <w:left w:val="single" w:sz="4" w:space="0" w:color="auto"/>
              <w:bottom w:val="nil"/>
              <w:right w:val="single" w:sz="4" w:space="0" w:color="auto"/>
            </w:tcBorders>
            <w:shd w:val="clear" w:color="000000" w:fill="D2D9EA"/>
            <w:vAlign w:val="center"/>
            <w:hideMark/>
          </w:tcPr>
          <w:p w14:paraId="0095656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55C3A23B"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5DDDF2F2"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single" w:sz="4" w:space="0" w:color="auto"/>
              <w:bottom w:val="nil"/>
              <w:right w:val="nil"/>
            </w:tcBorders>
            <w:shd w:val="clear" w:color="auto" w:fill="auto"/>
            <w:vAlign w:val="center"/>
            <w:hideMark/>
          </w:tcPr>
          <w:p w14:paraId="26BE2953"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68440ED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-10.2</w:t>
            </w:r>
          </w:p>
        </w:tc>
        <w:tc>
          <w:tcPr>
            <w:tcW w:w="980" w:type="dxa"/>
            <w:tcBorders>
              <w:top w:val="nil"/>
              <w:left w:val="single" w:sz="4" w:space="0" w:color="auto"/>
              <w:bottom w:val="nil"/>
              <w:right w:val="nil"/>
            </w:tcBorders>
            <w:shd w:val="clear" w:color="auto" w:fill="auto"/>
            <w:vAlign w:val="center"/>
            <w:hideMark/>
          </w:tcPr>
          <w:p w14:paraId="15FA6F6E"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-32.8</w:t>
            </w:r>
          </w:p>
        </w:tc>
        <w:tc>
          <w:tcPr>
            <w:tcW w:w="980" w:type="dxa"/>
            <w:tcBorders>
              <w:top w:val="nil"/>
              <w:left w:val="single" w:sz="4" w:space="0" w:color="auto"/>
              <w:bottom w:val="nil"/>
              <w:right w:val="nil"/>
            </w:tcBorders>
            <w:shd w:val="clear" w:color="auto" w:fill="auto"/>
            <w:vAlign w:val="center"/>
            <w:hideMark/>
          </w:tcPr>
          <w:p w14:paraId="4391853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-68.6</w:t>
            </w:r>
          </w:p>
        </w:tc>
        <w:tc>
          <w:tcPr>
            <w:tcW w:w="980" w:type="dxa"/>
            <w:tcBorders>
              <w:top w:val="nil"/>
              <w:left w:val="single" w:sz="4" w:space="0" w:color="auto"/>
              <w:bottom w:val="nil"/>
              <w:right w:val="nil"/>
            </w:tcBorders>
            <w:shd w:val="clear" w:color="auto" w:fill="auto"/>
            <w:vAlign w:val="center"/>
            <w:hideMark/>
          </w:tcPr>
          <w:p w14:paraId="40B02F9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-103.7</w:t>
            </w:r>
          </w:p>
        </w:tc>
        <w:tc>
          <w:tcPr>
            <w:tcW w:w="980" w:type="dxa"/>
            <w:tcBorders>
              <w:top w:val="nil"/>
              <w:left w:val="single" w:sz="4" w:space="0" w:color="auto"/>
              <w:bottom w:val="nil"/>
              <w:right w:val="nil"/>
            </w:tcBorders>
            <w:shd w:val="clear" w:color="auto" w:fill="auto"/>
            <w:vAlign w:val="center"/>
            <w:hideMark/>
          </w:tcPr>
          <w:p w14:paraId="421DF4C4"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-92.8</w:t>
            </w:r>
          </w:p>
        </w:tc>
        <w:tc>
          <w:tcPr>
            <w:tcW w:w="980" w:type="dxa"/>
            <w:tcBorders>
              <w:top w:val="nil"/>
              <w:left w:val="single" w:sz="4" w:space="0" w:color="auto"/>
              <w:bottom w:val="nil"/>
              <w:right w:val="nil"/>
            </w:tcBorders>
            <w:shd w:val="clear" w:color="auto" w:fill="auto"/>
            <w:vAlign w:val="center"/>
            <w:hideMark/>
          </w:tcPr>
          <w:p w14:paraId="1243DF4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23" w:type="dxa"/>
            <w:tcBorders>
              <w:top w:val="nil"/>
              <w:left w:val="single" w:sz="4" w:space="0" w:color="auto"/>
              <w:bottom w:val="nil"/>
              <w:right w:val="single" w:sz="4" w:space="0" w:color="auto"/>
            </w:tcBorders>
            <w:shd w:val="clear" w:color="auto" w:fill="auto"/>
            <w:vAlign w:val="center"/>
            <w:hideMark/>
          </w:tcPr>
          <w:p w14:paraId="50D9FCCA" w14:textId="77777777" w:rsidR="006A4309" w:rsidRPr="006A4309" w:rsidRDefault="006A4309" w:rsidP="006A4309">
            <w:pPr>
              <w:spacing w:line="240" w:lineRule="auto"/>
              <w:jc w:val="center"/>
              <w:rPr>
                <w:rFonts w:ascii="Arial" w:hAnsi="Arial" w:cs="Arial"/>
                <w:b/>
                <w:bCs/>
                <w:sz w:val="14"/>
                <w:szCs w:val="14"/>
              </w:rPr>
            </w:pPr>
            <w:r w:rsidRPr="006A4309">
              <w:rPr>
                <w:rFonts w:ascii="Arial" w:hAnsi="Arial" w:cs="Arial"/>
                <w:b/>
                <w:bCs/>
                <w:sz w:val="14"/>
                <w:szCs w:val="14"/>
              </w:rPr>
              <w:t>-297.9</w:t>
            </w:r>
          </w:p>
        </w:tc>
      </w:tr>
      <w:tr w:rsidR="006A4309" w:rsidRPr="006A4309" w14:paraId="4E31E7A1"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D338AE6"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Commonwealth</w:t>
            </w:r>
          </w:p>
        </w:tc>
        <w:tc>
          <w:tcPr>
            <w:tcW w:w="940" w:type="dxa"/>
            <w:tcBorders>
              <w:top w:val="nil"/>
              <w:left w:val="single" w:sz="4" w:space="0" w:color="auto"/>
              <w:bottom w:val="nil"/>
              <w:right w:val="nil"/>
            </w:tcBorders>
            <w:shd w:val="clear" w:color="000000" w:fill="D2D9EA"/>
            <w:vAlign w:val="center"/>
            <w:hideMark/>
          </w:tcPr>
          <w:p w14:paraId="4D646EBF"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20F9836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-0.2</w:t>
            </w:r>
          </w:p>
        </w:tc>
        <w:tc>
          <w:tcPr>
            <w:tcW w:w="980" w:type="dxa"/>
            <w:tcBorders>
              <w:top w:val="nil"/>
              <w:left w:val="single" w:sz="4" w:space="0" w:color="auto"/>
              <w:bottom w:val="nil"/>
              <w:right w:val="nil"/>
            </w:tcBorders>
            <w:shd w:val="clear" w:color="000000" w:fill="D2D9EA"/>
            <w:vAlign w:val="center"/>
            <w:hideMark/>
          </w:tcPr>
          <w:p w14:paraId="1F3212F5"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-1.4</w:t>
            </w:r>
          </w:p>
        </w:tc>
        <w:tc>
          <w:tcPr>
            <w:tcW w:w="980" w:type="dxa"/>
            <w:tcBorders>
              <w:top w:val="nil"/>
              <w:left w:val="single" w:sz="4" w:space="0" w:color="auto"/>
              <w:bottom w:val="nil"/>
              <w:right w:val="nil"/>
            </w:tcBorders>
            <w:shd w:val="clear" w:color="000000" w:fill="D2D9EA"/>
            <w:vAlign w:val="center"/>
            <w:hideMark/>
          </w:tcPr>
          <w:p w14:paraId="5F0DF80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-2.6</w:t>
            </w:r>
          </w:p>
        </w:tc>
        <w:tc>
          <w:tcPr>
            <w:tcW w:w="980" w:type="dxa"/>
            <w:tcBorders>
              <w:top w:val="nil"/>
              <w:left w:val="single" w:sz="4" w:space="0" w:color="auto"/>
              <w:bottom w:val="nil"/>
              <w:right w:val="nil"/>
            </w:tcBorders>
            <w:shd w:val="clear" w:color="000000" w:fill="D2D9EA"/>
            <w:vAlign w:val="center"/>
            <w:hideMark/>
          </w:tcPr>
          <w:p w14:paraId="35EFFE4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-4.5</w:t>
            </w:r>
          </w:p>
        </w:tc>
        <w:tc>
          <w:tcPr>
            <w:tcW w:w="980" w:type="dxa"/>
            <w:tcBorders>
              <w:top w:val="nil"/>
              <w:left w:val="single" w:sz="4" w:space="0" w:color="auto"/>
              <w:bottom w:val="nil"/>
              <w:right w:val="nil"/>
            </w:tcBorders>
            <w:shd w:val="clear" w:color="000000" w:fill="D2D9EA"/>
            <w:vAlign w:val="center"/>
            <w:hideMark/>
          </w:tcPr>
          <w:p w14:paraId="52FAC14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-4.1</w:t>
            </w:r>
          </w:p>
        </w:tc>
        <w:tc>
          <w:tcPr>
            <w:tcW w:w="980" w:type="dxa"/>
            <w:tcBorders>
              <w:top w:val="nil"/>
              <w:left w:val="single" w:sz="4" w:space="0" w:color="auto"/>
              <w:bottom w:val="nil"/>
              <w:right w:val="nil"/>
            </w:tcBorders>
            <w:shd w:val="clear" w:color="000000" w:fill="D2D9EA"/>
            <w:vAlign w:val="center"/>
            <w:hideMark/>
          </w:tcPr>
          <w:p w14:paraId="78D6D38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23" w:type="dxa"/>
            <w:tcBorders>
              <w:top w:val="nil"/>
              <w:left w:val="single" w:sz="4" w:space="0" w:color="auto"/>
              <w:bottom w:val="nil"/>
              <w:right w:val="single" w:sz="4" w:space="0" w:color="auto"/>
            </w:tcBorders>
            <w:shd w:val="clear" w:color="000000" w:fill="D2D9EA"/>
            <w:vAlign w:val="center"/>
            <w:hideMark/>
          </w:tcPr>
          <w:p w14:paraId="647DEE75"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11F19300"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6B8FDF41"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single" w:sz="4" w:space="0" w:color="auto"/>
              <w:bottom w:val="nil"/>
              <w:right w:val="nil"/>
            </w:tcBorders>
            <w:shd w:val="clear" w:color="auto" w:fill="auto"/>
            <w:vAlign w:val="center"/>
            <w:hideMark/>
          </w:tcPr>
          <w:p w14:paraId="0974C3AB"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5F831EC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-3.4</w:t>
            </w:r>
          </w:p>
        </w:tc>
        <w:tc>
          <w:tcPr>
            <w:tcW w:w="980" w:type="dxa"/>
            <w:tcBorders>
              <w:top w:val="nil"/>
              <w:left w:val="single" w:sz="4" w:space="0" w:color="auto"/>
              <w:bottom w:val="nil"/>
              <w:right w:val="nil"/>
            </w:tcBorders>
            <w:shd w:val="clear" w:color="auto" w:fill="auto"/>
            <w:vAlign w:val="center"/>
            <w:hideMark/>
          </w:tcPr>
          <w:p w14:paraId="443FD5B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-27.5</w:t>
            </w:r>
          </w:p>
        </w:tc>
        <w:tc>
          <w:tcPr>
            <w:tcW w:w="980" w:type="dxa"/>
            <w:tcBorders>
              <w:top w:val="nil"/>
              <w:left w:val="single" w:sz="4" w:space="0" w:color="auto"/>
              <w:bottom w:val="nil"/>
              <w:right w:val="nil"/>
            </w:tcBorders>
            <w:shd w:val="clear" w:color="auto" w:fill="auto"/>
            <w:vAlign w:val="center"/>
            <w:hideMark/>
          </w:tcPr>
          <w:p w14:paraId="5FF5994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-52.1</w:t>
            </w:r>
          </w:p>
        </w:tc>
        <w:tc>
          <w:tcPr>
            <w:tcW w:w="980" w:type="dxa"/>
            <w:tcBorders>
              <w:top w:val="nil"/>
              <w:left w:val="single" w:sz="4" w:space="0" w:color="auto"/>
              <w:bottom w:val="nil"/>
              <w:right w:val="nil"/>
            </w:tcBorders>
            <w:shd w:val="clear" w:color="auto" w:fill="auto"/>
            <w:vAlign w:val="center"/>
            <w:hideMark/>
          </w:tcPr>
          <w:p w14:paraId="6C06188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-92.2</w:t>
            </w:r>
          </w:p>
        </w:tc>
        <w:tc>
          <w:tcPr>
            <w:tcW w:w="980" w:type="dxa"/>
            <w:tcBorders>
              <w:top w:val="nil"/>
              <w:left w:val="single" w:sz="4" w:space="0" w:color="auto"/>
              <w:bottom w:val="nil"/>
              <w:right w:val="nil"/>
            </w:tcBorders>
            <w:shd w:val="clear" w:color="auto" w:fill="auto"/>
            <w:vAlign w:val="center"/>
            <w:hideMark/>
          </w:tcPr>
          <w:p w14:paraId="40E8B84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-85.6</w:t>
            </w:r>
          </w:p>
        </w:tc>
        <w:tc>
          <w:tcPr>
            <w:tcW w:w="980" w:type="dxa"/>
            <w:tcBorders>
              <w:top w:val="nil"/>
              <w:left w:val="single" w:sz="4" w:space="0" w:color="auto"/>
              <w:bottom w:val="nil"/>
              <w:right w:val="nil"/>
            </w:tcBorders>
            <w:shd w:val="clear" w:color="auto" w:fill="auto"/>
            <w:vAlign w:val="center"/>
            <w:hideMark/>
          </w:tcPr>
          <w:p w14:paraId="3AF3758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23" w:type="dxa"/>
            <w:tcBorders>
              <w:top w:val="nil"/>
              <w:left w:val="single" w:sz="4" w:space="0" w:color="auto"/>
              <w:bottom w:val="nil"/>
              <w:right w:val="single" w:sz="4" w:space="0" w:color="auto"/>
            </w:tcBorders>
            <w:shd w:val="clear" w:color="auto" w:fill="auto"/>
            <w:vAlign w:val="center"/>
            <w:hideMark/>
          </w:tcPr>
          <w:p w14:paraId="28EFC8A8" w14:textId="77777777" w:rsidR="006A4309" w:rsidRPr="006A4309" w:rsidRDefault="006A4309" w:rsidP="006A4309">
            <w:pPr>
              <w:spacing w:line="240" w:lineRule="auto"/>
              <w:jc w:val="center"/>
              <w:rPr>
                <w:rFonts w:ascii="Arial" w:hAnsi="Arial" w:cs="Arial"/>
                <w:b/>
                <w:bCs/>
                <w:sz w:val="14"/>
                <w:szCs w:val="14"/>
              </w:rPr>
            </w:pPr>
            <w:r w:rsidRPr="006A4309">
              <w:rPr>
                <w:rFonts w:ascii="Arial" w:hAnsi="Arial" w:cs="Arial"/>
                <w:b/>
                <w:bCs/>
                <w:sz w:val="14"/>
                <w:szCs w:val="14"/>
              </w:rPr>
              <w:t>-257.4</w:t>
            </w:r>
          </w:p>
        </w:tc>
      </w:tr>
      <w:tr w:rsidR="006A4309" w:rsidRPr="006A4309" w14:paraId="0B3D9BE1" w14:textId="77777777" w:rsidTr="007D2509">
        <w:trPr>
          <w:trHeight w:val="300"/>
        </w:trPr>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BA122CA"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State and territory</w:t>
            </w:r>
          </w:p>
        </w:tc>
        <w:tc>
          <w:tcPr>
            <w:tcW w:w="940" w:type="dxa"/>
            <w:tcBorders>
              <w:top w:val="nil"/>
              <w:left w:val="single" w:sz="4" w:space="0" w:color="auto"/>
              <w:bottom w:val="nil"/>
              <w:right w:val="nil"/>
            </w:tcBorders>
            <w:shd w:val="clear" w:color="000000" w:fill="D2D9EA"/>
            <w:vAlign w:val="center"/>
            <w:hideMark/>
          </w:tcPr>
          <w:p w14:paraId="6FC09DA2"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4B6C529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-0.1</w:t>
            </w:r>
          </w:p>
        </w:tc>
        <w:tc>
          <w:tcPr>
            <w:tcW w:w="980" w:type="dxa"/>
            <w:tcBorders>
              <w:top w:val="nil"/>
              <w:left w:val="single" w:sz="4" w:space="0" w:color="auto"/>
              <w:bottom w:val="nil"/>
              <w:right w:val="nil"/>
            </w:tcBorders>
            <w:shd w:val="clear" w:color="000000" w:fill="D2D9EA"/>
            <w:vAlign w:val="center"/>
            <w:hideMark/>
          </w:tcPr>
          <w:p w14:paraId="15A9B67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-0.3</w:t>
            </w:r>
          </w:p>
        </w:tc>
        <w:tc>
          <w:tcPr>
            <w:tcW w:w="980" w:type="dxa"/>
            <w:tcBorders>
              <w:top w:val="nil"/>
              <w:left w:val="single" w:sz="4" w:space="0" w:color="auto"/>
              <w:bottom w:val="nil"/>
              <w:right w:val="nil"/>
            </w:tcBorders>
            <w:shd w:val="clear" w:color="000000" w:fill="D2D9EA"/>
            <w:vAlign w:val="center"/>
            <w:hideMark/>
          </w:tcPr>
          <w:p w14:paraId="2AC8AE05"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-0.8</w:t>
            </w:r>
          </w:p>
        </w:tc>
        <w:tc>
          <w:tcPr>
            <w:tcW w:w="980" w:type="dxa"/>
            <w:tcBorders>
              <w:top w:val="nil"/>
              <w:left w:val="single" w:sz="4" w:space="0" w:color="auto"/>
              <w:bottom w:val="nil"/>
              <w:right w:val="nil"/>
            </w:tcBorders>
            <w:shd w:val="clear" w:color="000000" w:fill="D2D9EA"/>
            <w:vAlign w:val="center"/>
            <w:hideMark/>
          </w:tcPr>
          <w:p w14:paraId="6FC8CCA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-0.5</w:t>
            </w:r>
          </w:p>
        </w:tc>
        <w:tc>
          <w:tcPr>
            <w:tcW w:w="980" w:type="dxa"/>
            <w:tcBorders>
              <w:top w:val="nil"/>
              <w:left w:val="single" w:sz="4" w:space="0" w:color="auto"/>
              <w:bottom w:val="nil"/>
              <w:right w:val="nil"/>
            </w:tcBorders>
            <w:shd w:val="clear" w:color="000000" w:fill="D2D9EA"/>
            <w:vAlign w:val="center"/>
            <w:hideMark/>
          </w:tcPr>
          <w:p w14:paraId="056036E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-0.3</w:t>
            </w:r>
          </w:p>
        </w:tc>
        <w:tc>
          <w:tcPr>
            <w:tcW w:w="980" w:type="dxa"/>
            <w:tcBorders>
              <w:top w:val="nil"/>
              <w:left w:val="single" w:sz="4" w:space="0" w:color="auto"/>
              <w:bottom w:val="nil"/>
              <w:right w:val="nil"/>
            </w:tcBorders>
            <w:shd w:val="clear" w:color="000000" w:fill="D2D9EA"/>
            <w:vAlign w:val="center"/>
            <w:hideMark/>
          </w:tcPr>
          <w:p w14:paraId="5726144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23" w:type="dxa"/>
            <w:tcBorders>
              <w:top w:val="nil"/>
              <w:left w:val="single" w:sz="4" w:space="0" w:color="auto"/>
              <w:bottom w:val="nil"/>
              <w:right w:val="single" w:sz="4" w:space="0" w:color="auto"/>
            </w:tcBorders>
            <w:shd w:val="clear" w:color="000000" w:fill="D2D9EA"/>
            <w:vAlign w:val="center"/>
            <w:hideMark/>
          </w:tcPr>
          <w:p w14:paraId="6AE5C18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53C98A99" w14:textId="77777777" w:rsidTr="007D2509">
        <w:trPr>
          <w:trHeight w:val="300"/>
        </w:trPr>
        <w:tc>
          <w:tcPr>
            <w:tcW w:w="2080" w:type="dxa"/>
            <w:vMerge/>
            <w:tcBorders>
              <w:top w:val="single" w:sz="4" w:space="0" w:color="auto"/>
              <w:left w:val="single" w:sz="4" w:space="0" w:color="auto"/>
              <w:bottom w:val="single" w:sz="4" w:space="0" w:color="auto"/>
              <w:right w:val="nil"/>
            </w:tcBorders>
            <w:vAlign w:val="center"/>
            <w:hideMark/>
          </w:tcPr>
          <w:p w14:paraId="5591BFC2"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single" w:sz="4" w:space="0" w:color="auto"/>
              <w:bottom w:val="single" w:sz="4" w:space="0" w:color="auto"/>
              <w:right w:val="nil"/>
            </w:tcBorders>
            <w:shd w:val="clear" w:color="auto" w:fill="auto"/>
            <w:vAlign w:val="center"/>
            <w:hideMark/>
          </w:tcPr>
          <w:p w14:paraId="53765815"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single" w:sz="4" w:space="0" w:color="auto"/>
              <w:right w:val="nil"/>
            </w:tcBorders>
            <w:shd w:val="clear" w:color="auto" w:fill="auto"/>
            <w:vAlign w:val="center"/>
            <w:hideMark/>
          </w:tcPr>
          <w:p w14:paraId="7E1DF8F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-2.0</w:t>
            </w:r>
          </w:p>
        </w:tc>
        <w:tc>
          <w:tcPr>
            <w:tcW w:w="980" w:type="dxa"/>
            <w:tcBorders>
              <w:top w:val="nil"/>
              <w:left w:val="single" w:sz="4" w:space="0" w:color="auto"/>
              <w:bottom w:val="single" w:sz="4" w:space="0" w:color="auto"/>
              <w:right w:val="nil"/>
            </w:tcBorders>
            <w:shd w:val="clear" w:color="auto" w:fill="auto"/>
            <w:vAlign w:val="center"/>
            <w:hideMark/>
          </w:tcPr>
          <w:p w14:paraId="5EE505A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-6.9</w:t>
            </w:r>
          </w:p>
        </w:tc>
        <w:tc>
          <w:tcPr>
            <w:tcW w:w="980" w:type="dxa"/>
            <w:tcBorders>
              <w:top w:val="nil"/>
              <w:left w:val="single" w:sz="4" w:space="0" w:color="auto"/>
              <w:bottom w:val="single" w:sz="4" w:space="0" w:color="auto"/>
              <w:right w:val="nil"/>
            </w:tcBorders>
            <w:shd w:val="clear" w:color="auto" w:fill="auto"/>
            <w:vAlign w:val="center"/>
            <w:hideMark/>
          </w:tcPr>
          <w:p w14:paraId="1317B80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-15.4</w:t>
            </w:r>
          </w:p>
        </w:tc>
        <w:tc>
          <w:tcPr>
            <w:tcW w:w="980" w:type="dxa"/>
            <w:tcBorders>
              <w:top w:val="nil"/>
              <w:left w:val="single" w:sz="4" w:space="0" w:color="auto"/>
              <w:bottom w:val="single" w:sz="4" w:space="0" w:color="auto"/>
              <w:right w:val="nil"/>
            </w:tcBorders>
            <w:shd w:val="clear" w:color="auto" w:fill="auto"/>
            <w:vAlign w:val="center"/>
            <w:hideMark/>
          </w:tcPr>
          <w:p w14:paraId="0FFCD4BE"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-9.9</w:t>
            </w:r>
          </w:p>
        </w:tc>
        <w:tc>
          <w:tcPr>
            <w:tcW w:w="980" w:type="dxa"/>
            <w:tcBorders>
              <w:top w:val="nil"/>
              <w:left w:val="single" w:sz="4" w:space="0" w:color="auto"/>
              <w:bottom w:val="single" w:sz="4" w:space="0" w:color="auto"/>
              <w:right w:val="nil"/>
            </w:tcBorders>
            <w:shd w:val="clear" w:color="auto" w:fill="auto"/>
            <w:vAlign w:val="center"/>
            <w:hideMark/>
          </w:tcPr>
          <w:p w14:paraId="717A46D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-7.0</w:t>
            </w:r>
          </w:p>
        </w:tc>
        <w:tc>
          <w:tcPr>
            <w:tcW w:w="980" w:type="dxa"/>
            <w:tcBorders>
              <w:top w:val="nil"/>
              <w:left w:val="single" w:sz="4" w:space="0" w:color="auto"/>
              <w:bottom w:val="single" w:sz="4" w:space="0" w:color="auto"/>
              <w:right w:val="nil"/>
            </w:tcBorders>
            <w:shd w:val="clear" w:color="auto" w:fill="auto"/>
            <w:vAlign w:val="center"/>
            <w:hideMark/>
          </w:tcPr>
          <w:p w14:paraId="7AFC09A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14:paraId="320A64CB" w14:textId="77777777" w:rsidR="006A4309" w:rsidRPr="006A4309" w:rsidRDefault="006A4309" w:rsidP="006A4309">
            <w:pPr>
              <w:spacing w:line="240" w:lineRule="auto"/>
              <w:jc w:val="center"/>
              <w:rPr>
                <w:rFonts w:ascii="Arial" w:hAnsi="Arial" w:cs="Arial"/>
                <w:b/>
                <w:bCs/>
                <w:sz w:val="14"/>
                <w:szCs w:val="14"/>
              </w:rPr>
            </w:pPr>
            <w:r w:rsidRPr="006A4309">
              <w:rPr>
                <w:rFonts w:ascii="Arial" w:hAnsi="Arial" w:cs="Arial"/>
                <w:b/>
                <w:bCs/>
                <w:sz w:val="14"/>
                <w:szCs w:val="14"/>
              </w:rPr>
              <w:t>-39.3</w:t>
            </w:r>
          </w:p>
        </w:tc>
      </w:tr>
    </w:tbl>
    <w:p w14:paraId="79EE2345" w14:textId="77777777" w:rsidR="006A4309" w:rsidRDefault="006A4309">
      <w:r>
        <w:br w:type="page"/>
      </w:r>
    </w:p>
    <w:tbl>
      <w:tblPr>
        <w:tblW w:w="9958" w:type="dxa"/>
        <w:tblLook w:val="04A0" w:firstRow="1" w:lastRow="0" w:firstColumn="1" w:lastColumn="0" w:noHBand="0" w:noVBand="1"/>
      </w:tblPr>
      <w:tblGrid>
        <w:gridCol w:w="2080"/>
        <w:gridCol w:w="940"/>
        <w:gridCol w:w="980"/>
        <w:gridCol w:w="980"/>
        <w:gridCol w:w="980"/>
        <w:gridCol w:w="980"/>
        <w:gridCol w:w="980"/>
        <w:gridCol w:w="980"/>
        <w:gridCol w:w="1058"/>
      </w:tblGrid>
      <w:tr w:rsidR="006A4309" w:rsidRPr="00EC38F3" w14:paraId="2AF11990" w14:textId="77777777" w:rsidTr="007D2509">
        <w:trPr>
          <w:trHeight w:val="300"/>
        </w:trPr>
        <w:tc>
          <w:tcPr>
            <w:tcW w:w="9958" w:type="dxa"/>
            <w:gridSpan w:val="9"/>
            <w:tcBorders>
              <w:top w:val="nil"/>
              <w:left w:val="nil"/>
              <w:bottom w:val="single" w:sz="4" w:space="0" w:color="auto"/>
              <w:right w:val="nil"/>
            </w:tcBorders>
            <w:shd w:val="clear" w:color="auto" w:fill="auto"/>
            <w:vAlign w:val="bottom"/>
            <w:hideMark/>
          </w:tcPr>
          <w:p w14:paraId="782B29D7" w14:textId="0BB0C7EC" w:rsidR="006A4309" w:rsidRPr="007D2509" w:rsidRDefault="006A4309" w:rsidP="006874AD">
            <w:pPr>
              <w:pStyle w:val="Captionheading1"/>
              <w:rPr>
                <w:b w:val="0"/>
                <w:bCs w:val="0"/>
                <w:color w:val="3D4D7D" w:themeColor="background2"/>
              </w:rPr>
            </w:pPr>
            <w:r w:rsidRPr="007D2509">
              <w:rPr>
                <w:color w:val="3D4D7D" w:themeColor="background2"/>
              </w:rPr>
              <w:lastRenderedPageBreak/>
              <w:t xml:space="preserve">Table </w:t>
            </w:r>
            <w:r w:rsidR="00EC38F3" w:rsidRPr="007D2509">
              <w:rPr>
                <w:color w:val="3D4D7D" w:themeColor="background2"/>
              </w:rPr>
              <w:t>A</w:t>
            </w:r>
            <w:r w:rsidR="006874AD">
              <w:rPr>
                <w:color w:val="3D4D7D" w:themeColor="background2"/>
              </w:rPr>
              <w:t>5</w:t>
            </w:r>
            <w:r w:rsidRPr="007D2509">
              <w:rPr>
                <w:color w:val="3D4D7D" w:themeColor="background2"/>
              </w:rPr>
              <w:t>: Expenses</w:t>
            </w:r>
          </w:p>
        </w:tc>
      </w:tr>
      <w:tr w:rsidR="006A4309" w:rsidRPr="006A4309" w14:paraId="2F2E576F" w14:textId="77777777" w:rsidTr="007D2509">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3D4D7D"/>
            <w:vAlign w:val="center"/>
            <w:hideMark/>
          </w:tcPr>
          <w:p w14:paraId="7E6E77E9" w14:textId="28D451CB" w:rsidR="006A4309" w:rsidRPr="006A4309" w:rsidRDefault="00C35604" w:rsidP="006A4309">
            <w:pPr>
              <w:spacing w:line="240" w:lineRule="auto"/>
              <w:jc w:val="center"/>
              <w:rPr>
                <w:rFonts w:ascii="Arial" w:hAnsi="Arial" w:cs="Arial"/>
                <w:b/>
                <w:bCs/>
                <w:color w:val="FFFFFF"/>
                <w:sz w:val="14"/>
                <w:szCs w:val="14"/>
              </w:rPr>
            </w:pPr>
            <w:r>
              <w:rPr>
                <w:rFonts w:ascii="Arial" w:hAnsi="Arial" w:cs="Arial"/>
                <w:b/>
                <w:bCs/>
                <w:color w:val="FFFFFF"/>
                <w:sz w:val="14"/>
                <w:szCs w:val="14"/>
              </w:rPr>
              <w:t>Expenses</w:t>
            </w:r>
            <w:r w:rsidR="006A4309" w:rsidRPr="006A4309">
              <w:rPr>
                <w:rFonts w:ascii="Arial" w:hAnsi="Arial" w:cs="Arial"/>
                <w:b/>
                <w:bCs/>
                <w:color w:val="FFFFFF"/>
                <w:sz w:val="14"/>
                <w:szCs w:val="14"/>
              </w:rPr>
              <w:t> </w:t>
            </w:r>
          </w:p>
        </w:tc>
        <w:tc>
          <w:tcPr>
            <w:tcW w:w="940" w:type="dxa"/>
            <w:tcBorders>
              <w:top w:val="single" w:sz="4" w:space="0" w:color="auto"/>
              <w:left w:val="nil"/>
              <w:bottom w:val="single" w:sz="4" w:space="0" w:color="auto"/>
              <w:right w:val="single" w:sz="4" w:space="0" w:color="auto"/>
            </w:tcBorders>
            <w:shd w:val="clear" w:color="000000" w:fill="3D4D7D"/>
            <w:vAlign w:val="center"/>
            <w:hideMark/>
          </w:tcPr>
          <w:p w14:paraId="6EFB143C"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314445E6"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2018-19</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233A4506"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2019-20</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0D76C110"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2020-21</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1FD93A09"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2021-22</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6B944016"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2022-23</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316B7D83"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2023-24</w:t>
            </w:r>
          </w:p>
        </w:tc>
        <w:tc>
          <w:tcPr>
            <w:tcW w:w="1058" w:type="dxa"/>
            <w:tcBorders>
              <w:top w:val="single" w:sz="4" w:space="0" w:color="auto"/>
              <w:left w:val="nil"/>
              <w:bottom w:val="single" w:sz="4" w:space="0" w:color="auto"/>
              <w:right w:val="single" w:sz="4" w:space="0" w:color="auto"/>
            </w:tcBorders>
            <w:shd w:val="clear" w:color="000000" w:fill="3D4D7D"/>
            <w:vAlign w:val="center"/>
            <w:hideMark/>
          </w:tcPr>
          <w:p w14:paraId="03BAC543"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r>
      <w:tr w:rsidR="006A4309" w:rsidRPr="006A4309" w14:paraId="75AFBD6B"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D0ABA"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National</w:t>
            </w:r>
          </w:p>
        </w:tc>
        <w:tc>
          <w:tcPr>
            <w:tcW w:w="940" w:type="dxa"/>
            <w:tcBorders>
              <w:top w:val="single" w:sz="4" w:space="0" w:color="auto"/>
              <w:left w:val="nil"/>
              <w:bottom w:val="nil"/>
              <w:right w:val="nil"/>
            </w:tcBorders>
            <w:shd w:val="clear" w:color="000000" w:fill="D2D9EA"/>
            <w:vAlign w:val="center"/>
            <w:hideMark/>
          </w:tcPr>
          <w:p w14:paraId="7DF14D65"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single" w:sz="4" w:space="0" w:color="auto"/>
              <w:left w:val="single" w:sz="4" w:space="0" w:color="auto"/>
              <w:bottom w:val="nil"/>
              <w:right w:val="nil"/>
            </w:tcBorders>
            <w:shd w:val="clear" w:color="000000" w:fill="D2D9EA"/>
            <w:vAlign w:val="center"/>
            <w:hideMark/>
          </w:tcPr>
          <w:p w14:paraId="2D33150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32.4</w:t>
            </w:r>
          </w:p>
        </w:tc>
        <w:tc>
          <w:tcPr>
            <w:tcW w:w="980" w:type="dxa"/>
            <w:tcBorders>
              <w:top w:val="single" w:sz="4" w:space="0" w:color="auto"/>
              <w:left w:val="single" w:sz="4" w:space="0" w:color="auto"/>
              <w:bottom w:val="nil"/>
              <w:right w:val="nil"/>
            </w:tcBorders>
            <w:shd w:val="clear" w:color="000000" w:fill="D2D9EA"/>
            <w:vAlign w:val="center"/>
            <w:hideMark/>
          </w:tcPr>
          <w:p w14:paraId="1BB97DD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39.8</w:t>
            </w:r>
          </w:p>
        </w:tc>
        <w:tc>
          <w:tcPr>
            <w:tcW w:w="980" w:type="dxa"/>
            <w:tcBorders>
              <w:top w:val="single" w:sz="4" w:space="0" w:color="auto"/>
              <w:left w:val="single" w:sz="4" w:space="0" w:color="auto"/>
              <w:bottom w:val="nil"/>
              <w:right w:val="nil"/>
            </w:tcBorders>
            <w:shd w:val="clear" w:color="000000" w:fill="D2D9EA"/>
            <w:vAlign w:val="center"/>
            <w:hideMark/>
          </w:tcPr>
          <w:p w14:paraId="361D569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44.9</w:t>
            </w:r>
          </w:p>
        </w:tc>
        <w:tc>
          <w:tcPr>
            <w:tcW w:w="980" w:type="dxa"/>
            <w:tcBorders>
              <w:top w:val="single" w:sz="4" w:space="0" w:color="auto"/>
              <w:left w:val="single" w:sz="4" w:space="0" w:color="auto"/>
              <w:bottom w:val="nil"/>
              <w:right w:val="nil"/>
            </w:tcBorders>
            <w:shd w:val="clear" w:color="000000" w:fill="D2D9EA"/>
            <w:vAlign w:val="center"/>
            <w:hideMark/>
          </w:tcPr>
          <w:p w14:paraId="1E90465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38.8</w:t>
            </w:r>
          </w:p>
        </w:tc>
        <w:tc>
          <w:tcPr>
            <w:tcW w:w="980" w:type="dxa"/>
            <w:tcBorders>
              <w:top w:val="single" w:sz="4" w:space="0" w:color="auto"/>
              <w:left w:val="single" w:sz="4" w:space="0" w:color="auto"/>
              <w:bottom w:val="nil"/>
              <w:right w:val="nil"/>
            </w:tcBorders>
            <w:shd w:val="clear" w:color="000000" w:fill="D2D9EA"/>
            <w:vAlign w:val="center"/>
            <w:hideMark/>
          </w:tcPr>
          <w:p w14:paraId="1FE621E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37.4</w:t>
            </w:r>
          </w:p>
        </w:tc>
        <w:tc>
          <w:tcPr>
            <w:tcW w:w="980" w:type="dxa"/>
            <w:tcBorders>
              <w:top w:val="single" w:sz="4" w:space="0" w:color="auto"/>
              <w:left w:val="single" w:sz="4" w:space="0" w:color="auto"/>
              <w:bottom w:val="nil"/>
              <w:right w:val="nil"/>
            </w:tcBorders>
            <w:shd w:val="clear" w:color="000000" w:fill="D2D9EA"/>
            <w:vAlign w:val="center"/>
            <w:hideMark/>
          </w:tcPr>
          <w:p w14:paraId="5AAFBFF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36.7</w:t>
            </w:r>
          </w:p>
        </w:tc>
        <w:tc>
          <w:tcPr>
            <w:tcW w:w="1058" w:type="dxa"/>
            <w:tcBorders>
              <w:top w:val="single" w:sz="4" w:space="0" w:color="auto"/>
              <w:left w:val="single" w:sz="4" w:space="0" w:color="auto"/>
              <w:bottom w:val="nil"/>
              <w:right w:val="single" w:sz="4" w:space="0" w:color="auto"/>
            </w:tcBorders>
            <w:shd w:val="clear" w:color="000000" w:fill="D2D9EA"/>
            <w:vAlign w:val="center"/>
            <w:hideMark/>
          </w:tcPr>
          <w:p w14:paraId="2365064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765A8FA5"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2029EF7"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nil"/>
              <w:bottom w:val="nil"/>
              <w:right w:val="nil"/>
            </w:tcBorders>
            <w:shd w:val="clear" w:color="auto" w:fill="auto"/>
            <w:vAlign w:val="center"/>
            <w:hideMark/>
          </w:tcPr>
          <w:p w14:paraId="6999558D"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3A73EAC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632.1</w:t>
            </w:r>
          </w:p>
        </w:tc>
        <w:tc>
          <w:tcPr>
            <w:tcW w:w="980" w:type="dxa"/>
            <w:tcBorders>
              <w:top w:val="nil"/>
              <w:left w:val="single" w:sz="4" w:space="0" w:color="auto"/>
              <w:bottom w:val="nil"/>
              <w:right w:val="nil"/>
            </w:tcBorders>
            <w:shd w:val="clear" w:color="auto" w:fill="auto"/>
            <w:vAlign w:val="center"/>
            <w:hideMark/>
          </w:tcPr>
          <w:p w14:paraId="0C018A24"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790.9</w:t>
            </w:r>
          </w:p>
        </w:tc>
        <w:tc>
          <w:tcPr>
            <w:tcW w:w="980" w:type="dxa"/>
            <w:tcBorders>
              <w:top w:val="nil"/>
              <w:left w:val="single" w:sz="4" w:space="0" w:color="auto"/>
              <w:bottom w:val="nil"/>
              <w:right w:val="nil"/>
            </w:tcBorders>
            <w:shd w:val="clear" w:color="auto" w:fill="auto"/>
            <w:vAlign w:val="center"/>
            <w:hideMark/>
          </w:tcPr>
          <w:p w14:paraId="321D380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901.0</w:t>
            </w:r>
          </w:p>
        </w:tc>
        <w:tc>
          <w:tcPr>
            <w:tcW w:w="980" w:type="dxa"/>
            <w:tcBorders>
              <w:top w:val="nil"/>
              <w:left w:val="single" w:sz="4" w:space="0" w:color="auto"/>
              <w:bottom w:val="nil"/>
              <w:right w:val="nil"/>
            </w:tcBorders>
            <w:shd w:val="clear" w:color="auto" w:fill="auto"/>
            <w:vAlign w:val="center"/>
            <w:hideMark/>
          </w:tcPr>
          <w:p w14:paraId="25FA6FA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789.4</w:t>
            </w:r>
          </w:p>
        </w:tc>
        <w:tc>
          <w:tcPr>
            <w:tcW w:w="980" w:type="dxa"/>
            <w:tcBorders>
              <w:top w:val="nil"/>
              <w:left w:val="single" w:sz="4" w:space="0" w:color="auto"/>
              <w:bottom w:val="nil"/>
              <w:right w:val="nil"/>
            </w:tcBorders>
            <w:shd w:val="clear" w:color="auto" w:fill="auto"/>
            <w:vAlign w:val="center"/>
            <w:hideMark/>
          </w:tcPr>
          <w:p w14:paraId="139A4C1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788.9</w:t>
            </w:r>
          </w:p>
        </w:tc>
        <w:tc>
          <w:tcPr>
            <w:tcW w:w="980" w:type="dxa"/>
            <w:tcBorders>
              <w:top w:val="nil"/>
              <w:left w:val="single" w:sz="4" w:space="0" w:color="auto"/>
              <w:bottom w:val="nil"/>
              <w:right w:val="nil"/>
            </w:tcBorders>
            <w:shd w:val="clear" w:color="auto" w:fill="auto"/>
            <w:vAlign w:val="center"/>
            <w:hideMark/>
          </w:tcPr>
          <w:p w14:paraId="2165A97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810.9</w:t>
            </w:r>
          </w:p>
        </w:tc>
        <w:tc>
          <w:tcPr>
            <w:tcW w:w="1058" w:type="dxa"/>
            <w:tcBorders>
              <w:top w:val="nil"/>
              <w:left w:val="single" w:sz="4" w:space="0" w:color="auto"/>
              <w:bottom w:val="nil"/>
              <w:right w:val="single" w:sz="4" w:space="0" w:color="auto"/>
            </w:tcBorders>
            <w:shd w:val="clear" w:color="auto" w:fill="auto"/>
            <w:vAlign w:val="center"/>
            <w:hideMark/>
          </w:tcPr>
          <w:p w14:paraId="5423A415"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4A8D1C72"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59ADD"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Commonwealth</w:t>
            </w:r>
          </w:p>
        </w:tc>
        <w:tc>
          <w:tcPr>
            <w:tcW w:w="940" w:type="dxa"/>
            <w:tcBorders>
              <w:top w:val="nil"/>
              <w:left w:val="nil"/>
              <w:bottom w:val="nil"/>
              <w:right w:val="nil"/>
            </w:tcBorders>
            <w:shd w:val="clear" w:color="000000" w:fill="D2D9EA"/>
            <w:vAlign w:val="center"/>
            <w:hideMark/>
          </w:tcPr>
          <w:p w14:paraId="0852D5BF"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6CDEC27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23.2</w:t>
            </w:r>
          </w:p>
        </w:tc>
        <w:tc>
          <w:tcPr>
            <w:tcW w:w="980" w:type="dxa"/>
            <w:tcBorders>
              <w:top w:val="nil"/>
              <w:left w:val="single" w:sz="4" w:space="0" w:color="auto"/>
              <w:bottom w:val="nil"/>
              <w:right w:val="nil"/>
            </w:tcBorders>
            <w:shd w:val="clear" w:color="000000" w:fill="D2D9EA"/>
            <w:vAlign w:val="center"/>
            <w:hideMark/>
          </w:tcPr>
          <w:p w14:paraId="38D77DB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29.2</w:t>
            </w:r>
          </w:p>
        </w:tc>
        <w:tc>
          <w:tcPr>
            <w:tcW w:w="980" w:type="dxa"/>
            <w:tcBorders>
              <w:top w:val="nil"/>
              <w:left w:val="single" w:sz="4" w:space="0" w:color="auto"/>
              <w:bottom w:val="nil"/>
              <w:right w:val="nil"/>
            </w:tcBorders>
            <w:shd w:val="clear" w:color="000000" w:fill="D2D9EA"/>
            <w:vAlign w:val="center"/>
            <w:hideMark/>
          </w:tcPr>
          <w:p w14:paraId="3DFF972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33.3</w:t>
            </w:r>
          </w:p>
        </w:tc>
        <w:tc>
          <w:tcPr>
            <w:tcW w:w="980" w:type="dxa"/>
            <w:tcBorders>
              <w:top w:val="nil"/>
              <w:left w:val="single" w:sz="4" w:space="0" w:color="auto"/>
              <w:bottom w:val="nil"/>
              <w:right w:val="nil"/>
            </w:tcBorders>
            <w:shd w:val="clear" w:color="000000" w:fill="D2D9EA"/>
            <w:vAlign w:val="center"/>
            <w:hideMark/>
          </w:tcPr>
          <w:p w14:paraId="11565E54"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28.1</w:t>
            </w:r>
          </w:p>
        </w:tc>
        <w:tc>
          <w:tcPr>
            <w:tcW w:w="980" w:type="dxa"/>
            <w:tcBorders>
              <w:top w:val="nil"/>
              <w:left w:val="single" w:sz="4" w:space="0" w:color="auto"/>
              <w:bottom w:val="nil"/>
              <w:right w:val="nil"/>
            </w:tcBorders>
            <w:shd w:val="clear" w:color="000000" w:fill="D2D9EA"/>
            <w:vAlign w:val="center"/>
            <w:hideMark/>
          </w:tcPr>
          <w:p w14:paraId="396D87F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27.3</w:t>
            </w:r>
          </w:p>
        </w:tc>
        <w:tc>
          <w:tcPr>
            <w:tcW w:w="980" w:type="dxa"/>
            <w:tcBorders>
              <w:top w:val="nil"/>
              <w:left w:val="single" w:sz="4" w:space="0" w:color="auto"/>
              <w:bottom w:val="nil"/>
              <w:right w:val="nil"/>
            </w:tcBorders>
            <w:shd w:val="clear" w:color="000000" w:fill="D2D9EA"/>
            <w:vAlign w:val="center"/>
            <w:hideMark/>
          </w:tcPr>
          <w:p w14:paraId="3A060B9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26.9</w:t>
            </w:r>
          </w:p>
        </w:tc>
        <w:tc>
          <w:tcPr>
            <w:tcW w:w="1058" w:type="dxa"/>
            <w:tcBorders>
              <w:top w:val="nil"/>
              <w:left w:val="single" w:sz="4" w:space="0" w:color="auto"/>
              <w:bottom w:val="nil"/>
              <w:right w:val="single" w:sz="4" w:space="0" w:color="auto"/>
            </w:tcBorders>
            <w:shd w:val="clear" w:color="000000" w:fill="D2D9EA"/>
            <w:vAlign w:val="center"/>
            <w:hideMark/>
          </w:tcPr>
          <w:p w14:paraId="14F65E5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58C1E672"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2892525"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nil"/>
              <w:bottom w:val="nil"/>
              <w:right w:val="nil"/>
            </w:tcBorders>
            <w:shd w:val="clear" w:color="auto" w:fill="auto"/>
            <w:vAlign w:val="center"/>
            <w:hideMark/>
          </w:tcPr>
          <w:p w14:paraId="0262CD38"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2367897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453.5</w:t>
            </w:r>
          </w:p>
        </w:tc>
        <w:tc>
          <w:tcPr>
            <w:tcW w:w="980" w:type="dxa"/>
            <w:tcBorders>
              <w:top w:val="nil"/>
              <w:left w:val="single" w:sz="4" w:space="0" w:color="auto"/>
              <w:bottom w:val="nil"/>
              <w:right w:val="nil"/>
            </w:tcBorders>
            <w:shd w:val="clear" w:color="auto" w:fill="auto"/>
            <w:vAlign w:val="center"/>
            <w:hideMark/>
          </w:tcPr>
          <w:p w14:paraId="5611E6A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579.8</w:t>
            </w:r>
          </w:p>
        </w:tc>
        <w:tc>
          <w:tcPr>
            <w:tcW w:w="980" w:type="dxa"/>
            <w:tcBorders>
              <w:top w:val="nil"/>
              <w:left w:val="single" w:sz="4" w:space="0" w:color="auto"/>
              <w:bottom w:val="nil"/>
              <w:right w:val="nil"/>
            </w:tcBorders>
            <w:shd w:val="clear" w:color="auto" w:fill="auto"/>
            <w:vAlign w:val="center"/>
            <w:hideMark/>
          </w:tcPr>
          <w:p w14:paraId="07C9D97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667.3</w:t>
            </w:r>
          </w:p>
        </w:tc>
        <w:tc>
          <w:tcPr>
            <w:tcW w:w="980" w:type="dxa"/>
            <w:tcBorders>
              <w:top w:val="nil"/>
              <w:left w:val="single" w:sz="4" w:space="0" w:color="auto"/>
              <w:bottom w:val="nil"/>
              <w:right w:val="nil"/>
            </w:tcBorders>
            <w:shd w:val="clear" w:color="auto" w:fill="auto"/>
            <w:vAlign w:val="center"/>
            <w:hideMark/>
          </w:tcPr>
          <w:p w14:paraId="65A8E42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570.7</w:t>
            </w:r>
          </w:p>
        </w:tc>
        <w:tc>
          <w:tcPr>
            <w:tcW w:w="980" w:type="dxa"/>
            <w:tcBorders>
              <w:top w:val="nil"/>
              <w:left w:val="single" w:sz="4" w:space="0" w:color="auto"/>
              <w:bottom w:val="nil"/>
              <w:right w:val="nil"/>
            </w:tcBorders>
            <w:shd w:val="clear" w:color="auto" w:fill="auto"/>
            <w:vAlign w:val="center"/>
            <w:hideMark/>
          </w:tcPr>
          <w:p w14:paraId="1B44926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575.8</w:t>
            </w:r>
          </w:p>
        </w:tc>
        <w:tc>
          <w:tcPr>
            <w:tcW w:w="980" w:type="dxa"/>
            <w:tcBorders>
              <w:top w:val="nil"/>
              <w:left w:val="single" w:sz="4" w:space="0" w:color="auto"/>
              <w:bottom w:val="nil"/>
              <w:right w:val="nil"/>
            </w:tcBorders>
            <w:shd w:val="clear" w:color="auto" w:fill="auto"/>
            <w:vAlign w:val="center"/>
            <w:hideMark/>
          </w:tcPr>
          <w:p w14:paraId="30B1D0D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595.7</w:t>
            </w:r>
          </w:p>
        </w:tc>
        <w:tc>
          <w:tcPr>
            <w:tcW w:w="1058" w:type="dxa"/>
            <w:tcBorders>
              <w:top w:val="nil"/>
              <w:left w:val="single" w:sz="4" w:space="0" w:color="auto"/>
              <w:bottom w:val="nil"/>
              <w:right w:val="single" w:sz="4" w:space="0" w:color="auto"/>
            </w:tcBorders>
            <w:shd w:val="clear" w:color="auto" w:fill="auto"/>
            <w:vAlign w:val="center"/>
            <w:hideMark/>
          </w:tcPr>
          <w:p w14:paraId="30A583E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00F7042F"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27FBA"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State and territory</w:t>
            </w:r>
          </w:p>
        </w:tc>
        <w:tc>
          <w:tcPr>
            <w:tcW w:w="940" w:type="dxa"/>
            <w:tcBorders>
              <w:top w:val="nil"/>
              <w:left w:val="nil"/>
              <w:bottom w:val="nil"/>
              <w:right w:val="nil"/>
            </w:tcBorders>
            <w:shd w:val="clear" w:color="000000" w:fill="D2D9EA"/>
            <w:vAlign w:val="center"/>
            <w:hideMark/>
          </w:tcPr>
          <w:p w14:paraId="57DAD404"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0104884E"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14.2</w:t>
            </w:r>
          </w:p>
        </w:tc>
        <w:tc>
          <w:tcPr>
            <w:tcW w:w="980" w:type="dxa"/>
            <w:tcBorders>
              <w:top w:val="nil"/>
              <w:left w:val="single" w:sz="4" w:space="0" w:color="auto"/>
              <w:bottom w:val="nil"/>
              <w:right w:val="nil"/>
            </w:tcBorders>
            <w:shd w:val="clear" w:color="000000" w:fill="D2D9EA"/>
            <w:vAlign w:val="center"/>
            <w:hideMark/>
          </w:tcPr>
          <w:p w14:paraId="25EDCC9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15.4</w:t>
            </w:r>
          </w:p>
        </w:tc>
        <w:tc>
          <w:tcPr>
            <w:tcW w:w="980" w:type="dxa"/>
            <w:tcBorders>
              <w:top w:val="nil"/>
              <w:left w:val="single" w:sz="4" w:space="0" w:color="auto"/>
              <w:bottom w:val="nil"/>
              <w:right w:val="nil"/>
            </w:tcBorders>
            <w:shd w:val="clear" w:color="000000" w:fill="D2D9EA"/>
            <w:vAlign w:val="center"/>
            <w:hideMark/>
          </w:tcPr>
          <w:p w14:paraId="2ECD7AF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16.7</w:t>
            </w:r>
          </w:p>
        </w:tc>
        <w:tc>
          <w:tcPr>
            <w:tcW w:w="980" w:type="dxa"/>
            <w:tcBorders>
              <w:top w:val="nil"/>
              <w:left w:val="single" w:sz="4" w:space="0" w:color="auto"/>
              <w:bottom w:val="nil"/>
              <w:right w:val="nil"/>
            </w:tcBorders>
            <w:shd w:val="clear" w:color="000000" w:fill="D2D9EA"/>
            <w:vAlign w:val="center"/>
            <w:hideMark/>
          </w:tcPr>
          <w:p w14:paraId="1BF2519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16.1</w:t>
            </w:r>
          </w:p>
        </w:tc>
        <w:tc>
          <w:tcPr>
            <w:tcW w:w="980" w:type="dxa"/>
            <w:tcBorders>
              <w:top w:val="nil"/>
              <w:left w:val="single" w:sz="4" w:space="0" w:color="auto"/>
              <w:bottom w:val="nil"/>
              <w:right w:val="nil"/>
            </w:tcBorders>
            <w:shd w:val="clear" w:color="000000" w:fill="D2D9EA"/>
            <w:vAlign w:val="center"/>
            <w:hideMark/>
          </w:tcPr>
          <w:p w14:paraId="3A3114D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15.5</w:t>
            </w:r>
          </w:p>
        </w:tc>
        <w:tc>
          <w:tcPr>
            <w:tcW w:w="980" w:type="dxa"/>
            <w:tcBorders>
              <w:top w:val="nil"/>
              <w:left w:val="single" w:sz="4" w:space="0" w:color="auto"/>
              <w:bottom w:val="nil"/>
              <w:right w:val="nil"/>
            </w:tcBorders>
            <w:shd w:val="clear" w:color="000000" w:fill="D2D9EA"/>
            <w:vAlign w:val="center"/>
            <w:hideMark/>
          </w:tcPr>
          <w:p w14:paraId="07F94B6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15.1</w:t>
            </w:r>
          </w:p>
        </w:tc>
        <w:tc>
          <w:tcPr>
            <w:tcW w:w="1058" w:type="dxa"/>
            <w:tcBorders>
              <w:top w:val="nil"/>
              <w:left w:val="single" w:sz="4" w:space="0" w:color="auto"/>
              <w:bottom w:val="nil"/>
              <w:right w:val="single" w:sz="4" w:space="0" w:color="auto"/>
            </w:tcBorders>
            <w:shd w:val="clear" w:color="000000" w:fill="D2D9EA"/>
            <w:vAlign w:val="center"/>
            <w:hideMark/>
          </w:tcPr>
          <w:p w14:paraId="01CF18C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1AF6C4A1"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F6829CA"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nil"/>
              <w:bottom w:val="single" w:sz="4" w:space="0" w:color="auto"/>
              <w:right w:val="nil"/>
            </w:tcBorders>
            <w:shd w:val="clear" w:color="auto" w:fill="auto"/>
            <w:vAlign w:val="center"/>
            <w:hideMark/>
          </w:tcPr>
          <w:p w14:paraId="7A17E305"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single" w:sz="4" w:space="0" w:color="auto"/>
              <w:right w:val="nil"/>
            </w:tcBorders>
            <w:shd w:val="clear" w:color="auto" w:fill="auto"/>
            <w:vAlign w:val="center"/>
            <w:hideMark/>
          </w:tcPr>
          <w:p w14:paraId="016D302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277.8</w:t>
            </w:r>
          </w:p>
        </w:tc>
        <w:tc>
          <w:tcPr>
            <w:tcW w:w="980" w:type="dxa"/>
            <w:tcBorders>
              <w:top w:val="nil"/>
              <w:left w:val="single" w:sz="4" w:space="0" w:color="auto"/>
              <w:bottom w:val="single" w:sz="4" w:space="0" w:color="auto"/>
              <w:right w:val="nil"/>
            </w:tcBorders>
            <w:shd w:val="clear" w:color="auto" w:fill="auto"/>
            <w:vAlign w:val="center"/>
            <w:hideMark/>
          </w:tcPr>
          <w:p w14:paraId="54DD885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305.4</w:t>
            </w:r>
          </w:p>
        </w:tc>
        <w:tc>
          <w:tcPr>
            <w:tcW w:w="980" w:type="dxa"/>
            <w:tcBorders>
              <w:top w:val="nil"/>
              <w:left w:val="single" w:sz="4" w:space="0" w:color="auto"/>
              <w:bottom w:val="single" w:sz="4" w:space="0" w:color="auto"/>
              <w:right w:val="nil"/>
            </w:tcBorders>
            <w:shd w:val="clear" w:color="auto" w:fill="auto"/>
            <w:vAlign w:val="center"/>
            <w:hideMark/>
          </w:tcPr>
          <w:p w14:paraId="51C507B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335.7</w:t>
            </w:r>
          </w:p>
        </w:tc>
        <w:tc>
          <w:tcPr>
            <w:tcW w:w="980" w:type="dxa"/>
            <w:tcBorders>
              <w:top w:val="nil"/>
              <w:left w:val="single" w:sz="4" w:space="0" w:color="auto"/>
              <w:bottom w:val="single" w:sz="4" w:space="0" w:color="auto"/>
              <w:right w:val="nil"/>
            </w:tcBorders>
            <w:shd w:val="clear" w:color="auto" w:fill="auto"/>
            <w:vAlign w:val="center"/>
            <w:hideMark/>
          </w:tcPr>
          <w:p w14:paraId="0EC6CC8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326.7</w:t>
            </w:r>
          </w:p>
        </w:tc>
        <w:tc>
          <w:tcPr>
            <w:tcW w:w="980" w:type="dxa"/>
            <w:tcBorders>
              <w:top w:val="nil"/>
              <w:left w:val="single" w:sz="4" w:space="0" w:color="auto"/>
              <w:bottom w:val="single" w:sz="4" w:space="0" w:color="auto"/>
              <w:right w:val="nil"/>
            </w:tcBorders>
            <w:shd w:val="clear" w:color="auto" w:fill="auto"/>
            <w:vAlign w:val="center"/>
            <w:hideMark/>
          </w:tcPr>
          <w:p w14:paraId="7BA236D4"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326.5</w:t>
            </w:r>
          </w:p>
        </w:tc>
        <w:tc>
          <w:tcPr>
            <w:tcW w:w="980" w:type="dxa"/>
            <w:tcBorders>
              <w:top w:val="nil"/>
              <w:left w:val="single" w:sz="4" w:space="0" w:color="auto"/>
              <w:bottom w:val="single" w:sz="4" w:space="0" w:color="auto"/>
              <w:right w:val="nil"/>
            </w:tcBorders>
            <w:shd w:val="clear" w:color="auto" w:fill="auto"/>
            <w:vAlign w:val="center"/>
            <w:hideMark/>
          </w:tcPr>
          <w:p w14:paraId="191E5BA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333.7</w:t>
            </w:r>
          </w:p>
        </w:tc>
        <w:tc>
          <w:tcPr>
            <w:tcW w:w="1058" w:type="dxa"/>
            <w:tcBorders>
              <w:top w:val="nil"/>
              <w:left w:val="single" w:sz="4" w:space="0" w:color="auto"/>
              <w:bottom w:val="single" w:sz="4" w:space="0" w:color="auto"/>
              <w:right w:val="single" w:sz="4" w:space="0" w:color="auto"/>
            </w:tcBorders>
            <w:shd w:val="clear" w:color="auto" w:fill="auto"/>
            <w:vAlign w:val="center"/>
            <w:hideMark/>
          </w:tcPr>
          <w:p w14:paraId="3CAEDA3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26C99868" w14:textId="77777777" w:rsidTr="007D2509">
        <w:trPr>
          <w:trHeight w:val="540"/>
        </w:trPr>
        <w:tc>
          <w:tcPr>
            <w:tcW w:w="2080" w:type="dxa"/>
            <w:tcBorders>
              <w:top w:val="single" w:sz="4" w:space="0" w:color="auto"/>
              <w:left w:val="single" w:sz="4" w:space="0" w:color="auto"/>
              <w:bottom w:val="single" w:sz="4" w:space="0" w:color="auto"/>
              <w:right w:val="nil"/>
            </w:tcBorders>
            <w:shd w:val="clear" w:color="000000" w:fill="3D4D7D"/>
            <w:vAlign w:val="center"/>
            <w:hideMark/>
          </w:tcPr>
          <w:p w14:paraId="07E21B00"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Change in expenses since 2019-20 National Fiscal Outlook</w:t>
            </w:r>
          </w:p>
        </w:tc>
        <w:tc>
          <w:tcPr>
            <w:tcW w:w="940" w:type="dxa"/>
            <w:tcBorders>
              <w:top w:val="single" w:sz="4" w:space="0" w:color="auto"/>
              <w:left w:val="single" w:sz="4" w:space="0" w:color="auto"/>
              <w:bottom w:val="single" w:sz="4" w:space="0" w:color="auto"/>
              <w:right w:val="single" w:sz="4" w:space="0" w:color="auto"/>
            </w:tcBorders>
            <w:shd w:val="clear" w:color="000000" w:fill="3D4D7D"/>
            <w:vAlign w:val="center"/>
            <w:hideMark/>
          </w:tcPr>
          <w:p w14:paraId="08327F8F" w14:textId="77777777" w:rsidR="006A4309" w:rsidRPr="00EC38F3" w:rsidRDefault="006A4309" w:rsidP="006A4309">
            <w:pPr>
              <w:spacing w:line="240" w:lineRule="auto"/>
              <w:jc w:val="center"/>
              <w:rPr>
                <w:rFonts w:ascii="Arial" w:hAnsi="Arial" w:cs="Arial"/>
                <w:b/>
                <w:bCs/>
                <w:color w:val="FFFFFF"/>
                <w:sz w:val="14"/>
                <w:szCs w:val="14"/>
              </w:rPr>
            </w:pPr>
            <w:r w:rsidRPr="00EC38F3">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1454390A"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7E1CEEEC"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3706E013"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1DCF1AFC"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2D4B0679"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980" w:type="dxa"/>
            <w:tcBorders>
              <w:top w:val="single" w:sz="4" w:space="0" w:color="auto"/>
              <w:left w:val="nil"/>
              <w:bottom w:val="single" w:sz="4" w:space="0" w:color="auto"/>
              <w:right w:val="single" w:sz="4" w:space="0" w:color="auto"/>
            </w:tcBorders>
            <w:shd w:val="clear" w:color="000000" w:fill="3D4D7D"/>
            <w:vAlign w:val="center"/>
            <w:hideMark/>
          </w:tcPr>
          <w:p w14:paraId="32440A07"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1058" w:type="dxa"/>
            <w:tcBorders>
              <w:top w:val="single" w:sz="4" w:space="0" w:color="auto"/>
              <w:left w:val="nil"/>
              <w:bottom w:val="single" w:sz="4" w:space="0" w:color="auto"/>
              <w:right w:val="single" w:sz="4" w:space="0" w:color="auto"/>
            </w:tcBorders>
            <w:shd w:val="clear" w:color="000000" w:fill="3D4D7D"/>
            <w:vAlign w:val="center"/>
            <w:hideMark/>
          </w:tcPr>
          <w:p w14:paraId="77417F9D"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Total revisions (2019-20 to 2022-23)</w:t>
            </w:r>
          </w:p>
        </w:tc>
      </w:tr>
      <w:tr w:rsidR="006A4309" w:rsidRPr="006A4309" w14:paraId="134911DF"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896B0"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National</w:t>
            </w:r>
          </w:p>
        </w:tc>
        <w:tc>
          <w:tcPr>
            <w:tcW w:w="940" w:type="dxa"/>
            <w:tcBorders>
              <w:top w:val="single" w:sz="4" w:space="0" w:color="auto"/>
              <w:left w:val="nil"/>
              <w:bottom w:val="nil"/>
              <w:right w:val="nil"/>
            </w:tcBorders>
            <w:shd w:val="clear" w:color="000000" w:fill="D2D9EA"/>
            <w:vAlign w:val="center"/>
            <w:hideMark/>
          </w:tcPr>
          <w:p w14:paraId="5BE9ADA9"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single" w:sz="4" w:space="0" w:color="auto"/>
              <w:left w:val="single" w:sz="4" w:space="0" w:color="auto"/>
              <w:bottom w:val="nil"/>
              <w:right w:val="nil"/>
            </w:tcBorders>
            <w:shd w:val="clear" w:color="000000" w:fill="D2D9EA"/>
            <w:vAlign w:val="center"/>
            <w:hideMark/>
          </w:tcPr>
          <w:p w14:paraId="2EB8106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-2.1</w:t>
            </w:r>
          </w:p>
        </w:tc>
        <w:tc>
          <w:tcPr>
            <w:tcW w:w="980" w:type="dxa"/>
            <w:tcBorders>
              <w:top w:val="single" w:sz="4" w:space="0" w:color="auto"/>
              <w:left w:val="single" w:sz="4" w:space="0" w:color="auto"/>
              <w:bottom w:val="nil"/>
              <w:right w:val="nil"/>
            </w:tcBorders>
            <w:shd w:val="clear" w:color="000000" w:fill="D2D9EA"/>
            <w:vAlign w:val="center"/>
            <w:hideMark/>
          </w:tcPr>
          <w:p w14:paraId="665AEBE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4.9</w:t>
            </w:r>
          </w:p>
        </w:tc>
        <w:tc>
          <w:tcPr>
            <w:tcW w:w="980" w:type="dxa"/>
            <w:tcBorders>
              <w:top w:val="single" w:sz="4" w:space="0" w:color="auto"/>
              <w:left w:val="single" w:sz="4" w:space="0" w:color="auto"/>
              <w:bottom w:val="nil"/>
              <w:right w:val="nil"/>
            </w:tcBorders>
            <w:shd w:val="clear" w:color="000000" w:fill="D2D9EA"/>
            <w:vAlign w:val="center"/>
            <w:hideMark/>
          </w:tcPr>
          <w:p w14:paraId="4917FF1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9.4</w:t>
            </w:r>
          </w:p>
        </w:tc>
        <w:tc>
          <w:tcPr>
            <w:tcW w:w="980" w:type="dxa"/>
            <w:tcBorders>
              <w:top w:val="single" w:sz="4" w:space="0" w:color="auto"/>
              <w:left w:val="single" w:sz="4" w:space="0" w:color="auto"/>
              <w:bottom w:val="nil"/>
              <w:right w:val="nil"/>
            </w:tcBorders>
            <w:shd w:val="clear" w:color="000000" w:fill="D2D9EA"/>
            <w:vAlign w:val="center"/>
            <w:hideMark/>
          </w:tcPr>
          <w:p w14:paraId="38A2D65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2.8</w:t>
            </w:r>
          </w:p>
        </w:tc>
        <w:tc>
          <w:tcPr>
            <w:tcW w:w="980" w:type="dxa"/>
            <w:tcBorders>
              <w:top w:val="single" w:sz="4" w:space="0" w:color="auto"/>
              <w:left w:val="single" w:sz="4" w:space="0" w:color="auto"/>
              <w:bottom w:val="nil"/>
              <w:right w:val="nil"/>
            </w:tcBorders>
            <w:shd w:val="clear" w:color="000000" w:fill="D2D9EA"/>
            <w:vAlign w:val="center"/>
            <w:hideMark/>
          </w:tcPr>
          <w:p w14:paraId="5A05F3D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1.4</w:t>
            </w:r>
          </w:p>
        </w:tc>
        <w:tc>
          <w:tcPr>
            <w:tcW w:w="980" w:type="dxa"/>
            <w:tcBorders>
              <w:top w:val="single" w:sz="4" w:space="0" w:color="auto"/>
              <w:left w:val="single" w:sz="4" w:space="0" w:color="auto"/>
              <w:bottom w:val="nil"/>
              <w:right w:val="nil"/>
            </w:tcBorders>
            <w:shd w:val="clear" w:color="000000" w:fill="D2D9EA"/>
            <w:vAlign w:val="center"/>
            <w:hideMark/>
          </w:tcPr>
          <w:p w14:paraId="316955D4"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58" w:type="dxa"/>
            <w:tcBorders>
              <w:top w:val="single" w:sz="4" w:space="0" w:color="auto"/>
              <w:left w:val="single" w:sz="4" w:space="0" w:color="auto"/>
              <w:bottom w:val="nil"/>
              <w:right w:val="single" w:sz="4" w:space="0" w:color="auto"/>
            </w:tcBorders>
            <w:shd w:val="clear" w:color="000000" w:fill="D2D9EA"/>
            <w:vAlign w:val="center"/>
            <w:hideMark/>
          </w:tcPr>
          <w:p w14:paraId="310E791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6136D988"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53F64A9"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nil"/>
              <w:bottom w:val="nil"/>
              <w:right w:val="nil"/>
            </w:tcBorders>
            <w:shd w:val="clear" w:color="auto" w:fill="auto"/>
            <w:vAlign w:val="center"/>
            <w:hideMark/>
          </w:tcPr>
          <w:p w14:paraId="1C05A0A2"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1EF0166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-40.2</w:t>
            </w:r>
          </w:p>
        </w:tc>
        <w:tc>
          <w:tcPr>
            <w:tcW w:w="980" w:type="dxa"/>
            <w:tcBorders>
              <w:top w:val="nil"/>
              <w:left w:val="single" w:sz="4" w:space="0" w:color="auto"/>
              <w:bottom w:val="nil"/>
              <w:right w:val="nil"/>
            </w:tcBorders>
            <w:shd w:val="clear" w:color="auto" w:fill="auto"/>
            <w:vAlign w:val="center"/>
            <w:hideMark/>
          </w:tcPr>
          <w:p w14:paraId="7B9960E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97.5</w:t>
            </w:r>
          </w:p>
        </w:tc>
        <w:tc>
          <w:tcPr>
            <w:tcW w:w="980" w:type="dxa"/>
            <w:tcBorders>
              <w:top w:val="nil"/>
              <w:left w:val="single" w:sz="4" w:space="0" w:color="auto"/>
              <w:bottom w:val="nil"/>
              <w:right w:val="nil"/>
            </w:tcBorders>
            <w:shd w:val="clear" w:color="auto" w:fill="auto"/>
            <w:vAlign w:val="center"/>
            <w:hideMark/>
          </w:tcPr>
          <w:p w14:paraId="4627BA8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188.4</w:t>
            </w:r>
          </w:p>
        </w:tc>
        <w:tc>
          <w:tcPr>
            <w:tcW w:w="980" w:type="dxa"/>
            <w:tcBorders>
              <w:top w:val="nil"/>
              <w:left w:val="single" w:sz="4" w:space="0" w:color="auto"/>
              <w:bottom w:val="nil"/>
              <w:right w:val="nil"/>
            </w:tcBorders>
            <w:shd w:val="clear" w:color="auto" w:fill="auto"/>
            <w:vAlign w:val="center"/>
            <w:hideMark/>
          </w:tcPr>
          <w:p w14:paraId="7D2B14C5"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56.5</w:t>
            </w:r>
          </w:p>
        </w:tc>
        <w:tc>
          <w:tcPr>
            <w:tcW w:w="980" w:type="dxa"/>
            <w:tcBorders>
              <w:top w:val="nil"/>
              <w:left w:val="single" w:sz="4" w:space="0" w:color="auto"/>
              <w:bottom w:val="nil"/>
              <w:right w:val="nil"/>
            </w:tcBorders>
            <w:shd w:val="clear" w:color="auto" w:fill="auto"/>
            <w:vAlign w:val="center"/>
            <w:hideMark/>
          </w:tcPr>
          <w:p w14:paraId="78C8B9F5"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30.3</w:t>
            </w:r>
          </w:p>
        </w:tc>
        <w:tc>
          <w:tcPr>
            <w:tcW w:w="980" w:type="dxa"/>
            <w:tcBorders>
              <w:top w:val="nil"/>
              <w:left w:val="single" w:sz="4" w:space="0" w:color="auto"/>
              <w:bottom w:val="nil"/>
              <w:right w:val="nil"/>
            </w:tcBorders>
            <w:shd w:val="clear" w:color="auto" w:fill="auto"/>
            <w:vAlign w:val="center"/>
            <w:hideMark/>
          </w:tcPr>
          <w:p w14:paraId="4792D78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58" w:type="dxa"/>
            <w:tcBorders>
              <w:top w:val="nil"/>
              <w:left w:val="single" w:sz="4" w:space="0" w:color="auto"/>
              <w:bottom w:val="nil"/>
              <w:right w:val="single" w:sz="4" w:space="0" w:color="auto"/>
            </w:tcBorders>
            <w:shd w:val="clear" w:color="auto" w:fill="auto"/>
            <w:vAlign w:val="center"/>
            <w:hideMark/>
          </w:tcPr>
          <w:p w14:paraId="676322B1" w14:textId="77777777" w:rsidR="006A4309" w:rsidRPr="006A4309" w:rsidRDefault="006A4309" w:rsidP="006A4309">
            <w:pPr>
              <w:spacing w:line="240" w:lineRule="auto"/>
              <w:jc w:val="center"/>
              <w:rPr>
                <w:rFonts w:ascii="Arial" w:hAnsi="Arial" w:cs="Arial"/>
                <w:b/>
                <w:bCs/>
                <w:sz w:val="14"/>
                <w:szCs w:val="14"/>
              </w:rPr>
            </w:pPr>
            <w:r w:rsidRPr="006A4309">
              <w:rPr>
                <w:rFonts w:ascii="Arial" w:hAnsi="Arial" w:cs="Arial"/>
                <w:b/>
                <w:bCs/>
                <w:sz w:val="14"/>
                <w:szCs w:val="14"/>
              </w:rPr>
              <w:t>372.7</w:t>
            </w:r>
          </w:p>
        </w:tc>
      </w:tr>
      <w:tr w:rsidR="006A4309" w:rsidRPr="006A4309" w14:paraId="18436CE2"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43291"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Commonwealth</w:t>
            </w:r>
          </w:p>
        </w:tc>
        <w:tc>
          <w:tcPr>
            <w:tcW w:w="940" w:type="dxa"/>
            <w:tcBorders>
              <w:top w:val="nil"/>
              <w:left w:val="nil"/>
              <w:bottom w:val="nil"/>
              <w:right w:val="nil"/>
            </w:tcBorders>
            <w:shd w:val="clear" w:color="000000" w:fill="D2D9EA"/>
            <w:vAlign w:val="center"/>
            <w:hideMark/>
          </w:tcPr>
          <w:p w14:paraId="23549754"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7F3E434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-1.7</w:t>
            </w:r>
          </w:p>
        </w:tc>
        <w:tc>
          <w:tcPr>
            <w:tcW w:w="980" w:type="dxa"/>
            <w:tcBorders>
              <w:top w:val="nil"/>
              <w:left w:val="single" w:sz="4" w:space="0" w:color="auto"/>
              <w:bottom w:val="nil"/>
              <w:right w:val="nil"/>
            </w:tcBorders>
            <w:shd w:val="clear" w:color="000000" w:fill="D2D9EA"/>
            <w:vAlign w:val="center"/>
            <w:hideMark/>
          </w:tcPr>
          <w:p w14:paraId="12A741B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4.0</w:t>
            </w:r>
          </w:p>
        </w:tc>
        <w:tc>
          <w:tcPr>
            <w:tcW w:w="980" w:type="dxa"/>
            <w:tcBorders>
              <w:top w:val="nil"/>
              <w:left w:val="single" w:sz="4" w:space="0" w:color="auto"/>
              <w:bottom w:val="nil"/>
              <w:right w:val="nil"/>
            </w:tcBorders>
            <w:shd w:val="clear" w:color="000000" w:fill="D2D9EA"/>
            <w:vAlign w:val="center"/>
            <w:hideMark/>
          </w:tcPr>
          <w:p w14:paraId="35903A4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7.5</w:t>
            </w:r>
          </w:p>
        </w:tc>
        <w:tc>
          <w:tcPr>
            <w:tcW w:w="980" w:type="dxa"/>
            <w:tcBorders>
              <w:top w:val="nil"/>
              <w:left w:val="single" w:sz="4" w:space="0" w:color="auto"/>
              <w:bottom w:val="nil"/>
              <w:right w:val="nil"/>
            </w:tcBorders>
            <w:shd w:val="clear" w:color="000000" w:fill="D2D9EA"/>
            <w:vAlign w:val="center"/>
            <w:hideMark/>
          </w:tcPr>
          <w:p w14:paraId="7918B63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1.7</w:t>
            </w:r>
          </w:p>
        </w:tc>
        <w:tc>
          <w:tcPr>
            <w:tcW w:w="980" w:type="dxa"/>
            <w:tcBorders>
              <w:top w:val="nil"/>
              <w:left w:val="single" w:sz="4" w:space="0" w:color="auto"/>
              <w:bottom w:val="nil"/>
              <w:right w:val="nil"/>
            </w:tcBorders>
            <w:shd w:val="clear" w:color="000000" w:fill="D2D9EA"/>
            <w:vAlign w:val="center"/>
            <w:hideMark/>
          </w:tcPr>
          <w:p w14:paraId="441368E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0.8</w:t>
            </w:r>
          </w:p>
        </w:tc>
        <w:tc>
          <w:tcPr>
            <w:tcW w:w="980" w:type="dxa"/>
            <w:tcBorders>
              <w:top w:val="nil"/>
              <w:left w:val="single" w:sz="4" w:space="0" w:color="auto"/>
              <w:bottom w:val="nil"/>
              <w:right w:val="nil"/>
            </w:tcBorders>
            <w:shd w:val="clear" w:color="000000" w:fill="D2D9EA"/>
            <w:vAlign w:val="center"/>
            <w:hideMark/>
          </w:tcPr>
          <w:p w14:paraId="37ACF2D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58" w:type="dxa"/>
            <w:tcBorders>
              <w:top w:val="nil"/>
              <w:left w:val="single" w:sz="4" w:space="0" w:color="auto"/>
              <w:bottom w:val="nil"/>
              <w:right w:val="single" w:sz="4" w:space="0" w:color="auto"/>
            </w:tcBorders>
            <w:shd w:val="clear" w:color="000000" w:fill="D2D9EA"/>
            <w:vAlign w:val="center"/>
            <w:hideMark/>
          </w:tcPr>
          <w:p w14:paraId="00ECD21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0E0EE7B3"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6DB4CF00"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nil"/>
              <w:bottom w:val="nil"/>
              <w:right w:val="nil"/>
            </w:tcBorders>
            <w:shd w:val="clear" w:color="auto" w:fill="auto"/>
            <w:vAlign w:val="center"/>
            <w:hideMark/>
          </w:tcPr>
          <w:p w14:paraId="4C76217B"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nil"/>
              <w:right w:val="nil"/>
            </w:tcBorders>
            <w:shd w:val="clear" w:color="auto" w:fill="auto"/>
            <w:vAlign w:val="center"/>
            <w:hideMark/>
          </w:tcPr>
          <w:p w14:paraId="6AEF524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-33.9</w:t>
            </w:r>
          </w:p>
        </w:tc>
        <w:tc>
          <w:tcPr>
            <w:tcW w:w="980" w:type="dxa"/>
            <w:tcBorders>
              <w:top w:val="nil"/>
              <w:left w:val="single" w:sz="4" w:space="0" w:color="auto"/>
              <w:bottom w:val="nil"/>
              <w:right w:val="nil"/>
            </w:tcBorders>
            <w:shd w:val="clear" w:color="auto" w:fill="auto"/>
            <w:vAlign w:val="center"/>
            <w:hideMark/>
          </w:tcPr>
          <w:p w14:paraId="7A33A15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78.9</w:t>
            </w:r>
          </w:p>
        </w:tc>
        <w:tc>
          <w:tcPr>
            <w:tcW w:w="980" w:type="dxa"/>
            <w:tcBorders>
              <w:top w:val="nil"/>
              <w:left w:val="single" w:sz="4" w:space="0" w:color="auto"/>
              <w:bottom w:val="nil"/>
              <w:right w:val="nil"/>
            </w:tcBorders>
            <w:shd w:val="clear" w:color="auto" w:fill="auto"/>
            <w:vAlign w:val="center"/>
            <w:hideMark/>
          </w:tcPr>
          <w:p w14:paraId="29C2628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151.2</w:t>
            </w:r>
          </w:p>
        </w:tc>
        <w:tc>
          <w:tcPr>
            <w:tcW w:w="980" w:type="dxa"/>
            <w:tcBorders>
              <w:top w:val="nil"/>
              <w:left w:val="single" w:sz="4" w:space="0" w:color="auto"/>
              <w:bottom w:val="nil"/>
              <w:right w:val="nil"/>
            </w:tcBorders>
            <w:shd w:val="clear" w:color="auto" w:fill="auto"/>
            <w:vAlign w:val="center"/>
            <w:hideMark/>
          </w:tcPr>
          <w:p w14:paraId="214989C4"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34.8</w:t>
            </w:r>
          </w:p>
        </w:tc>
        <w:tc>
          <w:tcPr>
            <w:tcW w:w="980" w:type="dxa"/>
            <w:tcBorders>
              <w:top w:val="nil"/>
              <w:left w:val="single" w:sz="4" w:space="0" w:color="auto"/>
              <w:bottom w:val="nil"/>
              <w:right w:val="nil"/>
            </w:tcBorders>
            <w:shd w:val="clear" w:color="auto" w:fill="auto"/>
            <w:vAlign w:val="center"/>
            <w:hideMark/>
          </w:tcPr>
          <w:p w14:paraId="1D36DFB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15.9</w:t>
            </w:r>
          </w:p>
        </w:tc>
        <w:tc>
          <w:tcPr>
            <w:tcW w:w="980" w:type="dxa"/>
            <w:tcBorders>
              <w:top w:val="nil"/>
              <w:left w:val="single" w:sz="4" w:space="0" w:color="auto"/>
              <w:bottom w:val="nil"/>
              <w:right w:val="nil"/>
            </w:tcBorders>
            <w:shd w:val="clear" w:color="auto" w:fill="auto"/>
            <w:vAlign w:val="center"/>
            <w:hideMark/>
          </w:tcPr>
          <w:p w14:paraId="5D30920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58" w:type="dxa"/>
            <w:tcBorders>
              <w:top w:val="nil"/>
              <w:left w:val="single" w:sz="4" w:space="0" w:color="auto"/>
              <w:bottom w:val="nil"/>
              <w:right w:val="single" w:sz="4" w:space="0" w:color="auto"/>
            </w:tcBorders>
            <w:shd w:val="clear" w:color="auto" w:fill="auto"/>
            <w:vAlign w:val="center"/>
            <w:hideMark/>
          </w:tcPr>
          <w:p w14:paraId="2B5F9CCB" w14:textId="77777777" w:rsidR="006A4309" w:rsidRPr="006A4309" w:rsidRDefault="006A4309" w:rsidP="006A4309">
            <w:pPr>
              <w:spacing w:line="240" w:lineRule="auto"/>
              <w:jc w:val="center"/>
              <w:rPr>
                <w:rFonts w:ascii="Arial" w:hAnsi="Arial" w:cs="Arial"/>
                <w:b/>
                <w:bCs/>
                <w:sz w:val="14"/>
                <w:szCs w:val="14"/>
              </w:rPr>
            </w:pPr>
            <w:r w:rsidRPr="006A4309">
              <w:rPr>
                <w:rFonts w:ascii="Arial" w:hAnsi="Arial" w:cs="Arial"/>
                <w:b/>
                <w:bCs/>
                <w:sz w:val="14"/>
                <w:szCs w:val="14"/>
              </w:rPr>
              <w:t>280.9</w:t>
            </w:r>
          </w:p>
        </w:tc>
      </w:tr>
      <w:tr w:rsidR="006A4309" w:rsidRPr="006A4309" w14:paraId="0FBB8B7A"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B6A3C"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State and territory</w:t>
            </w:r>
          </w:p>
        </w:tc>
        <w:tc>
          <w:tcPr>
            <w:tcW w:w="940" w:type="dxa"/>
            <w:tcBorders>
              <w:top w:val="nil"/>
              <w:left w:val="nil"/>
              <w:bottom w:val="nil"/>
              <w:right w:val="nil"/>
            </w:tcBorders>
            <w:shd w:val="clear" w:color="000000" w:fill="D2D9EA"/>
            <w:vAlign w:val="center"/>
            <w:hideMark/>
          </w:tcPr>
          <w:p w14:paraId="38876015"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980" w:type="dxa"/>
            <w:tcBorders>
              <w:top w:val="nil"/>
              <w:left w:val="single" w:sz="4" w:space="0" w:color="auto"/>
              <w:bottom w:val="nil"/>
              <w:right w:val="nil"/>
            </w:tcBorders>
            <w:shd w:val="clear" w:color="000000" w:fill="D2D9EA"/>
            <w:vAlign w:val="center"/>
            <w:hideMark/>
          </w:tcPr>
          <w:p w14:paraId="3C7DC8D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-0.2</w:t>
            </w:r>
          </w:p>
        </w:tc>
        <w:tc>
          <w:tcPr>
            <w:tcW w:w="980" w:type="dxa"/>
            <w:tcBorders>
              <w:top w:val="nil"/>
              <w:left w:val="single" w:sz="4" w:space="0" w:color="auto"/>
              <w:bottom w:val="nil"/>
              <w:right w:val="nil"/>
            </w:tcBorders>
            <w:shd w:val="clear" w:color="000000" w:fill="D2D9EA"/>
            <w:vAlign w:val="center"/>
            <w:hideMark/>
          </w:tcPr>
          <w:p w14:paraId="408EB75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0.9</w:t>
            </w:r>
          </w:p>
        </w:tc>
        <w:tc>
          <w:tcPr>
            <w:tcW w:w="980" w:type="dxa"/>
            <w:tcBorders>
              <w:top w:val="nil"/>
              <w:left w:val="single" w:sz="4" w:space="0" w:color="auto"/>
              <w:bottom w:val="nil"/>
              <w:right w:val="nil"/>
            </w:tcBorders>
            <w:shd w:val="clear" w:color="000000" w:fill="D2D9EA"/>
            <w:vAlign w:val="center"/>
            <w:hideMark/>
          </w:tcPr>
          <w:p w14:paraId="3E1BAF1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1.9</w:t>
            </w:r>
          </w:p>
        </w:tc>
        <w:tc>
          <w:tcPr>
            <w:tcW w:w="980" w:type="dxa"/>
            <w:tcBorders>
              <w:top w:val="nil"/>
              <w:left w:val="single" w:sz="4" w:space="0" w:color="auto"/>
              <w:bottom w:val="nil"/>
              <w:right w:val="nil"/>
            </w:tcBorders>
            <w:shd w:val="clear" w:color="000000" w:fill="D2D9EA"/>
            <w:vAlign w:val="center"/>
            <w:hideMark/>
          </w:tcPr>
          <w:p w14:paraId="4719BBB5"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1.2</w:t>
            </w:r>
          </w:p>
        </w:tc>
        <w:tc>
          <w:tcPr>
            <w:tcW w:w="980" w:type="dxa"/>
            <w:tcBorders>
              <w:top w:val="nil"/>
              <w:left w:val="single" w:sz="4" w:space="0" w:color="auto"/>
              <w:bottom w:val="nil"/>
              <w:right w:val="nil"/>
            </w:tcBorders>
            <w:shd w:val="clear" w:color="000000" w:fill="D2D9EA"/>
            <w:vAlign w:val="center"/>
            <w:hideMark/>
          </w:tcPr>
          <w:p w14:paraId="4142F63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0.7</w:t>
            </w:r>
          </w:p>
        </w:tc>
        <w:tc>
          <w:tcPr>
            <w:tcW w:w="980" w:type="dxa"/>
            <w:tcBorders>
              <w:top w:val="nil"/>
              <w:left w:val="single" w:sz="4" w:space="0" w:color="auto"/>
              <w:bottom w:val="nil"/>
              <w:right w:val="nil"/>
            </w:tcBorders>
            <w:shd w:val="clear" w:color="000000" w:fill="D2D9EA"/>
            <w:vAlign w:val="center"/>
            <w:hideMark/>
          </w:tcPr>
          <w:p w14:paraId="40ED095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58" w:type="dxa"/>
            <w:tcBorders>
              <w:top w:val="nil"/>
              <w:left w:val="single" w:sz="4" w:space="0" w:color="auto"/>
              <w:bottom w:val="nil"/>
              <w:right w:val="single" w:sz="4" w:space="0" w:color="auto"/>
            </w:tcBorders>
            <w:shd w:val="clear" w:color="000000" w:fill="D2D9EA"/>
            <w:vAlign w:val="center"/>
            <w:hideMark/>
          </w:tcPr>
          <w:p w14:paraId="608CAC5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 </w:t>
            </w:r>
          </w:p>
        </w:tc>
      </w:tr>
      <w:tr w:rsidR="006A4309" w:rsidRPr="006A4309" w14:paraId="16C11039"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8E277F3" w14:textId="77777777" w:rsidR="006A4309" w:rsidRPr="006A4309" w:rsidRDefault="006A4309" w:rsidP="006A4309">
            <w:pPr>
              <w:spacing w:line="240" w:lineRule="auto"/>
              <w:rPr>
                <w:rFonts w:ascii="Arial" w:hAnsi="Arial" w:cs="Arial"/>
                <w:b/>
                <w:bCs/>
                <w:color w:val="000000"/>
                <w:sz w:val="14"/>
                <w:szCs w:val="14"/>
              </w:rPr>
            </w:pPr>
          </w:p>
        </w:tc>
        <w:tc>
          <w:tcPr>
            <w:tcW w:w="940" w:type="dxa"/>
            <w:tcBorders>
              <w:top w:val="nil"/>
              <w:left w:val="nil"/>
              <w:bottom w:val="single" w:sz="4" w:space="0" w:color="auto"/>
              <w:right w:val="nil"/>
            </w:tcBorders>
            <w:shd w:val="clear" w:color="auto" w:fill="auto"/>
            <w:vAlign w:val="center"/>
            <w:hideMark/>
          </w:tcPr>
          <w:p w14:paraId="13207AB3"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980" w:type="dxa"/>
            <w:tcBorders>
              <w:top w:val="nil"/>
              <w:left w:val="single" w:sz="4" w:space="0" w:color="auto"/>
              <w:bottom w:val="single" w:sz="4" w:space="0" w:color="auto"/>
              <w:right w:val="nil"/>
            </w:tcBorders>
            <w:shd w:val="clear" w:color="auto" w:fill="auto"/>
            <w:vAlign w:val="center"/>
            <w:hideMark/>
          </w:tcPr>
          <w:p w14:paraId="600FDB3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-4.7</w:t>
            </w:r>
          </w:p>
        </w:tc>
        <w:tc>
          <w:tcPr>
            <w:tcW w:w="980" w:type="dxa"/>
            <w:tcBorders>
              <w:top w:val="nil"/>
              <w:left w:val="single" w:sz="4" w:space="0" w:color="auto"/>
              <w:bottom w:val="single" w:sz="4" w:space="0" w:color="auto"/>
              <w:right w:val="nil"/>
            </w:tcBorders>
            <w:shd w:val="clear" w:color="auto" w:fill="auto"/>
            <w:vAlign w:val="center"/>
            <w:hideMark/>
          </w:tcPr>
          <w:p w14:paraId="5B5919E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17.1</w:t>
            </w:r>
          </w:p>
        </w:tc>
        <w:tc>
          <w:tcPr>
            <w:tcW w:w="980" w:type="dxa"/>
            <w:tcBorders>
              <w:top w:val="nil"/>
              <w:left w:val="single" w:sz="4" w:space="0" w:color="auto"/>
              <w:bottom w:val="single" w:sz="4" w:space="0" w:color="auto"/>
              <w:right w:val="nil"/>
            </w:tcBorders>
            <w:shd w:val="clear" w:color="auto" w:fill="auto"/>
            <w:vAlign w:val="center"/>
            <w:hideMark/>
          </w:tcPr>
          <w:p w14:paraId="0442AB3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38.5</w:t>
            </w:r>
          </w:p>
        </w:tc>
        <w:tc>
          <w:tcPr>
            <w:tcW w:w="980" w:type="dxa"/>
            <w:tcBorders>
              <w:top w:val="nil"/>
              <w:left w:val="single" w:sz="4" w:space="0" w:color="auto"/>
              <w:bottom w:val="single" w:sz="4" w:space="0" w:color="auto"/>
              <w:right w:val="nil"/>
            </w:tcBorders>
            <w:shd w:val="clear" w:color="auto" w:fill="auto"/>
            <w:vAlign w:val="center"/>
            <w:hideMark/>
          </w:tcPr>
          <w:p w14:paraId="0CAF856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23.6</w:t>
            </w:r>
          </w:p>
        </w:tc>
        <w:tc>
          <w:tcPr>
            <w:tcW w:w="980" w:type="dxa"/>
            <w:tcBorders>
              <w:top w:val="nil"/>
              <w:left w:val="single" w:sz="4" w:space="0" w:color="auto"/>
              <w:bottom w:val="single" w:sz="4" w:space="0" w:color="auto"/>
              <w:right w:val="nil"/>
            </w:tcBorders>
            <w:shd w:val="clear" w:color="auto" w:fill="auto"/>
            <w:vAlign w:val="center"/>
            <w:hideMark/>
          </w:tcPr>
          <w:p w14:paraId="449E404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14.9</w:t>
            </w:r>
          </w:p>
        </w:tc>
        <w:tc>
          <w:tcPr>
            <w:tcW w:w="980" w:type="dxa"/>
            <w:tcBorders>
              <w:top w:val="nil"/>
              <w:left w:val="single" w:sz="4" w:space="0" w:color="auto"/>
              <w:bottom w:val="single" w:sz="4" w:space="0" w:color="auto"/>
              <w:right w:val="nil"/>
            </w:tcBorders>
            <w:shd w:val="clear" w:color="auto" w:fill="auto"/>
            <w:vAlign w:val="center"/>
            <w:hideMark/>
          </w:tcPr>
          <w:p w14:paraId="0615891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c>
          <w:tcPr>
            <w:tcW w:w="1058" w:type="dxa"/>
            <w:tcBorders>
              <w:top w:val="nil"/>
              <w:left w:val="single" w:sz="4" w:space="0" w:color="auto"/>
              <w:bottom w:val="single" w:sz="4" w:space="0" w:color="auto"/>
              <w:right w:val="single" w:sz="4" w:space="0" w:color="auto"/>
            </w:tcBorders>
            <w:shd w:val="clear" w:color="auto" w:fill="auto"/>
            <w:vAlign w:val="center"/>
            <w:hideMark/>
          </w:tcPr>
          <w:p w14:paraId="03380268" w14:textId="77777777" w:rsidR="006A4309" w:rsidRPr="006A4309" w:rsidRDefault="006A4309" w:rsidP="006A4309">
            <w:pPr>
              <w:spacing w:line="240" w:lineRule="auto"/>
              <w:jc w:val="center"/>
              <w:rPr>
                <w:rFonts w:ascii="Arial" w:hAnsi="Arial" w:cs="Arial"/>
                <w:b/>
                <w:bCs/>
                <w:sz w:val="14"/>
                <w:szCs w:val="14"/>
              </w:rPr>
            </w:pPr>
            <w:r w:rsidRPr="006A4309">
              <w:rPr>
                <w:rFonts w:ascii="Arial" w:hAnsi="Arial" w:cs="Arial"/>
                <w:b/>
                <w:bCs/>
                <w:sz w:val="14"/>
                <w:szCs w:val="14"/>
              </w:rPr>
              <w:t>94.1</w:t>
            </w:r>
          </w:p>
        </w:tc>
      </w:tr>
    </w:tbl>
    <w:p w14:paraId="4EBE20FC" w14:textId="77777777" w:rsidR="00C8379D" w:rsidRDefault="00C8379D"/>
    <w:tbl>
      <w:tblPr>
        <w:tblW w:w="9923" w:type="dxa"/>
        <w:tblLook w:val="04A0" w:firstRow="1" w:lastRow="0" w:firstColumn="1" w:lastColumn="0" w:noHBand="0" w:noVBand="1"/>
      </w:tblPr>
      <w:tblGrid>
        <w:gridCol w:w="2080"/>
        <w:gridCol w:w="1117"/>
        <w:gridCol w:w="1120"/>
        <w:gridCol w:w="1120"/>
        <w:gridCol w:w="1120"/>
        <w:gridCol w:w="1122"/>
        <w:gridCol w:w="1122"/>
        <w:gridCol w:w="1122"/>
      </w:tblGrid>
      <w:tr w:rsidR="006A4309" w:rsidRPr="00EC38F3" w14:paraId="04E93A0D" w14:textId="77777777" w:rsidTr="007D2509">
        <w:trPr>
          <w:trHeight w:val="300"/>
        </w:trPr>
        <w:tc>
          <w:tcPr>
            <w:tcW w:w="9923" w:type="dxa"/>
            <w:gridSpan w:val="8"/>
            <w:tcBorders>
              <w:top w:val="nil"/>
              <w:left w:val="nil"/>
              <w:bottom w:val="single" w:sz="4" w:space="0" w:color="auto"/>
              <w:right w:val="nil"/>
            </w:tcBorders>
            <w:shd w:val="clear" w:color="auto" w:fill="auto"/>
            <w:vAlign w:val="bottom"/>
            <w:hideMark/>
          </w:tcPr>
          <w:p w14:paraId="0FB3EF1F" w14:textId="49E1DD1B" w:rsidR="006A4309" w:rsidRPr="007D2509" w:rsidRDefault="006A4309" w:rsidP="006874AD">
            <w:pPr>
              <w:pStyle w:val="Captionheading1"/>
              <w:rPr>
                <w:b w:val="0"/>
                <w:bCs w:val="0"/>
                <w:color w:val="3D4D7D" w:themeColor="background2"/>
              </w:rPr>
            </w:pPr>
            <w:r w:rsidRPr="007D2509">
              <w:rPr>
                <w:color w:val="3D4D7D" w:themeColor="background2"/>
              </w:rPr>
              <w:t xml:space="preserve">Table </w:t>
            </w:r>
            <w:r w:rsidR="00EC38F3" w:rsidRPr="007D2509">
              <w:rPr>
                <w:color w:val="3D4D7D" w:themeColor="background2"/>
              </w:rPr>
              <w:t>A</w:t>
            </w:r>
            <w:r w:rsidR="006874AD">
              <w:rPr>
                <w:color w:val="3D4D7D" w:themeColor="background2"/>
              </w:rPr>
              <w:t>6</w:t>
            </w:r>
            <w:r w:rsidRPr="007D2509">
              <w:rPr>
                <w:color w:val="3D4D7D" w:themeColor="background2"/>
              </w:rPr>
              <w:t>: Net debt</w:t>
            </w:r>
          </w:p>
        </w:tc>
      </w:tr>
      <w:tr w:rsidR="006A4309" w:rsidRPr="006A4309" w14:paraId="675CF19D" w14:textId="77777777" w:rsidTr="007D2509">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3D4D7D"/>
            <w:vAlign w:val="center"/>
            <w:hideMark/>
          </w:tcPr>
          <w:p w14:paraId="0264CAA3" w14:textId="7452B38E"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r w:rsidR="00C35604">
              <w:rPr>
                <w:rFonts w:ascii="Arial" w:hAnsi="Arial" w:cs="Arial"/>
                <w:b/>
                <w:bCs/>
                <w:color w:val="FFFFFF"/>
                <w:sz w:val="14"/>
                <w:szCs w:val="14"/>
              </w:rPr>
              <w:t>Net debt</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6FBE6E62"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779D9505"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2018-19</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736AD57A"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2019-20</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648CA27A"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2020-21</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02421796"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2021-22</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3C8F933C"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2022-23</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6B10320C"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2023-24</w:t>
            </w:r>
          </w:p>
        </w:tc>
      </w:tr>
      <w:tr w:rsidR="006A4309" w:rsidRPr="006A4309" w14:paraId="0F30AA52"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E0C98"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National</w:t>
            </w:r>
          </w:p>
        </w:tc>
        <w:tc>
          <w:tcPr>
            <w:tcW w:w="1134" w:type="dxa"/>
            <w:tcBorders>
              <w:top w:val="single" w:sz="4" w:space="0" w:color="auto"/>
              <w:left w:val="nil"/>
              <w:bottom w:val="nil"/>
              <w:right w:val="nil"/>
            </w:tcBorders>
            <w:shd w:val="clear" w:color="000000" w:fill="D2D9EA"/>
            <w:vAlign w:val="center"/>
            <w:hideMark/>
          </w:tcPr>
          <w:p w14:paraId="77260705"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1134" w:type="dxa"/>
            <w:tcBorders>
              <w:top w:val="single" w:sz="4" w:space="0" w:color="auto"/>
              <w:left w:val="single" w:sz="4" w:space="0" w:color="auto"/>
              <w:bottom w:val="nil"/>
              <w:right w:val="nil"/>
            </w:tcBorders>
            <w:shd w:val="clear" w:color="000000" w:fill="D2D9EA"/>
            <w:vAlign w:val="center"/>
            <w:hideMark/>
          </w:tcPr>
          <w:p w14:paraId="08E848E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20.1</w:t>
            </w:r>
          </w:p>
        </w:tc>
        <w:tc>
          <w:tcPr>
            <w:tcW w:w="1134" w:type="dxa"/>
            <w:tcBorders>
              <w:top w:val="single" w:sz="4" w:space="0" w:color="auto"/>
              <w:left w:val="single" w:sz="4" w:space="0" w:color="auto"/>
              <w:bottom w:val="nil"/>
              <w:right w:val="nil"/>
            </w:tcBorders>
            <w:shd w:val="clear" w:color="000000" w:fill="D2D9EA"/>
            <w:vAlign w:val="center"/>
            <w:hideMark/>
          </w:tcPr>
          <w:p w14:paraId="5242542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29.6</w:t>
            </w:r>
          </w:p>
        </w:tc>
        <w:tc>
          <w:tcPr>
            <w:tcW w:w="1134" w:type="dxa"/>
            <w:tcBorders>
              <w:top w:val="single" w:sz="4" w:space="0" w:color="auto"/>
              <w:left w:val="single" w:sz="4" w:space="0" w:color="auto"/>
              <w:bottom w:val="nil"/>
              <w:right w:val="nil"/>
            </w:tcBorders>
            <w:shd w:val="clear" w:color="000000" w:fill="D2D9EA"/>
            <w:vAlign w:val="center"/>
            <w:hideMark/>
          </w:tcPr>
          <w:p w14:paraId="55A46FB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43.7</w:t>
            </w:r>
          </w:p>
        </w:tc>
        <w:tc>
          <w:tcPr>
            <w:tcW w:w="1134" w:type="dxa"/>
            <w:tcBorders>
              <w:top w:val="single" w:sz="4" w:space="0" w:color="auto"/>
              <w:left w:val="single" w:sz="4" w:space="0" w:color="auto"/>
              <w:bottom w:val="nil"/>
              <w:right w:val="nil"/>
            </w:tcBorders>
            <w:shd w:val="clear" w:color="000000" w:fill="D2D9EA"/>
            <w:vAlign w:val="center"/>
            <w:hideMark/>
          </w:tcPr>
          <w:p w14:paraId="205F3EE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51.5</w:t>
            </w:r>
          </w:p>
        </w:tc>
        <w:tc>
          <w:tcPr>
            <w:tcW w:w="1134" w:type="dxa"/>
            <w:tcBorders>
              <w:top w:val="single" w:sz="4" w:space="0" w:color="auto"/>
              <w:left w:val="single" w:sz="4" w:space="0" w:color="auto"/>
              <w:bottom w:val="nil"/>
              <w:right w:val="nil"/>
            </w:tcBorders>
            <w:shd w:val="clear" w:color="000000" w:fill="D2D9EA"/>
            <w:vAlign w:val="center"/>
            <w:hideMark/>
          </w:tcPr>
          <w:p w14:paraId="00FD52A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56.3</w:t>
            </w:r>
          </w:p>
        </w:tc>
        <w:tc>
          <w:tcPr>
            <w:tcW w:w="1134" w:type="dxa"/>
            <w:tcBorders>
              <w:top w:val="single" w:sz="4" w:space="0" w:color="auto"/>
              <w:left w:val="single" w:sz="4" w:space="0" w:color="auto"/>
              <w:bottom w:val="nil"/>
              <w:right w:val="single" w:sz="4" w:space="0" w:color="auto"/>
            </w:tcBorders>
            <w:shd w:val="clear" w:color="000000" w:fill="D2D9EA"/>
            <w:vAlign w:val="center"/>
            <w:hideMark/>
          </w:tcPr>
          <w:p w14:paraId="11589AA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58.7</w:t>
            </w:r>
          </w:p>
        </w:tc>
      </w:tr>
      <w:tr w:rsidR="006A4309" w:rsidRPr="006A4309" w14:paraId="36AE54BF"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5902C1A0" w14:textId="77777777" w:rsidR="006A4309" w:rsidRPr="006A4309" w:rsidRDefault="006A4309" w:rsidP="006A4309">
            <w:pPr>
              <w:spacing w:line="240" w:lineRule="auto"/>
              <w:rPr>
                <w:rFonts w:ascii="Arial" w:hAnsi="Arial" w:cs="Arial"/>
                <w:b/>
                <w:bCs/>
                <w:color w:val="000000"/>
                <w:sz w:val="14"/>
                <w:szCs w:val="14"/>
              </w:rPr>
            </w:pPr>
          </w:p>
        </w:tc>
        <w:tc>
          <w:tcPr>
            <w:tcW w:w="1134" w:type="dxa"/>
            <w:tcBorders>
              <w:top w:val="nil"/>
              <w:left w:val="nil"/>
              <w:bottom w:val="nil"/>
              <w:right w:val="nil"/>
            </w:tcBorders>
            <w:shd w:val="clear" w:color="auto" w:fill="auto"/>
            <w:vAlign w:val="center"/>
            <w:hideMark/>
          </w:tcPr>
          <w:p w14:paraId="59CAF14D"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1134" w:type="dxa"/>
            <w:tcBorders>
              <w:top w:val="nil"/>
              <w:left w:val="single" w:sz="4" w:space="0" w:color="auto"/>
              <w:bottom w:val="nil"/>
              <w:right w:val="nil"/>
            </w:tcBorders>
            <w:shd w:val="clear" w:color="auto" w:fill="auto"/>
            <w:vAlign w:val="center"/>
            <w:hideMark/>
          </w:tcPr>
          <w:p w14:paraId="5997F4C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392.7</w:t>
            </w:r>
          </w:p>
        </w:tc>
        <w:tc>
          <w:tcPr>
            <w:tcW w:w="1134" w:type="dxa"/>
            <w:tcBorders>
              <w:top w:val="nil"/>
              <w:left w:val="single" w:sz="4" w:space="0" w:color="auto"/>
              <w:bottom w:val="nil"/>
              <w:right w:val="nil"/>
            </w:tcBorders>
            <w:shd w:val="clear" w:color="auto" w:fill="auto"/>
            <w:vAlign w:val="center"/>
            <w:hideMark/>
          </w:tcPr>
          <w:p w14:paraId="3596866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586.9</w:t>
            </w:r>
          </w:p>
        </w:tc>
        <w:tc>
          <w:tcPr>
            <w:tcW w:w="1134" w:type="dxa"/>
            <w:tcBorders>
              <w:top w:val="nil"/>
              <w:left w:val="single" w:sz="4" w:space="0" w:color="auto"/>
              <w:bottom w:val="nil"/>
              <w:right w:val="nil"/>
            </w:tcBorders>
            <w:shd w:val="clear" w:color="auto" w:fill="auto"/>
            <w:vAlign w:val="center"/>
            <w:hideMark/>
          </w:tcPr>
          <w:p w14:paraId="6AAE1C64"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876.9</w:t>
            </w:r>
          </w:p>
        </w:tc>
        <w:tc>
          <w:tcPr>
            <w:tcW w:w="1134" w:type="dxa"/>
            <w:tcBorders>
              <w:top w:val="nil"/>
              <w:left w:val="single" w:sz="4" w:space="0" w:color="auto"/>
              <w:bottom w:val="nil"/>
              <w:right w:val="nil"/>
            </w:tcBorders>
            <w:shd w:val="clear" w:color="auto" w:fill="auto"/>
            <w:vAlign w:val="center"/>
            <w:hideMark/>
          </w:tcPr>
          <w:p w14:paraId="34840A6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1047.7</w:t>
            </w:r>
          </w:p>
        </w:tc>
        <w:tc>
          <w:tcPr>
            <w:tcW w:w="1134" w:type="dxa"/>
            <w:tcBorders>
              <w:top w:val="nil"/>
              <w:left w:val="single" w:sz="4" w:space="0" w:color="auto"/>
              <w:bottom w:val="nil"/>
              <w:right w:val="nil"/>
            </w:tcBorders>
            <w:shd w:val="clear" w:color="auto" w:fill="auto"/>
            <w:vAlign w:val="center"/>
            <w:hideMark/>
          </w:tcPr>
          <w:p w14:paraId="48902F1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1186.5</w:t>
            </w:r>
          </w:p>
        </w:tc>
        <w:tc>
          <w:tcPr>
            <w:tcW w:w="1134" w:type="dxa"/>
            <w:tcBorders>
              <w:top w:val="nil"/>
              <w:left w:val="single" w:sz="4" w:space="0" w:color="auto"/>
              <w:bottom w:val="nil"/>
              <w:right w:val="single" w:sz="4" w:space="0" w:color="auto"/>
            </w:tcBorders>
            <w:shd w:val="clear" w:color="auto" w:fill="auto"/>
            <w:vAlign w:val="center"/>
            <w:hideMark/>
          </w:tcPr>
          <w:p w14:paraId="5E6A7F9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1297.9</w:t>
            </w:r>
          </w:p>
        </w:tc>
      </w:tr>
      <w:tr w:rsidR="006A4309" w:rsidRPr="006A4309" w14:paraId="1F9A94ED"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5EB64"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Commonwealth</w:t>
            </w:r>
          </w:p>
        </w:tc>
        <w:tc>
          <w:tcPr>
            <w:tcW w:w="1134" w:type="dxa"/>
            <w:tcBorders>
              <w:top w:val="nil"/>
              <w:left w:val="nil"/>
              <w:bottom w:val="nil"/>
              <w:right w:val="nil"/>
            </w:tcBorders>
            <w:shd w:val="clear" w:color="000000" w:fill="D2D9EA"/>
            <w:vAlign w:val="center"/>
            <w:hideMark/>
          </w:tcPr>
          <w:p w14:paraId="6D544A85"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1134" w:type="dxa"/>
            <w:tcBorders>
              <w:top w:val="nil"/>
              <w:left w:val="single" w:sz="4" w:space="0" w:color="auto"/>
              <w:bottom w:val="nil"/>
              <w:right w:val="nil"/>
            </w:tcBorders>
            <w:shd w:val="clear" w:color="000000" w:fill="D2D9EA"/>
            <w:vAlign w:val="center"/>
            <w:hideMark/>
          </w:tcPr>
          <w:p w14:paraId="55BBBF6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19.3</w:t>
            </w:r>
          </w:p>
        </w:tc>
        <w:tc>
          <w:tcPr>
            <w:tcW w:w="1134" w:type="dxa"/>
            <w:tcBorders>
              <w:top w:val="nil"/>
              <w:left w:val="single" w:sz="4" w:space="0" w:color="auto"/>
              <w:bottom w:val="nil"/>
              <w:right w:val="nil"/>
            </w:tcBorders>
            <w:shd w:val="clear" w:color="000000" w:fill="D2D9EA"/>
            <w:vAlign w:val="center"/>
            <w:hideMark/>
          </w:tcPr>
          <w:p w14:paraId="1EABED8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24.7</w:t>
            </w:r>
          </w:p>
        </w:tc>
        <w:tc>
          <w:tcPr>
            <w:tcW w:w="1134" w:type="dxa"/>
            <w:tcBorders>
              <w:top w:val="nil"/>
              <w:left w:val="single" w:sz="4" w:space="0" w:color="auto"/>
              <w:bottom w:val="nil"/>
              <w:right w:val="nil"/>
            </w:tcBorders>
            <w:shd w:val="clear" w:color="000000" w:fill="D2D9EA"/>
            <w:vAlign w:val="center"/>
            <w:hideMark/>
          </w:tcPr>
          <w:p w14:paraId="44C5071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34.5</w:t>
            </w:r>
          </w:p>
        </w:tc>
        <w:tc>
          <w:tcPr>
            <w:tcW w:w="1134" w:type="dxa"/>
            <w:tcBorders>
              <w:top w:val="nil"/>
              <w:left w:val="single" w:sz="4" w:space="0" w:color="auto"/>
              <w:bottom w:val="nil"/>
              <w:right w:val="nil"/>
            </w:tcBorders>
            <w:shd w:val="clear" w:color="000000" w:fill="D2D9EA"/>
            <w:vAlign w:val="center"/>
            <w:hideMark/>
          </w:tcPr>
          <w:p w14:paraId="55AE31D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39.3</w:t>
            </w:r>
          </w:p>
        </w:tc>
        <w:tc>
          <w:tcPr>
            <w:tcW w:w="1134" w:type="dxa"/>
            <w:tcBorders>
              <w:top w:val="nil"/>
              <w:left w:val="single" w:sz="4" w:space="0" w:color="auto"/>
              <w:bottom w:val="nil"/>
              <w:right w:val="nil"/>
            </w:tcBorders>
            <w:shd w:val="clear" w:color="000000" w:fill="D2D9EA"/>
            <w:vAlign w:val="center"/>
            <w:hideMark/>
          </w:tcPr>
          <w:p w14:paraId="16BB8E5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41.9</w:t>
            </w:r>
          </w:p>
        </w:tc>
        <w:tc>
          <w:tcPr>
            <w:tcW w:w="1134" w:type="dxa"/>
            <w:tcBorders>
              <w:top w:val="nil"/>
              <w:left w:val="single" w:sz="4" w:space="0" w:color="auto"/>
              <w:bottom w:val="nil"/>
              <w:right w:val="single" w:sz="4" w:space="0" w:color="auto"/>
            </w:tcBorders>
            <w:shd w:val="clear" w:color="000000" w:fill="D2D9EA"/>
            <w:vAlign w:val="center"/>
            <w:hideMark/>
          </w:tcPr>
          <w:p w14:paraId="3450ECD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43.0</w:t>
            </w:r>
          </w:p>
        </w:tc>
      </w:tr>
      <w:tr w:rsidR="006A4309" w:rsidRPr="006A4309" w14:paraId="12621B57"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08501102" w14:textId="77777777" w:rsidR="006A4309" w:rsidRPr="006A4309" w:rsidRDefault="006A4309" w:rsidP="006A4309">
            <w:pPr>
              <w:spacing w:line="240" w:lineRule="auto"/>
              <w:rPr>
                <w:rFonts w:ascii="Arial" w:hAnsi="Arial" w:cs="Arial"/>
                <w:b/>
                <w:bCs/>
                <w:color w:val="000000"/>
                <w:sz w:val="14"/>
                <w:szCs w:val="14"/>
              </w:rPr>
            </w:pPr>
          </w:p>
        </w:tc>
        <w:tc>
          <w:tcPr>
            <w:tcW w:w="1134" w:type="dxa"/>
            <w:tcBorders>
              <w:top w:val="nil"/>
              <w:left w:val="nil"/>
              <w:bottom w:val="nil"/>
              <w:right w:val="nil"/>
            </w:tcBorders>
            <w:shd w:val="clear" w:color="auto" w:fill="auto"/>
            <w:vAlign w:val="center"/>
            <w:hideMark/>
          </w:tcPr>
          <w:p w14:paraId="02A92317"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1134" w:type="dxa"/>
            <w:tcBorders>
              <w:top w:val="nil"/>
              <w:left w:val="single" w:sz="4" w:space="0" w:color="auto"/>
              <w:bottom w:val="nil"/>
              <w:right w:val="nil"/>
            </w:tcBorders>
            <w:shd w:val="clear" w:color="auto" w:fill="auto"/>
            <w:vAlign w:val="center"/>
            <w:hideMark/>
          </w:tcPr>
          <w:p w14:paraId="2DB3E70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377.8</w:t>
            </w:r>
          </w:p>
        </w:tc>
        <w:tc>
          <w:tcPr>
            <w:tcW w:w="1134" w:type="dxa"/>
            <w:tcBorders>
              <w:top w:val="nil"/>
              <w:left w:val="single" w:sz="4" w:space="0" w:color="auto"/>
              <w:bottom w:val="nil"/>
              <w:right w:val="nil"/>
            </w:tcBorders>
            <w:shd w:val="clear" w:color="auto" w:fill="auto"/>
            <w:vAlign w:val="center"/>
            <w:hideMark/>
          </w:tcPr>
          <w:p w14:paraId="69B2977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491.2</w:t>
            </w:r>
          </w:p>
        </w:tc>
        <w:tc>
          <w:tcPr>
            <w:tcW w:w="1134" w:type="dxa"/>
            <w:tcBorders>
              <w:top w:val="nil"/>
              <w:left w:val="single" w:sz="4" w:space="0" w:color="auto"/>
              <w:bottom w:val="nil"/>
              <w:right w:val="nil"/>
            </w:tcBorders>
            <w:shd w:val="clear" w:color="auto" w:fill="auto"/>
            <w:vAlign w:val="center"/>
            <w:hideMark/>
          </w:tcPr>
          <w:p w14:paraId="0369894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691.9</w:t>
            </w:r>
          </w:p>
        </w:tc>
        <w:tc>
          <w:tcPr>
            <w:tcW w:w="1134" w:type="dxa"/>
            <w:tcBorders>
              <w:top w:val="nil"/>
              <w:left w:val="single" w:sz="4" w:space="0" w:color="auto"/>
              <w:bottom w:val="nil"/>
              <w:right w:val="nil"/>
            </w:tcBorders>
            <w:shd w:val="clear" w:color="auto" w:fill="auto"/>
            <w:vAlign w:val="center"/>
            <w:hideMark/>
          </w:tcPr>
          <w:p w14:paraId="02C307A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798.5</w:t>
            </w:r>
          </w:p>
        </w:tc>
        <w:tc>
          <w:tcPr>
            <w:tcW w:w="1134" w:type="dxa"/>
            <w:tcBorders>
              <w:top w:val="nil"/>
              <w:left w:val="single" w:sz="4" w:space="0" w:color="auto"/>
              <w:bottom w:val="nil"/>
              <w:right w:val="nil"/>
            </w:tcBorders>
            <w:shd w:val="clear" w:color="auto" w:fill="auto"/>
            <w:vAlign w:val="center"/>
            <w:hideMark/>
          </w:tcPr>
          <w:p w14:paraId="0F08B236"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884.3</w:t>
            </w:r>
          </w:p>
        </w:tc>
        <w:tc>
          <w:tcPr>
            <w:tcW w:w="1134" w:type="dxa"/>
            <w:tcBorders>
              <w:top w:val="nil"/>
              <w:left w:val="single" w:sz="4" w:space="0" w:color="auto"/>
              <w:bottom w:val="nil"/>
              <w:right w:val="single" w:sz="4" w:space="0" w:color="auto"/>
            </w:tcBorders>
            <w:shd w:val="clear" w:color="auto" w:fill="auto"/>
            <w:vAlign w:val="center"/>
            <w:hideMark/>
          </w:tcPr>
          <w:p w14:paraId="5BA98BB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951.7</w:t>
            </w:r>
          </w:p>
        </w:tc>
      </w:tr>
      <w:tr w:rsidR="006A4309" w:rsidRPr="006A4309" w14:paraId="3CB34F90"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F97FE"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State and territory</w:t>
            </w:r>
          </w:p>
        </w:tc>
        <w:tc>
          <w:tcPr>
            <w:tcW w:w="1134" w:type="dxa"/>
            <w:tcBorders>
              <w:top w:val="nil"/>
              <w:left w:val="nil"/>
              <w:bottom w:val="nil"/>
              <w:right w:val="nil"/>
            </w:tcBorders>
            <w:shd w:val="clear" w:color="000000" w:fill="D2D9EA"/>
            <w:vAlign w:val="center"/>
            <w:hideMark/>
          </w:tcPr>
          <w:p w14:paraId="4936DEBD"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1134" w:type="dxa"/>
            <w:tcBorders>
              <w:top w:val="nil"/>
              <w:left w:val="single" w:sz="4" w:space="0" w:color="auto"/>
              <w:bottom w:val="nil"/>
              <w:right w:val="nil"/>
            </w:tcBorders>
            <w:shd w:val="clear" w:color="000000" w:fill="D2D9EA"/>
            <w:vAlign w:val="center"/>
            <w:hideMark/>
          </w:tcPr>
          <w:p w14:paraId="590BCEF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1.8</w:t>
            </w:r>
          </w:p>
        </w:tc>
        <w:tc>
          <w:tcPr>
            <w:tcW w:w="1134" w:type="dxa"/>
            <w:tcBorders>
              <w:top w:val="nil"/>
              <w:left w:val="single" w:sz="4" w:space="0" w:color="auto"/>
              <w:bottom w:val="nil"/>
              <w:right w:val="nil"/>
            </w:tcBorders>
            <w:shd w:val="clear" w:color="000000" w:fill="D2D9EA"/>
            <w:vAlign w:val="center"/>
            <w:hideMark/>
          </w:tcPr>
          <w:p w14:paraId="3510304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5.8</w:t>
            </w:r>
          </w:p>
        </w:tc>
        <w:tc>
          <w:tcPr>
            <w:tcW w:w="1134" w:type="dxa"/>
            <w:tcBorders>
              <w:top w:val="nil"/>
              <w:left w:val="single" w:sz="4" w:space="0" w:color="auto"/>
              <w:bottom w:val="nil"/>
              <w:right w:val="nil"/>
            </w:tcBorders>
            <w:shd w:val="clear" w:color="000000" w:fill="D2D9EA"/>
            <w:vAlign w:val="center"/>
            <w:hideMark/>
          </w:tcPr>
          <w:p w14:paraId="4917E28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10.3</w:t>
            </w:r>
          </w:p>
        </w:tc>
        <w:tc>
          <w:tcPr>
            <w:tcW w:w="1134" w:type="dxa"/>
            <w:tcBorders>
              <w:top w:val="nil"/>
              <w:left w:val="single" w:sz="4" w:space="0" w:color="auto"/>
              <w:bottom w:val="nil"/>
              <w:right w:val="nil"/>
            </w:tcBorders>
            <w:shd w:val="clear" w:color="000000" w:fill="D2D9EA"/>
            <w:vAlign w:val="center"/>
            <w:hideMark/>
          </w:tcPr>
          <w:p w14:paraId="34599E9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13.3</w:t>
            </w:r>
          </w:p>
        </w:tc>
        <w:tc>
          <w:tcPr>
            <w:tcW w:w="1134" w:type="dxa"/>
            <w:tcBorders>
              <w:top w:val="nil"/>
              <w:left w:val="single" w:sz="4" w:space="0" w:color="auto"/>
              <w:bottom w:val="nil"/>
              <w:right w:val="nil"/>
            </w:tcBorders>
            <w:shd w:val="clear" w:color="000000" w:fill="D2D9EA"/>
            <w:vAlign w:val="center"/>
            <w:hideMark/>
          </w:tcPr>
          <w:p w14:paraId="6D251ED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15.4</w:t>
            </w:r>
          </w:p>
        </w:tc>
        <w:tc>
          <w:tcPr>
            <w:tcW w:w="1134" w:type="dxa"/>
            <w:tcBorders>
              <w:top w:val="nil"/>
              <w:left w:val="single" w:sz="4" w:space="0" w:color="auto"/>
              <w:bottom w:val="nil"/>
              <w:right w:val="single" w:sz="4" w:space="0" w:color="auto"/>
            </w:tcBorders>
            <w:shd w:val="clear" w:color="000000" w:fill="D2D9EA"/>
            <w:vAlign w:val="center"/>
            <w:hideMark/>
          </w:tcPr>
          <w:p w14:paraId="441D8CE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16.8</w:t>
            </w:r>
          </w:p>
        </w:tc>
      </w:tr>
      <w:tr w:rsidR="006A4309" w:rsidRPr="006A4309" w14:paraId="16C90FEE"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46001264" w14:textId="77777777" w:rsidR="006A4309" w:rsidRPr="006A4309" w:rsidRDefault="006A4309" w:rsidP="006A4309">
            <w:pPr>
              <w:spacing w:line="240" w:lineRule="auto"/>
              <w:rPr>
                <w:rFonts w:ascii="Arial" w:hAnsi="Arial" w:cs="Arial"/>
                <w:b/>
                <w:bCs/>
                <w:color w:val="000000"/>
                <w:sz w:val="14"/>
                <w:szCs w:val="14"/>
              </w:rPr>
            </w:pPr>
          </w:p>
        </w:tc>
        <w:tc>
          <w:tcPr>
            <w:tcW w:w="1134" w:type="dxa"/>
            <w:tcBorders>
              <w:top w:val="nil"/>
              <w:left w:val="nil"/>
              <w:bottom w:val="single" w:sz="4" w:space="0" w:color="auto"/>
              <w:right w:val="nil"/>
            </w:tcBorders>
            <w:shd w:val="clear" w:color="auto" w:fill="auto"/>
            <w:vAlign w:val="center"/>
            <w:hideMark/>
          </w:tcPr>
          <w:p w14:paraId="0BCE6052"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1134" w:type="dxa"/>
            <w:tcBorders>
              <w:top w:val="nil"/>
              <w:left w:val="single" w:sz="4" w:space="0" w:color="auto"/>
              <w:bottom w:val="single" w:sz="4" w:space="0" w:color="auto"/>
              <w:right w:val="nil"/>
            </w:tcBorders>
            <w:shd w:val="clear" w:color="auto" w:fill="auto"/>
            <w:vAlign w:val="center"/>
            <w:hideMark/>
          </w:tcPr>
          <w:p w14:paraId="0751E30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35.0</w:t>
            </w:r>
          </w:p>
        </w:tc>
        <w:tc>
          <w:tcPr>
            <w:tcW w:w="1134" w:type="dxa"/>
            <w:tcBorders>
              <w:top w:val="nil"/>
              <w:left w:val="single" w:sz="4" w:space="0" w:color="auto"/>
              <w:bottom w:val="single" w:sz="4" w:space="0" w:color="auto"/>
              <w:right w:val="nil"/>
            </w:tcBorders>
            <w:shd w:val="clear" w:color="auto" w:fill="auto"/>
            <w:vAlign w:val="center"/>
            <w:hideMark/>
          </w:tcPr>
          <w:p w14:paraId="6B7FA16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114.9</w:t>
            </w:r>
          </w:p>
        </w:tc>
        <w:tc>
          <w:tcPr>
            <w:tcW w:w="1134" w:type="dxa"/>
            <w:tcBorders>
              <w:top w:val="nil"/>
              <w:left w:val="single" w:sz="4" w:space="0" w:color="auto"/>
              <w:bottom w:val="single" w:sz="4" w:space="0" w:color="auto"/>
              <w:right w:val="nil"/>
            </w:tcBorders>
            <w:shd w:val="clear" w:color="auto" w:fill="auto"/>
            <w:vAlign w:val="center"/>
            <w:hideMark/>
          </w:tcPr>
          <w:p w14:paraId="1A6054D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205.6</w:t>
            </w:r>
          </w:p>
        </w:tc>
        <w:tc>
          <w:tcPr>
            <w:tcW w:w="1134" w:type="dxa"/>
            <w:tcBorders>
              <w:top w:val="nil"/>
              <w:left w:val="single" w:sz="4" w:space="0" w:color="auto"/>
              <w:bottom w:val="single" w:sz="4" w:space="0" w:color="auto"/>
              <w:right w:val="nil"/>
            </w:tcBorders>
            <w:shd w:val="clear" w:color="auto" w:fill="auto"/>
            <w:vAlign w:val="center"/>
            <w:hideMark/>
          </w:tcPr>
          <w:p w14:paraId="7CA3CDB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271.2</w:t>
            </w:r>
          </w:p>
        </w:tc>
        <w:tc>
          <w:tcPr>
            <w:tcW w:w="1134" w:type="dxa"/>
            <w:tcBorders>
              <w:top w:val="nil"/>
              <w:left w:val="single" w:sz="4" w:space="0" w:color="auto"/>
              <w:bottom w:val="single" w:sz="4" w:space="0" w:color="auto"/>
              <w:right w:val="nil"/>
            </w:tcBorders>
            <w:shd w:val="clear" w:color="auto" w:fill="auto"/>
            <w:vAlign w:val="center"/>
            <w:hideMark/>
          </w:tcPr>
          <w:p w14:paraId="3316D65E"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325.6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2AB0B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370.9</w:t>
            </w:r>
          </w:p>
        </w:tc>
      </w:tr>
      <w:tr w:rsidR="006A4309" w:rsidRPr="006A4309" w14:paraId="5F08A307" w14:textId="77777777" w:rsidTr="007D2509">
        <w:trPr>
          <w:trHeight w:val="540"/>
        </w:trPr>
        <w:tc>
          <w:tcPr>
            <w:tcW w:w="2080" w:type="dxa"/>
            <w:tcBorders>
              <w:top w:val="single" w:sz="4" w:space="0" w:color="auto"/>
              <w:left w:val="single" w:sz="4" w:space="0" w:color="auto"/>
              <w:bottom w:val="single" w:sz="4" w:space="0" w:color="auto"/>
              <w:right w:val="nil"/>
            </w:tcBorders>
            <w:shd w:val="clear" w:color="000000" w:fill="3D4D7D"/>
            <w:vAlign w:val="center"/>
            <w:hideMark/>
          </w:tcPr>
          <w:p w14:paraId="3A74D595"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Change in net debt since 2019-20 National Fiscal Outlook</w:t>
            </w:r>
          </w:p>
        </w:tc>
        <w:tc>
          <w:tcPr>
            <w:tcW w:w="1134" w:type="dxa"/>
            <w:tcBorders>
              <w:top w:val="single" w:sz="4" w:space="0" w:color="auto"/>
              <w:left w:val="single" w:sz="4" w:space="0" w:color="auto"/>
              <w:bottom w:val="single" w:sz="4" w:space="0" w:color="auto"/>
              <w:right w:val="single" w:sz="4" w:space="0" w:color="auto"/>
            </w:tcBorders>
            <w:shd w:val="clear" w:color="000000" w:fill="3D4D7D"/>
            <w:vAlign w:val="center"/>
            <w:hideMark/>
          </w:tcPr>
          <w:p w14:paraId="2F3290D8" w14:textId="77777777" w:rsidR="006A4309" w:rsidRPr="00EC38F3" w:rsidRDefault="006A4309" w:rsidP="006A4309">
            <w:pPr>
              <w:spacing w:line="240" w:lineRule="auto"/>
              <w:jc w:val="center"/>
              <w:rPr>
                <w:rFonts w:ascii="Arial" w:hAnsi="Arial" w:cs="Arial"/>
                <w:b/>
                <w:bCs/>
                <w:color w:val="FFFFFF"/>
                <w:sz w:val="14"/>
                <w:szCs w:val="14"/>
              </w:rPr>
            </w:pPr>
            <w:r w:rsidRPr="00EC38F3">
              <w:rPr>
                <w:rFonts w:ascii="Arial" w:hAnsi="Arial" w:cs="Arial"/>
                <w:b/>
                <w:bCs/>
                <w:color w:val="FFFFFF"/>
                <w:sz w:val="14"/>
                <w:szCs w:val="14"/>
              </w:rPr>
              <w:t> </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41EB6E88"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7FFC3CDB"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0AB79B84"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40D5D777"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66B7D921"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c>
          <w:tcPr>
            <w:tcW w:w="1134" w:type="dxa"/>
            <w:tcBorders>
              <w:top w:val="single" w:sz="4" w:space="0" w:color="auto"/>
              <w:left w:val="nil"/>
              <w:bottom w:val="single" w:sz="4" w:space="0" w:color="auto"/>
              <w:right w:val="single" w:sz="4" w:space="0" w:color="auto"/>
            </w:tcBorders>
            <w:shd w:val="clear" w:color="000000" w:fill="3D4D7D"/>
            <w:vAlign w:val="center"/>
            <w:hideMark/>
          </w:tcPr>
          <w:p w14:paraId="3611AC38" w14:textId="77777777" w:rsidR="006A4309" w:rsidRPr="006A4309" w:rsidRDefault="006A4309" w:rsidP="006A4309">
            <w:pPr>
              <w:spacing w:line="240" w:lineRule="auto"/>
              <w:jc w:val="center"/>
              <w:rPr>
                <w:rFonts w:ascii="Arial" w:hAnsi="Arial" w:cs="Arial"/>
                <w:b/>
                <w:bCs/>
                <w:color w:val="FFFFFF"/>
                <w:sz w:val="14"/>
                <w:szCs w:val="14"/>
              </w:rPr>
            </w:pPr>
            <w:r w:rsidRPr="006A4309">
              <w:rPr>
                <w:rFonts w:ascii="Arial" w:hAnsi="Arial" w:cs="Arial"/>
                <w:b/>
                <w:bCs/>
                <w:color w:val="FFFFFF"/>
                <w:sz w:val="14"/>
                <w:szCs w:val="14"/>
              </w:rPr>
              <w:t> </w:t>
            </w:r>
          </w:p>
        </w:tc>
      </w:tr>
      <w:tr w:rsidR="006A4309" w:rsidRPr="006A4309" w14:paraId="1930A6EE"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336B5"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National</w:t>
            </w:r>
          </w:p>
        </w:tc>
        <w:tc>
          <w:tcPr>
            <w:tcW w:w="1134" w:type="dxa"/>
            <w:tcBorders>
              <w:top w:val="single" w:sz="4" w:space="0" w:color="auto"/>
              <w:left w:val="nil"/>
              <w:bottom w:val="nil"/>
              <w:right w:val="nil"/>
            </w:tcBorders>
            <w:shd w:val="clear" w:color="000000" w:fill="D2D9EA"/>
            <w:vAlign w:val="center"/>
            <w:hideMark/>
          </w:tcPr>
          <w:p w14:paraId="1E369E90"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1134" w:type="dxa"/>
            <w:tcBorders>
              <w:top w:val="single" w:sz="4" w:space="0" w:color="auto"/>
              <w:left w:val="single" w:sz="4" w:space="0" w:color="auto"/>
              <w:bottom w:val="nil"/>
              <w:right w:val="nil"/>
            </w:tcBorders>
            <w:shd w:val="clear" w:color="000000" w:fill="D2D9EA"/>
            <w:vAlign w:val="center"/>
            <w:hideMark/>
          </w:tcPr>
          <w:p w14:paraId="306DC7D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-0.5</w:t>
            </w:r>
          </w:p>
        </w:tc>
        <w:tc>
          <w:tcPr>
            <w:tcW w:w="1134" w:type="dxa"/>
            <w:tcBorders>
              <w:top w:val="single" w:sz="4" w:space="0" w:color="auto"/>
              <w:left w:val="single" w:sz="4" w:space="0" w:color="auto"/>
              <w:bottom w:val="nil"/>
              <w:right w:val="nil"/>
            </w:tcBorders>
            <w:shd w:val="clear" w:color="000000" w:fill="D2D9EA"/>
            <w:vAlign w:val="center"/>
            <w:hideMark/>
          </w:tcPr>
          <w:p w14:paraId="7E99430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7.2</w:t>
            </w:r>
          </w:p>
        </w:tc>
        <w:tc>
          <w:tcPr>
            <w:tcW w:w="1134" w:type="dxa"/>
            <w:tcBorders>
              <w:top w:val="single" w:sz="4" w:space="0" w:color="auto"/>
              <w:left w:val="single" w:sz="4" w:space="0" w:color="auto"/>
              <w:bottom w:val="nil"/>
              <w:right w:val="nil"/>
            </w:tcBorders>
            <w:shd w:val="clear" w:color="000000" w:fill="D2D9EA"/>
            <w:vAlign w:val="center"/>
            <w:hideMark/>
          </w:tcPr>
          <w:p w14:paraId="58AE146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21.0</w:t>
            </w:r>
          </w:p>
        </w:tc>
        <w:tc>
          <w:tcPr>
            <w:tcW w:w="1134" w:type="dxa"/>
            <w:tcBorders>
              <w:top w:val="single" w:sz="4" w:space="0" w:color="auto"/>
              <w:left w:val="single" w:sz="4" w:space="0" w:color="auto"/>
              <w:bottom w:val="nil"/>
              <w:right w:val="nil"/>
            </w:tcBorders>
            <w:shd w:val="clear" w:color="000000" w:fill="D2D9EA"/>
            <w:vAlign w:val="center"/>
            <w:hideMark/>
          </w:tcPr>
          <w:p w14:paraId="2952772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29.0</w:t>
            </w:r>
          </w:p>
        </w:tc>
        <w:tc>
          <w:tcPr>
            <w:tcW w:w="1134" w:type="dxa"/>
            <w:tcBorders>
              <w:top w:val="single" w:sz="4" w:space="0" w:color="auto"/>
              <w:left w:val="single" w:sz="4" w:space="0" w:color="auto"/>
              <w:bottom w:val="nil"/>
              <w:right w:val="nil"/>
            </w:tcBorders>
            <w:shd w:val="clear" w:color="000000" w:fill="D2D9EA"/>
            <w:vAlign w:val="center"/>
            <w:hideMark/>
          </w:tcPr>
          <w:p w14:paraId="5BB31AE4"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34.4</w:t>
            </w:r>
          </w:p>
        </w:tc>
        <w:tc>
          <w:tcPr>
            <w:tcW w:w="1134" w:type="dxa"/>
            <w:tcBorders>
              <w:top w:val="single" w:sz="4" w:space="0" w:color="auto"/>
              <w:left w:val="single" w:sz="4" w:space="0" w:color="auto"/>
              <w:bottom w:val="nil"/>
              <w:right w:val="single" w:sz="4" w:space="0" w:color="auto"/>
            </w:tcBorders>
            <w:shd w:val="clear" w:color="000000" w:fill="D2D9EA"/>
            <w:vAlign w:val="center"/>
            <w:hideMark/>
          </w:tcPr>
          <w:p w14:paraId="011B8E5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r>
      <w:tr w:rsidR="006A4309" w:rsidRPr="006A4309" w14:paraId="0527646E"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A80AD95" w14:textId="77777777" w:rsidR="006A4309" w:rsidRPr="006A4309" w:rsidRDefault="006A4309" w:rsidP="006A4309">
            <w:pPr>
              <w:spacing w:line="240" w:lineRule="auto"/>
              <w:rPr>
                <w:rFonts w:ascii="Arial" w:hAnsi="Arial" w:cs="Arial"/>
                <w:b/>
                <w:bCs/>
                <w:color w:val="000000"/>
                <w:sz w:val="14"/>
                <w:szCs w:val="14"/>
              </w:rPr>
            </w:pPr>
          </w:p>
        </w:tc>
        <w:tc>
          <w:tcPr>
            <w:tcW w:w="1134" w:type="dxa"/>
            <w:tcBorders>
              <w:top w:val="nil"/>
              <w:left w:val="nil"/>
              <w:bottom w:val="nil"/>
              <w:right w:val="nil"/>
            </w:tcBorders>
            <w:shd w:val="clear" w:color="auto" w:fill="auto"/>
            <w:vAlign w:val="center"/>
            <w:hideMark/>
          </w:tcPr>
          <w:p w14:paraId="35903084"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1134" w:type="dxa"/>
            <w:tcBorders>
              <w:top w:val="nil"/>
              <w:left w:val="single" w:sz="4" w:space="0" w:color="auto"/>
              <w:bottom w:val="nil"/>
              <w:right w:val="nil"/>
            </w:tcBorders>
            <w:shd w:val="clear" w:color="auto" w:fill="auto"/>
            <w:vAlign w:val="center"/>
            <w:hideMark/>
          </w:tcPr>
          <w:p w14:paraId="77A2121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-10.0</w:t>
            </w:r>
          </w:p>
        </w:tc>
        <w:tc>
          <w:tcPr>
            <w:tcW w:w="1134" w:type="dxa"/>
            <w:tcBorders>
              <w:top w:val="nil"/>
              <w:left w:val="single" w:sz="4" w:space="0" w:color="auto"/>
              <w:bottom w:val="nil"/>
              <w:right w:val="nil"/>
            </w:tcBorders>
            <w:shd w:val="clear" w:color="auto" w:fill="auto"/>
            <w:vAlign w:val="center"/>
            <w:hideMark/>
          </w:tcPr>
          <w:p w14:paraId="1F9CE9E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143.8</w:t>
            </w:r>
          </w:p>
        </w:tc>
        <w:tc>
          <w:tcPr>
            <w:tcW w:w="1134" w:type="dxa"/>
            <w:tcBorders>
              <w:top w:val="nil"/>
              <w:left w:val="single" w:sz="4" w:space="0" w:color="auto"/>
              <w:bottom w:val="nil"/>
              <w:right w:val="nil"/>
            </w:tcBorders>
            <w:shd w:val="clear" w:color="auto" w:fill="auto"/>
            <w:vAlign w:val="center"/>
            <w:hideMark/>
          </w:tcPr>
          <w:p w14:paraId="61C60BF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421.8</w:t>
            </w:r>
          </w:p>
        </w:tc>
        <w:tc>
          <w:tcPr>
            <w:tcW w:w="1134" w:type="dxa"/>
            <w:tcBorders>
              <w:top w:val="nil"/>
              <w:left w:val="single" w:sz="4" w:space="0" w:color="auto"/>
              <w:bottom w:val="nil"/>
              <w:right w:val="nil"/>
            </w:tcBorders>
            <w:shd w:val="clear" w:color="auto" w:fill="auto"/>
            <w:vAlign w:val="center"/>
            <w:hideMark/>
          </w:tcPr>
          <w:p w14:paraId="05C62D1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590.0</w:t>
            </w:r>
          </w:p>
        </w:tc>
        <w:tc>
          <w:tcPr>
            <w:tcW w:w="1134" w:type="dxa"/>
            <w:tcBorders>
              <w:top w:val="nil"/>
              <w:left w:val="single" w:sz="4" w:space="0" w:color="auto"/>
              <w:bottom w:val="nil"/>
              <w:right w:val="nil"/>
            </w:tcBorders>
            <w:shd w:val="clear" w:color="auto" w:fill="auto"/>
            <w:vAlign w:val="center"/>
            <w:hideMark/>
          </w:tcPr>
          <w:p w14:paraId="1EBDB3B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724.9</w:t>
            </w:r>
          </w:p>
        </w:tc>
        <w:tc>
          <w:tcPr>
            <w:tcW w:w="1134" w:type="dxa"/>
            <w:tcBorders>
              <w:top w:val="nil"/>
              <w:left w:val="single" w:sz="4" w:space="0" w:color="auto"/>
              <w:bottom w:val="nil"/>
              <w:right w:val="single" w:sz="4" w:space="0" w:color="auto"/>
            </w:tcBorders>
            <w:shd w:val="clear" w:color="auto" w:fill="auto"/>
            <w:vAlign w:val="center"/>
            <w:hideMark/>
          </w:tcPr>
          <w:p w14:paraId="6EA32DF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r>
      <w:tr w:rsidR="006A4309" w:rsidRPr="006A4309" w14:paraId="144262B8"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481A3"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Commonwealth</w:t>
            </w:r>
          </w:p>
        </w:tc>
        <w:tc>
          <w:tcPr>
            <w:tcW w:w="1134" w:type="dxa"/>
            <w:tcBorders>
              <w:top w:val="nil"/>
              <w:left w:val="nil"/>
              <w:bottom w:val="nil"/>
              <w:right w:val="nil"/>
            </w:tcBorders>
            <w:shd w:val="clear" w:color="000000" w:fill="D2D9EA"/>
            <w:vAlign w:val="center"/>
            <w:hideMark/>
          </w:tcPr>
          <w:p w14:paraId="062E3478"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1134" w:type="dxa"/>
            <w:tcBorders>
              <w:top w:val="nil"/>
              <w:left w:val="single" w:sz="4" w:space="0" w:color="auto"/>
              <w:bottom w:val="nil"/>
              <w:right w:val="nil"/>
            </w:tcBorders>
            <w:shd w:val="clear" w:color="000000" w:fill="D2D9EA"/>
            <w:vAlign w:val="center"/>
            <w:hideMark/>
          </w:tcPr>
          <w:p w14:paraId="359F827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0.2</w:t>
            </w:r>
          </w:p>
        </w:tc>
        <w:tc>
          <w:tcPr>
            <w:tcW w:w="1134" w:type="dxa"/>
            <w:tcBorders>
              <w:top w:val="nil"/>
              <w:left w:val="single" w:sz="4" w:space="0" w:color="auto"/>
              <w:bottom w:val="nil"/>
              <w:right w:val="nil"/>
            </w:tcBorders>
            <w:shd w:val="clear" w:color="000000" w:fill="D2D9EA"/>
            <w:vAlign w:val="center"/>
            <w:hideMark/>
          </w:tcPr>
          <w:p w14:paraId="435BC7EC"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6.6</w:t>
            </w:r>
          </w:p>
        </w:tc>
        <w:tc>
          <w:tcPr>
            <w:tcW w:w="1134" w:type="dxa"/>
            <w:tcBorders>
              <w:top w:val="nil"/>
              <w:left w:val="single" w:sz="4" w:space="0" w:color="auto"/>
              <w:bottom w:val="nil"/>
              <w:right w:val="nil"/>
            </w:tcBorders>
            <w:shd w:val="clear" w:color="000000" w:fill="D2D9EA"/>
            <w:vAlign w:val="center"/>
            <w:hideMark/>
          </w:tcPr>
          <w:p w14:paraId="33117C48"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17.1</w:t>
            </w:r>
          </w:p>
        </w:tc>
        <w:tc>
          <w:tcPr>
            <w:tcW w:w="1134" w:type="dxa"/>
            <w:tcBorders>
              <w:top w:val="nil"/>
              <w:left w:val="single" w:sz="4" w:space="0" w:color="auto"/>
              <w:bottom w:val="nil"/>
              <w:right w:val="nil"/>
            </w:tcBorders>
            <w:shd w:val="clear" w:color="000000" w:fill="D2D9EA"/>
            <w:vAlign w:val="center"/>
            <w:hideMark/>
          </w:tcPr>
          <w:p w14:paraId="40D99DF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22.9</w:t>
            </w:r>
          </w:p>
        </w:tc>
        <w:tc>
          <w:tcPr>
            <w:tcW w:w="1134" w:type="dxa"/>
            <w:tcBorders>
              <w:top w:val="nil"/>
              <w:left w:val="single" w:sz="4" w:space="0" w:color="auto"/>
              <w:bottom w:val="nil"/>
              <w:right w:val="nil"/>
            </w:tcBorders>
            <w:shd w:val="clear" w:color="000000" w:fill="D2D9EA"/>
            <w:vAlign w:val="center"/>
            <w:hideMark/>
          </w:tcPr>
          <w:p w14:paraId="778CDA7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26.5</w:t>
            </w:r>
          </w:p>
        </w:tc>
        <w:tc>
          <w:tcPr>
            <w:tcW w:w="1134" w:type="dxa"/>
            <w:tcBorders>
              <w:top w:val="nil"/>
              <w:left w:val="single" w:sz="4" w:space="0" w:color="auto"/>
              <w:bottom w:val="nil"/>
              <w:right w:val="single" w:sz="4" w:space="0" w:color="auto"/>
            </w:tcBorders>
            <w:shd w:val="clear" w:color="000000" w:fill="D2D9EA"/>
            <w:vAlign w:val="center"/>
            <w:hideMark/>
          </w:tcPr>
          <w:p w14:paraId="71A64F70"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r>
      <w:tr w:rsidR="006A4309" w:rsidRPr="006A4309" w14:paraId="5E36FC0B"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51D1D707" w14:textId="77777777" w:rsidR="006A4309" w:rsidRPr="006A4309" w:rsidRDefault="006A4309" w:rsidP="006A4309">
            <w:pPr>
              <w:spacing w:line="240" w:lineRule="auto"/>
              <w:rPr>
                <w:rFonts w:ascii="Arial" w:hAnsi="Arial" w:cs="Arial"/>
                <w:b/>
                <w:bCs/>
                <w:color w:val="000000"/>
                <w:sz w:val="14"/>
                <w:szCs w:val="14"/>
              </w:rPr>
            </w:pPr>
          </w:p>
        </w:tc>
        <w:tc>
          <w:tcPr>
            <w:tcW w:w="1134" w:type="dxa"/>
            <w:tcBorders>
              <w:top w:val="nil"/>
              <w:left w:val="nil"/>
              <w:bottom w:val="nil"/>
              <w:right w:val="nil"/>
            </w:tcBorders>
            <w:shd w:val="clear" w:color="auto" w:fill="auto"/>
            <w:vAlign w:val="center"/>
            <w:hideMark/>
          </w:tcPr>
          <w:p w14:paraId="7A330B7E"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1134" w:type="dxa"/>
            <w:tcBorders>
              <w:top w:val="nil"/>
              <w:left w:val="single" w:sz="4" w:space="0" w:color="auto"/>
              <w:bottom w:val="nil"/>
              <w:right w:val="nil"/>
            </w:tcBorders>
            <w:shd w:val="clear" w:color="auto" w:fill="auto"/>
            <w:vAlign w:val="center"/>
            <w:hideMark/>
          </w:tcPr>
          <w:p w14:paraId="134CECD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4.3</w:t>
            </w:r>
          </w:p>
        </w:tc>
        <w:tc>
          <w:tcPr>
            <w:tcW w:w="1134" w:type="dxa"/>
            <w:tcBorders>
              <w:top w:val="nil"/>
              <w:left w:val="single" w:sz="4" w:space="0" w:color="auto"/>
              <w:bottom w:val="nil"/>
              <w:right w:val="nil"/>
            </w:tcBorders>
            <w:shd w:val="clear" w:color="auto" w:fill="auto"/>
            <w:vAlign w:val="center"/>
            <w:hideMark/>
          </w:tcPr>
          <w:p w14:paraId="0925D42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130.2</w:t>
            </w:r>
          </w:p>
        </w:tc>
        <w:tc>
          <w:tcPr>
            <w:tcW w:w="1134" w:type="dxa"/>
            <w:tcBorders>
              <w:top w:val="nil"/>
              <w:left w:val="single" w:sz="4" w:space="0" w:color="auto"/>
              <w:bottom w:val="nil"/>
              <w:right w:val="nil"/>
            </w:tcBorders>
            <w:shd w:val="clear" w:color="auto" w:fill="auto"/>
            <w:vAlign w:val="center"/>
            <w:hideMark/>
          </w:tcPr>
          <w:p w14:paraId="0B47FDC3"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342.4</w:t>
            </w:r>
          </w:p>
        </w:tc>
        <w:tc>
          <w:tcPr>
            <w:tcW w:w="1134" w:type="dxa"/>
            <w:tcBorders>
              <w:top w:val="nil"/>
              <w:left w:val="single" w:sz="4" w:space="0" w:color="auto"/>
              <w:bottom w:val="nil"/>
              <w:right w:val="nil"/>
            </w:tcBorders>
            <w:shd w:val="clear" w:color="auto" w:fill="auto"/>
            <w:vAlign w:val="center"/>
            <w:hideMark/>
          </w:tcPr>
          <w:p w14:paraId="63DEDA6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465.2</w:t>
            </w:r>
          </w:p>
        </w:tc>
        <w:tc>
          <w:tcPr>
            <w:tcW w:w="1134" w:type="dxa"/>
            <w:tcBorders>
              <w:top w:val="nil"/>
              <w:left w:val="single" w:sz="4" w:space="0" w:color="auto"/>
              <w:bottom w:val="nil"/>
              <w:right w:val="nil"/>
            </w:tcBorders>
            <w:shd w:val="clear" w:color="auto" w:fill="auto"/>
            <w:vAlign w:val="center"/>
            <w:hideMark/>
          </w:tcPr>
          <w:p w14:paraId="776DCD4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558.2</w:t>
            </w:r>
          </w:p>
        </w:tc>
        <w:tc>
          <w:tcPr>
            <w:tcW w:w="1134" w:type="dxa"/>
            <w:tcBorders>
              <w:top w:val="nil"/>
              <w:left w:val="single" w:sz="4" w:space="0" w:color="auto"/>
              <w:bottom w:val="nil"/>
              <w:right w:val="single" w:sz="4" w:space="0" w:color="auto"/>
            </w:tcBorders>
            <w:shd w:val="clear" w:color="auto" w:fill="auto"/>
            <w:vAlign w:val="center"/>
            <w:hideMark/>
          </w:tcPr>
          <w:p w14:paraId="4A69F70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r>
      <w:tr w:rsidR="006A4309" w:rsidRPr="006A4309" w14:paraId="614F68CC" w14:textId="77777777" w:rsidTr="007D2509">
        <w:trPr>
          <w:trHeight w:val="3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021C9" w14:textId="77777777" w:rsidR="006A4309" w:rsidRPr="006A4309" w:rsidRDefault="006A4309" w:rsidP="006A4309">
            <w:pPr>
              <w:spacing w:line="240" w:lineRule="auto"/>
              <w:jc w:val="center"/>
              <w:rPr>
                <w:rFonts w:ascii="Arial" w:hAnsi="Arial" w:cs="Arial"/>
                <w:b/>
                <w:bCs/>
                <w:color w:val="000000"/>
                <w:sz w:val="14"/>
                <w:szCs w:val="14"/>
              </w:rPr>
            </w:pPr>
            <w:r w:rsidRPr="006A4309">
              <w:rPr>
                <w:rFonts w:ascii="Arial" w:hAnsi="Arial" w:cs="Arial"/>
                <w:b/>
                <w:bCs/>
                <w:color w:val="000000"/>
                <w:sz w:val="14"/>
                <w:szCs w:val="14"/>
              </w:rPr>
              <w:t>State and territory</w:t>
            </w:r>
          </w:p>
        </w:tc>
        <w:tc>
          <w:tcPr>
            <w:tcW w:w="1134" w:type="dxa"/>
            <w:tcBorders>
              <w:top w:val="nil"/>
              <w:left w:val="nil"/>
              <w:bottom w:val="nil"/>
              <w:right w:val="nil"/>
            </w:tcBorders>
            <w:shd w:val="clear" w:color="000000" w:fill="D2D9EA"/>
            <w:vAlign w:val="center"/>
            <w:hideMark/>
          </w:tcPr>
          <w:p w14:paraId="2ECD1C86"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 of GDP</w:t>
            </w:r>
          </w:p>
        </w:tc>
        <w:tc>
          <w:tcPr>
            <w:tcW w:w="1134" w:type="dxa"/>
            <w:tcBorders>
              <w:top w:val="nil"/>
              <w:left w:val="single" w:sz="4" w:space="0" w:color="auto"/>
              <w:bottom w:val="nil"/>
              <w:right w:val="nil"/>
            </w:tcBorders>
            <w:shd w:val="clear" w:color="000000" w:fill="D2D9EA"/>
            <w:vAlign w:val="center"/>
            <w:hideMark/>
          </w:tcPr>
          <w:p w14:paraId="0DCC07F1"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-0.5</w:t>
            </w:r>
          </w:p>
        </w:tc>
        <w:tc>
          <w:tcPr>
            <w:tcW w:w="1134" w:type="dxa"/>
            <w:tcBorders>
              <w:top w:val="nil"/>
              <w:left w:val="single" w:sz="4" w:space="0" w:color="auto"/>
              <w:bottom w:val="nil"/>
              <w:right w:val="nil"/>
            </w:tcBorders>
            <w:shd w:val="clear" w:color="000000" w:fill="D2D9EA"/>
            <w:vAlign w:val="center"/>
            <w:hideMark/>
          </w:tcPr>
          <w:p w14:paraId="6759520F"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0.8</w:t>
            </w:r>
          </w:p>
        </w:tc>
        <w:tc>
          <w:tcPr>
            <w:tcW w:w="1134" w:type="dxa"/>
            <w:tcBorders>
              <w:top w:val="nil"/>
              <w:left w:val="single" w:sz="4" w:space="0" w:color="auto"/>
              <w:bottom w:val="nil"/>
              <w:right w:val="nil"/>
            </w:tcBorders>
            <w:shd w:val="clear" w:color="000000" w:fill="D2D9EA"/>
            <w:vAlign w:val="center"/>
            <w:hideMark/>
          </w:tcPr>
          <w:p w14:paraId="68ADFB6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4.1</w:t>
            </w:r>
          </w:p>
        </w:tc>
        <w:tc>
          <w:tcPr>
            <w:tcW w:w="1134" w:type="dxa"/>
            <w:tcBorders>
              <w:top w:val="nil"/>
              <w:left w:val="single" w:sz="4" w:space="0" w:color="auto"/>
              <w:bottom w:val="nil"/>
              <w:right w:val="nil"/>
            </w:tcBorders>
            <w:shd w:val="clear" w:color="000000" w:fill="D2D9EA"/>
            <w:vAlign w:val="center"/>
            <w:hideMark/>
          </w:tcPr>
          <w:p w14:paraId="7592F5E9"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6.2</w:t>
            </w:r>
          </w:p>
        </w:tc>
        <w:tc>
          <w:tcPr>
            <w:tcW w:w="1134" w:type="dxa"/>
            <w:tcBorders>
              <w:top w:val="nil"/>
              <w:left w:val="single" w:sz="4" w:space="0" w:color="auto"/>
              <w:bottom w:val="nil"/>
              <w:right w:val="nil"/>
            </w:tcBorders>
            <w:shd w:val="clear" w:color="000000" w:fill="D2D9EA"/>
            <w:vAlign w:val="center"/>
            <w:hideMark/>
          </w:tcPr>
          <w:p w14:paraId="21F0D4C5"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8.0</w:t>
            </w:r>
          </w:p>
        </w:tc>
        <w:tc>
          <w:tcPr>
            <w:tcW w:w="1134" w:type="dxa"/>
            <w:tcBorders>
              <w:top w:val="nil"/>
              <w:left w:val="single" w:sz="4" w:space="0" w:color="auto"/>
              <w:bottom w:val="nil"/>
              <w:right w:val="single" w:sz="4" w:space="0" w:color="auto"/>
            </w:tcBorders>
            <w:shd w:val="clear" w:color="000000" w:fill="D2D9EA"/>
            <w:vAlign w:val="center"/>
            <w:hideMark/>
          </w:tcPr>
          <w:p w14:paraId="2F1F5D6A"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r>
      <w:tr w:rsidR="006A4309" w:rsidRPr="006A4309" w14:paraId="1992F801" w14:textId="77777777" w:rsidTr="007D2509">
        <w:trPr>
          <w:trHeight w:val="3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3E744A47" w14:textId="77777777" w:rsidR="006A4309" w:rsidRPr="006A4309" w:rsidRDefault="006A4309" w:rsidP="006A4309">
            <w:pPr>
              <w:spacing w:line="240" w:lineRule="auto"/>
              <w:rPr>
                <w:rFonts w:ascii="Arial" w:hAnsi="Arial" w:cs="Arial"/>
                <w:b/>
                <w:bCs/>
                <w:color w:val="000000"/>
                <w:sz w:val="14"/>
                <w:szCs w:val="14"/>
              </w:rPr>
            </w:pPr>
          </w:p>
        </w:tc>
        <w:tc>
          <w:tcPr>
            <w:tcW w:w="1134" w:type="dxa"/>
            <w:tcBorders>
              <w:top w:val="nil"/>
              <w:left w:val="nil"/>
              <w:bottom w:val="single" w:sz="4" w:space="0" w:color="auto"/>
              <w:right w:val="nil"/>
            </w:tcBorders>
            <w:shd w:val="clear" w:color="auto" w:fill="auto"/>
            <w:vAlign w:val="center"/>
            <w:hideMark/>
          </w:tcPr>
          <w:p w14:paraId="0E525C6A" w14:textId="77777777" w:rsidR="006A4309" w:rsidRPr="007D2509" w:rsidRDefault="006A4309" w:rsidP="006A4309">
            <w:pPr>
              <w:spacing w:line="240" w:lineRule="auto"/>
              <w:jc w:val="center"/>
              <w:rPr>
                <w:rFonts w:ascii="Arial" w:hAnsi="Arial" w:cs="Arial"/>
                <w:b/>
                <w:sz w:val="14"/>
                <w:szCs w:val="14"/>
              </w:rPr>
            </w:pPr>
            <w:r w:rsidRPr="007D2509">
              <w:rPr>
                <w:rFonts w:ascii="Arial" w:hAnsi="Arial" w:cs="Arial"/>
                <w:b/>
                <w:sz w:val="14"/>
                <w:szCs w:val="14"/>
              </w:rPr>
              <w:t>$b</w:t>
            </w:r>
          </w:p>
        </w:tc>
        <w:tc>
          <w:tcPr>
            <w:tcW w:w="1134" w:type="dxa"/>
            <w:tcBorders>
              <w:top w:val="nil"/>
              <w:left w:val="single" w:sz="4" w:space="0" w:color="auto"/>
              <w:bottom w:val="single" w:sz="4" w:space="0" w:color="auto"/>
              <w:right w:val="nil"/>
            </w:tcBorders>
            <w:shd w:val="clear" w:color="auto" w:fill="auto"/>
            <w:vAlign w:val="center"/>
            <w:hideMark/>
          </w:tcPr>
          <w:p w14:paraId="08B0011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-10.7</w:t>
            </w:r>
          </w:p>
        </w:tc>
        <w:tc>
          <w:tcPr>
            <w:tcW w:w="1134" w:type="dxa"/>
            <w:tcBorders>
              <w:top w:val="nil"/>
              <w:left w:val="single" w:sz="4" w:space="0" w:color="auto"/>
              <w:bottom w:val="single" w:sz="4" w:space="0" w:color="auto"/>
              <w:right w:val="nil"/>
            </w:tcBorders>
            <w:shd w:val="clear" w:color="auto" w:fill="auto"/>
            <w:vAlign w:val="center"/>
            <w:hideMark/>
          </w:tcPr>
          <w:p w14:paraId="632673C5"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15.4</w:t>
            </w:r>
          </w:p>
        </w:tc>
        <w:tc>
          <w:tcPr>
            <w:tcW w:w="1134" w:type="dxa"/>
            <w:tcBorders>
              <w:top w:val="nil"/>
              <w:left w:val="single" w:sz="4" w:space="0" w:color="auto"/>
              <w:bottom w:val="single" w:sz="4" w:space="0" w:color="auto"/>
              <w:right w:val="nil"/>
            </w:tcBorders>
            <w:shd w:val="clear" w:color="auto" w:fill="auto"/>
            <w:vAlign w:val="center"/>
            <w:hideMark/>
          </w:tcPr>
          <w:p w14:paraId="5534310B"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81.4</w:t>
            </w:r>
          </w:p>
        </w:tc>
        <w:tc>
          <w:tcPr>
            <w:tcW w:w="1134" w:type="dxa"/>
            <w:tcBorders>
              <w:top w:val="nil"/>
              <w:left w:val="single" w:sz="4" w:space="0" w:color="auto"/>
              <w:bottom w:val="single" w:sz="4" w:space="0" w:color="auto"/>
              <w:right w:val="nil"/>
            </w:tcBorders>
            <w:shd w:val="clear" w:color="auto" w:fill="auto"/>
            <w:vAlign w:val="center"/>
            <w:hideMark/>
          </w:tcPr>
          <w:p w14:paraId="4E4A6317"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127.0</w:t>
            </w:r>
          </w:p>
        </w:tc>
        <w:tc>
          <w:tcPr>
            <w:tcW w:w="1134" w:type="dxa"/>
            <w:tcBorders>
              <w:top w:val="nil"/>
              <w:left w:val="single" w:sz="4" w:space="0" w:color="auto"/>
              <w:bottom w:val="single" w:sz="4" w:space="0" w:color="auto"/>
              <w:right w:val="nil"/>
            </w:tcBorders>
            <w:shd w:val="clear" w:color="auto" w:fill="auto"/>
            <w:vAlign w:val="center"/>
            <w:hideMark/>
          </w:tcPr>
          <w:p w14:paraId="16C83902"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169.2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3FB86D" w14:textId="77777777" w:rsidR="006A4309" w:rsidRPr="006A4309" w:rsidRDefault="006A4309" w:rsidP="006A4309">
            <w:pPr>
              <w:spacing w:line="240" w:lineRule="auto"/>
              <w:jc w:val="center"/>
              <w:rPr>
                <w:rFonts w:ascii="Arial" w:hAnsi="Arial" w:cs="Arial"/>
                <w:sz w:val="14"/>
                <w:szCs w:val="14"/>
              </w:rPr>
            </w:pPr>
            <w:r w:rsidRPr="006A4309">
              <w:rPr>
                <w:rFonts w:ascii="Arial" w:hAnsi="Arial" w:cs="Arial"/>
                <w:sz w:val="14"/>
                <w:szCs w:val="14"/>
              </w:rPr>
              <w:t>-</w:t>
            </w:r>
          </w:p>
        </w:tc>
      </w:tr>
    </w:tbl>
    <w:p w14:paraId="07981648" w14:textId="77777777" w:rsidR="006A4309" w:rsidRDefault="006A4309"/>
    <w:sectPr w:rsidR="006A4309" w:rsidSect="008A690A">
      <w:footerReference w:type="even" r:id="rId22"/>
      <w:footerReference w:type="default" r:id="rId23"/>
      <w:headerReference w:type="first" r:id="rId24"/>
      <w:footerReference w:type="first" r:id="rId25"/>
      <w:pgSz w:w="11907" w:h="16840" w:code="9"/>
      <w:pgMar w:top="1134" w:right="992" w:bottom="851" w:left="992" w:header="85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2ABB4" w14:textId="77777777" w:rsidR="004E0C59" w:rsidRDefault="004E0C59" w:rsidP="00CE604F">
      <w:r>
        <w:separator/>
      </w:r>
    </w:p>
    <w:p w14:paraId="5F51FDB1" w14:textId="77777777" w:rsidR="004E0C59" w:rsidRDefault="004E0C59" w:rsidP="00CE604F"/>
    <w:p w14:paraId="677E5F51" w14:textId="77777777" w:rsidR="004E0C59" w:rsidRDefault="004E0C59" w:rsidP="00CE604F"/>
    <w:p w14:paraId="761B9577" w14:textId="77777777" w:rsidR="004E0C59" w:rsidRDefault="004E0C59" w:rsidP="00CE604F"/>
  </w:endnote>
  <w:endnote w:type="continuationSeparator" w:id="0">
    <w:p w14:paraId="4DB18566" w14:textId="77777777" w:rsidR="004E0C59" w:rsidRDefault="004E0C59" w:rsidP="00CE604F">
      <w:r>
        <w:continuationSeparator/>
      </w:r>
    </w:p>
    <w:p w14:paraId="2E57662F" w14:textId="77777777" w:rsidR="004E0C59" w:rsidRDefault="004E0C59" w:rsidP="00CE604F"/>
    <w:p w14:paraId="69F7E187" w14:textId="77777777" w:rsidR="004E0C59" w:rsidRDefault="004E0C59" w:rsidP="00CE604F"/>
    <w:p w14:paraId="6593EAAE" w14:textId="77777777" w:rsidR="004E0C59" w:rsidRDefault="004E0C59" w:rsidP="00CE6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FooterPlaceholder"/>
      <w:tblpPr w:bottomFromText="284" w:vertAnchor="page" w:horzAnchor="page" w:tblpYSpec="bottom"/>
      <w:tblW w:w="9921" w:type="dxa"/>
      <w:tblLayout w:type="fixed"/>
      <w:tblLook w:val="04A0" w:firstRow="1" w:lastRow="0" w:firstColumn="1" w:lastColumn="0" w:noHBand="0" w:noVBand="1"/>
    </w:tblPr>
    <w:tblGrid>
      <w:gridCol w:w="1417"/>
      <w:gridCol w:w="8504"/>
    </w:tblGrid>
    <w:tr w:rsidR="004E0C59" w:rsidRPr="00BA1E8D" w14:paraId="76AB0D57" w14:textId="77777777" w:rsidTr="008A690A">
      <w:trPr>
        <w:trHeight w:val="680"/>
      </w:trPr>
      <w:tc>
        <w:tcPr>
          <w:tcW w:w="1417" w:type="dxa"/>
        </w:tcPr>
        <w:p w14:paraId="4F811B21" w14:textId="77777777" w:rsidR="004E0C59" w:rsidRPr="00023A6F" w:rsidRDefault="004E0C59" w:rsidP="00EF1C7E">
          <w:pPr>
            <w:pStyle w:val="FooterLeftPageNumber"/>
          </w:pPr>
          <w:r w:rsidRPr="00BA1E8D">
            <w:rPr>
              <w:noProof/>
            </w:rPr>
            <w:fldChar w:fldCharType="begin"/>
          </w:r>
          <w:r w:rsidRPr="00BA1E8D">
            <w:rPr>
              <w:noProof/>
            </w:rPr>
            <w:instrText xml:space="preserve"> PAGE   \* MERGEFORMAT </w:instrText>
          </w:r>
          <w:r w:rsidRPr="00BA1E8D">
            <w:rPr>
              <w:noProof/>
            </w:rPr>
            <w:fldChar w:fldCharType="separate"/>
          </w:r>
          <w:r w:rsidR="006E1C69">
            <w:rPr>
              <w:noProof/>
            </w:rPr>
            <w:t>2</w:t>
          </w:r>
          <w:r w:rsidRPr="00BA1E8D">
            <w:rPr>
              <w:noProof/>
            </w:rPr>
            <w:fldChar w:fldCharType="end"/>
          </w:r>
        </w:p>
      </w:tc>
      <w:tc>
        <w:tcPr>
          <w:tcW w:w="8504" w:type="dxa"/>
        </w:tcPr>
        <w:p w14:paraId="26FA9822" w14:textId="77777777" w:rsidR="004E0C59" w:rsidRPr="00BA1E8D" w:rsidRDefault="004E0C59" w:rsidP="00EF1C7E">
          <w:pPr>
            <w:pStyle w:val="FooterLeft"/>
          </w:pPr>
          <w:r>
            <w:t>2020</w:t>
          </w:r>
          <w:r>
            <w:noBreakHyphen/>
            <w:t>21 National fiscal outlook:</w:t>
          </w:r>
          <w:r w:rsidRPr="00835ACD" w:rsidDel="00382E06">
            <w:t xml:space="preserve"> </w:t>
          </w:r>
          <w:r>
            <w:t xml:space="preserve">technical appendix </w:t>
          </w:r>
          <w:r>
            <w:fldChar w:fldCharType="begin"/>
          </w:r>
          <w:r>
            <w:instrText xml:space="preserve"> if </w:instrText>
          </w:r>
          <w:r>
            <w:fldChar w:fldCharType="begin"/>
          </w:r>
          <w:r>
            <w:instrText xml:space="preserve"> STYLEREF  Title </w:instrText>
          </w:r>
          <w:r>
            <w:fldChar w:fldCharType="separate"/>
          </w:r>
          <w:r w:rsidR="006E1C69">
            <w:rPr>
              <w:b/>
              <w:bCs/>
              <w:noProof/>
              <w:lang w:val="en-US"/>
            </w:rPr>
            <w:instrText>Error! No text of specified style in document.</w:instrText>
          </w:r>
          <w:r>
            <w:rPr>
              <w:noProof/>
            </w:rPr>
            <w:fldChar w:fldCharType="end"/>
          </w:r>
          <w:r>
            <w:instrText xml:space="preserve">&lt;&gt; "Error*" </w:instrText>
          </w:r>
          <w:r>
            <w:rPr>
              <w:noProof/>
            </w:rPr>
            <w:fldChar w:fldCharType="begin"/>
          </w:r>
          <w:r>
            <w:rPr>
              <w:noProof/>
            </w:rPr>
            <w:instrText xml:space="preserve"> STYLEREF  Title </w:instrText>
          </w:r>
          <w:r>
            <w:rPr>
              <w:noProof/>
            </w:rPr>
            <w:fldChar w:fldCharType="separate"/>
          </w:r>
          <w:r>
            <w:rPr>
              <w:noProof/>
            </w:rPr>
            <w:instrText>ALTERNATIVE FINANCING of Government policies</w:instrText>
          </w:r>
          <w:r>
            <w:rPr>
              <w:noProof/>
            </w:rPr>
            <w:fldChar w:fldCharType="end"/>
          </w:r>
          <w:r>
            <w:instrText xml:space="preserve"> </w:instrText>
          </w:r>
          <w:r>
            <w:fldChar w:fldCharType="end"/>
          </w:r>
        </w:p>
      </w:tc>
    </w:tr>
  </w:tbl>
  <w:p w14:paraId="1B2BBD44" w14:textId="77777777" w:rsidR="004E0C59" w:rsidRDefault="004E0C59" w:rsidP="00170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FooterPlaceholder"/>
      <w:tblpPr w:bottomFromText="284" w:vertAnchor="page" w:horzAnchor="page" w:tblpXSpec="right" w:tblpYSpec="bottom"/>
      <w:tblW w:w="9921" w:type="dxa"/>
      <w:tblLayout w:type="fixed"/>
      <w:tblLook w:val="04A0" w:firstRow="1" w:lastRow="0" w:firstColumn="1" w:lastColumn="0" w:noHBand="0" w:noVBand="1"/>
    </w:tblPr>
    <w:tblGrid>
      <w:gridCol w:w="8504"/>
      <w:gridCol w:w="1417"/>
    </w:tblGrid>
    <w:tr w:rsidR="004E0C59" w:rsidRPr="00BA1E8D" w14:paraId="2C9DB1AB" w14:textId="77777777" w:rsidTr="008A690A">
      <w:trPr>
        <w:cantSplit/>
        <w:trHeight w:val="680"/>
      </w:trPr>
      <w:tc>
        <w:tcPr>
          <w:tcW w:w="8504" w:type="dxa"/>
        </w:tcPr>
        <w:p w14:paraId="7D1C985C" w14:textId="2C91450A" w:rsidR="004E0C59" w:rsidRPr="00BA1E8D" w:rsidRDefault="004E0C59" w:rsidP="00EF1C7E">
          <w:pPr>
            <w:pStyle w:val="FooterRight"/>
          </w:pPr>
          <w:r>
            <w:t>2020</w:t>
          </w:r>
          <w:r>
            <w:noBreakHyphen/>
            <w:t>21 National fiscal outlook:</w:t>
          </w:r>
          <w:r w:rsidRPr="00835ACD" w:rsidDel="00382E06">
            <w:t xml:space="preserve"> </w:t>
          </w:r>
          <w:r>
            <w:t xml:space="preserve">Glossary and technical appendix </w:t>
          </w:r>
          <w:r>
            <w:fldChar w:fldCharType="begin"/>
          </w:r>
          <w:r>
            <w:instrText xml:space="preserve"> if </w:instrText>
          </w:r>
          <w:r>
            <w:fldChar w:fldCharType="begin"/>
          </w:r>
          <w:r>
            <w:instrText xml:space="preserve"> STYLEREF  Title </w:instrText>
          </w:r>
          <w:r>
            <w:fldChar w:fldCharType="separate"/>
          </w:r>
          <w:r w:rsidR="006E1C69">
            <w:rPr>
              <w:b/>
              <w:bCs/>
              <w:lang w:val="en-US"/>
            </w:rPr>
            <w:instrText>Error! No text of specified style in document.</w:instrText>
          </w:r>
          <w:r>
            <w:fldChar w:fldCharType="end"/>
          </w:r>
          <w:r>
            <w:instrText xml:space="preserve">&lt;&gt; "Error*" </w:instrText>
          </w:r>
          <w:r>
            <w:fldChar w:fldCharType="begin"/>
          </w:r>
          <w:r>
            <w:instrText xml:space="preserve"> STYLEREF  Title </w:instrText>
          </w:r>
          <w:r>
            <w:fldChar w:fldCharType="separate"/>
          </w:r>
          <w:r>
            <w:instrText>ALTERNATIVE FINANCING of Government policies</w:instrText>
          </w:r>
          <w:r>
            <w:fldChar w:fldCharType="end"/>
          </w:r>
          <w:r>
            <w:instrText xml:space="preserve"> </w:instrText>
          </w:r>
          <w:r>
            <w:fldChar w:fldCharType="end"/>
          </w:r>
        </w:p>
      </w:tc>
      <w:tc>
        <w:tcPr>
          <w:tcW w:w="1417" w:type="dxa"/>
        </w:tcPr>
        <w:p w14:paraId="4D0DFC87" w14:textId="77777777" w:rsidR="004E0C59" w:rsidRPr="00BA1E8D" w:rsidRDefault="004E0C59" w:rsidP="00EF1C7E">
          <w:pPr>
            <w:pStyle w:val="FooterRightPageNumber"/>
          </w:pPr>
          <w:r w:rsidRPr="00BA1E8D">
            <w:fldChar w:fldCharType="begin"/>
          </w:r>
          <w:r w:rsidRPr="00BA1E8D">
            <w:instrText xml:space="preserve"> PAGE   \* MERGEFORMAT </w:instrText>
          </w:r>
          <w:r w:rsidRPr="00BA1E8D">
            <w:fldChar w:fldCharType="separate"/>
          </w:r>
          <w:r w:rsidR="006E1C69">
            <w:t>1</w:t>
          </w:r>
          <w:r w:rsidRPr="00BA1E8D">
            <w:fldChar w:fldCharType="end"/>
          </w:r>
        </w:p>
      </w:tc>
    </w:tr>
  </w:tbl>
  <w:p w14:paraId="38B5B2CE" w14:textId="77777777" w:rsidR="004E0C59" w:rsidRPr="008A690A" w:rsidRDefault="004E0C59" w:rsidP="008A690A">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695A" w14:textId="77777777" w:rsidR="004E0C59" w:rsidRDefault="004E0C59" w:rsidP="00C46025">
    <w:pPr>
      <w:pStyle w:val="Footer"/>
      <w:jc w:val="right"/>
    </w:pPr>
    <w:r>
      <w:t>Technical appendix: Fiscal scenario analysis - an analytical framework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520B9" w14:textId="77777777" w:rsidR="004E0C59" w:rsidRPr="00ED2F22" w:rsidRDefault="004E0C59" w:rsidP="008D38B3">
      <w:pPr>
        <w:rPr>
          <w:sz w:val="16"/>
          <w:szCs w:val="16"/>
        </w:rPr>
      </w:pPr>
      <w:r>
        <w:separator/>
      </w:r>
    </w:p>
  </w:footnote>
  <w:footnote w:type="continuationSeparator" w:id="0">
    <w:p w14:paraId="12B839BA" w14:textId="77777777" w:rsidR="004E0C59" w:rsidRDefault="004E0C59" w:rsidP="00CE604F">
      <w:r>
        <w:continuationSeparator/>
      </w:r>
    </w:p>
    <w:p w14:paraId="408B4ECA" w14:textId="77777777" w:rsidR="004E0C59" w:rsidRDefault="004E0C59" w:rsidP="00CE604F"/>
    <w:p w14:paraId="3B5A7A64" w14:textId="77777777" w:rsidR="004E0C59" w:rsidRDefault="004E0C59" w:rsidP="00CE604F"/>
    <w:p w14:paraId="19163475" w14:textId="77777777" w:rsidR="004E0C59" w:rsidRDefault="004E0C59" w:rsidP="00CE604F"/>
  </w:footnote>
  <w:footnote w:id="1">
    <w:p w14:paraId="59986A6C" w14:textId="1F27267E" w:rsidR="004E0C59" w:rsidRDefault="004E0C59">
      <w:pPr>
        <w:pStyle w:val="FootnoteText"/>
      </w:pPr>
      <w:r>
        <w:rPr>
          <w:rStyle w:val="FootnoteReference"/>
        </w:rPr>
        <w:footnoteRef/>
      </w:r>
      <w:r>
        <w:t xml:space="preserve"> For expanded definitions of these and other budget</w:t>
      </w:r>
      <w:r>
        <w:noBreakHyphen/>
        <w:t xml:space="preserve">related terms, please see the PBO’s </w:t>
      </w:r>
      <w:hyperlink r:id="rId1" w:history="1">
        <w:r w:rsidRPr="00B575FA">
          <w:rPr>
            <w:rStyle w:val="Hyperlink"/>
          </w:rPr>
          <w:t>Online Budget Glossary</w:t>
        </w:r>
      </w:hyperlink>
      <w:r>
        <w:t xml:space="preserve"> on our website.</w:t>
      </w:r>
    </w:p>
  </w:footnote>
  <w:footnote w:id="2">
    <w:p w14:paraId="26BB1733" w14:textId="4843F9F3" w:rsidR="004E0C59" w:rsidRDefault="004E0C59">
      <w:pPr>
        <w:pStyle w:val="FootnoteText"/>
      </w:pPr>
      <w:r>
        <w:rPr>
          <w:rStyle w:val="FootnoteReference"/>
        </w:rPr>
        <w:footnoteRef/>
      </w:r>
      <w:r>
        <w:t xml:space="preserve"> The Uniform Presentation Framework can be found at </w:t>
      </w:r>
      <w:hyperlink r:id="rId2" w:history="1">
        <w:r w:rsidRPr="00D17573">
          <w:rPr>
            <w:rStyle w:val="Hyperlink"/>
          </w:rPr>
          <w:t>https://treasury.gov.au/publication/p2019-t365789</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E1D6E" w14:textId="77777777" w:rsidR="004E0C59" w:rsidRDefault="004E0C59" w:rsidP="00C8379D">
    <w:pPr>
      <w:pStyle w:val="Header"/>
      <w:spacing w:after="16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D6B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AEC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69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F86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8B37FE"/>
    <w:multiLevelType w:val="multilevel"/>
    <w:tmpl w:val="6562F544"/>
    <w:lvl w:ilvl="0">
      <w:start w:val="1"/>
      <w:numFmt w:val="bullet"/>
      <w:pStyle w:val="ListBullet"/>
      <w:lvlText w:val="•"/>
      <w:lvlJc w:val="left"/>
      <w:pPr>
        <w:ind w:left="284" w:hanging="284"/>
      </w:pPr>
      <w:rPr>
        <w:rFonts w:ascii="Calibri" w:hAnsi="Calibri" w:hint="default"/>
        <w:b w:val="0"/>
        <w:i w:val="0"/>
        <w:color w:val="auto"/>
        <w:position w:val="0"/>
        <w:sz w:val="22"/>
      </w:rPr>
    </w:lvl>
    <w:lvl w:ilvl="1">
      <w:start w:val="1"/>
      <w:numFmt w:val="bullet"/>
      <w:pStyle w:val="ListBullet2"/>
      <w:lvlText w:val="–"/>
      <w:lvlJc w:val="left"/>
      <w:pPr>
        <w:ind w:left="568" w:hanging="284"/>
      </w:pPr>
      <w:rPr>
        <w:rFonts w:ascii="Calibri" w:hAnsi="Calibri" w:hint="default"/>
        <w:b w:val="0"/>
        <w:i w:val="0"/>
        <w:color w:val="auto"/>
        <w:position w:val="0"/>
        <w:sz w:val="22"/>
      </w:rPr>
    </w:lvl>
    <w:lvl w:ilvl="2">
      <w:start w:val="1"/>
      <w:numFmt w:val="bullet"/>
      <w:pStyle w:val="ListBullet3"/>
      <w:lvlText w:val=""/>
      <w:lvlJc w:val="left"/>
      <w:pPr>
        <w:ind w:left="852" w:hanging="284"/>
      </w:pPr>
      <w:rPr>
        <w:rFonts w:ascii="Wingdings" w:hAnsi="Wingdings" w:hint="default"/>
        <w:b w:val="0"/>
        <w:i w:val="0"/>
        <w:color w:val="auto"/>
        <w:spacing w:val="0"/>
        <w:w w:val="100"/>
        <w:position w:val="0"/>
        <w:sz w:val="22"/>
        <w:szCs w:val="16"/>
      </w:rPr>
    </w:lvl>
    <w:lvl w:ilvl="3">
      <w:start w:val="1"/>
      <w:numFmt w:val="none"/>
      <w:lvlText w:val=""/>
      <w:lvlJc w:val="left"/>
      <w:pPr>
        <w:tabs>
          <w:tab w:val="num" w:pos="1022"/>
        </w:tabs>
        <w:ind w:left="1136" w:hanging="284"/>
      </w:pPr>
      <w:rPr>
        <w:rFonts w:hint="default"/>
      </w:rPr>
    </w:lvl>
    <w:lvl w:ilvl="4">
      <w:start w:val="1"/>
      <w:numFmt w:val="none"/>
      <w:lvlText w:val=""/>
      <w:lvlJc w:val="left"/>
      <w:pPr>
        <w:tabs>
          <w:tab w:val="num" w:pos="1306"/>
        </w:tabs>
        <w:ind w:left="1420" w:hanging="284"/>
      </w:pPr>
      <w:rPr>
        <w:rFonts w:hint="default"/>
      </w:rPr>
    </w:lvl>
    <w:lvl w:ilvl="5">
      <w:start w:val="1"/>
      <w:numFmt w:val="none"/>
      <w:lvlText w:val=""/>
      <w:lvlJc w:val="left"/>
      <w:pPr>
        <w:tabs>
          <w:tab w:val="num" w:pos="1590"/>
        </w:tabs>
        <w:ind w:left="1704" w:hanging="284"/>
      </w:pPr>
      <w:rPr>
        <w:rFonts w:hint="default"/>
      </w:rPr>
    </w:lvl>
    <w:lvl w:ilvl="6">
      <w:start w:val="1"/>
      <w:numFmt w:val="none"/>
      <w:lvlText w:val=""/>
      <w:lvlJc w:val="left"/>
      <w:pPr>
        <w:tabs>
          <w:tab w:val="num" w:pos="1874"/>
        </w:tabs>
        <w:ind w:left="1988" w:hanging="284"/>
      </w:pPr>
      <w:rPr>
        <w:rFonts w:hint="default"/>
      </w:rPr>
    </w:lvl>
    <w:lvl w:ilvl="7">
      <w:start w:val="1"/>
      <w:numFmt w:val="none"/>
      <w:lvlText w:val=""/>
      <w:lvlJc w:val="left"/>
      <w:pPr>
        <w:tabs>
          <w:tab w:val="num" w:pos="2158"/>
        </w:tabs>
        <w:ind w:left="2272" w:hanging="284"/>
      </w:pPr>
      <w:rPr>
        <w:rFonts w:hint="default"/>
      </w:rPr>
    </w:lvl>
    <w:lvl w:ilvl="8">
      <w:start w:val="1"/>
      <w:numFmt w:val="none"/>
      <w:lvlText w:val=""/>
      <w:lvlJc w:val="left"/>
      <w:pPr>
        <w:tabs>
          <w:tab w:val="num" w:pos="2442"/>
        </w:tabs>
        <w:ind w:left="2556" w:hanging="284"/>
      </w:pPr>
      <w:rPr>
        <w:rFonts w:hint="default"/>
      </w:rPr>
    </w:lvl>
  </w:abstractNum>
  <w:abstractNum w:abstractNumId="12" w15:restartNumberingAfterBreak="0">
    <w:nsid w:val="16F86D7F"/>
    <w:multiLevelType w:val="multilevel"/>
    <w:tmpl w:val="7D36194E"/>
    <w:name w:val="List 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86B2BDC"/>
    <w:multiLevelType w:val="multilevel"/>
    <w:tmpl w:val="46E6525E"/>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D686CAF"/>
    <w:multiLevelType w:val="multilevel"/>
    <w:tmpl w:val="736460E4"/>
    <w:lvl w:ilvl="0">
      <w:start w:val="1"/>
      <w:numFmt w:val="bullet"/>
      <w:pStyle w:val="IntroductionBullet"/>
      <w:lvlText w:val="•"/>
      <w:lvlJc w:val="left"/>
      <w:pPr>
        <w:ind w:left="227" w:hanging="227"/>
      </w:pPr>
      <w:rPr>
        <w:rFonts w:ascii="Calibri" w:hAnsi="Calibri"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7" w15:restartNumberingAfterBreak="0">
    <w:nsid w:val="3FA54DC2"/>
    <w:multiLevelType w:val="multilevel"/>
    <w:tmpl w:val="9BE41134"/>
    <w:lvl w:ilvl="0">
      <w:start w:val="1"/>
      <w:numFmt w:val="bullet"/>
      <w:pStyle w:val="PullOutBoxBullet"/>
      <w:lvlText w:val="•"/>
      <w:lvlJc w:val="left"/>
      <w:pPr>
        <w:ind w:left="567" w:hanging="283"/>
      </w:pPr>
      <w:rPr>
        <w:rFonts w:ascii="Calibri" w:hAnsi="Calibri" w:hint="default"/>
      </w:rPr>
    </w:lvl>
    <w:lvl w:ilvl="1">
      <w:start w:val="1"/>
      <w:numFmt w:val="bullet"/>
      <w:pStyle w:val="PullOutBoxBullet2"/>
      <w:lvlText w:val="–"/>
      <w:lvlJc w:val="left"/>
      <w:pPr>
        <w:ind w:left="851" w:hanging="283"/>
      </w:pPr>
      <w:rPr>
        <w:rFonts w:ascii="Calibri" w:hAnsi="Calibri" w:hint="default"/>
      </w:rPr>
    </w:lvl>
    <w:lvl w:ilvl="2">
      <w:start w:val="1"/>
      <w:numFmt w:val="bullet"/>
      <w:pStyle w:val="PullOutBox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8"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7839021E"/>
    <w:multiLevelType w:val="multilevel"/>
    <w:tmpl w:val="8180841A"/>
    <w:lvl w:ilvl="0">
      <w:start w:val="1"/>
      <w:numFmt w:val="decimal"/>
      <w:pStyle w:val="ListNumber"/>
      <w:lvlText w:val="%1"/>
      <w:lvlJc w:val="left"/>
      <w:pPr>
        <w:ind w:left="284" w:hanging="284"/>
      </w:pPr>
      <w:rPr>
        <w:rFonts w:hint="default"/>
        <w:color w:val="auto"/>
        <w:spacing w:val="0"/>
        <w:sz w:val="22"/>
      </w:rPr>
    </w:lvl>
    <w:lvl w:ilvl="1">
      <w:start w:val="1"/>
      <w:numFmt w:val="lowerLetter"/>
      <w:pStyle w:val="ListNumber2"/>
      <w:lvlText w:val="%2"/>
      <w:lvlJc w:val="left"/>
      <w:pPr>
        <w:ind w:left="568" w:hanging="284"/>
      </w:pPr>
      <w:rPr>
        <w:rFonts w:hint="default"/>
        <w:color w:val="auto"/>
        <w:spacing w:val="0"/>
        <w:sz w:val="22"/>
      </w:rPr>
    </w:lvl>
    <w:lvl w:ilvl="2">
      <w:start w:val="1"/>
      <w:numFmt w:val="lowerRoman"/>
      <w:pStyle w:val="ListNumber3"/>
      <w:lvlText w:val="%3"/>
      <w:lvlJc w:val="left"/>
      <w:pPr>
        <w:ind w:left="852" w:hanging="284"/>
      </w:pPr>
      <w:rPr>
        <w:rFonts w:hint="default"/>
        <w:color w:val="auto"/>
        <w:spacing w:val="0"/>
        <w:position w:val="0"/>
        <w:sz w:val="22"/>
        <w:szCs w:val="16"/>
      </w:rPr>
    </w:lvl>
    <w:lvl w:ilvl="3">
      <w:start w:val="1"/>
      <w:numFmt w:val="upperLetter"/>
      <w:pStyle w:val="ListNumber4"/>
      <w:lvlText w:val="%4"/>
      <w:lvlJc w:val="left"/>
      <w:pPr>
        <w:ind w:left="1136" w:hanging="284"/>
      </w:pPr>
      <w:rPr>
        <w:rFonts w:hint="default"/>
        <w:sz w:val="22"/>
      </w:rPr>
    </w:lvl>
    <w:lvl w:ilvl="4">
      <w:start w:val="1"/>
      <w:numFmt w:val="upperRoman"/>
      <w:pStyle w:val="ListNumber5"/>
      <w:lvlText w:val="%5"/>
      <w:lvlJc w:val="left"/>
      <w:pPr>
        <w:ind w:left="1420" w:hanging="284"/>
      </w:pPr>
      <w:rPr>
        <w:rFonts w:hint="default"/>
        <w:sz w:val="22"/>
      </w:rPr>
    </w:lvl>
    <w:lvl w:ilvl="5">
      <w:start w:val="1"/>
      <w:numFmt w:val="none"/>
      <w:lvlText w:val=""/>
      <w:lvlJc w:val="left"/>
      <w:pPr>
        <w:tabs>
          <w:tab w:val="num" w:pos="-31680"/>
        </w:tabs>
        <w:ind w:left="1704" w:hanging="284"/>
      </w:pPr>
      <w:rPr>
        <w:rFonts w:hint="default"/>
      </w:rPr>
    </w:lvl>
    <w:lvl w:ilvl="6">
      <w:start w:val="1"/>
      <w:numFmt w:val="none"/>
      <w:lvlText w:val=""/>
      <w:lvlJc w:val="left"/>
      <w:pPr>
        <w:tabs>
          <w:tab w:val="num" w:pos="-31680"/>
        </w:tabs>
        <w:ind w:left="1988" w:hanging="284"/>
      </w:pPr>
      <w:rPr>
        <w:rFonts w:hint="default"/>
      </w:rPr>
    </w:lvl>
    <w:lvl w:ilvl="7">
      <w:start w:val="1"/>
      <w:numFmt w:val="none"/>
      <w:lvlText w:val=""/>
      <w:lvlJc w:val="left"/>
      <w:pPr>
        <w:tabs>
          <w:tab w:val="num" w:pos="-31680"/>
        </w:tabs>
        <w:ind w:left="2272" w:hanging="284"/>
      </w:pPr>
      <w:rPr>
        <w:rFonts w:hint="default"/>
      </w:rPr>
    </w:lvl>
    <w:lvl w:ilvl="8">
      <w:start w:val="1"/>
      <w:numFmt w:val="none"/>
      <w:lvlText w:val=""/>
      <w:lvlJc w:val="left"/>
      <w:pPr>
        <w:tabs>
          <w:tab w:val="num" w:pos="-31680"/>
        </w:tabs>
        <w:ind w:left="2556" w:hanging="284"/>
      </w:pPr>
      <w:rPr>
        <w:rFonts w:hint="default"/>
      </w:rPr>
    </w:lvl>
  </w:abstractNum>
  <w:num w:numId="1">
    <w:abstractNumId w:val="13"/>
  </w:num>
  <w:num w:numId="2">
    <w:abstractNumId w:val="11"/>
  </w:num>
  <w:num w:numId="3">
    <w:abstractNumId w:val="19"/>
  </w:num>
  <w:num w:numId="4">
    <w:abstractNumId w:val="14"/>
  </w:num>
  <w:num w:numId="5">
    <w:abstractNumId w:val="10"/>
  </w:num>
  <w:num w:numId="6">
    <w:abstractNumId w:val="18"/>
  </w:num>
  <w:num w:numId="7">
    <w:abstractNumId w:val="3"/>
  </w:num>
  <w:num w:numId="8">
    <w:abstractNumId w:val="9"/>
  </w:num>
  <w:num w:numId="9">
    <w:abstractNumId w:val="8"/>
  </w:num>
  <w:num w:numId="10">
    <w:abstractNumId w:val="2"/>
  </w:num>
  <w:num w:numId="11">
    <w:abstractNumId w:val="12"/>
  </w:num>
  <w:num w:numId="12">
    <w:abstractNumId w:val="15"/>
  </w:num>
  <w:num w:numId="13">
    <w:abstractNumId w:val="7"/>
  </w:num>
  <w:num w:numId="14">
    <w:abstractNumId w:val="6"/>
  </w:num>
  <w:num w:numId="15">
    <w:abstractNumId w:val="9"/>
    <w:lvlOverride w:ilvl="0">
      <w:startOverride w:val="1"/>
    </w:lvlOverride>
  </w:num>
  <w:num w:numId="16">
    <w:abstractNumId w:val="15"/>
  </w:num>
  <w:num w:numId="17">
    <w:abstractNumId w:val="15"/>
  </w:num>
  <w:num w:numId="18">
    <w:abstractNumId w:val="15"/>
  </w:num>
  <w:num w:numId="19">
    <w:abstractNumId w:val="12"/>
  </w:num>
  <w:num w:numId="20">
    <w:abstractNumId w:val="12"/>
  </w:num>
  <w:num w:numId="21">
    <w:abstractNumId w:val="12"/>
  </w:num>
  <w:num w:numId="22">
    <w:abstractNumId w:val="11"/>
  </w:num>
  <w:num w:numId="23">
    <w:abstractNumId w:val="11"/>
  </w:num>
  <w:num w:numId="24">
    <w:abstractNumId w:val="11"/>
  </w:num>
  <w:num w:numId="25">
    <w:abstractNumId w:val="19"/>
  </w:num>
  <w:num w:numId="26">
    <w:abstractNumId w:val="19"/>
  </w:num>
  <w:num w:numId="27">
    <w:abstractNumId w:val="19"/>
  </w:num>
  <w:num w:numId="28">
    <w:abstractNumId w:val="1"/>
  </w:num>
  <w:num w:numId="29">
    <w:abstractNumId w:val="19"/>
  </w:num>
  <w:num w:numId="30">
    <w:abstractNumId w:val="0"/>
  </w:num>
  <w:num w:numId="31">
    <w:abstractNumId w:val="19"/>
  </w:num>
  <w:num w:numId="32">
    <w:abstractNumId w:val="16"/>
  </w:num>
  <w:num w:numId="33">
    <w:abstractNumId w:val="5"/>
  </w:num>
  <w:num w:numId="34">
    <w:abstractNumId w:val="4"/>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styleLockQFSet/>
  <w:defaultTabStop w:val="720"/>
  <w:evenAndOddHeaders/>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6B"/>
    <w:rsid w:val="00000AD8"/>
    <w:rsid w:val="0000578C"/>
    <w:rsid w:val="00010362"/>
    <w:rsid w:val="00011236"/>
    <w:rsid w:val="00012493"/>
    <w:rsid w:val="00015395"/>
    <w:rsid w:val="00015489"/>
    <w:rsid w:val="00021629"/>
    <w:rsid w:val="00024683"/>
    <w:rsid w:val="000340A9"/>
    <w:rsid w:val="00035765"/>
    <w:rsid w:val="00041675"/>
    <w:rsid w:val="00044FA3"/>
    <w:rsid w:val="00045C6F"/>
    <w:rsid w:val="00051849"/>
    <w:rsid w:val="000527B2"/>
    <w:rsid w:val="000539DF"/>
    <w:rsid w:val="00056673"/>
    <w:rsid w:val="00064F00"/>
    <w:rsid w:val="00067921"/>
    <w:rsid w:val="00067BFC"/>
    <w:rsid w:val="00072C00"/>
    <w:rsid w:val="000767E6"/>
    <w:rsid w:val="00082933"/>
    <w:rsid w:val="0008298C"/>
    <w:rsid w:val="000830C8"/>
    <w:rsid w:val="00084001"/>
    <w:rsid w:val="000846FE"/>
    <w:rsid w:val="000873E7"/>
    <w:rsid w:val="00091B6C"/>
    <w:rsid w:val="00094ABD"/>
    <w:rsid w:val="0009559C"/>
    <w:rsid w:val="00095E19"/>
    <w:rsid w:val="000963AA"/>
    <w:rsid w:val="000963B6"/>
    <w:rsid w:val="00096B32"/>
    <w:rsid w:val="00096E99"/>
    <w:rsid w:val="000A0633"/>
    <w:rsid w:val="000A73E8"/>
    <w:rsid w:val="000B0EE5"/>
    <w:rsid w:val="000B5463"/>
    <w:rsid w:val="000C2502"/>
    <w:rsid w:val="000C7DD4"/>
    <w:rsid w:val="000D5EBF"/>
    <w:rsid w:val="000D6EA5"/>
    <w:rsid w:val="000E22A7"/>
    <w:rsid w:val="000E46A7"/>
    <w:rsid w:val="000E68ED"/>
    <w:rsid w:val="000F52FE"/>
    <w:rsid w:val="000F71C6"/>
    <w:rsid w:val="000F787C"/>
    <w:rsid w:val="00103137"/>
    <w:rsid w:val="00103A97"/>
    <w:rsid w:val="00104560"/>
    <w:rsid w:val="00107FBD"/>
    <w:rsid w:val="00114534"/>
    <w:rsid w:val="0011699E"/>
    <w:rsid w:val="00121968"/>
    <w:rsid w:val="0012356D"/>
    <w:rsid w:val="00126586"/>
    <w:rsid w:val="00130F57"/>
    <w:rsid w:val="001359F2"/>
    <w:rsid w:val="0013729F"/>
    <w:rsid w:val="00140275"/>
    <w:rsid w:val="001432A5"/>
    <w:rsid w:val="00144035"/>
    <w:rsid w:val="0015135C"/>
    <w:rsid w:val="00152D85"/>
    <w:rsid w:val="00153248"/>
    <w:rsid w:val="00153446"/>
    <w:rsid w:val="00153EE6"/>
    <w:rsid w:val="001546E5"/>
    <w:rsid w:val="0015593C"/>
    <w:rsid w:val="00156F70"/>
    <w:rsid w:val="001576B6"/>
    <w:rsid w:val="0016250C"/>
    <w:rsid w:val="001675FE"/>
    <w:rsid w:val="001709FC"/>
    <w:rsid w:val="00171B11"/>
    <w:rsid w:val="001850AD"/>
    <w:rsid w:val="001864B5"/>
    <w:rsid w:val="0019033F"/>
    <w:rsid w:val="00191177"/>
    <w:rsid w:val="00192631"/>
    <w:rsid w:val="0019445B"/>
    <w:rsid w:val="001946CF"/>
    <w:rsid w:val="00194A12"/>
    <w:rsid w:val="00196728"/>
    <w:rsid w:val="00197246"/>
    <w:rsid w:val="001A3C99"/>
    <w:rsid w:val="001A3E10"/>
    <w:rsid w:val="001A5895"/>
    <w:rsid w:val="001A66BB"/>
    <w:rsid w:val="001B0978"/>
    <w:rsid w:val="001B0E1A"/>
    <w:rsid w:val="001B1BE4"/>
    <w:rsid w:val="001B3939"/>
    <w:rsid w:val="001B547E"/>
    <w:rsid w:val="001C13AA"/>
    <w:rsid w:val="001C5632"/>
    <w:rsid w:val="001C6741"/>
    <w:rsid w:val="001C6D0A"/>
    <w:rsid w:val="001C7FEF"/>
    <w:rsid w:val="001D32EC"/>
    <w:rsid w:val="001E180C"/>
    <w:rsid w:val="001E28FA"/>
    <w:rsid w:val="001E3B08"/>
    <w:rsid w:val="001E444C"/>
    <w:rsid w:val="001E53CE"/>
    <w:rsid w:val="001E5696"/>
    <w:rsid w:val="001E6AAB"/>
    <w:rsid w:val="001E7626"/>
    <w:rsid w:val="001F09FA"/>
    <w:rsid w:val="001F123D"/>
    <w:rsid w:val="001F427B"/>
    <w:rsid w:val="001F5141"/>
    <w:rsid w:val="001F5AC5"/>
    <w:rsid w:val="00201E99"/>
    <w:rsid w:val="002028A1"/>
    <w:rsid w:val="0020405F"/>
    <w:rsid w:val="00206262"/>
    <w:rsid w:val="00206A5B"/>
    <w:rsid w:val="00210D17"/>
    <w:rsid w:val="00214DB3"/>
    <w:rsid w:val="00215F5E"/>
    <w:rsid w:val="00217331"/>
    <w:rsid w:val="00220443"/>
    <w:rsid w:val="00220CCC"/>
    <w:rsid w:val="002217D4"/>
    <w:rsid w:val="00221F39"/>
    <w:rsid w:val="002274DC"/>
    <w:rsid w:val="00230BAE"/>
    <w:rsid w:val="00230CF5"/>
    <w:rsid w:val="00240500"/>
    <w:rsid w:val="002417C3"/>
    <w:rsid w:val="002435F7"/>
    <w:rsid w:val="00250A74"/>
    <w:rsid w:val="00250D31"/>
    <w:rsid w:val="00260344"/>
    <w:rsid w:val="00260B9B"/>
    <w:rsid w:val="00271541"/>
    <w:rsid w:val="0027230C"/>
    <w:rsid w:val="00275B0E"/>
    <w:rsid w:val="0027603E"/>
    <w:rsid w:val="00284A44"/>
    <w:rsid w:val="002862A5"/>
    <w:rsid w:val="002900A6"/>
    <w:rsid w:val="002914EA"/>
    <w:rsid w:val="002922E2"/>
    <w:rsid w:val="0029278C"/>
    <w:rsid w:val="002950C5"/>
    <w:rsid w:val="002A27E1"/>
    <w:rsid w:val="002A29EE"/>
    <w:rsid w:val="002B275E"/>
    <w:rsid w:val="002B3442"/>
    <w:rsid w:val="002B6D40"/>
    <w:rsid w:val="002B7E01"/>
    <w:rsid w:val="002C3604"/>
    <w:rsid w:val="002C3D86"/>
    <w:rsid w:val="002C63A4"/>
    <w:rsid w:val="002C720A"/>
    <w:rsid w:val="002D2753"/>
    <w:rsid w:val="002D4E15"/>
    <w:rsid w:val="002D627C"/>
    <w:rsid w:val="002D73F1"/>
    <w:rsid w:val="002E0B8D"/>
    <w:rsid w:val="002E0EFD"/>
    <w:rsid w:val="002E130B"/>
    <w:rsid w:val="002E1732"/>
    <w:rsid w:val="002E1E5D"/>
    <w:rsid w:val="002E2D7B"/>
    <w:rsid w:val="002E4457"/>
    <w:rsid w:val="002E59AF"/>
    <w:rsid w:val="002F45FA"/>
    <w:rsid w:val="002F61B9"/>
    <w:rsid w:val="002F6427"/>
    <w:rsid w:val="00300143"/>
    <w:rsid w:val="003007A4"/>
    <w:rsid w:val="00306FD8"/>
    <w:rsid w:val="00307A5C"/>
    <w:rsid w:val="00307C95"/>
    <w:rsid w:val="00312DB3"/>
    <w:rsid w:val="003162EE"/>
    <w:rsid w:val="0031759E"/>
    <w:rsid w:val="0032261C"/>
    <w:rsid w:val="0033295D"/>
    <w:rsid w:val="003357C3"/>
    <w:rsid w:val="00343F6C"/>
    <w:rsid w:val="003521F8"/>
    <w:rsid w:val="003603B8"/>
    <w:rsid w:val="0036389D"/>
    <w:rsid w:val="00363D19"/>
    <w:rsid w:val="0036670D"/>
    <w:rsid w:val="00366F31"/>
    <w:rsid w:val="003714BD"/>
    <w:rsid w:val="0037157C"/>
    <w:rsid w:val="0037377C"/>
    <w:rsid w:val="00382E06"/>
    <w:rsid w:val="00385A3A"/>
    <w:rsid w:val="00386225"/>
    <w:rsid w:val="003937FC"/>
    <w:rsid w:val="00395614"/>
    <w:rsid w:val="00395B75"/>
    <w:rsid w:val="003A0AA4"/>
    <w:rsid w:val="003A1C7A"/>
    <w:rsid w:val="003A1DE6"/>
    <w:rsid w:val="003A2B8D"/>
    <w:rsid w:val="003A75BE"/>
    <w:rsid w:val="003B06E6"/>
    <w:rsid w:val="003B403F"/>
    <w:rsid w:val="003B4B6F"/>
    <w:rsid w:val="003C1548"/>
    <w:rsid w:val="003C5A9B"/>
    <w:rsid w:val="003C6348"/>
    <w:rsid w:val="003C671B"/>
    <w:rsid w:val="003D00CA"/>
    <w:rsid w:val="003D07CC"/>
    <w:rsid w:val="003D282E"/>
    <w:rsid w:val="003D48DA"/>
    <w:rsid w:val="003D55F5"/>
    <w:rsid w:val="003D720C"/>
    <w:rsid w:val="003E04BF"/>
    <w:rsid w:val="003E2C26"/>
    <w:rsid w:val="003E2C90"/>
    <w:rsid w:val="003E4573"/>
    <w:rsid w:val="003F017A"/>
    <w:rsid w:val="003F3636"/>
    <w:rsid w:val="003F6E3F"/>
    <w:rsid w:val="004004EE"/>
    <w:rsid w:val="004063C9"/>
    <w:rsid w:val="00406F2C"/>
    <w:rsid w:val="0041053A"/>
    <w:rsid w:val="0041061A"/>
    <w:rsid w:val="00411F2C"/>
    <w:rsid w:val="0041214E"/>
    <w:rsid w:val="00412652"/>
    <w:rsid w:val="0041307A"/>
    <w:rsid w:val="0042172C"/>
    <w:rsid w:val="00423980"/>
    <w:rsid w:val="00426496"/>
    <w:rsid w:val="00432A8F"/>
    <w:rsid w:val="00436650"/>
    <w:rsid w:val="00442CF8"/>
    <w:rsid w:val="00444C5F"/>
    <w:rsid w:val="00445564"/>
    <w:rsid w:val="004470FA"/>
    <w:rsid w:val="00447B04"/>
    <w:rsid w:val="004512EF"/>
    <w:rsid w:val="00451DF3"/>
    <w:rsid w:val="00452420"/>
    <w:rsid w:val="00452B63"/>
    <w:rsid w:val="00453D8C"/>
    <w:rsid w:val="00454C93"/>
    <w:rsid w:val="00456338"/>
    <w:rsid w:val="004568F3"/>
    <w:rsid w:val="00461D53"/>
    <w:rsid w:val="00462820"/>
    <w:rsid w:val="00465EF3"/>
    <w:rsid w:val="00466A5F"/>
    <w:rsid w:val="00471E6B"/>
    <w:rsid w:val="00482CEC"/>
    <w:rsid w:val="0048346E"/>
    <w:rsid w:val="00484C6E"/>
    <w:rsid w:val="004853D9"/>
    <w:rsid w:val="00485BFE"/>
    <w:rsid w:val="0048747B"/>
    <w:rsid w:val="00487805"/>
    <w:rsid w:val="004879AD"/>
    <w:rsid w:val="00490898"/>
    <w:rsid w:val="0049166C"/>
    <w:rsid w:val="0049315B"/>
    <w:rsid w:val="00493DAA"/>
    <w:rsid w:val="00494757"/>
    <w:rsid w:val="00495432"/>
    <w:rsid w:val="004A1855"/>
    <w:rsid w:val="004A1ADD"/>
    <w:rsid w:val="004A4AE1"/>
    <w:rsid w:val="004A7D0C"/>
    <w:rsid w:val="004B497A"/>
    <w:rsid w:val="004C34A2"/>
    <w:rsid w:val="004C5421"/>
    <w:rsid w:val="004C61D7"/>
    <w:rsid w:val="004D13DC"/>
    <w:rsid w:val="004D329F"/>
    <w:rsid w:val="004D392B"/>
    <w:rsid w:val="004E0C59"/>
    <w:rsid w:val="004E0DF1"/>
    <w:rsid w:val="004E1E84"/>
    <w:rsid w:val="004E3189"/>
    <w:rsid w:val="004E446A"/>
    <w:rsid w:val="004E57CE"/>
    <w:rsid w:val="004E5B9C"/>
    <w:rsid w:val="004E735A"/>
    <w:rsid w:val="004F1DAA"/>
    <w:rsid w:val="004F46FF"/>
    <w:rsid w:val="004F52AC"/>
    <w:rsid w:val="005033D7"/>
    <w:rsid w:val="005129D9"/>
    <w:rsid w:val="00512BC7"/>
    <w:rsid w:val="0051345A"/>
    <w:rsid w:val="00522EF4"/>
    <w:rsid w:val="00523534"/>
    <w:rsid w:val="00523A60"/>
    <w:rsid w:val="00530F48"/>
    <w:rsid w:val="00531BEE"/>
    <w:rsid w:val="005353AA"/>
    <w:rsid w:val="00536A1F"/>
    <w:rsid w:val="005376B3"/>
    <w:rsid w:val="0054157F"/>
    <w:rsid w:val="00551DC7"/>
    <w:rsid w:val="00552ED1"/>
    <w:rsid w:val="00555916"/>
    <w:rsid w:val="005562F1"/>
    <w:rsid w:val="00557B84"/>
    <w:rsid w:val="00561C65"/>
    <w:rsid w:val="00563121"/>
    <w:rsid w:val="00565EC2"/>
    <w:rsid w:val="00572B1C"/>
    <w:rsid w:val="00575FF1"/>
    <w:rsid w:val="0058538C"/>
    <w:rsid w:val="00585605"/>
    <w:rsid w:val="00587C7B"/>
    <w:rsid w:val="00595475"/>
    <w:rsid w:val="00595895"/>
    <w:rsid w:val="005A46FA"/>
    <w:rsid w:val="005B0F08"/>
    <w:rsid w:val="005B374E"/>
    <w:rsid w:val="005B4482"/>
    <w:rsid w:val="005B7F2F"/>
    <w:rsid w:val="005C11CA"/>
    <w:rsid w:val="005C428F"/>
    <w:rsid w:val="005C6761"/>
    <w:rsid w:val="005C79A4"/>
    <w:rsid w:val="005D14E8"/>
    <w:rsid w:val="005D35B0"/>
    <w:rsid w:val="005D476D"/>
    <w:rsid w:val="005D47B0"/>
    <w:rsid w:val="005D4B4A"/>
    <w:rsid w:val="005E5955"/>
    <w:rsid w:val="005F164E"/>
    <w:rsid w:val="005F5864"/>
    <w:rsid w:val="00600818"/>
    <w:rsid w:val="00602DA4"/>
    <w:rsid w:val="0060716E"/>
    <w:rsid w:val="006079BE"/>
    <w:rsid w:val="00607FD8"/>
    <w:rsid w:val="0061274F"/>
    <w:rsid w:val="0061505F"/>
    <w:rsid w:val="006160AF"/>
    <w:rsid w:val="0061751B"/>
    <w:rsid w:val="0062297D"/>
    <w:rsid w:val="006251CD"/>
    <w:rsid w:val="00627617"/>
    <w:rsid w:val="006338FE"/>
    <w:rsid w:val="00634604"/>
    <w:rsid w:val="00635CCB"/>
    <w:rsid w:val="00645D96"/>
    <w:rsid w:val="00647DC8"/>
    <w:rsid w:val="006511A1"/>
    <w:rsid w:val="006519D9"/>
    <w:rsid w:val="0065589F"/>
    <w:rsid w:val="006608C0"/>
    <w:rsid w:val="00662EC6"/>
    <w:rsid w:val="00664694"/>
    <w:rsid w:val="00666958"/>
    <w:rsid w:val="00671E47"/>
    <w:rsid w:val="0067255C"/>
    <w:rsid w:val="00676B87"/>
    <w:rsid w:val="00677EE0"/>
    <w:rsid w:val="00680B3F"/>
    <w:rsid w:val="00680DFB"/>
    <w:rsid w:val="006842E3"/>
    <w:rsid w:val="0068456E"/>
    <w:rsid w:val="00686847"/>
    <w:rsid w:val="00686DC4"/>
    <w:rsid w:val="006874AD"/>
    <w:rsid w:val="00692792"/>
    <w:rsid w:val="006A0287"/>
    <w:rsid w:val="006A1C58"/>
    <w:rsid w:val="006A253A"/>
    <w:rsid w:val="006A2BF7"/>
    <w:rsid w:val="006A4309"/>
    <w:rsid w:val="006B0446"/>
    <w:rsid w:val="006B5921"/>
    <w:rsid w:val="006B5B56"/>
    <w:rsid w:val="006C0BD6"/>
    <w:rsid w:val="006C596B"/>
    <w:rsid w:val="006C75B9"/>
    <w:rsid w:val="006D00E6"/>
    <w:rsid w:val="006D39B9"/>
    <w:rsid w:val="006E1C69"/>
    <w:rsid w:val="006E4D6B"/>
    <w:rsid w:val="006E58AA"/>
    <w:rsid w:val="006E6E31"/>
    <w:rsid w:val="006F0469"/>
    <w:rsid w:val="006F2C20"/>
    <w:rsid w:val="006F2F01"/>
    <w:rsid w:val="007003CF"/>
    <w:rsid w:val="00701A83"/>
    <w:rsid w:val="00702575"/>
    <w:rsid w:val="00703498"/>
    <w:rsid w:val="00705838"/>
    <w:rsid w:val="00706936"/>
    <w:rsid w:val="0070694E"/>
    <w:rsid w:val="00706BE0"/>
    <w:rsid w:val="0071002C"/>
    <w:rsid w:val="00710616"/>
    <w:rsid w:val="00711712"/>
    <w:rsid w:val="00712E1C"/>
    <w:rsid w:val="00717673"/>
    <w:rsid w:val="007272EE"/>
    <w:rsid w:val="00730BC4"/>
    <w:rsid w:val="00735058"/>
    <w:rsid w:val="00742416"/>
    <w:rsid w:val="00743140"/>
    <w:rsid w:val="00746CAB"/>
    <w:rsid w:val="00754905"/>
    <w:rsid w:val="007641F5"/>
    <w:rsid w:val="00765E2C"/>
    <w:rsid w:val="007674EE"/>
    <w:rsid w:val="00772879"/>
    <w:rsid w:val="0077330E"/>
    <w:rsid w:val="00773F6E"/>
    <w:rsid w:val="00774933"/>
    <w:rsid w:val="0077640A"/>
    <w:rsid w:val="0077684E"/>
    <w:rsid w:val="00781A61"/>
    <w:rsid w:val="00781D96"/>
    <w:rsid w:val="00783165"/>
    <w:rsid w:val="007861DF"/>
    <w:rsid w:val="0078783E"/>
    <w:rsid w:val="00787A5E"/>
    <w:rsid w:val="007900E2"/>
    <w:rsid w:val="00790D82"/>
    <w:rsid w:val="007A1CDE"/>
    <w:rsid w:val="007A4596"/>
    <w:rsid w:val="007A4A19"/>
    <w:rsid w:val="007A4FAB"/>
    <w:rsid w:val="007A57CA"/>
    <w:rsid w:val="007A7DD9"/>
    <w:rsid w:val="007B12C6"/>
    <w:rsid w:val="007C0A4C"/>
    <w:rsid w:val="007C1EB3"/>
    <w:rsid w:val="007C5426"/>
    <w:rsid w:val="007C5AF5"/>
    <w:rsid w:val="007C5D2E"/>
    <w:rsid w:val="007D2509"/>
    <w:rsid w:val="007D5312"/>
    <w:rsid w:val="007E0193"/>
    <w:rsid w:val="007E23B9"/>
    <w:rsid w:val="007E2904"/>
    <w:rsid w:val="007E34EA"/>
    <w:rsid w:val="007E7864"/>
    <w:rsid w:val="007F05D2"/>
    <w:rsid w:val="007F3577"/>
    <w:rsid w:val="007F49A0"/>
    <w:rsid w:val="007F552A"/>
    <w:rsid w:val="008046A0"/>
    <w:rsid w:val="008066AA"/>
    <w:rsid w:val="008117E2"/>
    <w:rsid w:val="008169A6"/>
    <w:rsid w:val="00830EAA"/>
    <w:rsid w:val="0083162B"/>
    <w:rsid w:val="00835ACD"/>
    <w:rsid w:val="00841D8C"/>
    <w:rsid w:val="008428C4"/>
    <w:rsid w:val="008429D4"/>
    <w:rsid w:val="00847D90"/>
    <w:rsid w:val="00854CEA"/>
    <w:rsid w:val="008616F3"/>
    <w:rsid w:val="00862661"/>
    <w:rsid w:val="00864767"/>
    <w:rsid w:val="00864CCA"/>
    <w:rsid w:val="00866F2A"/>
    <w:rsid w:val="008672B1"/>
    <w:rsid w:val="0087344F"/>
    <w:rsid w:val="00874717"/>
    <w:rsid w:val="00876AC5"/>
    <w:rsid w:val="008832AA"/>
    <w:rsid w:val="00894D32"/>
    <w:rsid w:val="008A3CCD"/>
    <w:rsid w:val="008A3DAB"/>
    <w:rsid w:val="008A56FE"/>
    <w:rsid w:val="008A579F"/>
    <w:rsid w:val="008A690A"/>
    <w:rsid w:val="008B12C3"/>
    <w:rsid w:val="008B1448"/>
    <w:rsid w:val="008B2A9A"/>
    <w:rsid w:val="008D38B3"/>
    <w:rsid w:val="008D5845"/>
    <w:rsid w:val="008D5F8A"/>
    <w:rsid w:val="008D6D0A"/>
    <w:rsid w:val="008E13E8"/>
    <w:rsid w:val="008E1DD7"/>
    <w:rsid w:val="008E31E1"/>
    <w:rsid w:val="008E5187"/>
    <w:rsid w:val="008F2AF3"/>
    <w:rsid w:val="008F3496"/>
    <w:rsid w:val="008F3B94"/>
    <w:rsid w:val="008F5002"/>
    <w:rsid w:val="008F6661"/>
    <w:rsid w:val="00903687"/>
    <w:rsid w:val="00904623"/>
    <w:rsid w:val="00907121"/>
    <w:rsid w:val="00910D31"/>
    <w:rsid w:val="009115AB"/>
    <w:rsid w:val="00912336"/>
    <w:rsid w:val="00915712"/>
    <w:rsid w:val="00922F20"/>
    <w:rsid w:val="00922F59"/>
    <w:rsid w:val="00930869"/>
    <w:rsid w:val="0093235E"/>
    <w:rsid w:val="00933261"/>
    <w:rsid w:val="0093539B"/>
    <w:rsid w:val="00937703"/>
    <w:rsid w:val="0093771A"/>
    <w:rsid w:val="009406AC"/>
    <w:rsid w:val="009443E2"/>
    <w:rsid w:val="0094605E"/>
    <w:rsid w:val="00953ABE"/>
    <w:rsid w:val="00954C94"/>
    <w:rsid w:val="009567AD"/>
    <w:rsid w:val="00957169"/>
    <w:rsid w:val="00963ABA"/>
    <w:rsid w:val="00966D8E"/>
    <w:rsid w:val="00967657"/>
    <w:rsid w:val="00970733"/>
    <w:rsid w:val="00971677"/>
    <w:rsid w:val="00971C8D"/>
    <w:rsid w:val="00972889"/>
    <w:rsid w:val="0097628C"/>
    <w:rsid w:val="00981378"/>
    <w:rsid w:val="00982BFD"/>
    <w:rsid w:val="0098415F"/>
    <w:rsid w:val="00984A8A"/>
    <w:rsid w:val="009855E9"/>
    <w:rsid w:val="00986C85"/>
    <w:rsid w:val="0099098A"/>
    <w:rsid w:val="00992500"/>
    <w:rsid w:val="00994CB7"/>
    <w:rsid w:val="00995A1B"/>
    <w:rsid w:val="00996186"/>
    <w:rsid w:val="009976E0"/>
    <w:rsid w:val="009A013D"/>
    <w:rsid w:val="009A2615"/>
    <w:rsid w:val="009A2FBA"/>
    <w:rsid w:val="009A38C0"/>
    <w:rsid w:val="009B0911"/>
    <w:rsid w:val="009B5D92"/>
    <w:rsid w:val="009C2987"/>
    <w:rsid w:val="009C5C32"/>
    <w:rsid w:val="009C6F9F"/>
    <w:rsid w:val="009D6278"/>
    <w:rsid w:val="009E0153"/>
    <w:rsid w:val="009E215B"/>
    <w:rsid w:val="009E2BB3"/>
    <w:rsid w:val="009E3888"/>
    <w:rsid w:val="009E4906"/>
    <w:rsid w:val="009E7CA2"/>
    <w:rsid w:val="009F25EE"/>
    <w:rsid w:val="009F44CD"/>
    <w:rsid w:val="009F4638"/>
    <w:rsid w:val="00A01525"/>
    <w:rsid w:val="00A01D7D"/>
    <w:rsid w:val="00A01FE5"/>
    <w:rsid w:val="00A02A49"/>
    <w:rsid w:val="00A02F5D"/>
    <w:rsid w:val="00A12C87"/>
    <w:rsid w:val="00A15C90"/>
    <w:rsid w:val="00A15D80"/>
    <w:rsid w:val="00A15EF9"/>
    <w:rsid w:val="00A17025"/>
    <w:rsid w:val="00A17099"/>
    <w:rsid w:val="00A24C55"/>
    <w:rsid w:val="00A26D88"/>
    <w:rsid w:val="00A27EBF"/>
    <w:rsid w:val="00A33B33"/>
    <w:rsid w:val="00A34D67"/>
    <w:rsid w:val="00A36B35"/>
    <w:rsid w:val="00A377BC"/>
    <w:rsid w:val="00A37C70"/>
    <w:rsid w:val="00A40BF4"/>
    <w:rsid w:val="00A41F86"/>
    <w:rsid w:val="00A4340C"/>
    <w:rsid w:val="00A476E7"/>
    <w:rsid w:val="00A4776F"/>
    <w:rsid w:val="00A5195B"/>
    <w:rsid w:val="00A529E9"/>
    <w:rsid w:val="00A54310"/>
    <w:rsid w:val="00A568AA"/>
    <w:rsid w:val="00A603CB"/>
    <w:rsid w:val="00A60D47"/>
    <w:rsid w:val="00A61E23"/>
    <w:rsid w:val="00A63230"/>
    <w:rsid w:val="00A734AE"/>
    <w:rsid w:val="00A73AA2"/>
    <w:rsid w:val="00A75C29"/>
    <w:rsid w:val="00A75D63"/>
    <w:rsid w:val="00A82BB2"/>
    <w:rsid w:val="00A82FE0"/>
    <w:rsid w:val="00A835ED"/>
    <w:rsid w:val="00A83926"/>
    <w:rsid w:val="00A855D3"/>
    <w:rsid w:val="00A93988"/>
    <w:rsid w:val="00A93C0B"/>
    <w:rsid w:val="00A97124"/>
    <w:rsid w:val="00AA751F"/>
    <w:rsid w:val="00AB458A"/>
    <w:rsid w:val="00AB4A85"/>
    <w:rsid w:val="00AB5839"/>
    <w:rsid w:val="00AC0510"/>
    <w:rsid w:val="00AC1E0E"/>
    <w:rsid w:val="00AD01FC"/>
    <w:rsid w:val="00AD38E4"/>
    <w:rsid w:val="00AD440A"/>
    <w:rsid w:val="00AD45EE"/>
    <w:rsid w:val="00AD4E4D"/>
    <w:rsid w:val="00AE047D"/>
    <w:rsid w:val="00AE4D2A"/>
    <w:rsid w:val="00AE5FC8"/>
    <w:rsid w:val="00AE76BF"/>
    <w:rsid w:val="00AF214F"/>
    <w:rsid w:val="00AF386C"/>
    <w:rsid w:val="00B010F5"/>
    <w:rsid w:val="00B03C9D"/>
    <w:rsid w:val="00B044C2"/>
    <w:rsid w:val="00B04F66"/>
    <w:rsid w:val="00B118A3"/>
    <w:rsid w:val="00B11C61"/>
    <w:rsid w:val="00B11E2B"/>
    <w:rsid w:val="00B14589"/>
    <w:rsid w:val="00B15409"/>
    <w:rsid w:val="00B21E43"/>
    <w:rsid w:val="00B21E88"/>
    <w:rsid w:val="00B21F67"/>
    <w:rsid w:val="00B21F6A"/>
    <w:rsid w:val="00B27EF3"/>
    <w:rsid w:val="00B31C06"/>
    <w:rsid w:val="00B32E22"/>
    <w:rsid w:val="00B37CAC"/>
    <w:rsid w:val="00B41826"/>
    <w:rsid w:val="00B47952"/>
    <w:rsid w:val="00B50EB7"/>
    <w:rsid w:val="00B5359B"/>
    <w:rsid w:val="00B5572C"/>
    <w:rsid w:val="00B575FA"/>
    <w:rsid w:val="00B57B67"/>
    <w:rsid w:val="00B60F65"/>
    <w:rsid w:val="00B67069"/>
    <w:rsid w:val="00B67D19"/>
    <w:rsid w:val="00B72E76"/>
    <w:rsid w:val="00B72F9D"/>
    <w:rsid w:val="00B7301C"/>
    <w:rsid w:val="00B734A1"/>
    <w:rsid w:val="00B821F3"/>
    <w:rsid w:val="00B85B84"/>
    <w:rsid w:val="00B86DA5"/>
    <w:rsid w:val="00B920D5"/>
    <w:rsid w:val="00B94056"/>
    <w:rsid w:val="00B95649"/>
    <w:rsid w:val="00B9575B"/>
    <w:rsid w:val="00B97711"/>
    <w:rsid w:val="00BA0A5C"/>
    <w:rsid w:val="00BA1870"/>
    <w:rsid w:val="00BA3AD2"/>
    <w:rsid w:val="00BA540D"/>
    <w:rsid w:val="00BA6967"/>
    <w:rsid w:val="00BB105F"/>
    <w:rsid w:val="00BB17CB"/>
    <w:rsid w:val="00BB1A0F"/>
    <w:rsid w:val="00BB1ADB"/>
    <w:rsid w:val="00BB31DC"/>
    <w:rsid w:val="00BB4393"/>
    <w:rsid w:val="00BC0AB1"/>
    <w:rsid w:val="00BD2821"/>
    <w:rsid w:val="00BD35AA"/>
    <w:rsid w:val="00BD60F6"/>
    <w:rsid w:val="00BE0692"/>
    <w:rsid w:val="00BE1CD2"/>
    <w:rsid w:val="00BF3A65"/>
    <w:rsid w:val="00BF3F49"/>
    <w:rsid w:val="00C04A64"/>
    <w:rsid w:val="00C04F80"/>
    <w:rsid w:val="00C05C35"/>
    <w:rsid w:val="00C07297"/>
    <w:rsid w:val="00C1594A"/>
    <w:rsid w:val="00C162F8"/>
    <w:rsid w:val="00C1773D"/>
    <w:rsid w:val="00C21EBD"/>
    <w:rsid w:val="00C223F7"/>
    <w:rsid w:val="00C25111"/>
    <w:rsid w:val="00C2777F"/>
    <w:rsid w:val="00C303C2"/>
    <w:rsid w:val="00C330A4"/>
    <w:rsid w:val="00C34ACD"/>
    <w:rsid w:val="00C34DD9"/>
    <w:rsid w:val="00C35604"/>
    <w:rsid w:val="00C37913"/>
    <w:rsid w:val="00C406FC"/>
    <w:rsid w:val="00C42168"/>
    <w:rsid w:val="00C424D2"/>
    <w:rsid w:val="00C46025"/>
    <w:rsid w:val="00C46957"/>
    <w:rsid w:val="00C5027F"/>
    <w:rsid w:val="00C513DF"/>
    <w:rsid w:val="00C52338"/>
    <w:rsid w:val="00C559D8"/>
    <w:rsid w:val="00C6312A"/>
    <w:rsid w:val="00C709DF"/>
    <w:rsid w:val="00C73186"/>
    <w:rsid w:val="00C73616"/>
    <w:rsid w:val="00C7497D"/>
    <w:rsid w:val="00C76227"/>
    <w:rsid w:val="00C76782"/>
    <w:rsid w:val="00C7698C"/>
    <w:rsid w:val="00C807A8"/>
    <w:rsid w:val="00C815F2"/>
    <w:rsid w:val="00C8379D"/>
    <w:rsid w:val="00C838BF"/>
    <w:rsid w:val="00C851C0"/>
    <w:rsid w:val="00C85B0C"/>
    <w:rsid w:val="00C86E4D"/>
    <w:rsid w:val="00C877ED"/>
    <w:rsid w:val="00C9089B"/>
    <w:rsid w:val="00C911BB"/>
    <w:rsid w:val="00C94C1C"/>
    <w:rsid w:val="00CA0271"/>
    <w:rsid w:val="00CA151B"/>
    <w:rsid w:val="00CA2F13"/>
    <w:rsid w:val="00CA3449"/>
    <w:rsid w:val="00CA7121"/>
    <w:rsid w:val="00CA7859"/>
    <w:rsid w:val="00CB1160"/>
    <w:rsid w:val="00CB2277"/>
    <w:rsid w:val="00CB2577"/>
    <w:rsid w:val="00CB6971"/>
    <w:rsid w:val="00CB6F87"/>
    <w:rsid w:val="00CB7318"/>
    <w:rsid w:val="00CC3035"/>
    <w:rsid w:val="00CC3849"/>
    <w:rsid w:val="00CD4B89"/>
    <w:rsid w:val="00CD547B"/>
    <w:rsid w:val="00CE01F2"/>
    <w:rsid w:val="00CE0BDC"/>
    <w:rsid w:val="00CE2AE6"/>
    <w:rsid w:val="00CE2F73"/>
    <w:rsid w:val="00CE604F"/>
    <w:rsid w:val="00CE6C8C"/>
    <w:rsid w:val="00CF0500"/>
    <w:rsid w:val="00CF16C6"/>
    <w:rsid w:val="00CF2B50"/>
    <w:rsid w:val="00CF46BD"/>
    <w:rsid w:val="00CF54C2"/>
    <w:rsid w:val="00CF57B3"/>
    <w:rsid w:val="00D00D1A"/>
    <w:rsid w:val="00D00E49"/>
    <w:rsid w:val="00D02339"/>
    <w:rsid w:val="00D034A7"/>
    <w:rsid w:val="00D04820"/>
    <w:rsid w:val="00D06216"/>
    <w:rsid w:val="00D06AD4"/>
    <w:rsid w:val="00D107A8"/>
    <w:rsid w:val="00D10B3F"/>
    <w:rsid w:val="00D1116B"/>
    <w:rsid w:val="00D15E72"/>
    <w:rsid w:val="00D17B78"/>
    <w:rsid w:val="00D20815"/>
    <w:rsid w:val="00D24945"/>
    <w:rsid w:val="00D26389"/>
    <w:rsid w:val="00D30873"/>
    <w:rsid w:val="00D3186A"/>
    <w:rsid w:val="00D3557F"/>
    <w:rsid w:val="00D369A1"/>
    <w:rsid w:val="00D37654"/>
    <w:rsid w:val="00D41F67"/>
    <w:rsid w:val="00D46BB0"/>
    <w:rsid w:val="00D46C5C"/>
    <w:rsid w:val="00D52465"/>
    <w:rsid w:val="00D60E2C"/>
    <w:rsid w:val="00D64540"/>
    <w:rsid w:val="00D6642E"/>
    <w:rsid w:val="00D72DB9"/>
    <w:rsid w:val="00D74C24"/>
    <w:rsid w:val="00D7527E"/>
    <w:rsid w:val="00D7569B"/>
    <w:rsid w:val="00D80D12"/>
    <w:rsid w:val="00D848E3"/>
    <w:rsid w:val="00D90123"/>
    <w:rsid w:val="00D914F2"/>
    <w:rsid w:val="00D918DE"/>
    <w:rsid w:val="00D91CAC"/>
    <w:rsid w:val="00D91F2A"/>
    <w:rsid w:val="00D93B10"/>
    <w:rsid w:val="00D94981"/>
    <w:rsid w:val="00DB0119"/>
    <w:rsid w:val="00DB0205"/>
    <w:rsid w:val="00DB03DC"/>
    <w:rsid w:val="00DB1F9B"/>
    <w:rsid w:val="00DB2401"/>
    <w:rsid w:val="00DB329F"/>
    <w:rsid w:val="00DB5D80"/>
    <w:rsid w:val="00DB6164"/>
    <w:rsid w:val="00DB63C0"/>
    <w:rsid w:val="00DB700E"/>
    <w:rsid w:val="00DC0522"/>
    <w:rsid w:val="00DC6238"/>
    <w:rsid w:val="00DC6E85"/>
    <w:rsid w:val="00DC77C0"/>
    <w:rsid w:val="00DC7FF7"/>
    <w:rsid w:val="00DD27FD"/>
    <w:rsid w:val="00DD4684"/>
    <w:rsid w:val="00DD5283"/>
    <w:rsid w:val="00DD556F"/>
    <w:rsid w:val="00DD5FD9"/>
    <w:rsid w:val="00DD765B"/>
    <w:rsid w:val="00DE0466"/>
    <w:rsid w:val="00DE07FB"/>
    <w:rsid w:val="00DE0904"/>
    <w:rsid w:val="00DE1D21"/>
    <w:rsid w:val="00DE20AE"/>
    <w:rsid w:val="00DE58AE"/>
    <w:rsid w:val="00DE60A0"/>
    <w:rsid w:val="00DE671C"/>
    <w:rsid w:val="00DF1357"/>
    <w:rsid w:val="00DF43C8"/>
    <w:rsid w:val="00DF5912"/>
    <w:rsid w:val="00DF59B9"/>
    <w:rsid w:val="00DF669F"/>
    <w:rsid w:val="00E1112D"/>
    <w:rsid w:val="00E1361A"/>
    <w:rsid w:val="00E142AB"/>
    <w:rsid w:val="00E20F8F"/>
    <w:rsid w:val="00E23E90"/>
    <w:rsid w:val="00E2404F"/>
    <w:rsid w:val="00E26469"/>
    <w:rsid w:val="00E26BAA"/>
    <w:rsid w:val="00E30C03"/>
    <w:rsid w:val="00E31B14"/>
    <w:rsid w:val="00E32337"/>
    <w:rsid w:val="00E33C5A"/>
    <w:rsid w:val="00E3775C"/>
    <w:rsid w:val="00E4067B"/>
    <w:rsid w:val="00E42A09"/>
    <w:rsid w:val="00E43F35"/>
    <w:rsid w:val="00E46C48"/>
    <w:rsid w:val="00E51F76"/>
    <w:rsid w:val="00E52EEE"/>
    <w:rsid w:val="00E53A9A"/>
    <w:rsid w:val="00E62D30"/>
    <w:rsid w:val="00E632DD"/>
    <w:rsid w:val="00E63405"/>
    <w:rsid w:val="00E64FA8"/>
    <w:rsid w:val="00E7109B"/>
    <w:rsid w:val="00E71F04"/>
    <w:rsid w:val="00E72116"/>
    <w:rsid w:val="00E736BE"/>
    <w:rsid w:val="00E73840"/>
    <w:rsid w:val="00E75FD9"/>
    <w:rsid w:val="00E76B92"/>
    <w:rsid w:val="00E7768B"/>
    <w:rsid w:val="00E778FD"/>
    <w:rsid w:val="00E77C33"/>
    <w:rsid w:val="00E80A79"/>
    <w:rsid w:val="00E8179E"/>
    <w:rsid w:val="00E85B22"/>
    <w:rsid w:val="00E873CE"/>
    <w:rsid w:val="00E958B7"/>
    <w:rsid w:val="00E95F23"/>
    <w:rsid w:val="00E96740"/>
    <w:rsid w:val="00E96E92"/>
    <w:rsid w:val="00EA1085"/>
    <w:rsid w:val="00EA40AC"/>
    <w:rsid w:val="00EA4A9E"/>
    <w:rsid w:val="00EB082E"/>
    <w:rsid w:val="00EB134B"/>
    <w:rsid w:val="00EB4577"/>
    <w:rsid w:val="00EB552F"/>
    <w:rsid w:val="00EB7290"/>
    <w:rsid w:val="00EC1D8C"/>
    <w:rsid w:val="00EC38F3"/>
    <w:rsid w:val="00EC7A30"/>
    <w:rsid w:val="00ED14CD"/>
    <w:rsid w:val="00ED180D"/>
    <w:rsid w:val="00ED2F22"/>
    <w:rsid w:val="00ED47A9"/>
    <w:rsid w:val="00EE1BFA"/>
    <w:rsid w:val="00EE1CBE"/>
    <w:rsid w:val="00EE2E31"/>
    <w:rsid w:val="00EE63AD"/>
    <w:rsid w:val="00EE7207"/>
    <w:rsid w:val="00EF1C7E"/>
    <w:rsid w:val="00EF26D2"/>
    <w:rsid w:val="00EF31D4"/>
    <w:rsid w:val="00EF6258"/>
    <w:rsid w:val="00EF6E8B"/>
    <w:rsid w:val="00EF7C07"/>
    <w:rsid w:val="00F023C8"/>
    <w:rsid w:val="00F04026"/>
    <w:rsid w:val="00F04D46"/>
    <w:rsid w:val="00F067A8"/>
    <w:rsid w:val="00F14500"/>
    <w:rsid w:val="00F21594"/>
    <w:rsid w:val="00F219C5"/>
    <w:rsid w:val="00F2329E"/>
    <w:rsid w:val="00F232F4"/>
    <w:rsid w:val="00F32305"/>
    <w:rsid w:val="00F33B65"/>
    <w:rsid w:val="00F344F5"/>
    <w:rsid w:val="00F4439A"/>
    <w:rsid w:val="00F465F9"/>
    <w:rsid w:val="00F5010C"/>
    <w:rsid w:val="00F51429"/>
    <w:rsid w:val="00F51B2F"/>
    <w:rsid w:val="00F53200"/>
    <w:rsid w:val="00F53B88"/>
    <w:rsid w:val="00F53D12"/>
    <w:rsid w:val="00F53EC4"/>
    <w:rsid w:val="00F60A8F"/>
    <w:rsid w:val="00F60DB9"/>
    <w:rsid w:val="00F65047"/>
    <w:rsid w:val="00F65AA6"/>
    <w:rsid w:val="00F65C1E"/>
    <w:rsid w:val="00F65F0D"/>
    <w:rsid w:val="00F70426"/>
    <w:rsid w:val="00F731A4"/>
    <w:rsid w:val="00F74686"/>
    <w:rsid w:val="00F757B1"/>
    <w:rsid w:val="00F77056"/>
    <w:rsid w:val="00F80344"/>
    <w:rsid w:val="00F8084C"/>
    <w:rsid w:val="00F8171D"/>
    <w:rsid w:val="00F834B6"/>
    <w:rsid w:val="00F85E5B"/>
    <w:rsid w:val="00F87452"/>
    <w:rsid w:val="00F9166C"/>
    <w:rsid w:val="00F926CF"/>
    <w:rsid w:val="00F935D4"/>
    <w:rsid w:val="00F938C2"/>
    <w:rsid w:val="00F93C8D"/>
    <w:rsid w:val="00F942E8"/>
    <w:rsid w:val="00F947F4"/>
    <w:rsid w:val="00F94CEA"/>
    <w:rsid w:val="00F970EB"/>
    <w:rsid w:val="00F97214"/>
    <w:rsid w:val="00FA3EEC"/>
    <w:rsid w:val="00FA66A8"/>
    <w:rsid w:val="00FA77C1"/>
    <w:rsid w:val="00FB175A"/>
    <w:rsid w:val="00FB61A9"/>
    <w:rsid w:val="00FB6F94"/>
    <w:rsid w:val="00FC1D44"/>
    <w:rsid w:val="00FC4BBB"/>
    <w:rsid w:val="00FD07E2"/>
    <w:rsid w:val="00FD1ED4"/>
    <w:rsid w:val="00FD2407"/>
    <w:rsid w:val="00FD287D"/>
    <w:rsid w:val="00FD306A"/>
    <w:rsid w:val="00FD36D9"/>
    <w:rsid w:val="00FD57F5"/>
    <w:rsid w:val="00FD5BF2"/>
    <w:rsid w:val="00FD7BA1"/>
    <w:rsid w:val="00FD7DC7"/>
    <w:rsid w:val="00FD7E58"/>
    <w:rsid w:val="00FE0A31"/>
    <w:rsid w:val="00FE0DB5"/>
    <w:rsid w:val="00FE14C5"/>
    <w:rsid w:val="00FE1B09"/>
    <w:rsid w:val="00FE1E37"/>
    <w:rsid w:val="00FE3EEB"/>
    <w:rsid w:val="00FE446D"/>
    <w:rsid w:val="00FE697B"/>
    <w:rsid w:val="00FF23FF"/>
    <w:rsid w:val="00FF3769"/>
    <w:rsid w:val="00FF7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5970471D"/>
  <w15:docId w15:val="{D7216870-2078-4590-8684-DBBD57FB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en-AU" w:eastAsia="en-AU" w:bidi="ar-SA"/>
      </w:rPr>
    </w:rPrDefault>
    <w:pPrDefault>
      <w:pPr>
        <w:spacing w:line="30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5FA"/>
  </w:style>
  <w:style w:type="paragraph" w:styleId="Heading1">
    <w:name w:val="heading 1"/>
    <w:basedOn w:val="BodyText"/>
    <w:next w:val="BodyText"/>
    <w:qFormat/>
    <w:rsid w:val="002F45FA"/>
    <w:pPr>
      <w:keepNext/>
      <w:spacing w:before="0" w:after="120" w:line="240" w:lineRule="auto"/>
      <w:outlineLvl w:val="0"/>
    </w:pPr>
    <w:rPr>
      <w:rFonts w:ascii="Calibri Light" w:hAnsi="Calibri Light"/>
      <w:color w:val="3D4D7D" w:themeColor="background2"/>
      <w:sz w:val="52"/>
    </w:rPr>
  </w:style>
  <w:style w:type="paragraph" w:styleId="Heading2">
    <w:name w:val="heading 2"/>
    <w:basedOn w:val="BodyText"/>
    <w:next w:val="BodyText"/>
    <w:qFormat/>
    <w:rsid w:val="002F45FA"/>
    <w:pPr>
      <w:keepNext/>
      <w:spacing w:before="480" w:after="60" w:line="240" w:lineRule="exact"/>
      <w:outlineLvl w:val="1"/>
    </w:pPr>
    <w:rPr>
      <w:rFonts w:ascii="Calibri" w:hAnsi="Calibri"/>
      <w:b/>
      <w:color w:val="3D4D7D" w:themeColor="background2"/>
      <w:sz w:val="28"/>
    </w:rPr>
  </w:style>
  <w:style w:type="paragraph" w:styleId="Heading3">
    <w:name w:val="heading 3"/>
    <w:basedOn w:val="Normal"/>
    <w:next w:val="BodyText"/>
    <w:qFormat/>
    <w:rsid w:val="00C162F8"/>
    <w:pPr>
      <w:spacing w:before="320" w:after="140"/>
      <w:outlineLvl w:val="2"/>
    </w:pPr>
    <w:rPr>
      <w:rFonts w:ascii="Calibri" w:hAnsi="Calibri"/>
      <w:b/>
    </w:rPr>
  </w:style>
  <w:style w:type="paragraph" w:styleId="Heading4">
    <w:name w:val="heading 4"/>
    <w:basedOn w:val="Normal"/>
    <w:next w:val="BodyText"/>
    <w:link w:val="Heading4Char"/>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B78"/>
    <w:pPr>
      <w:tabs>
        <w:tab w:val="center" w:pos="4513"/>
        <w:tab w:val="right" w:pos="9026"/>
      </w:tabs>
      <w:spacing w:line="240" w:lineRule="auto"/>
    </w:pPr>
  </w:style>
  <w:style w:type="character" w:customStyle="1" w:styleId="HeaderChar">
    <w:name w:val="Header Char"/>
    <w:basedOn w:val="DefaultParagraphFont"/>
    <w:link w:val="Header"/>
    <w:rsid w:val="00D17B78"/>
    <w:rPr>
      <w:spacing w:val="-1"/>
    </w:rPr>
  </w:style>
  <w:style w:type="paragraph" w:styleId="Footer">
    <w:name w:val="footer"/>
    <w:basedOn w:val="Normal"/>
    <w:link w:val="FooterChar"/>
    <w:rsid w:val="00107FBD"/>
    <w:pPr>
      <w:tabs>
        <w:tab w:val="center" w:pos="4536"/>
        <w:tab w:val="right" w:pos="10490"/>
      </w:tabs>
      <w:spacing w:line="260" w:lineRule="exact"/>
      <w:jc w:val="center"/>
    </w:pPr>
    <w:rPr>
      <w:sz w:val="19"/>
    </w:rPr>
  </w:style>
  <w:style w:type="paragraph" w:styleId="Caption">
    <w:name w:val="caption"/>
    <w:basedOn w:val="Normal"/>
    <w:next w:val="BodyText"/>
    <w:rsid w:val="00671E47"/>
    <w:pPr>
      <w:keepNext/>
      <w:spacing w:before="240" w:after="120" w:line="220" w:lineRule="atLeast"/>
    </w:pPr>
    <w:rPr>
      <w:b/>
      <w:bCs/>
      <w:color w:val="000000" w:themeColor="text1"/>
    </w:rPr>
  </w:style>
  <w:style w:type="character" w:customStyle="1" w:styleId="FooterChar">
    <w:name w:val="Footer Char"/>
    <w:basedOn w:val="DefaultParagraphFont"/>
    <w:link w:val="Footer"/>
    <w:rsid w:val="00107FBD"/>
    <w:rPr>
      <w:sz w:val="19"/>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paragraph" w:styleId="ListNumber4">
    <w:name w:val="List Number 4"/>
    <w:basedOn w:val="Normal"/>
    <w:rsid w:val="00706936"/>
    <w:pPr>
      <w:numPr>
        <w:ilvl w:val="3"/>
        <w:numId w:val="31"/>
      </w:numPr>
      <w:spacing w:before="120" w:after="60"/>
      <w:ind w:left="1135"/>
    </w:pPr>
  </w:style>
  <w:style w:type="paragraph" w:styleId="BodyText">
    <w:name w:val="Body Text"/>
    <w:basedOn w:val="Normal"/>
    <w:link w:val="BodyTextChar"/>
    <w:qFormat/>
    <w:rsid w:val="00C94C1C"/>
    <w:pPr>
      <w:spacing w:before="240"/>
    </w:pPr>
  </w:style>
  <w:style w:type="character" w:customStyle="1" w:styleId="BodyTextChar">
    <w:name w:val="Body Text Char"/>
    <w:basedOn w:val="DefaultParagraphFont"/>
    <w:link w:val="BodyText"/>
    <w:rsid w:val="00C94C1C"/>
  </w:style>
  <w:style w:type="paragraph" w:styleId="ListNumber5">
    <w:name w:val="List Number 5"/>
    <w:basedOn w:val="Normal"/>
    <w:rsid w:val="00706936"/>
    <w:pPr>
      <w:numPr>
        <w:ilvl w:val="4"/>
        <w:numId w:val="31"/>
      </w:numPr>
      <w:spacing w:before="120" w:after="60"/>
      <w:ind w:left="1418"/>
    </w:pPr>
  </w:style>
  <w:style w:type="table" w:styleId="TableGrid">
    <w:name w:val="Table Grid"/>
    <w:basedOn w:val="TableNormal"/>
    <w:uiPriority w:val="59"/>
    <w:rsid w:val="00A01FE5"/>
    <w:pPr>
      <w:spacing w:before="40" w:after="40" w:line="240" w:lineRule="auto"/>
      <w:ind w:left="85" w:right="85"/>
    </w:pPr>
    <w:rPr>
      <w:rFonts w:eastAsiaTheme="minorHAnsi" w:cstheme="minorBidi"/>
      <w:sz w:val="20"/>
      <w:lang w:eastAsia="en-US"/>
    </w:rPr>
    <w:tblPr>
      <w:tblStyleRowBandSize w:val="1"/>
      <w:tblStyleColBandSize w:val="1"/>
      <w:tblBorders>
        <w:top w:val="single" w:sz="4" w:space="0" w:color="000000" w:themeColor="text1"/>
        <w:bottom w:val="single" w:sz="4" w:space="0" w:color="000000" w:themeColor="text1"/>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rPr>
        <w:b/>
      </w:rPr>
      <w:tblPr/>
      <w:tcPr>
        <w:shd w:val="clear" w:color="auto" w:fill="A7B2D4" w:themeFill="background2" w:themeFillTint="66"/>
      </w:tcPr>
    </w:tblStylePr>
    <w:tblStylePr w:type="band2Horz">
      <w:tblPr/>
      <w:tcPr>
        <w:shd w:val="clear" w:color="auto" w:fill="D3D8E9" w:themeFill="background2" w:themeFillTint="33"/>
      </w:tcPr>
    </w:tblStylePr>
    <w:tblStylePr w:type="nwCell">
      <w:rPr>
        <w:color w:val="000000" w:themeColor="text1"/>
      </w:rPr>
    </w:tblStylePr>
  </w:style>
  <w:style w:type="table" w:customStyle="1" w:styleId="TableGridDarkHeader">
    <w:name w:val="Table Grid Dark Header"/>
    <w:basedOn w:val="TableNormal"/>
    <w:uiPriority w:val="99"/>
    <w:rsid w:val="00A01FE5"/>
    <w:pPr>
      <w:spacing w:before="40" w:after="40" w:line="240" w:lineRule="auto"/>
    </w:pPr>
    <w:rPr>
      <w:rFonts w:eastAsiaTheme="minorHAnsi" w:cstheme="minorBidi"/>
      <w:sz w:val="20"/>
      <w:lang w:eastAsia="en-US"/>
    </w:rPr>
    <w:tblPr>
      <w:tblStyleRowBandSize w:val="1"/>
      <w:tblCellMar>
        <w:top w:w="57" w:type="dxa"/>
        <w:left w:w="0" w:type="dxa"/>
        <w:bottom w:w="57" w:type="dxa"/>
        <w:right w:w="0" w:type="dxa"/>
      </w:tblCellMar>
    </w:tblPr>
    <w:tblStylePr w:type="firstRow">
      <w:rPr>
        <w:b/>
        <w:color w:val="FFFFFF" w:themeColor="background1"/>
      </w:rPr>
      <w:tblPr/>
      <w:tcPr>
        <w:shd w:val="clear" w:color="auto" w:fill="3D4D7D" w:themeFill="background2"/>
      </w:tcPr>
    </w:tblStylePr>
    <w:tblStylePr w:type="lastRow">
      <w:rPr>
        <w:b/>
      </w:rPr>
      <w:tblPr/>
      <w:tcPr>
        <w:shd w:val="clear" w:color="auto" w:fill="A7B2D4" w:themeFill="background2" w:themeFillTint="66"/>
      </w:tcPr>
    </w:tblStylePr>
    <w:tblStylePr w:type="band1Horz">
      <w:tblPr/>
      <w:tcPr>
        <w:shd w:val="clear" w:color="auto" w:fill="D3D8E9" w:themeFill="background2" w:themeFillTint="33"/>
      </w:tcPr>
    </w:tblStylePr>
  </w:style>
  <w:style w:type="paragraph" w:styleId="ListBullet">
    <w:name w:val="List Bullet"/>
    <w:basedOn w:val="Normal"/>
    <w:unhideWhenUsed/>
    <w:qFormat/>
    <w:rsid w:val="00706936"/>
    <w:pPr>
      <w:keepLines/>
      <w:numPr>
        <w:numId w:val="24"/>
      </w:numPr>
      <w:spacing w:before="120" w:after="60"/>
    </w:pPr>
  </w:style>
  <w:style w:type="paragraph" w:styleId="ListBullet2">
    <w:name w:val="List Bullet 2"/>
    <w:basedOn w:val="ListBullet"/>
    <w:unhideWhenUsed/>
    <w:qFormat/>
    <w:rsid w:val="00DC77C0"/>
    <w:pPr>
      <w:numPr>
        <w:ilvl w:val="1"/>
      </w:numPr>
    </w:pPr>
    <w:rPr>
      <w:color w:val="000000" w:themeColor="text1"/>
    </w:rPr>
  </w:style>
  <w:style w:type="paragraph" w:styleId="ListBullet3">
    <w:name w:val="List Bullet 3"/>
    <w:basedOn w:val="ListBullet2"/>
    <w:unhideWhenUsed/>
    <w:rsid w:val="00DC77C0"/>
    <w:pPr>
      <w:numPr>
        <w:ilvl w:val="2"/>
      </w:numPr>
    </w:pPr>
  </w:style>
  <w:style w:type="paragraph" w:styleId="ListNumber">
    <w:name w:val="List Number"/>
    <w:basedOn w:val="Normal"/>
    <w:qFormat/>
    <w:rsid w:val="00706936"/>
    <w:pPr>
      <w:numPr>
        <w:numId w:val="31"/>
      </w:numPr>
      <w:spacing w:before="120" w:after="60"/>
    </w:pPr>
  </w:style>
  <w:style w:type="paragraph" w:styleId="ListNumber2">
    <w:name w:val="List Number 2"/>
    <w:basedOn w:val="Normal"/>
    <w:qFormat/>
    <w:rsid w:val="00706936"/>
    <w:pPr>
      <w:numPr>
        <w:ilvl w:val="1"/>
        <w:numId w:val="31"/>
      </w:numPr>
      <w:spacing w:before="120" w:after="60"/>
    </w:pPr>
    <w:rPr>
      <w:spacing w:val="-1"/>
    </w:rPr>
  </w:style>
  <w:style w:type="paragraph" w:styleId="ListNumber3">
    <w:name w:val="List Number 3"/>
    <w:basedOn w:val="Normal"/>
    <w:qFormat/>
    <w:rsid w:val="00706936"/>
    <w:pPr>
      <w:numPr>
        <w:ilvl w:val="2"/>
        <w:numId w:val="31"/>
      </w:numPr>
      <w:spacing w:before="120" w:after="60"/>
      <w:ind w:left="851"/>
    </w:pPr>
    <w:rPr>
      <w:spacing w:val="-1"/>
    </w:rPr>
  </w:style>
  <w:style w:type="character" w:styleId="PlaceholderText">
    <w:name w:val="Placeholder Text"/>
    <w:basedOn w:val="DefaultParagraphFont"/>
    <w:uiPriority w:val="99"/>
    <w:semiHidden/>
    <w:rsid w:val="009A2FBA"/>
    <w:rPr>
      <w:color w:val="808080"/>
    </w:rPr>
  </w:style>
  <w:style w:type="paragraph" w:styleId="Title">
    <w:name w:val="Title"/>
    <w:basedOn w:val="Normal"/>
    <w:next w:val="Normal"/>
    <w:link w:val="TitleChar"/>
    <w:rsid w:val="002F45FA"/>
    <w:pPr>
      <w:spacing w:after="120" w:line="240" w:lineRule="auto"/>
      <w:contextualSpacing/>
    </w:pPr>
    <w:rPr>
      <w:rFonts w:ascii="Calibri Light" w:eastAsiaTheme="majorEastAsia" w:hAnsi="Calibri Light" w:cstheme="majorBidi"/>
      <w:color w:val="3D4D7D" w:themeColor="background2"/>
      <w:sz w:val="52"/>
      <w:szCs w:val="56"/>
    </w:rPr>
  </w:style>
  <w:style w:type="paragraph" w:styleId="NormalWeb">
    <w:name w:val="Normal (Web)"/>
    <w:basedOn w:val="Normal"/>
    <w:uiPriority w:val="99"/>
    <w:semiHidden/>
    <w:unhideWhenUsed/>
    <w:rsid w:val="00686847"/>
    <w:pPr>
      <w:spacing w:before="100" w:beforeAutospacing="1" w:after="100" w:afterAutospacing="1" w:line="240" w:lineRule="auto"/>
    </w:pPr>
    <w:rPr>
      <w:rFonts w:ascii="Times New Roman" w:eastAsiaTheme="minorEastAsia" w:hAnsi="Times New Roman"/>
      <w:sz w:val="24"/>
      <w:szCs w:val="24"/>
    </w:rPr>
  </w:style>
  <w:style w:type="character" w:customStyle="1" w:styleId="TitleChar">
    <w:name w:val="Title Char"/>
    <w:basedOn w:val="DefaultParagraphFont"/>
    <w:link w:val="Title"/>
    <w:rsid w:val="002F45FA"/>
    <w:rPr>
      <w:rFonts w:ascii="Calibri Light" w:eastAsiaTheme="majorEastAsia" w:hAnsi="Calibri Light" w:cstheme="majorBidi"/>
      <w:color w:val="3D4D7D" w:themeColor="background2"/>
      <w:sz w:val="52"/>
      <w:szCs w:val="56"/>
    </w:rPr>
  </w:style>
  <w:style w:type="paragraph" w:customStyle="1" w:styleId="Introduction">
    <w:name w:val="Introduction"/>
    <w:basedOn w:val="Normal"/>
    <w:qFormat/>
    <w:rsid w:val="002F45FA"/>
    <w:pPr>
      <w:spacing w:before="56" w:line="220" w:lineRule="atLeast"/>
    </w:pPr>
    <w:rPr>
      <w:b/>
      <w:color w:val="3D4D7D" w:themeColor="background2"/>
    </w:rPr>
  </w:style>
  <w:style w:type="paragraph" w:customStyle="1" w:styleId="IntroductionBullet">
    <w:name w:val="Introduction Bullet"/>
    <w:basedOn w:val="Introduction"/>
    <w:qFormat/>
    <w:rsid w:val="00CB6971"/>
    <w:pPr>
      <w:numPr>
        <w:numId w:val="32"/>
      </w:numPr>
    </w:pPr>
  </w:style>
  <w:style w:type="character" w:styleId="CommentReference">
    <w:name w:val="annotation reference"/>
    <w:basedOn w:val="DefaultParagraphFont"/>
    <w:semiHidden/>
    <w:unhideWhenUsed/>
    <w:rsid w:val="00D46C5C"/>
    <w:rPr>
      <w:sz w:val="16"/>
      <w:szCs w:val="16"/>
    </w:rPr>
  </w:style>
  <w:style w:type="paragraph" w:styleId="CommentText">
    <w:name w:val="annotation text"/>
    <w:basedOn w:val="Normal"/>
    <w:link w:val="CommentTextChar"/>
    <w:semiHidden/>
    <w:unhideWhenUsed/>
    <w:rsid w:val="00D46C5C"/>
    <w:pPr>
      <w:spacing w:line="240" w:lineRule="auto"/>
    </w:pPr>
    <w:rPr>
      <w:sz w:val="20"/>
      <w:szCs w:val="20"/>
    </w:rPr>
  </w:style>
  <w:style w:type="character" w:customStyle="1" w:styleId="CommentTextChar">
    <w:name w:val="Comment Text Char"/>
    <w:basedOn w:val="DefaultParagraphFont"/>
    <w:link w:val="CommentText"/>
    <w:semiHidden/>
    <w:rsid w:val="00D46C5C"/>
    <w:rPr>
      <w:rFonts w:eastAsia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D46C5C"/>
    <w:rPr>
      <w:b/>
      <w:bCs/>
    </w:rPr>
  </w:style>
  <w:style w:type="character" w:customStyle="1" w:styleId="CommentSubjectChar">
    <w:name w:val="Comment Subject Char"/>
    <w:basedOn w:val="CommentTextChar"/>
    <w:link w:val="CommentSubject"/>
    <w:semiHidden/>
    <w:rsid w:val="00D46C5C"/>
    <w:rPr>
      <w:rFonts w:eastAsiaTheme="minorHAnsi" w:cstheme="minorBidi"/>
      <w:b/>
      <w:bCs/>
      <w:sz w:val="20"/>
      <w:szCs w:val="20"/>
      <w:lang w:eastAsia="en-US"/>
    </w:rPr>
  </w:style>
  <w:style w:type="paragraph" w:styleId="Date">
    <w:name w:val="Date"/>
    <w:basedOn w:val="Normal"/>
    <w:next w:val="Normal"/>
    <w:link w:val="DateChar"/>
    <w:rsid w:val="00706936"/>
    <w:pPr>
      <w:spacing w:before="440"/>
    </w:pPr>
  </w:style>
  <w:style w:type="character" w:customStyle="1" w:styleId="DateChar">
    <w:name w:val="Date Char"/>
    <w:basedOn w:val="DefaultParagraphFont"/>
    <w:link w:val="Date"/>
    <w:rsid w:val="00706936"/>
  </w:style>
  <w:style w:type="table" w:styleId="ColorfulGrid">
    <w:name w:val="Colorful Grid"/>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D7E6" w:themeFill="accent1" w:themeFillTint="33"/>
    </w:tcPr>
    <w:tblStylePr w:type="firstRow">
      <w:rPr>
        <w:b/>
        <w:bCs/>
      </w:rPr>
      <w:tblPr/>
      <w:tcPr>
        <w:shd w:val="clear" w:color="auto" w:fill="D6B0CE" w:themeFill="accent1" w:themeFillTint="66"/>
      </w:tcPr>
    </w:tblStylePr>
    <w:tblStylePr w:type="lastRow">
      <w:rPr>
        <w:b/>
        <w:bCs/>
        <w:color w:val="000000" w:themeColor="text1"/>
      </w:rPr>
      <w:tblPr/>
      <w:tcPr>
        <w:shd w:val="clear" w:color="auto" w:fill="D6B0CE" w:themeFill="accent1" w:themeFillTint="66"/>
      </w:tcPr>
    </w:tblStylePr>
    <w:tblStylePr w:type="firstCol">
      <w:rPr>
        <w:color w:val="FFFFFF" w:themeColor="background1"/>
      </w:rPr>
      <w:tblPr/>
      <w:tcPr>
        <w:shd w:val="clear" w:color="auto" w:fill="69365E" w:themeFill="accent1" w:themeFillShade="BF"/>
      </w:tcPr>
    </w:tblStylePr>
    <w:tblStylePr w:type="lastCol">
      <w:rPr>
        <w:color w:val="FFFFFF" w:themeColor="background1"/>
      </w:rPr>
      <w:tblPr/>
      <w:tcPr>
        <w:shd w:val="clear" w:color="auto" w:fill="69365E" w:themeFill="accent1" w:themeFillShade="BF"/>
      </w:tc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ColorfulGrid-Accent2">
    <w:name w:val="Colorful Grid Accent 2"/>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BD9" w:themeFill="accent2" w:themeFillTint="33"/>
    </w:tcPr>
    <w:tblStylePr w:type="firstRow">
      <w:rPr>
        <w:b/>
        <w:bCs/>
      </w:rPr>
      <w:tblPr/>
      <w:tcPr>
        <w:shd w:val="clear" w:color="auto" w:fill="E8B7B4" w:themeFill="accent2" w:themeFillTint="66"/>
      </w:tcPr>
    </w:tblStylePr>
    <w:tblStylePr w:type="lastRow">
      <w:rPr>
        <w:b/>
        <w:bCs/>
        <w:color w:val="000000" w:themeColor="text1"/>
      </w:rPr>
      <w:tblPr/>
      <w:tcPr>
        <w:shd w:val="clear" w:color="auto" w:fill="E8B7B4" w:themeFill="accent2" w:themeFillTint="66"/>
      </w:tcPr>
    </w:tblStylePr>
    <w:tblStylePr w:type="firstCol">
      <w:rPr>
        <w:color w:val="FFFFFF" w:themeColor="background1"/>
      </w:rPr>
      <w:tblPr/>
      <w:tcPr>
        <w:shd w:val="clear" w:color="auto" w:fill="98362F" w:themeFill="accent2" w:themeFillShade="BF"/>
      </w:tcPr>
    </w:tblStylePr>
    <w:tblStylePr w:type="lastCol">
      <w:rPr>
        <w:color w:val="FFFFFF" w:themeColor="background1"/>
      </w:rPr>
      <w:tblPr/>
      <w:tcPr>
        <w:shd w:val="clear" w:color="auto" w:fill="98362F" w:themeFill="accent2" w:themeFillShade="BF"/>
      </w:tc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ColorfulGrid-Accent3">
    <w:name w:val="Colorful Grid Accent 3"/>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6D8" w:themeFill="accent3" w:themeFillTint="33"/>
    </w:tcPr>
    <w:tblStylePr w:type="firstRow">
      <w:rPr>
        <w:b/>
        <w:bCs/>
      </w:rPr>
      <w:tblPr/>
      <w:tcPr>
        <w:shd w:val="clear" w:color="auto" w:fill="F9CEB1" w:themeFill="accent3" w:themeFillTint="66"/>
      </w:tcPr>
    </w:tblStylePr>
    <w:tblStylePr w:type="lastRow">
      <w:rPr>
        <w:b/>
        <w:bCs/>
        <w:color w:val="000000" w:themeColor="text1"/>
      </w:rPr>
      <w:tblPr/>
      <w:tcPr>
        <w:shd w:val="clear" w:color="auto" w:fill="F9CEB1" w:themeFill="accent3" w:themeFillTint="66"/>
      </w:tcPr>
    </w:tblStylePr>
    <w:tblStylePr w:type="firstCol">
      <w:rPr>
        <w:color w:val="FFFFFF" w:themeColor="background1"/>
      </w:rPr>
      <w:tblPr/>
      <w:tcPr>
        <w:shd w:val="clear" w:color="auto" w:fill="D25E0F" w:themeFill="accent3" w:themeFillShade="BF"/>
      </w:tcPr>
    </w:tblStylePr>
    <w:tblStylePr w:type="lastCol">
      <w:rPr>
        <w:color w:val="FFFFFF" w:themeColor="background1"/>
      </w:rPr>
      <w:tblPr/>
      <w:tcPr>
        <w:shd w:val="clear" w:color="auto" w:fill="D25E0F" w:themeFill="accent3" w:themeFillShade="BF"/>
      </w:tc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ColorfulGrid-Accent4">
    <w:name w:val="Colorful Grid Accent 4"/>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DA" w:themeFill="accent4" w:themeFillTint="33"/>
    </w:tcPr>
    <w:tblStylePr w:type="firstRow">
      <w:rPr>
        <w:b/>
        <w:bCs/>
      </w:rPr>
      <w:tblPr/>
      <w:tcPr>
        <w:shd w:val="clear" w:color="auto" w:fill="FDE7B5" w:themeFill="accent4" w:themeFillTint="66"/>
      </w:tcPr>
    </w:tblStylePr>
    <w:tblStylePr w:type="lastRow">
      <w:rPr>
        <w:b/>
        <w:bCs/>
        <w:color w:val="000000" w:themeColor="text1"/>
      </w:rPr>
      <w:tblPr/>
      <w:tcPr>
        <w:shd w:val="clear" w:color="auto" w:fill="FDE7B5" w:themeFill="accent4" w:themeFillTint="66"/>
      </w:tcPr>
    </w:tblStylePr>
    <w:tblStylePr w:type="firstCol">
      <w:rPr>
        <w:color w:val="FFFFFF" w:themeColor="background1"/>
      </w:rPr>
      <w:tblPr/>
      <w:tcPr>
        <w:shd w:val="clear" w:color="auto" w:fill="EEA704" w:themeFill="accent4" w:themeFillShade="BF"/>
      </w:tcPr>
    </w:tblStylePr>
    <w:tblStylePr w:type="lastCol">
      <w:rPr>
        <w:color w:val="FFFFFF" w:themeColor="background1"/>
      </w:rPr>
      <w:tblPr/>
      <w:tcPr>
        <w:shd w:val="clear" w:color="auto" w:fill="EEA704" w:themeFill="accent4" w:themeFillShade="BF"/>
      </w:tc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ColorfulGrid-Accent5">
    <w:name w:val="Colorful Grid Accent 5"/>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F2DD" w:themeFill="accent5" w:themeFillTint="33"/>
    </w:tcPr>
    <w:tblStylePr w:type="firstRow">
      <w:rPr>
        <w:b/>
        <w:bCs/>
      </w:rPr>
      <w:tblPr/>
      <w:tcPr>
        <w:shd w:val="clear" w:color="auto" w:fill="CEE5BB" w:themeFill="accent5" w:themeFillTint="66"/>
      </w:tcPr>
    </w:tblStylePr>
    <w:tblStylePr w:type="lastRow">
      <w:rPr>
        <w:b/>
        <w:bCs/>
        <w:color w:val="000000" w:themeColor="text1"/>
      </w:rPr>
      <w:tblPr/>
      <w:tcPr>
        <w:shd w:val="clear" w:color="auto" w:fill="CEE5BB" w:themeFill="accent5" w:themeFillTint="66"/>
      </w:tcPr>
    </w:tblStylePr>
    <w:tblStylePr w:type="firstCol">
      <w:rPr>
        <w:color w:val="FFFFFF" w:themeColor="background1"/>
      </w:rPr>
      <w:tblPr/>
      <w:tcPr>
        <w:shd w:val="clear" w:color="auto" w:fill="63953A" w:themeFill="accent5" w:themeFillShade="BF"/>
      </w:tcPr>
    </w:tblStylePr>
    <w:tblStylePr w:type="lastCol">
      <w:rPr>
        <w:color w:val="FFFFFF" w:themeColor="background1"/>
      </w:rPr>
      <w:tblPr/>
      <w:tcPr>
        <w:shd w:val="clear" w:color="auto" w:fill="63953A" w:themeFill="accent5" w:themeFillShade="BF"/>
      </w:tc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ColorfulGrid-Accent6">
    <w:name w:val="Colorful Grid Accent 6"/>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5E6" w:themeFill="accent6" w:themeFillTint="33"/>
    </w:tcPr>
    <w:tblStylePr w:type="firstRow">
      <w:rPr>
        <w:b/>
        <w:bCs/>
      </w:rPr>
      <w:tblPr/>
      <w:tcPr>
        <w:shd w:val="clear" w:color="auto" w:fill="C8CCCD" w:themeFill="accent6" w:themeFillTint="66"/>
      </w:tcPr>
    </w:tblStylePr>
    <w:tblStylePr w:type="lastRow">
      <w:rPr>
        <w:b/>
        <w:bCs/>
        <w:color w:val="000000" w:themeColor="text1"/>
      </w:rPr>
      <w:tblPr/>
      <w:tcPr>
        <w:shd w:val="clear" w:color="auto" w:fill="C8CCCD" w:themeFill="accent6" w:themeFillTint="66"/>
      </w:tcPr>
    </w:tblStylePr>
    <w:tblStylePr w:type="firstCol">
      <w:rPr>
        <w:color w:val="FFFFFF" w:themeColor="background1"/>
      </w:rPr>
      <w:tblPr/>
      <w:tcPr>
        <w:shd w:val="clear" w:color="auto" w:fill="5A6062" w:themeFill="accent6" w:themeFillShade="BF"/>
      </w:tcPr>
    </w:tblStylePr>
    <w:tblStylePr w:type="lastCol">
      <w:rPr>
        <w:color w:val="FFFFFF" w:themeColor="background1"/>
      </w:rPr>
      <w:tblPr/>
      <w:tcPr>
        <w:shd w:val="clear" w:color="auto" w:fill="5A6062" w:themeFill="accent6" w:themeFillShade="BF"/>
      </w:tc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ColorfulList">
    <w:name w:val="Colorful List"/>
    <w:basedOn w:val="TableNormal"/>
    <w:uiPriority w:val="72"/>
    <w:semiHidden/>
    <w:rsid w:val="00A34D6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34D67"/>
    <w:pPr>
      <w:spacing w:line="240" w:lineRule="auto"/>
    </w:pPr>
    <w:rPr>
      <w:color w:val="000000" w:themeColor="text1"/>
    </w:rPr>
    <w:tblPr>
      <w:tblStyleRowBandSize w:val="1"/>
      <w:tblStyleColBandSize w:val="1"/>
    </w:tblPr>
    <w:tcPr>
      <w:shd w:val="clear" w:color="auto" w:fill="F5EBF3" w:themeFill="accen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CEE1" w:themeFill="accent1" w:themeFillTint="3F"/>
      </w:tcPr>
    </w:tblStylePr>
    <w:tblStylePr w:type="band1Horz">
      <w:tblPr/>
      <w:tcPr>
        <w:shd w:val="clear" w:color="auto" w:fill="EAD7E6" w:themeFill="accent1" w:themeFillTint="33"/>
      </w:tcPr>
    </w:tblStylePr>
  </w:style>
  <w:style w:type="table" w:styleId="ColorfulList-Accent2">
    <w:name w:val="Colorful List Accent 2"/>
    <w:basedOn w:val="TableNormal"/>
    <w:uiPriority w:val="72"/>
    <w:semiHidden/>
    <w:rsid w:val="00A34D67"/>
    <w:pPr>
      <w:spacing w:line="240" w:lineRule="auto"/>
    </w:pPr>
    <w:rPr>
      <w:color w:val="000000" w:themeColor="text1"/>
    </w:rPr>
    <w:tblPr>
      <w:tblStyleRowBandSize w:val="1"/>
      <w:tblStyleColBandSize w:val="1"/>
    </w:tblPr>
    <w:tcPr>
      <w:shd w:val="clear" w:color="auto" w:fill="F9EDEC" w:themeFill="accent2"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2D0" w:themeFill="accent2" w:themeFillTint="3F"/>
      </w:tcPr>
    </w:tblStylePr>
    <w:tblStylePr w:type="band1Horz">
      <w:tblPr/>
      <w:tcPr>
        <w:shd w:val="clear" w:color="auto" w:fill="F3DBD9" w:themeFill="accent2" w:themeFillTint="33"/>
      </w:tcPr>
    </w:tblStylePr>
  </w:style>
  <w:style w:type="table" w:styleId="ColorfulList-Accent3">
    <w:name w:val="Colorful List Accent 3"/>
    <w:basedOn w:val="TableNormal"/>
    <w:uiPriority w:val="72"/>
    <w:semiHidden/>
    <w:rsid w:val="00A34D67"/>
    <w:pPr>
      <w:spacing w:line="240" w:lineRule="auto"/>
    </w:pPr>
    <w:rPr>
      <w:color w:val="000000" w:themeColor="text1"/>
    </w:rPr>
    <w:tblPr>
      <w:tblStyleRowBandSize w:val="1"/>
      <w:tblStyleColBandSize w:val="1"/>
    </w:tblPr>
    <w:tcPr>
      <w:shd w:val="clear" w:color="auto" w:fill="FDF3EB" w:themeFill="accent3" w:themeFillTint="19"/>
    </w:tcPr>
    <w:tblStylePr w:type="firstRow">
      <w:rPr>
        <w:b/>
        <w:bCs/>
        <w:color w:val="FFFFFF" w:themeColor="background1"/>
      </w:rPr>
      <w:tblPr/>
      <w:tcPr>
        <w:tcBorders>
          <w:bottom w:val="single" w:sz="12" w:space="0" w:color="FFFFFF" w:themeColor="background1"/>
        </w:tcBorders>
        <w:shd w:val="clear" w:color="auto" w:fill="FBB108" w:themeFill="accent4" w:themeFillShade="CC"/>
      </w:tcPr>
    </w:tblStylePr>
    <w:tblStylePr w:type="lastRow">
      <w:rPr>
        <w:b/>
        <w:bCs/>
        <w:color w:val="FBB1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E" w:themeFill="accent3" w:themeFillTint="3F"/>
      </w:tcPr>
    </w:tblStylePr>
    <w:tblStylePr w:type="band1Horz">
      <w:tblPr/>
      <w:tcPr>
        <w:shd w:val="clear" w:color="auto" w:fill="FCE6D8" w:themeFill="accent3" w:themeFillTint="33"/>
      </w:tcPr>
    </w:tblStylePr>
  </w:style>
  <w:style w:type="table" w:styleId="ColorfulList-Accent4">
    <w:name w:val="Colorful List Accent 4"/>
    <w:basedOn w:val="TableNormal"/>
    <w:uiPriority w:val="72"/>
    <w:semiHidden/>
    <w:rsid w:val="00A34D67"/>
    <w:pPr>
      <w:spacing w:line="240" w:lineRule="auto"/>
    </w:pPr>
    <w:rPr>
      <w:color w:val="000000" w:themeColor="text1"/>
    </w:rPr>
    <w:tblPr>
      <w:tblStyleRowBandSize w:val="1"/>
      <w:tblStyleColBandSize w:val="1"/>
    </w:tblPr>
    <w:tcPr>
      <w:shd w:val="clear" w:color="auto" w:fill="FEF9EC" w:themeFill="accent4" w:themeFillTint="19"/>
    </w:tcPr>
    <w:tblStylePr w:type="firstRow">
      <w:rPr>
        <w:b/>
        <w:bCs/>
        <w:color w:val="FFFFFF" w:themeColor="background1"/>
      </w:rPr>
      <w:tblPr/>
      <w:tcPr>
        <w:tcBorders>
          <w:bottom w:val="single" w:sz="12" w:space="0" w:color="FFFFFF" w:themeColor="background1"/>
        </w:tcBorders>
        <w:shd w:val="clear" w:color="auto" w:fill="E16510" w:themeFill="accent3" w:themeFillShade="CC"/>
      </w:tcPr>
    </w:tblStylePr>
    <w:tblStylePr w:type="lastRow">
      <w:rPr>
        <w:b/>
        <w:bCs/>
        <w:color w:val="E1651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D1" w:themeFill="accent4" w:themeFillTint="3F"/>
      </w:tcPr>
    </w:tblStylePr>
    <w:tblStylePr w:type="band1Horz">
      <w:tblPr/>
      <w:tcPr>
        <w:shd w:val="clear" w:color="auto" w:fill="FEF3DA" w:themeFill="accent4" w:themeFillTint="33"/>
      </w:tcPr>
    </w:tblStylePr>
  </w:style>
  <w:style w:type="table" w:styleId="ColorfulList-Accent5">
    <w:name w:val="Colorful List Accent 5"/>
    <w:basedOn w:val="TableNormal"/>
    <w:uiPriority w:val="72"/>
    <w:semiHidden/>
    <w:rsid w:val="00A34D67"/>
    <w:pPr>
      <w:spacing w:line="240" w:lineRule="auto"/>
    </w:pPr>
    <w:rPr>
      <w:color w:val="000000" w:themeColor="text1"/>
    </w:rPr>
    <w:tblPr>
      <w:tblStyleRowBandSize w:val="1"/>
      <w:tblStyleColBandSize w:val="1"/>
    </w:tblPr>
    <w:tcPr>
      <w:shd w:val="clear" w:color="auto" w:fill="F3F8EE" w:themeFill="accent5" w:themeFillTint="19"/>
    </w:tcPr>
    <w:tblStylePr w:type="firstRow">
      <w:rPr>
        <w:b/>
        <w:bCs/>
        <w:color w:val="FFFFFF" w:themeColor="background1"/>
      </w:rPr>
      <w:tblPr/>
      <w:tcPr>
        <w:tcBorders>
          <w:bottom w:val="single" w:sz="12" w:space="0" w:color="FFFFFF" w:themeColor="background1"/>
        </w:tcBorders>
        <w:shd w:val="clear" w:color="auto" w:fill="606768" w:themeFill="accent6" w:themeFillShade="CC"/>
      </w:tcPr>
    </w:tblStylePr>
    <w:tblStylePr w:type="lastRow">
      <w:rPr>
        <w:b/>
        <w:bCs/>
        <w:color w:val="6067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5" w:themeFill="accent5" w:themeFillTint="3F"/>
      </w:tcPr>
    </w:tblStylePr>
    <w:tblStylePr w:type="band1Horz">
      <w:tblPr/>
      <w:tcPr>
        <w:shd w:val="clear" w:color="auto" w:fill="E6F2DD" w:themeFill="accent5" w:themeFillTint="33"/>
      </w:tcPr>
    </w:tblStylePr>
  </w:style>
  <w:style w:type="table" w:styleId="ColorfulList-Accent6">
    <w:name w:val="Colorful List Accent 6"/>
    <w:basedOn w:val="TableNormal"/>
    <w:uiPriority w:val="72"/>
    <w:semiHidden/>
    <w:rsid w:val="00A34D67"/>
    <w:pPr>
      <w:spacing w:line="240" w:lineRule="auto"/>
    </w:pPr>
    <w:rPr>
      <w:color w:val="000000" w:themeColor="text1"/>
    </w:rPr>
    <w:tblPr>
      <w:tblStyleRowBandSize w:val="1"/>
      <w:tblStyleColBandSize w:val="1"/>
    </w:tblPr>
    <w:tcPr>
      <w:shd w:val="clear" w:color="auto" w:fill="F1F2F2" w:themeFill="accent6" w:themeFillTint="19"/>
    </w:tcPr>
    <w:tblStylePr w:type="firstRow">
      <w:rPr>
        <w:b/>
        <w:bCs/>
        <w:color w:val="FFFFFF" w:themeColor="background1"/>
      </w:rPr>
      <w:tblPr/>
      <w:tcPr>
        <w:tcBorders>
          <w:bottom w:val="single" w:sz="12" w:space="0" w:color="FFFFFF" w:themeColor="background1"/>
        </w:tcBorders>
        <w:shd w:val="clear" w:color="auto" w:fill="6A9F3D" w:themeFill="accent5" w:themeFillShade="CC"/>
      </w:tcPr>
    </w:tblStylePr>
    <w:tblStylePr w:type="lastRow">
      <w:rPr>
        <w:b/>
        <w:bCs/>
        <w:color w:val="6A9F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E0" w:themeFill="accent6" w:themeFillTint="3F"/>
      </w:tcPr>
    </w:tblStylePr>
    <w:tblStylePr w:type="band1Horz">
      <w:tblPr/>
      <w:tcPr>
        <w:shd w:val="clear" w:color="auto" w:fill="E3E5E6" w:themeFill="accent6" w:themeFillTint="33"/>
      </w:tcPr>
    </w:tblStylePr>
  </w:style>
  <w:style w:type="table" w:styleId="ColorfulShading">
    <w:name w:val="Colorful Shading"/>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8D487F" w:themeColor="accent1"/>
        <w:bottom w:val="single" w:sz="4" w:space="0" w:color="8D487F" w:themeColor="accent1"/>
        <w:right w:val="single" w:sz="4" w:space="0" w:color="8D487F" w:themeColor="accent1"/>
        <w:insideH w:val="single" w:sz="4" w:space="0" w:color="FFFFFF" w:themeColor="background1"/>
        <w:insideV w:val="single" w:sz="4" w:space="0" w:color="FFFFFF" w:themeColor="background1"/>
      </w:tblBorders>
    </w:tblPr>
    <w:tcPr>
      <w:shd w:val="clear" w:color="auto" w:fill="F5EBF3" w:themeFill="accen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B4B" w:themeFill="accent1" w:themeFillShade="99"/>
      </w:tcPr>
    </w:tblStylePr>
    <w:tblStylePr w:type="firstCol">
      <w:rPr>
        <w:color w:val="FFFFFF" w:themeColor="background1"/>
      </w:rPr>
      <w:tblPr/>
      <w:tcPr>
        <w:tcBorders>
          <w:top w:val="nil"/>
          <w:left w:val="nil"/>
          <w:bottom w:val="nil"/>
          <w:right w:val="nil"/>
          <w:insideH w:val="single" w:sz="4" w:space="0" w:color="542B4B" w:themeColor="accent1" w:themeShade="99"/>
          <w:insideV w:val="nil"/>
        </w:tcBorders>
        <w:shd w:val="clear" w:color="auto" w:fill="542B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2B4B" w:themeFill="accent1" w:themeFillShade="99"/>
      </w:tcPr>
    </w:tblStylePr>
    <w:tblStylePr w:type="band1Vert">
      <w:tblPr/>
      <w:tcPr>
        <w:shd w:val="clear" w:color="auto" w:fill="D6B0CE" w:themeFill="accent1" w:themeFillTint="66"/>
      </w:tcPr>
    </w:tblStylePr>
    <w:tblStylePr w:type="band1Horz">
      <w:tblPr/>
      <w:tcPr>
        <w:shd w:val="clear" w:color="auto" w:fill="CD9DC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C64E45" w:themeColor="accent2"/>
        <w:bottom w:val="single" w:sz="4" w:space="0" w:color="C64E45" w:themeColor="accent2"/>
        <w:right w:val="single" w:sz="4" w:space="0" w:color="C64E45" w:themeColor="accent2"/>
        <w:insideH w:val="single" w:sz="4" w:space="0" w:color="FFFFFF" w:themeColor="background1"/>
        <w:insideV w:val="single" w:sz="4" w:space="0" w:color="FFFFFF" w:themeColor="background1"/>
      </w:tblBorders>
    </w:tblPr>
    <w:tcPr>
      <w:shd w:val="clear" w:color="auto" w:fill="F9EDEC" w:themeFill="accent2"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2B25" w:themeFill="accent2" w:themeFillShade="99"/>
      </w:tcPr>
    </w:tblStylePr>
    <w:tblStylePr w:type="firstCol">
      <w:rPr>
        <w:color w:val="FFFFFF" w:themeColor="background1"/>
      </w:rPr>
      <w:tblPr/>
      <w:tcPr>
        <w:tcBorders>
          <w:top w:val="nil"/>
          <w:left w:val="nil"/>
          <w:bottom w:val="nil"/>
          <w:right w:val="nil"/>
          <w:insideH w:val="single" w:sz="4" w:space="0" w:color="7A2B25" w:themeColor="accent2" w:themeShade="99"/>
          <w:insideV w:val="nil"/>
        </w:tcBorders>
        <w:shd w:val="clear" w:color="auto" w:fill="7A2B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2B25" w:themeFill="accent2" w:themeFillShade="99"/>
      </w:tcPr>
    </w:tblStylePr>
    <w:tblStylePr w:type="band1Vert">
      <w:tblPr/>
      <w:tcPr>
        <w:shd w:val="clear" w:color="auto" w:fill="E8B7B4" w:themeFill="accent2" w:themeFillTint="66"/>
      </w:tcPr>
    </w:tblStylePr>
    <w:tblStylePr w:type="band1Horz">
      <w:tblPr/>
      <w:tcPr>
        <w:shd w:val="clear" w:color="auto" w:fill="E2A6A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34D67"/>
    <w:pPr>
      <w:spacing w:line="240" w:lineRule="auto"/>
    </w:pPr>
    <w:rPr>
      <w:color w:val="000000" w:themeColor="text1"/>
    </w:rPr>
    <w:tblPr>
      <w:tblStyleRowBandSize w:val="1"/>
      <w:tblStyleColBandSize w:val="1"/>
      <w:tblBorders>
        <w:top w:val="single" w:sz="24" w:space="0" w:color="FCC648" w:themeColor="accent4"/>
        <w:left w:val="single" w:sz="4" w:space="0" w:color="F1873D" w:themeColor="accent3"/>
        <w:bottom w:val="single" w:sz="4" w:space="0" w:color="F1873D" w:themeColor="accent3"/>
        <w:right w:val="single" w:sz="4" w:space="0" w:color="F1873D" w:themeColor="accent3"/>
        <w:insideH w:val="single" w:sz="4" w:space="0" w:color="FFFFFF" w:themeColor="background1"/>
        <w:insideV w:val="single" w:sz="4" w:space="0" w:color="FFFFFF" w:themeColor="background1"/>
      </w:tblBorders>
    </w:tblPr>
    <w:tcPr>
      <w:shd w:val="clear" w:color="auto" w:fill="FDF3EB" w:themeFill="accent3" w:themeFillTint="19"/>
    </w:tcPr>
    <w:tblStylePr w:type="firstRow">
      <w:rPr>
        <w:b/>
        <w:bCs/>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4C0C" w:themeFill="accent3" w:themeFillShade="99"/>
      </w:tcPr>
    </w:tblStylePr>
    <w:tblStylePr w:type="firstCol">
      <w:rPr>
        <w:color w:val="FFFFFF" w:themeColor="background1"/>
      </w:rPr>
      <w:tblPr/>
      <w:tcPr>
        <w:tcBorders>
          <w:top w:val="nil"/>
          <w:left w:val="nil"/>
          <w:bottom w:val="nil"/>
          <w:right w:val="nil"/>
          <w:insideH w:val="single" w:sz="4" w:space="0" w:color="A84C0C" w:themeColor="accent3" w:themeShade="99"/>
          <w:insideV w:val="nil"/>
        </w:tcBorders>
        <w:shd w:val="clear" w:color="auto" w:fill="A84C0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4C0C" w:themeFill="accent3" w:themeFillShade="99"/>
      </w:tcPr>
    </w:tblStylePr>
    <w:tblStylePr w:type="band1Vert">
      <w:tblPr/>
      <w:tcPr>
        <w:shd w:val="clear" w:color="auto" w:fill="F9CEB1" w:themeFill="accent3" w:themeFillTint="66"/>
      </w:tcPr>
    </w:tblStylePr>
    <w:tblStylePr w:type="band1Horz">
      <w:tblPr/>
      <w:tcPr>
        <w:shd w:val="clear" w:color="auto" w:fill="F8C29E" w:themeFill="accent3" w:themeFillTint="7F"/>
      </w:tcPr>
    </w:tblStylePr>
  </w:style>
  <w:style w:type="table" w:styleId="ColorfulShading-Accent4">
    <w:name w:val="Colorful Shading Accent 4"/>
    <w:basedOn w:val="TableNormal"/>
    <w:uiPriority w:val="71"/>
    <w:semiHidden/>
    <w:rsid w:val="00A34D67"/>
    <w:pPr>
      <w:spacing w:line="240" w:lineRule="auto"/>
    </w:pPr>
    <w:rPr>
      <w:color w:val="000000" w:themeColor="text1"/>
    </w:rPr>
    <w:tblPr>
      <w:tblStyleRowBandSize w:val="1"/>
      <w:tblStyleColBandSize w:val="1"/>
      <w:tblBorders>
        <w:top w:val="single" w:sz="24" w:space="0" w:color="F1873D" w:themeColor="accent3"/>
        <w:left w:val="single" w:sz="4" w:space="0" w:color="FCC648" w:themeColor="accent4"/>
        <w:bottom w:val="single" w:sz="4" w:space="0" w:color="FCC648" w:themeColor="accent4"/>
        <w:right w:val="single" w:sz="4" w:space="0" w:color="FCC648" w:themeColor="accent4"/>
        <w:insideH w:val="single" w:sz="4" w:space="0" w:color="FFFFFF" w:themeColor="background1"/>
        <w:insideV w:val="single" w:sz="4" w:space="0" w:color="FFFFFF" w:themeColor="background1"/>
      </w:tblBorders>
    </w:tblPr>
    <w:tcPr>
      <w:shd w:val="clear" w:color="auto" w:fill="FEF9EC" w:themeFill="accent4" w:themeFillTint="19"/>
    </w:tcPr>
    <w:tblStylePr w:type="firstRow">
      <w:rPr>
        <w:b/>
        <w:bCs/>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8603" w:themeFill="accent4" w:themeFillShade="99"/>
      </w:tcPr>
    </w:tblStylePr>
    <w:tblStylePr w:type="firstCol">
      <w:rPr>
        <w:color w:val="FFFFFF" w:themeColor="background1"/>
      </w:rPr>
      <w:tblPr/>
      <w:tcPr>
        <w:tcBorders>
          <w:top w:val="nil"/>
          <w:left w:val="nil"/>
          <w:bottom w:val="nil"/>
          <w:right w:val="nil"/>
          <w:insideH w:val="single" w:sz="4" w:space="0" w:color="BF8603" w:themeColor="accent4" w:themeShade="99"/>
          <w:insideV w:val="nil"/>
        </w:tcBorders>
        <w:shd w:val="clear" w:color="auto" w:fill="BF86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F8603" w:themeFill="accent4" w:themeFillShade="99"/>
      </w:tcPr>
    </w:tblStylePr>
    <w:tblStylePr w:type="band1Vert">
      <w:tblPr/>
      <w:tcPr>
        <w:shd w:val="clear" w:color="auto" w:fill="FDE7B5" w:themeFill="accent4" w:themeFillTint="66"/>
      </w:tcPr>
    </w:tblStylePr>
    <w:tblStylePr w:type="band1Horz">
      <w:tblPr/>
      <w:tcPr>
        <w:shd w:val="clear" w:color="auto" w:fill="FDE2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34D67"/>
    <w:pPr>
      <w:spacing w:line="240" w:lineRule="auto"/>
    </w:pPr>
    <w:rPr>
      <w:color w:val="000000" w:themeColor="text1"/>
    </w:rPr>
    <w:tblPr>
      <w:tblStyleRowBandSize w:val="1"/>
      <w:tblStyleColBandSize w:val="1"/>
      <w:tblBorders>
        <w:top w:val="single" w:sz="24" w:space="0" w:color="788183" w:themeColor="accent6"/>
        <w:left w:val="single" w:sz="4" w:space="0" w:color="86BE57" w:themeColor="accent5"/>
        <w:bottom w:val="single" w:sz="4" w:space="0" w:color="86BE57" w:themeColor="accent5"/>
        <w:right w:val="single" w:sz="4" w:space="0" w:color="86BE57" w:themeColor="accent5"/>
        <w:insideH w:val="single" w:sz="4" w:space="0" w:color="FFFFFF" w:themeColor="background1"/>
        <w:insideV w:val="single" w:sz="4" w:space="0" w:color="FFFFFF" w:themeColor="background1"/>
      </w:tblBorders>
    </w:tblPr>
    <w:tcPr>
      <w:shd w:val="clear" w:color="auto" w:fill="F3F8EE" w:themeFill="accent5" w:themeFillTint="19"/>
    </w:tcPr>
    <w:tblStylePr w:type="firstRow">
      <w:rPr>
        <w:b/>
        <w:bCs/>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E" w:themeFill="accent5" w:themeFillShade="99"/>
      </w:tcPr>
    </w:tblStylePr>
    <w:tblStylePr w:type="firstCol">
      <w:rPr>
        <w:color w:val="FFFFFF" w:themeColor="background1"/>
      </w:rPr>
      <w:tblPr/>
      <w:tcPr>
        <w:tcBorders>
          <w:top w:val="nil"/>
          <w:left w:val="nil"/>
          <w:bottom w:val="nil"/>
          <w:right w:val="nil"/>
          <w:insideH w:val="single" w:sz="4" w:space="0" w:color="4F772E" w:themeColor="accent5" w:themeShade="99"/>
          <w:insideV w:val="nil"/>
        </w:tcBorders>
        <w:shd w:val="clear" w:color="auto" w:fill="4F77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772E" w:themeFill="accent5" w:themeFillShade="99"/>
      </w:tcPr>
    </w:tblStylePr>
    <w:tblStylePr w:type="band1Vert">
      <w:tblPr/>
      <w:tcPr>
        <w:shd w:val="clear" w:color="auto" w:fill="CEE5BB" w:themeFill="accent5" w:themeFillTint="66"/>
      </w:tcPr>
    </w:tblStylePr>
    <w:tblStylePr w:type="band1Horz">
      <w:tblPr/>
      <w:tcPr>
        <w:shd w:val="clear" w:color="auto" w:fill="C2DE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34D67"/>
    <w:pPr>
      <w:spacing w:line="240" w:lineRule="auto"/>
    </w:pPr>
    <w:rPr>
      <w:color w:val="000000" w:themeColor="text1"/>
    </w:rPr>
    <w:tblPr>
      <w:tblStyleRowBandSize w:val="1"/>
      <w:tblStyleColBandSize w:val="1"/>
      <w:tblBorders>
        <w:top w:val="single" w:sz="24" w:space="0" w:color="86BE57" w:themeColor="accent5"/>
        <w:left w:val="single" w:sz="4" w:space="0" w:color="788183" w:themeColor="accent6"/>
        <w:bottom w:val="single" w:sz="4" w:space="0" w:color="788183" w:themeColor="accent6"/>
        <w:right w:val="single" w:sz="4" w:space="0" w:color="788183" w:themeColor="accent6"/>
        <w:insideH w:val="single" w:sz="4" w:space="0" w:color="FFFFFF" w:themeColor="background1"/>
        <w:insideV w:val="single" w:sz="4" w:space="0" w:color="FFFFFF" w:themeColor="background1"/>
      </w:tblBorders>
    </w:tblPr>
    <w:tcPr>
      <w:shd w:val="clear" w:color="auto" w:fill="F1F2F2" w:themeFill="accent6" w:themeFillTint="19"/>
    </w:tcPr>
    <w:tblStylePr w:type="firstRow">
      <w:rPr>
        <w:b/>
        <w:bCs/>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D4E" w:themeFill="accent6" w:themeFillShade="99"/>
      </w:tcPr>
    </w:tblStylePr>
    <w:tblStylePr w:type="firstCol">
      <w:rPr>
        <w:color w:val="FFFFFF" w:themeColor="background1"/>
      </w:rPr>
      <w:tblPr/>
      <w:tcPr>
        <w:tcBorders>
          <w:top w:val="nil"/>
          <w:left w:val="nil"/>
          <w:bottom w:val="nil"/>
          <w:right w:val="nil"/>
          <w:insideH w:val="single" w:sz="4" w:space="0" w:color="484D4E" w:themeColor="accent6" w:themeShade="99"/>
          <w:insideV w:val="nil"/>
        </w:tcBorders>
        <w:shd w:val="clear" w:color="auto" w:fill="48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D4E" w:themeFill="accent6" w:themeFillShade="99"/>
      </w:tcPr>
    </w:tblStylePr>
    <w:tblStylePr w:type="band1Vert">
      <w:tblPr/>
      <w:tcPr>
        <w:shd w:val="clear" w:color="auto" w:fill="C8CCCD" w:themeFill="accent6" w:themeFillTint="66"/>
      </w:tcPr>
    </w:tblStylePr>
    <w:tblStylePr w:type="band1Horz">
      <w:tblPr/>
      <w:tcPr>
        <w:shd w:val="clear" w:color="auto" w:fill="BBC0C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34D6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34D67"/>
    <w:pPr>
      <w:spacing w:line="240" w:lineRule="auto"/>
    </w:pPr>
    <w:rPr>
      <w:color w:val="FFFFFF" w:themeColor="background1"/>
    </w:rPr>
    <w:tblPr>
      <w:tblStyleRowBandSize w:val="1"/>
      <w:tblStyleColBandSize w:val="1"/>
    </w:tblPr>
    <w:tcPr>
      <w:shd w:val="clear" w:color="auto" w:fill="8D48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24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36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365E" w:themeFill="accent1" w:themeFillShade="BF"/>
      </w:tcPr>
    </w:tblStylePr>
    <w:tblStylePr w:type="band1Vert">
      <w:tblPr/>
      <w:tcPr>
        <w:tcBorders>
          <w:top w:val="nil"/>
          <w:left w:val="nil"/>
          <w:bottom w:val="nil"/>
          <w:right w:val="nil"/>
          <w:insideH w:val="nil"/>
          <w:insideV w:val="nil"/>
        </w:tcBorders>
        <w:shd w:val="clear" w:color="auto" w:fill="69365E" w:themeFill="accent1" w:themeFillShade="BF"/>
      </w:tcPr>
    </w:tblStylePr>
    <w:tblStylePr w:type="band1Horz">
      <w:tblPr/>
      <w:tcPr>
        <w:tcBorders>
          <w:top w:val="nil"/>
          <w:left w:val="nil"/>
          <w:bottom w:val="nil"/>
          <w:right w:val="nil"/>
          <w:insideH w:val="nil"/>
          <w:insideV w:val="nil"/>
        </w:tcBorders>
        <w:shd w:val="clear" w:color="auto" w:fill="69365E" w:themeFill="accent1" w:themeFillShade="BF"/>
      </w:tcPr>
    </w:tblStylePr>
  </w:style>
  <w:style w:type="table" w:styleId="DarkList-Accent2">
    <w:name w:val="Dark List Accent 2"/>
    <w:basedOn w:val="TableNormal"/>
    <w:uiPriority w:val="70"/>
    <w:semiHidden/>
    <w:rsid w:val="00A34D67"/>
    <w:pPr>
      <w:spacing w:line="240" w:lineRule="auto"/>
    </w:pPr>
    <w:rPr>
      <w:color w:val="FFFFFF" w:themeColor="background1"/>
    </w:rPr>
    <w:tblPr>
      <w:tblStyleRowBandSize w:val="1"/>
      <w:tblStyleColBandSize w:val="1"/>
    </w:tblPr>
    <w:tcPr>
      <w:shd w:val="clear" w:color="auto" w:fill="C64E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23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36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362F" w:themeFill="accent2" w:themeFillShade="BF"/>
      </w:tcPr>
    </w:tblStylePr>
    <w:tblStylePr w:type="band1Vert">
      <w:tblPr/>
      <w:tcPr>
        <w:tcBorders>
          <w:top w:val="nil"/>
          <w:left w:val="nil"/>
          <w:bottom w:val="nil"/>
          <w:right w:val="nil"/>
          <w:insideH w:val="nil"/>
          <w:insideV w:val="nil"/>
        </w:tcBorders>
        <w:shd w:val="clear" w:color="auto" w:fill="98362F" w:themeFill="accent2" w:themeFillShade="BF"/>
      </w:tcPr>
    </w:tblStylePr>
    <w:tblStylePr w:type="band1Horz">
      <w:tblPr/>
      <w:tcPr>
        <w:tcBorders>
          <w:top w:val="nil"/>
          <w:left w:val="nil"/>
          <w:bottom w:val="nil"/>
          <w:right w:val="nil"/>
          <w:insideH w:val="nil"/>
          <w:insideV w:val="nil"/>
        </w:tcBorders>
        <w:shd w:val="clear" w:color="auto" w:fill="98362F" w:themeFill="accent2" w:themeFillShade="BF"/>
      </w:tcPr>
    </w:tblStylePr>
  </w:style>
  <w:style w:type="table" w:styleId="DarkList-Accent3">
    <w:name w:val="Dark List Accent 3"/>
    <w:basedOn w:val="TableNormal"/>
    <w:uiPriority w:val="70"/>
    <w:semiHidden/>
    <w:rsid w:val="00A34D67"/>
    <w:pPr>
      <w:spacing w:line="240" w:lineRule="auto"/>
    </w:pPr>
    <w:rPr>
      <w:color w:val="FFFFFF" w:themeColor="background1"/>
    </w:rPr>
    <w:tblPr>
      <w:tblStyleRowBandSize w:val="1"/>
      <w:tblStyleColBandSize w:val="1"/>
    </w:tblPr>
    <w:tcPr>
      <w:shd w:val="clear" w:color="auto" w:fill="F187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3F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5E0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5E0F" w:themeFill="accent3" w:themeFillShade="BF"/>
      </w:tcPr>
    </w:tblStylePr>
    <w:tblStylePr w:type="band1Vert">
      <w:tblPr/>
      <w:tcPr>
        <w:tcBorders>
          <w:top w:val="nil"/>
          <w:left w:val="nil"/>
          <w:bottom w:val="nil"/>
          <w:right w:val="nil"/>
          <w:insideH w:val="nil"/>
          <w:insideV w:val="nil"/>
        </w:tcBorders>
        <w:shd w:val="clear" w:color="auto" w:fill="D25E0F" w:themeFill="accent3" w:themeFillShade="BF"/>
      </w:tcPr>
    </w:tblStylePr>
    <w:tblStylePr w:type="band1Horz">
      <w:tblPr/>
      <w:tcPr>
        <w:tcBorders>
          <w:top w:val="nil"/>
          <w:left w:val="nil"/>
          <w:bottom w:val="nil"/>
          <w:right w:val="nil"/>
          <w:insideH w:val="nil"/>
          <w:insideV w:val="nil"/>
        </w:tcBorders>
        <w:shd w:val="clear" w:color="auto" w:fill="D25E0F" w:themeFill="accent3" w:themeFillShade="BF"/>
      </w:tcPr>
    </w:tblStylePr>
  </w:style>
  <w:style w:type="table" w:styleId="DarkList-Accent4">
    <w:name w:val="Dark List Accent 4"/>
    <w:basedOn w:val="TableNormal"/>
    <w:uiPriority w:val="70"/>
    <w:semiHidden/>
    <w:rsid w:val="00A34D67"/>
    <w:pPr>
      <w:spacing w:line="240" w:lineRule="auto"/>
    </w:pPr>
    <w:rPr>
      <w:color w:val="FFFFFF" w:themeColor="background1"/>
    </w:rPr>
    <w:tblPr>
      <w:tblStyleRowBandSize w:val="1"/>
      <w:tblStyleColBandSize w:val="1"/>
    </w:tblPr>
    <w:tcPr>
      <w:shd w:val="clear" w:color="auto" w:fill="FCC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6F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EA70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EA704" w:themeFill="accent4" w:themeFillShade="BF"/>
      </w:tcPr>
    </w:tblStylePr>
    <w:tblStylePr w:type="band1Vert">
      <w:tblPr/>
      <w:tcPr>
        <w:tcBorders>
          <w:top w:val="nil"/>
          <w:left w:val="nil"/>
          <w:bottom w:val="nil"/>
          <w:right w:val="nil"/>
          <w:insideH w:val="nil"/>
          <w:insideV w:val="nil"/>
        </w:tcBorders>
        <w:shd w:val="clear" w:color="auto" w:fill="EEA704" w:themeFill="accent4" w:themeFillShade="BF"/>
      </w:tcPr>
    </w:tblStylePr>
    <w:tblStylePr w:type="band1Horz">
      <w:tblPr/>
      <w:tcPr>
        <w:tcBorders>
          <w:top w:val="nil"/>
          <w:left w:val="nil"/>
          <w:bottom w:val="nil"/>
          <w:right w:val="nil"/>
          <w:insideH w:val="nil"/>
          <w:insideV w:val="nil"/>
        </w:tcBorders>
        <w:shd w:val="clear" w:color="auto" w:fill="EEA704" w:themeFill="accent4" w:themeFillShade="BF"/>
      </w:tcPr>
    </w:tblStylePr>
  </w:style>
  <w:style w:type="table" w:styleId="DarkList-Accent5">
    <w:name w:val="Dark List Accent 5"/>
    <w:basedOn w:val="TableNormal"/>
    <w:uiPriority w:val="70"/>
    <w:semiHidden/>
    <w:rsid w:val="00A34D67"/>
    <w:pPr>
      <w:spacing w:line="240" w:lineRule="auto"/>
    </w:pPr>
    <w:rPr>
      <w:color w:val="FFFFFF" w:themeColor="background1"/>
    </w:rPr>
    <w:tblPr>
      <w:tblStyleRowBandSize w:val="1"/>
      <w:tblStyleColBandSize w:val="1"/>
    </w:tblPr>
    <w:tcPr>
      <w:shd w:val="clear" w:color="auto" w:fill="86BE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3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953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953A" w:themeFill="accent5" w:themeFillShade="BF"/>
      </w:tcPr>
    </w:tblStylePr>
    <w:tblStylePr w:type="band1Vert">
      <w:tblPr/>
      <w:tcPr>
        <w:tcBorders>
          <w:top w:val="nil"/>
          <w:left w:val="nil"/>
          <w:bottom w:val="nil"/>
          <w:right w:val="nil"/>
          <w:insideH w:val="nil"/>
          <w:insideV w:val="nil"/>
        </w:tcBorders>
        <w:shd w:val="clear" w:color="auto" w:fill="63953A" w:themeFill="accent5" w:themeFillShade="BF"/>
      </w:tcPr>
    </w:tblStylePr>
    <w:tblStylePr w:type="band1Horz">
      <w:tblPr/>
      <w:tcPr>
        <w:tcBorders>
          <w:top w:val="nil"/>
          <w:left w:val="nil"/>
          <w:bottom w:val="nil"/>
          <w:right w:val="nil"/>
          <w:insideH w:val="nil"/>
          <w:insideV w:val="nil"/>
        </w:tcBorders>
        <w:shd w:val="clear" w:color="auto" w:fill="63953A" w:themeFill="accent5" w:themeFillShade="BF"/>
      </w:tcPr>
    </w:tblStylePr>
  </w:style>
  <w:style w:type="table" w:styleId="DarkList-Accent6">
    <w:name w:val="Dark List Accent 6"/>
    <w:basedOn w:val="TableNormal"/>
    <w:uiPriority w:val="70"/>
    <w:semiHidden/>
    <w:rsid w:val="00A34D67"/>
    <w:pPr>
      <w:spacing w:line="240" w:lineRule="auto"/>
    </w:pPr>
    <w:rPr>
      <w:color w:val="FFFFFF" w:themeColor="background1"/>
    </w:rPr>
    <w:tblPr>
      <w:tblStyleRowBandSize w:val="1"/>
      <w:tblStyleColBandSize w:val="1"/>
    </w:tblPr>
    <w:tcPr>
      <w:shd w:val="clear" w:color="auto" w:fill="78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60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6062" w:themeFill="accent6" w:themeFillShade="BF"/>
      </w:tcPr>
    </w:tblStylePr>
    <w:tblStylePr w:type="band1Vert">
      <w:tblPr/>
      <w:tcPr>
        <w:tcBorders>
          <w:top w:val="nil"/>
          <w:left w:val="nil"/>
          <w:bottom w:val="nil"/>
          <w:right w:val="nil"/>
          <w:insideH w:val="nil"/>
          <w:insideV w:val="nil"/>
        </w:tcBorders>
        <w:shd w:val="clear" w:color="auto" w:fill="5A6062" w:themeFill="accent6" w:themeFillShade="BF"/>
      </w:tcPr>
    </w:tblStylePr>
    <w:tblStylePr w:type="band1Horz">
      <w:tblPr/>
      <w:tcPr>
        <w:tcBorders>
          <w:top w:val="nil"/>
          <w:left w:val="nil"/>
          <w:bottom w:val="nil"/>
          <w:right w:val="nil"/>
          <w:insideH w:val="nil"/>
          <w:insideV w:val="nil"/>
        </w:tcBorders>
        <w:shd w:val="clear" w:color="auto" w:fill="5A6062" w:themeFill="accent6" w:themeFillShade="BF"/>
      </w:tcPr>
    </w:tblStylePr>
  </w:style>
  <w:style w:type="table" w:customStyle="1" w:styleId="GridTable1Light1">
    <w:name w:val="Grid Table 1 Light1"/>
    <w:basedOn w:val="TableNormal"/>
    <w:uiPriority w:val="46"/>
    <w:semiHidden/>
    <w:rsid w:val="00A34D6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A34D67"/>
    <w:pPr>
      <w:spacing w:line="240" w:lineRule="auto"/>
    </w:pPr>
    <w:tblPr>
      <w:tblStyleRowBandSize w:val="1"/>
      <w:tblStyleColBandSize w:val="1"/>
      <w:tblBorders>
        <w:top w:val="single" w:sz="4" w:space="0" w:color="D6B0CE" w:themeColor="accent1" w:themeTint="66"/>
        <w:left w:val="single" w:sz="4" w:space="0" w:color="D6B0CE" w:themeColor="accent1" w:themeTint="66"/>
        <w:bottom w:val="single" w:sz="4" w:space="0" w:color="D6B0CE" w:themeColor="accent1" w:themeTint="66"/>
        <w:right w:val="single" w:sz="4" w:space="0" w:color="D6B0CE" w:themeColor="accent1" w:themeTint="66"/>
        <w:insideH w:val="single" w:sz="4" w:space="0" w:color="D6B0CE" w:themeColor="accent1" w:themeTint="66"/>
        <w:insideV w:val="single" w:sz="4" w:space="0" w:color="D6B0CE" w:themeColor="accent1" w:themeTint="66"/>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2" w:space="0" w:color="C288B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A34D67"/>
    <w:pPr>
      <w:spacing w:line="240" w:lineRule="auto"/>
    </w:pPr>
    <w:tblPr>
      <w:tblStyleRowBandSize w:val="1"/>
      <w:tblStyleColBandSize w:val="1"/>
      <w:tblBorders>
        <w:top w:val="single" w:sz="4" w:space="0" w:color="E8B7B4" w:themeColor="accent2" w:themeTint="66"/>
        <w:left w:val="single" w:sz="4" w:space="0" w:color="E8B7B4" w:themeColor="accent2" w:themeTint="66"/>
        <w:bottom w:val="single" w:sz="4" w:space="0" w:color="E8B7B4" w:themeColor="accent2" w:themeTint="66"/>
        <w:right w:val="single" w:sz="4" w:space="0" w:color="E8B7B4" w:themeColor="accent2" w:themeTint="66"/>
        <w:insideH w:val="single" w:sz="4" w:space="0" w:color="E8B7B4" w:themeColor="accent2" w:themeTint="66"/>
        <w:insideV w:val="single" w:sz="4" w:space="0" w:color="E8B7B4" w:themeColor="accent2" w:themeTint="66"/>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2" w:space="0" w:color="DC948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A34D67"/>
    <w:pPr>
      <w:spacing w:line="240" w:lineRule="auto"/>
    </w:pPr>
    <w:tblPr>
      <w:tblStyleRowBandSize w:val="1"/>
      <w:tblStyleColBandSize w:val="1"/>
      <w:tblBorders>
        <w:top w:val="single" w:sz="4" w:space="0" w:color="F9CEB1" w:themeColor="accent3" w:themeTint="66"/>
        <w:left w:val="single" w:sz="4" w:space="0" w:color="F9CEB1" w:themeColor="accent3" w:themeTint="66"/>
        <w:bottom w:val="single" w:sz="4" w:space="0" w:color="F9CEB1" w:themeColor="accent3" w:themeTint="66"/>
        <w:right w:val="single" w:sz="4" w:space="0" w:color="F9CEB1" w:themeColor="accent3" w:themeTint="66"/>
        <w:insideH w:val="single" w:sz="4" w:space="0" w:color="F9CEB1" w:themeColor="accent3" w:themeTint="66"/>
        <w:insideV w:val="single" w:sz="4" w:space="0" w:color="F9CEB1" w:themeColor="accent3" w:themeTint="66"/>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2" w:space="0" w:color="F6B68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A34D67"/>
    <w:pPr>
      <w:spacing w:line="240" w:lineRule="auto"/>
    </w:pPr>
    <w:tblPr>
      <w:tblStyleRowBandSize w:val="1"/>
      <w:tblStyleColBandSize w:val="1"/>
      <w:tblBorders>
        <w:top w:val="single" w:sz="4" w:space="0" w:color="FDE7B5" w:themeColor="accent4" w:themeTint="66"/>
        <w:left w:val="single" w:sz="4" w:space="0" w:color="FDE7B5" w:themeColor="accent4" w:themeTint="66"/>
        <w:bottom w:val="single" w:sz="4" w:space="0" w:color="FDE7B5" w:themeColor="accent4" w:themeTint="66"/>
        <w:right w:val="single" w:sz="4" w:space="0" w:color="FDE7B5" w:themeColor="accent4" w:themeTint="66"/>
        <w:insideH w:val="single" w:sz="4" w:space="0" w:color="FDE7B5" w:themeColor="accent4" w:themeTint="66"/>
        <w:insideV w:val="single" w:sz="4" w:space="0" w:color="FDE7B5" w:themeColor="accent4" w:themeTint="66"/>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2" w:space="0" w:color="FDDC9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A34D67"/>
    <w:pPr>
      <w:spacing w:line="240" w:lineRule="auto"/>
    </w:pPr>
    <w:tblPr>
      <w:tblStyleRowBandSize w:val="1"/>
      <w:tblStyleColBandSize w:val="1"/>
      <w:tblBorders>
        <w:top w:val="single" w:sz="4" w:space="0" w:color="CEE5BB" w:themeColor="accent5" w:themeTint="66"/>
        <w:left w:val="single" w:sz="4" w:space="0" w:color="CEE5BB" w:themeColor="accent5" w:themeTint="66"/>
        <w:bottom w:val="single" w:sz="4" w:space="0" w:color="CEE5BB" w:themeColor="accent5" w:themeTint="66"/>
        <w:right w:val="single" w:sz="4" w:space="0" w:color="CEE5BB" w:themeColor="accent5" w:themeTint="66"/>
        <w:insideH w:val="single" w:sz="4" w:space="0" w:color="CEE5BB" w:themeColor="accent5" w:themeTint="66"/>
        <w:insideV w:val="single" w:sz="4" w:space="0" w:color="CEE5BB" w:themeColor="accent5" w:themeTint="66"/>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2" w:space="0" w:color="B6D89A"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A34D67"/>
    <w:pPr>
      <w:spacing w:line="240" w:lineRule="auto"/>
    </w:pPr>
    <w:tblPr>
      <w:tblStyleRowBandSize w:val="1"/>
      <w:tblStyleColBandSize w:val="1"/>
      <w:tblBorders>
        <w:top w:val="single" w:sz="4" w:space="0" w:color="C8CCCD" w:themeColor="accent6" w:themeTint="66"/>
        <w:left w:val="single" w:sz="4" w:space="0" w:color="C8CCCD" w:themeColor="accent6" w:themeTint="66"/>
        <w:bottom w:val="single" w:sz="4" w:space="0" w:color="C8CCCD" w:themeColor="accent6" w:themeTint="66"/>
        <w:right w:val="single" w:sz="4" w:space="0" w:color="C8CCCD" w:themeColor="accent6" w:themeTint="66"/>
        <w:insideH w:val="single" w:sz="4" w:space="0" w:color="C8CCCD" w:themeColor="accent6" w:themeTint="66"/>
        <w:insideV w:val="single" w:sz="4" w:space="0" w:color="C8CCCD" w:themeColor="accent6" w:themeTint="66"/>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2" w:space="0" w:color="ADB3B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A34D6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A34D67"/>
    <w:pPr>
      <w:spacing w:line="240" w:lineRule="auto"/>
    </w:pPr>
    <w:tblPr>
      <w:tblStyleRowBandSize w:val="1"/>
      <w:tblStyleColBandSize w:val="1"/>
      <w:tblBorders>
        <w:top w:val="single" w:sz="2" w:space="0" w:color="C288B7" w:themeColor="accent1" w:themeTint="99"/>
        <w:bottom w:val="single" w:sz="2" w:space="0" w:color="C288B7" w:themeColor="accent1" w:themeTint="99"/>
        <w:insideH w:val="single" w:sz="2" w:space="0" w:color="C288B7" w:themeColor="accent1" w:themeTint="99"/>
        <w:insideV w:val="single" w:sz="2" w:space="0" w:color="C288B7" w:themeColor="accent1" w:themeTint="99"/>
      </w:tblBorders>
    </w:tblPr>
    <w:tblStylePr w:type="firstRow">
      <w:rPr>
        <w:b/>
        <w:bCs/>
      </w:rPr>
      <w:tblPr/>
      <w:tcPr>
        <w:tcBorders>
          <w:top w:val="nil"/>
          <w:bottom w:val="single" w:sz="12" w:space="0" w:color="C288B7" w:themeColor="accent1" w:themeTint="99"/>
          <w:insideH w:val="nil"/>
          <w:insideV w:val="nil"/>
        </w:tcBorders>
        <w:shd w:val="clear" w:color="auto" w:fill="FFFFFF" w:themeFill="background1"/>
      </w:tcPr>
    </w:tblStylePr>
    <w:tblStylePr w:type="lastRow">
      <w:rPr>
        <w:b/>
        <w:bCs/>
      </w:rPr>
      <w:tblPr/>
      <w:tcPr>
        <w:tcBorders>
          <w:top w:val="double" w:sz="2" w:space="0" w:color="C288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2-Accent21">
    <w:name w:val="Grid Table 2 - Accent 21"/>
    <w:basedOn w:val="TableNormal"/>
    <w:uiPriority w:val="47"/>
    <w:semiHidden/>
    <w:rsid w:val="00A34D67"/>
    <w:pPr>
      <w:spacing w:line="240" w:lineRule="auto"/>
    </w:pPr>
    <w:tblPr>
      <w:tblStyleRowBandSize w:val="1"/>
      <w:tblStyleColBandSize w:val="1"/>
      <w:tblBorders>
        <w:top w:val="single" w:sz="2" w:space="0" w:color="DC948F" w:themeColor="accent2" w:themeTint="99"/>
        <w:bottom w:val="single" w:sz="2" w:space="0" w:color="DC948F" w:themeColor="accent2" w:themeTint="99"/>
        <w:insideH w:val="single" w:sz="2" w:space="0" w:color="DC948F" w:themeColor="accent2" w:themeTint="99"/>
        <w:insideV w:val="single" w:sz="2" w:space="0" w:color="DC948F" w:themeColor="accent2" w:themeTint="99"/>
      </w:tblBorders>
    </w:tblPr>
    <w:tblStylePr w:type="firstRow">
      <w:rPr>
        <w:b/>
        <w:bCs/>
      </w:rPr>
      <w:tblPr/>
      <w:tcPr>
        <w:tcBorders>
          <w:top w:val="nil"/>
          <w:bottom w:val="single" w:sz="12" w:space="0" w:color="DC948F" w:themeColor="accent2" w:themeTint="99"/>
          <w:insideH w:val="nil"/>
          <w:insideV w:val="nil"/>
        </w:tcBorders>
        <w:shd w:val="clear" w:color="auto" w:fill="FFFFFF" w:themeFill="background1"/>
      </w:tcPr>
    </w:tblStylePr>
    <w:tblStylePr w:type="lastRow">
      <w:rPr>
        <w:b/>
        <w:bCs/>
      </w:rPr>
      <w:tblPr/>
      <w:tcPr>
        <w:tcBorders>
          <w:top w:val="double" w:sz="2" w:space="0" w:color="DC948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2-Accent31">
    <w:name w:val="Grid Table 2 - Accent 31"/>
    <w:basedOn w:val="TableNormal"/>
    <w:uiPriority w:val="47"/>
    <w:semiHidden/>
    <w:rsid w:val="00A34D67"/>
    <w:pPr>
      <w:spacing w:line="240" w:lineRule="auto"/>
    </w:pPr>
    <w:tblPr>
      <w:tblStyleRowBandSize w:val="1"/>
      <w:tblStyleColBandSize w:val="1"/>
      <w:tblBorders>
        <w:top w:val="single" w:sz="2" w:space="0" w:color="F6B68A" w:themeColor="accent3" w:themeTint="99"/>
        <w:bottom w:val="single" w:sz="2" w:space="0" w:color="F6B68A" w:themeColor="accent3" w:themeTint="99"/>
        <w:insideH w:val="single" w:sz="2" w:space="0" w:color="F6B68A" w:themeColor="accent3" w:themeTint="99"/>
        <w:insideV w:val="single" w:sz="2" w:space="0" w:color="F6B68A" w:themeColor="accent3" w:themeTint="99"/>
      </w:tblBorders>
    </w:tblPr>
    <w:tblStylePr w:type="firstRow">
      <w:rPr>
        <w:b/>
        <w:bCs/>
      </w:rPr>
      <w:tblPr/>
      <w:tcPr>
        <w:tcBorders>
          <w:top w:val="nil"/>
          <w:bottom w:val="single" w:sz="12" w:space="0" w:color="F6B68A" w:themeColor="accent3" w:themeTint="99"/>
          <w:insideH w:val="nil"/>
          <w:insideV w:val="nil"/>
        </w:tcBorders>
        <w:shd w:val="clear" w:color="auto" w:fill="FFFFFF" w:themeFill="background1"/>
      </w:tcPr>
    </w:tblStylePr>
    <w:tblStylePr w:type="lastRow">
      <w:rPr>
        <w:b/>
        <w:bCs/>
      </w:rPr>
      <w:tblPr/>
      <w:tcPr>
        <w:tcBorders>
          <w:top w:val="double" w:sz="2" w:space="0" w:color="F6B68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2-Accent41">
    <w:name w:val="Grid Table 2 - Accent 41"/>
    <w:basedOn w:val="TableNormal"/>
    <w:uiPriority w:val="47"/>
    <w:semiHidden/>
    <w:rsid w:val="00A34D67"/>
    <w:pPr>
      <w:spacing w:line="240" w:lineRule="auto"/>
    </w:pPr>
    <w:tblPr>
      <w:tblStyleRowBandSize w:val="1"/>
      <w:tblStyleColBandSize w:val="1"/>
      <w:tblBorders>
        <w:top w:val="single" w:sz="2" w:space="0" w:color="FDDC91" w:themeColor="accent4" w:themeTint="99"/>
        <w:bottom w:val="single" w:sz="2" w:space="0" w:color="FDDC91" w:themeColor="accent4" w:themeTint="99"/>
        <w:insideH w:val="single" w:sz="2" w:space="0" w:color="FDDC91" w:themeColor="accent4" w:themeTint="99"/>
        <w:insideV w:val="single" w:sz="2" w:space="0" w:color="FDDC91" w:themeColor="accent4" w:themeTint="99"/>
      </w:tblBorders>
    </w:tblPr>
    <w:tblStylePr w:type="firstRow">
      <w:rPr>
        <w:b/>
        <w:bCs/>
      </w:rPr>
      <w:tblPr/>
      <w:tcPr>
        <w:tcBorders>
          <w:top w:val="nil"/>
          <w:bottom w:val="single" w:sz="12" w:space="0" w:color="FDDC91" w:themeColor="accent4" w:themeTint="99"/>
          <w:insideH w:val="nil"/>
          <w:insideV w:val="nil"/>
        </w:tcBorders>
        <w:shd w:val="clear" w:color="auto" w:fill="FFFFFF" w:themeFill="background1"/>
      </w:tcPr>
    </w:tblStylePr>
    <w:tblStylePr w:type="lastRow">
      <w:rPr>
        <w:b/>
        <w:bCs/>
      </w:rPr>
      <w:tblPr/>
      <w:tcPr>
        <w:tcBorders>
          <w:top w:val="double" w:sz="2" w:space="0" w:color="FDDC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2-Accent51">
    <w:name w:val="Grid Table 2 - Accent 51"/>
    <w:basedOn w:val="TableNormal"/>
    <w:uiPriority w:val="47"/>
    <w:semiHidden/>
    <w:rsid w:val="00A34D67"/>
    <w:pPr>
      <w:spacing w:line="240" w:lineRule="auto"/>
    </w:pPr>
    <w:tblPr>
      <w:tblStyleRowBandSize w:val="1"/>
      <w:tblStyleColBandSize w:val="1"/>
      <w:tblBorders>
        <w:top w:val="single" w:sz="2" w:space="0" w:color="B6D89A" w:themeColor="accent5" w:themeTint="99"/>
        <w:bottom w:val="single" w:sz="2" w:space="0" w:color="B6D89A" w:themeColor="accent5" w:themeTint="99"/>
        <w:insideH w:val="single" w:sz="2" w:space="0" w:color="B6D89A" w:themeColor="accent5" w:themeTint="99"/>
        <w:insideV w:val="single" w:sz="2" w:space="0" w:color="B6D89A" w:themeColor="accent5" w:themeTint="99"/>
      </w:tblBorders>
    </w:tblPr>
    <w:tblStylePr w:type="firstRow">
      <w:rPr>
        <w:b/>
        <w:bCs/>
      </w:rPr>
      <w:tblPr/>
      <w:tcPr>
        <w:tcBorders>
          <w:top w:val="nil"/>
          <w:bottom w:val="single" w:sz="12" w:space="0" w:color="B6D89A" w:themeColor="accent5" w:themeTint="99"/>
          <w:insideH w:val="nil"/>
          <w:insideV w:val="nil"/>
        </w:tcBorders>
        <w:shd w:val="clear" w:color="auto" w:fill="FFFFFF" w:themeFill="background1"/>
      </w:tcPr>
    </w:tblStylePr>
    <w:tblStylePr w:type="lastRow">
      <w:rPr>
        <w:b/>
        <w:bCs/>
      </w:rPr>
      <w:tblPr/>
      <w:tcPr>
        <w:tcBorders>
          <w:top w:val="double" w:sz="2" w:space="0" w:color="B6D8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2-Accent61">
    <w:name w:val="Grid Table 2 - Accent 61"/>
    <w:basedOn w:val="TableNormal"/>
    <w:uiPriority w:val="47"/>
    <w:semiHidden/>
    <w:rsid w:val="00A34D67"/>
    <w:pPr>
      <w:spacing w:line="240" w:lineRule="auto"/>
    </w:pPr>
    <w:tblPr>
      <w:tblStyleRowBandSize w:val="1"/>
      <w:tblStyleColBandSize w:val="1"/>
      <w:tblBorders>
        <w:top w:val="single" w:sz="2" w:space="0" w:color="ADB3B4" w:themeColor="accent6" w:themeTint="99"/>
        <w:bottom w:val="single" w:sz="2" w:space="0" w:color="ADB3B4" w:themeColor="accent6" w:themeTint="99"/>
        <w:insideH w:val="single" w:sz="2" w:space="0" w:color="ADB3B4" w:themeColor="accent6" w:themeTint="99"/>
        <w:insideV w:val="single" w:sz="2" w:space="0" w:color="ADB3B4" w:themeColor="accent6" w:themeTint="99"/>
      </w:tblBorders>
    </w:tblPr>
    <w:tblStylePr w:type="firstRow">
      <w:rPr>
        <w:b/>
        <w:bCs/>
      </w:rPr>
      <w:tblPr/>
      <w:tcPr>
        <w:tcBorders>
          <w:top w:val="nil"/>
          <w:bottom w:val="single" w:sz="12" w:space="0" w:color="ADB3B4" w:themeColor="accent6" w:themeTint="99"/>
          <w:insideH w:val="nil"/>
          <w:insideV w:val="nil"/>
        </w:tcBorders>
        <w:shd w:val="clear" w:color="auto" w:fill="FFFFFF" w:themeFill="background1"/>
      </w:tcPr>
    </w:tblStylePr>
    <w:tblStylePr w:type="lastRow">
      <w:rPr>
        <w:b/>
        <w:bCs/>
      </w:rPr>
      <w:tblPr/>
      <w:tcPr>
        <w:tcBorders>
          <w:top w:val="double" w:sz="2" w:space="0" w:color="ADB3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31">
    <w:name w:val="Grid Table 31"/>
    <w:basedOn w:val="TableNormal"/>
    <w:uiPriority w:val="48"/>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3-Accent21">
    <w:name w:val="Grid Table 3 - Accent 21"/>
    <w:basedOn w:val="TableNormal"/>
    <w:uiPriority w:val="48"/>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3-Accent31">
    <w:name w:val="Grid Table 3 - Accent 31"/>
    <w:basedOn w:val="TableNormal"/>
    <w:uiPriority w:val="48"/>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3-Accent41">
    <w:name w:val="Grid Table 3 - Accent 41"/>
    <w:basedOn w:val="TableNormal"/>
    <w:uiPriority w:val="48"/>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3-Accent51">
    <w:name w:val="Grid Table 3 - Accent 51"/>
    <w:basedOn w:val="TableNormal"/>
    <w:uiPriority w:val="48"/>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3-Accent61">
    <w:name w:val="Grid Table 3 - Accent 61"/>
    <w:basedOn w:val="TableNormal"/>
    <w:uiPriority w:val="48"/>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customStyle="1" w:styleId="GridTable41">
    <w:name w:val="Grid Table 41"/>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insideV w:val="nil"/>
        </w:tcBorders>
        <w:shd w:val="clear" w:color="auto" w:fill="8D487F" w:themeFill="accent1"/>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4-Accent21">
    <w:name w:val="Grid Table 4 - Accent 21"/>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insideV w:val="nil"/>
        </w:tcBorders>
        <w:shd w:val="clear" w:color="auto" w:fill="C64E45" w:themeFill="accent2"/>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4-Accent31">
    <w:name w:val="Grid Table 4 - Accent 31"/>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insideV w:val="nil"/>
        </w:tcBorders>
        <w:shd w:val="clear" w:color="auto" w:fill="F1873D" w:themeFill="accent3"/>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4-Accent41">
    <w:name w:val="Grid Table 4 - Accent 41"/>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insideV w:val="nil"/>
        </w:tcBorders>
        <w:shd w:val="clear" w:color="auto" w:fill="FCC648" w:themeFill="accent4"/>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4-Accent51">
    <w:name w:val="Grid Table 4 - Accent 51"/>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insideV w:val="nil"/>
        </w:tcBorders>
        <w:shd w:val="clear" w:color="auto" w:fill="86BE57" w:themeFill="accent5"/>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4-Accent61">
    <w:name w:val="Grid Table 4 - Accent 61"/>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insideV w:val="nil"/>
        </w:tcBorders>
        <w:shd w:val="clear" w:color="auto" w:fill="788183" w:themeFill="accent6"/>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5Dark1">
    <w:name w:val="Grid Table 5 Dark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7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48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48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48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487F" w:themeFill="accent1"/>
      </w:tcPr>
    </w:tblStylePr>
    <w:tblStylePr w:type="band1Vert">
      <w:tblPr/>
      <w:tcPr>
        <w:shd w:val="clear" w:color="auto" w:fill="D6B0CE" w:themeFill="accent1" w:themeFillTint="66"/>
      </w:tcPr>
    </w:tblStylePr>
    <w:tblStylePr w:type="band1Horz">
      <w:tblPr/>
      <w:tcPr>
        <w:shd w:val="clear" w:color="auto" w:fill="D6B0CE" w:themeFill="accent1" w:themeFillTint="66"/>
      </w:tcPr>
    </w:tblStylePr>
  </w:style>
  <w:style w:type="table" w:customStyle="1" w:styleId="GridTable5Dark-Accent21">
    <w:name w:val="Grid Table 5 Dark - Accent 2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B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4E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4E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4E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4E45" w:themeFill="accent2"/>
      </w:tcPr>
    </w:tblStylePr>
    <w:tblStylePr w:type="band1Vert">
      <w:tblPr/>
      <w:tcPr>
        <w:shd w:val="clear" w:color="auto" w:fill="E8B7B4" w:themeFill="accent2" w:themeFillTint="66"/>
      </w:tcPr>
    </w:tblStylePr>
    <w:tblStylePr w:type="band1Horz">
      <w:tblPr/>
      <w:tcPr>
        <w:shd w:val="clear" w:color="auto" w:fill="E8B7B4" w:themeFill="accent2" w:themeFillTint="66"/>
      </w:tcPr>
    </w:tblStylePr>
  </w:style>
  <w:style w:type="table" w:customStyle="1" w:styleId="GridTable5Dark-Accent31">
    <w:name w:val="Grid Table 5 Dark - Accent 3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7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7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7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73D" w:themeFill="accent3"/>
      </w:tcPr>
    </w:tblStylePr>
    <w:tblStylePr w:type="band1Vert">
      <w:tblPr/>
      <w:tcPr>
        <w:shd w:val="clear" w:color="auto" w:fill="F9CEB1" w:themeFill="accent3" w:themeFillTint="66"/>
      </w:tcPr>
    </w:tblStylePr>
    <w:tblStylePr w:type="band1Horz">
      <w:tblPr/>
      <w:tcPr>
        <w:shd w:val="clear" w:color="auto" w:fill="F9CEB1" w:themeFill="accent3" w:themeFillTint="66"/>
      </w:tcPr>
    </w:tblStylePr>
  </w:style>
  <w:style w:type="table" w:customStyle="1" w:styleId="GridTable5Dark-Accent41">
    <w:name w:val="Grid Table 5 Dark - Accent 4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648" w:themeFill="accent4"/>
      </w:tcPr>
    </w:tblStylePr>
    <w:tblStylePr w:type="band1Vert">
      <w:tblPr/>
      <w:tcPr>
        <w:shd w:val="clear" w:color="auto" w:fill="FDE7B5" w:themeFill="accent4" w:themeFillTint="66"/>
      </w:tcPr>
    </w:tblStylePr>
    <w:tblStylePr w:type="band1Horz">
      <w:tblPr/>
      <w:tcPr>
        <w:shd w:val="clear" w:color="auto" w:fill="FDE7B5" w:themeFill="accent4" w:themeFillTint="66"/>
      </w:tcPr>
    </w:tblStylePr>
  </w:style>
  <w:style w:type="table" w:customStyle="1" w:styleId="GridTable5Dark-Accent51">
    <w:name w:val="Grid Table 5 Dark - Accent 5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E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E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E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E57" w:themeFill="accent5"/>
      </w:tcPr>
    </w:tblStylePr>
    <w:tblStylePr w:type="band1Vert">
      <w:tblPr/>
      <w:tcPr>
        <w:shd w:val="clear" w:color="auto" w:fill="CEE5BB" w:themeFill="accent5" w:themeFillTint="66"/>
      </w:tcPr>
    </w:tblStylePr>
    <w:tblStylePr w:type="band1Horz">
      <w:tblPr/>
      <w:tcPr>
        <w:shd w:val="clear" w:color="auto" w:fill="CEE5BB" w:themeFill="accent5" w:themeFillTint="66"/>
      </w:tcPr>
    </w:tblStylePr>
  </w:style>
  <w:style w:type="table" w:customStyle="1" w:styleId="GridTable5Dark-Accent61">
    <w:name w:val="Grid Table 5 Dark - Accent 6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1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1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1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183" w:themeFill="accent6"/>
      </w:tcPr>
    </w:tblStylePr>
    <w:tblStylePr w:type="band1Vert">
      <w:tblPr/>
      <w:tcPr>
        <w:shd w:val="clear" w:color="auto" w:fill="C8CCCD" w:themeFill="accent6" w:themeFillTint="66"/>
      </w:tcPr>
    </w:tblStylePr>
    <w:tblStylePr w:type="band1Horz">
      <w:tblPr/>
      <w:tcPr>
        <w:shd w:val="clear" w:color="auto" w:fill="C8CCCD" w:themeFill="accent6" w:themeFillTint="66"/>
      </w:tcPr>
    </w:tblStylePr>
  </w:style>
  <w:style w:type="table" w:customStyle="1" w:styleId="GridTable6Colorful1">
    <w:name w:val="Grid Table 6 Colorful1"/>
    <w:basedOn w:val="TableNormal"/>
    <w:uiPriority w:val="51"/>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6Colorful-Accent21">
    <w:name w:val="Grid Table 6 Colorful - Accent 21"/>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6Colorful-Accent31">
    <w:name w:val="Grid Table 6 Colorful - Accent 31"/>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6Colorful-Accent41">
    <w:name w:val="Grid Table 6 Colorful - Accent 41"/>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6Colorful-Accent51">
    <w:name w:val="Grid Table 6 Colorful - Accent 51"/>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6Colorful-Accent61">
    <w:name w:val="Grid Table 6 Colorful - Accent 61"/>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7Colorful1">
    <w:name w:val="Grid Table 7 Colorful1"/>
    <w:basedOn w:val="TableNormal"/>
    <w:uiPriority w:val="52"/>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7Colorful-Accent21">
    <w:name w:val="Grid Table 7 Colorful - Accent 21"/>
    <w:basedOn w:val="TableNormal"/>
    <w:uiPriority w:val="52"/>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7Colorful-Accent31">
    <w:name w:val="Grid Table 7 Colorful - Accent 31"/>
    <w:basedOn w:val="TableNormal"/>
    <w:uiPriority w:val="52"/>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7Colorful-Accent41">
    <w:name w:val="Grid Table 7 Colorful - Accent 41"/>
    <w:basedOn w:val="TableNormal"/>
    <w:uiPriority w:val="52"/>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7Colorful-Accent51">
    <w:name w:val="Grid Table 7 Colorful - Accent 51"/>
    <w:basedOn w:val="TableNormal"/>
    <w:uiPriority w:val="52"/>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7Colorful-Accent61">
    <w:name w:val="Grid Table 7 Colorful - Accent 61"/>
    <w:basedOn w:val="TableNormal"/>
    <w:uiPriority w:val="52"/>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styleId="LightGrid">
    <w:name w:val="Light Grid"/>
    <w:basedOn w:val="TableNormal"/>
    <w:uiPriority w:val="62"/>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18" w:space="0" w:color="8D487F" w:themeColor="accent1"/>
          <w:right w:val="single" w:sz="8" w:space="0" w:color="8D487F" w:themeColor="accent1"/>
          <w:insideH w:val="nil"/>
          <w:insideV w:val="single" w:sz="8" w:space="0" w:color="8D48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insideH w:val="nil"/>
          <w:insideV w:val="single" w:sz="8" w:space="0" w:color="8D48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shd w:val="clear" w:color="auto" w:fill="E6CEE1" w:themeFill="accent1" w:themeFillTint="3F"/>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shd w:val="clear" w:color="auto" w:fill="E6CEE1" w:themeFill="accent1" w:themeFillTint="3F"/>
      </w:tcPr>
    </w:tblStylePr>
    <w:tblStylePr w:type="band2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tcPr>
    </w:tblStylePr>
  </w:style>
  <w:style w:type="table" w:styleId="LightGrid-Accent2">
    <w:name w:val="Light Grid Accent 2"/>
    <w:basedOn w:val="TableNormal"/>
    <w:uiPriority w:val="62"/>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18" w:space="0" w:color="C64E45" w:themeColor="accent2"/>
          <w:right w:val="single" w:sz="8" w:space="0" w:color="C64E45" w:themeColor="accent2"/>
          <w:insideH w:val="nil"/>
          <w:insideV w:val="single" w:sz="8" w:space="0" w:color="C64E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insideH w:val="nil"/>
          <w:insideV w:val="single" w:sz="8" w:space="0" w:color="C64E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shd w:val="clear" w:color="auto" w:fill="F1D2D0" w:themeFill="accent2" w:themeFillTint="3F"/>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shd w:val="clear" w:color="auto" w:fill="F1D2D0" w:themeFill="accent2" w:themeFillTint="3F"/>
      </w:tcPr>
    </w:tblStylePr>
    <w:tblStylePr w:type="band2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tcPr>
    </w:tblStylePr>
  </w:style>
  <w:style w:type="table" w:styleId="LightGrid-Accent3">
    <w:name w:val="Light Grid Accent 3"/>
    <w:basedOn w:val="TableNormal"/>
    <w:uiPriority w:val="62"/>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table" w:styleId="LightGrid-Accent4">
    <w:name w:val="Light Grid Accent 4"/>
    <w:basedOn w:val="TableNormal"/>
    <w:uiPriority w:val="62"/>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18" w:space="0" w:color="FCC648" w:themeColor="accent4"/>
          <w:right w:val="single" w:sz="8" w:space="0" w:color="FCC648" w:themeColor="accent4"/>
          <w:insideH w:val="nil"/>
          <w:insideV w:val="single" w:sz="8" w:space="0" w:color="FCC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insideH w:val="nil"/>
          <w:insideV w:val="single" w:sz="8" w:space="0" w:color="FCC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shd w:val="clear" w:color="auto" w:fill="FEF0D1" w:themeFill="accent4" w:themeFillTint="3F"/>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shd w:val="clear" w:color="auto" w:fill="FEF0D1" w:themeFill="accent4" w:themeFillTint="3F"/>
      </w:tcPr>
    </w:tblStylePr>
    <w:tblStylePr w:type="band2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tcPr>
    </w:tblStylePr>
  </w:style>
  <w:style w:type="table" w:styleId="LightGrid-Accent5">
    <w:name w:val="Light Grid Accent 5"/>
    <w:basedOn w:val="TableNormal"/>
    <w:uiPriority w:val="62"/>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18" w:space="0" w:color="86BE57" w:themeColor="accent5"/>
          <w:right w:val="single" w:sz="8" w:space="0" w:color="86BE57" w:themeColor="accent5"/>
          <w:insideH w:val="nil"/>
          <w:insideV w:val="single" w:sz="8" w:space="0" w:color="86BE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insideH w:val="nil"/>
          <w:insideV w:val="single" w:sz="8" w:space="0" w:color="86BE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shd w:val="clear" w:color="auto" w:fill="E1EFD5" w:themeFill="accent5" w:themeFillTint="3F"/>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shd w:val="clear" w:color="auto" w:fill="E1EFD5" w:themeFill="accent5" w:themeFillTint="3F"/>
      </w:tcPr>
    </w:tblStylePr>
    <w:tblStylePr w:type="band2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tcPr>
    </w:tblStylePr>
  </w:style>
  <w:style w:type="table" w:styleId="LightGrid-Accent6">
    <w:name w:val="Light Grid Accent 6"/>
    <w:basedOn w:val="TableNormal"/>
    <w:uiPriority w:val="62"/>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List">
    <w:name w:val="Light List"/>
    <w:basedOn w:val="TableNormal"/>
    <w:uiPriority w:val="61"/>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pPr>
        <w:spacing w:before="0" w:after="0" w:line="240" w:lineRule="auto"/>
      </w:pPr>
      <w:rPr>
        <w:b/>
        <w:bCs/>
        <w:color w:val="FFFFFF" w:themeColor="background1"/>
      </w:rPr>
      <w:tblPr/>
      <w:tcPr>
        <w:shd w:val="clear" w:color="auto" w:fill="8D487F" w:themeFill="accent1"/>
      </w:tcPr>
    </w:tblStylePr>
    <w:tblStylePr w:type="lastRow">
      <w:pPr>
        <w:spacing w:before="0" w:after="0" w:line="240" w:lineRule="auto"/>
      </w:pPr>
      <w:rPr>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tcBorders>
      </w:tcPr>
    </w:tblStylePr>
    <w:tblStylePr w:type="firstCol">
      <w:rPr>
        <w:b/>
        <w:bCs/>
      </w:rPr>
    </w:tblStylePr>
    <w:tblStylePr w:type="lastCol">
      <w:rPr>
        <w:b/>
        <w:bCs/>
      </w:r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style>
  <w:style w:type="table" w:styleId="LightList-Accent2">
    <w:name w:val="Light List Accent 2"/>
    <w:basedOn w:val="TableNormal"/>
    <w:uiPriority w:val="61"/>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pPr>
        <w:spacing w:before="0" w:after="0" w:line="240" w:lineRule="auto"/>
      </w:pPr>
      <w:rPr>
        <w:b/>
        <w:bCs/>
        <w:color w:val="FFFFFF" w:themeColor="background1"/>
      </w:rPr>
      <w:tblPr/>
      <w:tcPr>
        <w:shd w:val="clear" w:color="auto" w:fill="C64E45" w:themeFill="accent2"/>
      </w:tcPr>
    </w:tblStylePr>
    <w:tblStylePr w:type="lastRow">
      <w:pPr>
        <w:spacing w:before="0" w:after="0" w:line="240" w:lineRule="auto"/>
      </w:pPr>
      <w:rPr>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tcBorders>
      </w:tcPr>
    </w:tblStylePr>
    <w:tblStylePr w:type="firstCol">
      <w:rPr>
        <w:b/>
        <w:bCs/>
      </w:rPr>
    </w:tblStylePr>
    <w:tblStylePr w:type="lastCol">
      <w:rPr>
        <w:b/>
        <w:bCs/>
      </w:r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style>
  <w:style w:type="table" w:styleId="LightList-Accent3">
    <w:name w:val="Light List Accent 3"/>
    <w:basedOn w:val="TableNormal"/>
    <w:uiPriority w:val="61"/>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pPr>
        <w:spacing w:before="0" w:after="0" w:line="240" w:lineRule="auto"/>
      </w:pPr>
      <w:rPr>
        <w:b/>
        <w:bCs/>
        <w:color w:val="FFFFFF" w:themeColor="background1"/>
      </w:rPr>
      <w:tblPr/>
      <w:tcPr>
        <w:shd w:val="clear" w:color="auto" w:fill="F1873D" w:themeFill="accent3"/>
      </w:tcPr>
    </w:tblStylePr>
    <w:tblStylePr w:type="lastRow">
      <w:pPr>
        <w:spacing w:before="0" w:after="0" w:line="240" w:lineRule="auto"/>
      </w:pPr>
      <w:rPr>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tcBorders>
      </w:tcPr>
    </w:tblStylePr>
    <w:tblStylePr w:type="firstCol">
      <w:rPr>
        <w:b/>
        <w:bCs/>
      </w:rPr>
    </w:tblStylePr>
    <w:tblStylePr w:type="lastCol">
      <w:rPr>
        <w:b/>
        <w:bCs/>
      </w:r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style>
  <w:style w:type="table" w:styleId="LightList-Accent4">
    <w:name w:val="Light List Accent 4"/>
    <w:basedOn w:val="TableNormal"/>
    <w:uiPriority w:val="61"/>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pPr>
        <w:spacing w:before="0" w:after="0" w:line="240" w:lineRule="auto"/>
      </w:pPr>
      <w:rPr>
        <w:b/>
        <w:bCs/>
        <w:color w:val="FFFFFF" w:themeColor="background1"/>
      </w:rPr>
      <w:tblPr/>
      <w:tcPr>
        <w:shd w:val="clear" w:color="auto" w:fill="FCC648" w:themeFill="accent4"/>
      </w:tcPr>
    </w:tblStylePr>
    <w:tblStylePr w:type="lastRow">
      <w:pPr>
        <w:spacing w:before="0" w:after="0" w:line="240" w:lineRule="auto"/>
      </w:pPr>
      <w:rPr>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tcBorders>
      </w:tcPr>
    </w:tblStylePr>
    <w:tblStylePr w:type="firstCol">
      <w:rPr>
        <w:b/>
        <w:bCs/>
      </w:rPr>
    </w:tblStylePr>
    <w:tblStylePr w:type="lastCol">
      <w:rPr>
        <w:b/>
        <w:bCs/>
      </w:r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style>
  <w:style w:type="table" w:styleId="LightList-Accent5">
    <w:name w:val="Light List Accent 5"/>
    <w:basedOn w:val="TableNormal"/>
    <w:uiPriority w:val="61"/>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pPr>
        <w:spacing w:before="0" w:after="0" w:line="240" w:lineRule="auto"/>
      </w:pPr>
      <w:rPr>
        <w:b/>
        <w:bCs/>
        <w:color w:val="FFFFFF" w:themeColor="background1"/>
      </w:rPr>
      <w:tblPr/>
      <w:tcPr>
        <w:shd w:val="clear" w:color="auto" w:fill="86BE57" w:themeFill="accent5"/>
      </w:tcPr>
    </w:tblStylePr>
    <w:tblStylePr w:type="lastRow">
      <w:pPr>
        <w:spacing w:before="0" w:after="0" w:line="240" w:lineRule="auto"/>
      </w:pPr>
      <w:rPr>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tcBorders>
      </w:tcPr>
    </w:tblStylePr>
    <w:tblStylePr w:type="firstCol">
      <w:rPr>
        <w:b/>
        <w:bCs/>
      </w:rPr>
    </w:tblStylePr>
    <w:tblStylePr w:type="lastCol">
      <w:rPr>
        <w:b/>
        <w:bCs/>
      </w:r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style>
  <w:style w:type="table" w:styleId="LightList-Accent6">
    <w:name w:val="Light List Accent 6"/>
    <w:basedOn w:val="TableNormal"/>
    <w:uiPriority w:val="61"/>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pPr>
        <w:spacing w:before="0" w:after="0" w:line="240" w:lineRule="auto"/>
      </w:pPr>
      <w:rPr>
        <w:b/>
        <w:bCs/>
        <w:color w:val="FFFFFF" w:themeColor="background1"/>
      </w:rPr>
      <w:tblPr/>
      <w:tcPr>
        <w:shd w:val="clear" w:color="auto" w:fill="788183" w:themeFill="accent6"/>
      </w:tcPr>
    </w:tblStylePr>
    <w:tblStylePr w:type="lastRow">
      <w:pPr>
        <w:spacing w:before="0" w:after="0" w:line="240" w:lineRule="auto"/>
      </w:pPr>
      <w:rPr>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tcBorders>
      </w:tcPr>
    </w:tblStylePr>
    <w:tblStylePr w:type="firstCol">
      <w:rPr>
        <w:b/>
        <w:bCs/>
      </w:rPr>
    </w:tblStylePr>
    <w:tblStylePr w:type="lastCol">
      <w:rPr>
        <w:b/>
        <w:bCs/>
      </w:r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style>
  <w:style w:type="table" w:styleId="LightShading">
    <w:name w:val="Light Shading"/>
    <w:basedOn w:val="TableNormal"/>
    <w:uiPriority w:val="60"/>
    <w:semiHidden/>
    <w:rsid w:val="00A34D6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34D67"/>
    <w:pPr>
      <w:spacing w:line="240" w:lineRule="auto"/>
    </w:pPr>
    <w:rPr>
      <w:color w:val="69365E" w:themeColor="accent1" w:themeShade="BF"/>
    </w:rPr>
    <w:tblPr>
      <w:tblStyleRowBandSize w:val="1"/>
      <w:tblStyleColBandSize w:val="1"/>
      <w:tblBorders>
        <w:top w:val="single" w:sz="8" w:space="0" w:color="8D487F" w:themeColor="accent1"/>
        <w:bottom w:val="single" w:sz="8" w:space="0" w:color="8D487F" w:themeColor="accent1"/>
      </w:tblBorders>
    </w:tblPr>
    <w:tblStylePr w:type="fir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la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left w:val="nil"/>
          <w:right w:val="nil"/>
          <w:insideH w:val="nil"/>
          <w:insideV w:val="nil"/>
        </w:tcBorders>
        <w:shd w:val="clear" w:color="auto" w:fill="E6CEE1" w:themeFill="accent1" w:themeFillTint="3F"/>
      </w:tcPr>
    </w:tblStylePr>
  </w:style>
  <w:style w:type="table" w:styleId="LightShading-Accent2">
    <w:name w:val="Light Shading Accent 2"/>
    <w:basedOn w:val="TableNormal"/>
    <w:uiPriority w:val="60"/>
    <w:semiHidden/>
    <w:rsid w:val="00A34D67"/>
    <w:pPr>
      <w:spacing w:line="240" w:lineRule="auto"/>
    </w:pPr>
    <w:rPr>
      <w:color w:val="98362F" w:themeColor="accent2" w:themeShade="BF"/>
    </w:rPr>
    <w:tblPr>
      <w:tblStyleRowBandSize w:val="1"/>
      <w:tblStyleColBandSize w:val="1"/>
      <w:tblBorders>
        <w:top w:val="single" w:sz="8" w:space="0" w:color="C64E45" w:themeColor="accent2"/>
        <w:bottom w:val="single" w:sz="8" w:space="0" w:color="C64E45" w:themeColor="accent2"/>
      </w:tblBorders>
    </w:tblPr>
    <w:tblStylePr w:type="fir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la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left w:val="nil"/>
          <w:right w:val="nil"/>
          <w:insideH w:val="nil"/>
          <w:insideV w:val="nil"/>
        </w:tcBorders>
        <w:shd w:val="clear" w:color="auto" w:fill="F1D2D0" w:themeFill="accent2" w:themeFillTint="3F"/>
      </w:tcPr>
    </w:tblStylePr>
  </w:style>
  <w:style w:type="table" w:styleId="LightShading-Accent3">
    <w:name w:val="Light Shading Accent 3"/>
    <w:basedOn w:val="TableNormal"/>
    <w:uiPriority w:val="60"/>
    <w:semiHidden/>
    <w:rsid w:val="00A34D67"/>
    <w:pPr>
      <w:spacing w:line="240" w:lineRule="auto"/>
    </w:pPr>
    <w:rPr>
      <w:color w:val="D25E0F" w:themeColor="accent3" w:themeShade="BF"/>
    </w:rPr>
    <w:tblPr>
      <w:tblStyleRowBandSize w:val="1"/>
      <w:tblStyleColBandSize w:val="1"/>
      <w:tblBorders>
        <w:top w:val="single" w:sz="8" w:space="0" w:color="F1873D" w:themeColor="accent3"/>
        <w:bottom w:val="single" w:sz="8" w:space="0" w:color="F1873D" w:themeColor="accent3"/>
      </w:tblBorders>
    </w:tblPr>
    <w:tblStylePr w:type="fir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la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left w:val="nil"/>
          <w:right w:val="nil"/>
          <w:insideH w:val="nil"/>
          <w:insideV w:val="nil"/>
        </w:tcBorders>
        <w:shd w:val="clear" w:color="auto" w:fill="FBE1CE" w:themeFill="accent3" w:themeFillTint="3F"/>
      </w:tcPr>
    </w:tblStylePr>
  </w:style>
  <w:style w:type="table" w:styleId="LightShading-Accent4">
    <w:name w:val="Light Shading Accent 4"/>
    <w:basedOn w:val="TableNormal"/>
    <w:uiPriority w:val="60"/>
    <w:semiHidden/>
    <w:rsid w:val="00A34D67"/>
    <w:pPr>
      <w:spacing w:line="240" w:lineRule="auto"/>
    </w:pPr>
    <w:rPr>
      <w:color w:val="EEA704" w:themeColor="accent4" w:themeShade="BF"/>
    </w:rPr>
    <w:tblPr>
      <w:tblStyleRowBandSize w:val="1"/>
      <w:tblStyleColBandSize w:val="1"/>
      <w:tblBorders>
        <w:top w:val="single" w:sz="8" w:space="0" w:color="FCC648" w:themeColor="accent4"/>
        <w:bottom w:val="single" w:sz="8" w:space="0" w:color="FCC648" w:themeColor="accent4"/>
      </w:tblBorders>
    </w:tblPr>
    <w:tblStylePr w:type="fir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la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left w:val="nil"/>
          <w:right w:val="nil"/>
          <w:insideH w:val="nil"/>
          <w:insideV w:val="nil"/>
        </w:tcBorders>
        <w:shd w:val="clear" w:color="auto" w:fill="FEF0D1" w:themeFill="accent4" w:themeFillTint="3F"/>
      </w:tcPr>
    </w:tblStylePr>
  </w:style>
  <w:style w:type="table" w:styleId="LightShading-Accent5">
    <w:name w:val="Light Shading Accent 5"/>
    <w:basedOn w:val="TableNormal"/>
    <w:uiPriority w:val="60"/>
    <w:semiHidden/>
    <w:rsid w:val="00A34D67"/>
    <w:pPr>
      <w:spacing w:line="240" w:lineRule="auto"/>
    </w:pPr>
    <w:rPr>
      <w:color w:val="63953A" w:themeColor="accent5" w:themeShade="BF"/>
    </w:rPr>
    <w:tblPr>
      <w:tblStyleRowBandSize w:val="1"/>
      <w:tblStyleColBandSize w:val="1"/>
      <w:tblBorders>
        <w:top w:val="single" w:sz="8" w:space="0" w:color="86BE57" w:themeColor="accent5"/>
        <w:bottom w:val="single" w:sz="8" w:space="0" w:color="86BE57" w:themeColor="accent5"/>
      </w:tblBorders>
    </w:tblPr>
    <w:tblStylePr w:type="fir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la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left w:val="nil"/>
          <w:right w:val="nil"/>
          <w:insideH w:val="nil"/>
          <w:insideV w:val="nil"/>
        </w:tcBorders>
        <w:shd w:val="clear" w:color="auto" w:fill="E1EFD5" w:themeFill="accent5" w:themeFillTint="3F"/>
      </w:tcPr>
    </w:tblStylePr>
  </w:style>
  <w:style w:type="table" w:styleId="LightShading-Accent6">
    <w:name w:val="Light Shading Accent 6"/>
    <w:basedOn w:val="TableNormal"/>
    <w:uiPriority w:val="60"/>
    <w:semiHidden/>
    <w:rsid w:val="00A34D67"/>
    <w:pPr>
      <w:spacing w:line="240" w:lineRule="auto"/>
    </w:pPr>
    <w:rPr>
      <w:color w:val="5A6062" w:themeColor="accent6" w:themeShade="BF"/>
    </w:rPr>
    <w:tblPr>
      <w:tblStyleRowBandSize w:val="1"/>
      <w:tblStyleColBandSize w:val="1"/>
      <w:tblBorders>
        <w:top w:val="single" w:sz="8" w:space="0" w:color="788183" w:themeColor="accent6"/>
        <w:bottom w:val="single" w:sz="8" w:space="0" w:color="788183" w:themeColor="accent6"/>
      </w:tblBorders>
    </w:tblPr>
    <w:tblStylePr w:type="fir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la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left w:val="nil"/>
          <w:right w:val="nil"/>
          <w:insideH w:val="nil"/>
          <w:insideV w:val="nil"/>
        </w:tcBorders>
        <w:shd w:val="clear" w:color="auto" w:fill="DDDFE0" w:themeFill="accent6" w:themeFillTint="3F"/>
      </w:tcPr>
    </w:tblStylePr>
  </w:style>
  <w:style w:type="table" w:customStyle="1" w:styleId="ListTable1Light1">
    <w:name w:val="List Table 1 Light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C288B7" w:themeColor="accent1" w:themeTint="99"/>
        </w:tcBorders>
      </w:tcPr>
    </w:tblStylePr>
    <w:tblStylePr w:type="lastRow">
      <w:rPr>
        <w:b/>
        <w:bCs/>
      </w:rPr>
      <w:tblPr/>
      <w:tcPr>
        <w:tcBorders>
          <w:top w:val="sing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1Light-Accent21">
    <w:name w:val="List Table 1 Light - Accent 2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DC948F" w:themeColor="accent2" w:themeTint="99"/>
        </w:tcBorders>
      </w:tcPr>
    </w:tblStylePr>
    <w:tblStylePr w:type="lastRow">
      <w:rPr>
        <w:b/>
        <w:bCs/>
      </w:rPr>
      <w:tblPr/>
      <w:tcPr>
        <w:tcBorders>
          <w:top w:val="sing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1Light-Accent31">
    <w:name w:val="List Table 1 Light - Accent 3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6B68A" w:themeColor="accent3" w:themeTint="99"/>
        </w:tcBorders>
      </w:tcPr>
    </w:tblStylePr>
    <w:tblStylePr w:type="lastRow">
      <w:rPr>
        <w:b/>
        <w:bCs/>
      </w:rPr>
      <w:tblPr/>
      <w:tcPr>
        <w:tcBorders>
          <w:top w:val="sing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1Light-Accent41">
    <w:name w:val="List Table 1 Light - Accent 4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DDC91" w:themeColor="accent4" w:themeTint="99"/>
        </w:tcBorders>
      </w:tcPr>
    </w:tblStylePr>
    <w:tblStylePr w:type="lastRow">
      <w:rPr>
        <w:b/>
        <w:bCs/>
      </w:rPr>
      <w:tblPr/>
      <w:tcPr>
        <w:tcBorders>
          <w:top w:val="sing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1Light-Accent51">
    <w:name w:val="List Table 1 Light - Accent 5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B6D89A" w:themeColor="accent5" w:themeTint="99"/>
        </w:tcBorders>
      </w:tcPr>
    </w:tblStylePr>
    <w:tblStylePr w:type="lastRow">
      <w:rPr>
        <w:b/>
        <w:bCs/>
      </w:rPr>
      <w:tblPr/>
      <w:tcPr>
        <w:tcBorders>
          <w:top w:val="sing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1Light-Accent61">
    <w:name w:val="List Table 1 Light - Accent 6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ADB3B4" w:themeColor="accent6" w:themeTint="99"/>
        </w:tcBorders>
      </w:tcPr>
    </w:tblStylePr>
    <w:tblStylePr w:type="lastRow">
      <w:rPr>
        <w:b/>
        <w:bCs/>
      </w:rPr>
      <w:tblPr/>
      <w:tcPr>
        <w:tcBorders>
          <w:top w:val="sing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21">
    <w:name w:val="List Table 21"/>
    <w:basedOn w:val="TableNormal"/>
    <w:uiPriority w:val="47"/>
    <w:semiHidden/>
    <w:rsid w:val="00A34D6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A34D67"/>
    <w:pPr>
      <w:spacing w:line="240" w:lineRule="auto"/>
    </w:pPr>
    <w:tblPr>
      <w:tblStyleRowBandSize w:val="1"/>
      <w:tblStyleColBandSize w:val="1"/>
      <w:tblBorders>
        <w:top w:val="single" w:sz="4" w:space="0" w:color="C288B7" w:themeColor="accent1" w:themeTint="99"/>
        <w:bottom w:val="single" w:sz="4" w:space="0" w:color="C288B7" w:themeColor="accent1" w:themeTint="99"/>
        <w:insideH w:val="single" w:sz="4" w:space="0" w:color="C288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2-Accent21">
    <w:name w:val="List Table 2 - Accent 21"/>
    <w:basedOn w:val="TableNormal"/>
    <w:uiPriority w:val="47"/>
    <w:semiHidden/>
    <w:rsid w:val="00A34D67"/>
    <w:pPr>
      <w:spacing w:line="240" w:lineRule="auto"/>
    </w:pPr>
    <w:tblPr>
      <w:tblStyleRowBandSize w:val="1"/>
      <w:tblStyleColBandSize w:val="1"/>
      <w:tblBorders>
        <w:top w:val="single" w:sz="4" w:space="0" w:color="DC948F" w:themeColor="accent2" w:themeTint="99"/>
        <w:bottom w:val="single" w:sz="4" w:space="0" w:color="DC948F" w:themeColor="accent2" w:themeTint="99"/>
        <w:insideH w:val="single" w:sz="4" w:space="0" w:color="DC948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2-Accent31">
    <w:name w:val="List Table 2 - Accent 31"/>
    <w:basedOn w:val="TableNormal"/>
    <w:uiPriority w:val="47"/>
    <w:semiHidden/>
    <w:rsid w:val="00A34D67"/>
    <w:pPr>
      <w:spacing w:line="240" w:lineRule="auto"/>
    </w:pPr>
    <w:tblPr>
      <w:tblStyleRowBandSize w:val="1"/>
      <w:tblStyleColBandSize w:val="1"/>
      <w:tblBorders>
        <w:top w:val="single" w:sz="4" w:space="0" w:color="F6B68A" w:themeColor="accent3" w:themeTint="99"/>
        <w:bottom w:val="single" w:sz="4" w:space="0" w:color="F6B68A" w:themeColor="accent3" w:themeTint="99"/>
        <w:insideH w:val="single" w:sz="4" w:space="0" w:color="F6B68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2-Accent41">
    <w:name w:val="List Table 2 - Accent 41"/>
    <w:basedOn w:val="TableNormal"/>
    <w:uiPriority w:val="47"/>
    <w:semiHidden/>
    <w:rsid w:val="00A34D67"/>
    <w:pPr>
      <w:spacing w:line="240" w:lineRule="auto"/>
    </w:pPr>
    <w:tblPr>
      <w:tblStyleRowBandSize w:val="1"/>
      <w:tblStyleColBandSize w:val="1"/>
      <w:tblBorders>
        <w:top w:val="single" w:sz="4" w:space="0" w:color="FDDC91" w:themeColor="accent4" w:themeTint="99"/>
        <w:bottom w:val="single" w:sz="4" w:space="0" w:color="FDDC91" w:themeColor="accent4" w:themeTint="99"/>
        <w:insideH w:val="single" w:sz="4" w:space="0" w:color="FDDC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2-Accent51">
    <w:name w:val="List Table 2 - Accent 51"/>
    <w:basedOn w:val="TableNormal"/>
    <w:uiPriority w:val="47"/>
    <w:semiHidden/>
    <w:rsid w:val="00A34D67"/>
    <w:pPr>
      <w:spacing w:line="240" w:lineRule="auto"/>
    </w:pPr>
    <w:tblPr>
      <w:tblStyleRowBandSize w:val="1"/>
      <w:tblStyleColBandSize w:val="1"/>
      <w:tblBorders>
        <w:top w:val="single" w:sz="4" w:space="0" w:color="B6D89A" w:themeColor="accent5" w:themeTint="99"/>
        <w:bottom w:val="single" w:sz="4" w:space="0" w:color="B6D89A" w:themeColor="accent5" w:themeTint="99"/>
        <w:insideH w:val="single" w:sz="4" w:space="0" w:color="B6D8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2-Accent61">
    <w:name w:val="List Table 2 - Accent 61"/>
    <w:basedOn w:val="TableNormal"/>
    <w:uiPriority w:val="47"/>
    <w:semiHidden/>
    <w:rsid w:val="00A34D67"/>
    <w:pPr>
      <w:spacing w:line="240" w:lineRule="auto"/>
    </w:pPr>
    <w:tblPr>
      <w:tblStyleRowBandSize w:val="1"/>
      <w:tblStyleColBandSize w:val="1"/>
      <w:tblBorders>
        <w:top w:val="single" w:sz="4" w:space="0" w:color="ADB3B4" w:themeColor="accent6" w:themeTint="99"/>
        <w:bottom w:val="single" w:sz="4" w:space="0" w:color="ADB3B4" w:themeColor="accent6" w:themeTint="99"/>
        <w:insideH w:val="single" w:sz="4" w:space="0" w:color="ADB3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31">
    <w:name w:val="List Table 31"/>
    <w:basedOn w:val="TableNormal"/>
    <w:uiPriority w:val="48"/>
    <w:semiHidden/>
    <w:rsid w:val="00A34D6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A34D67"/>
    <w:pPr>
      <w:spacing w:line="240" w:lineRule="auto"/>
    </w:pPr>
    <w:tblPr>
      <w:tblStyleRowBandSize w:val="1"/>
      <w:tblStyleColBandSize w:val="1"/>
      <w:tblBorders>
        <w:top w:val="single" w:sz="4" w:space="0" w:color="8D487F" w:themeColor="accent1"/>
        <w:left w:val="single" w:sz="4" w:space="0" w:color="8D487F" w:themeColor="accent1"/>
        <w:bottom w:val="single" w:sz="4" w:space="0" w:color="8D487F" w:themeColor="accent1"/>
        <w:right w:val="single" w:sz="4" w:space="0" w:color="8D487F" w:themeColor="accent1"/>
      </w:tblBorders>
    </w:tblPr>
    <w:tblStylePr w:type="firstRow">
      <w:rPr>
        <w:b/>
        <w:bCs/>
        <w:color w:val="FFFFFF" w:themeColor="background1"/>
      </w:rPr>
      <w:tblPr/>
      <w:tcPr>
        <w:shd w:val="clear" w:color="auto" w:fill="8D487F" w:themeFill="accent1"/>
      </w:tcPr>
    </w:tblStylePr>
    <w:tblStylePr w:type="lastRow">
      <w:rPr>
        <w:b/>
        <w:bCs/>
      </w:rPr>
      <w:tblPr/>
      <w:tcPr>
        <w:tcBorders>
          <w:top w:val="double" w:sz="4" w:space="0" w:color="8D48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487F" w:themeColor="accent1"/>
          <w:right w:val="single" w:sz="4" w:space="0" w:color="8D487F" w:themeColor="accent1"/>
        </w:tcBorders>
      </w:tcPr>
    </w:tblStylePr>
    <w:tblStylePr w:type="band1Horz">
      <w:tblPr/>
      <w:tcPr>
        <w:tcBorders>
          <w:top w:val="single" w:sz="4" w:space="0" w:color="8D487F" w:themeColor="accent1"/>
          <w:bottom w:val="single" w:sz="4" w:space="0" w:color="8D48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487F" w:themeColor="accent1"/>
          <w:left w:val="nil"/>
        </w:tcBorders>
      </w:tcPr>
    </w:tblStylePr>
    <w:tblStylePr w:type="swCell">
      <w:tblPr/>
      <w:tcPr>
        <w:tcBorders>
          <w:top w:val="double" w:sz="4" w:space="0" w:color="8D487F" w:themeColor="accent1"/>
          <w:right w:val="nil"/>
        </w:tcBorders>
      </w:tcPr>
    </w:tblStylePr>
  </w:style>
  <w:style w:type="table" w:customStyle="1" w:styleId="ListTable3-Accent21">
    <w:name w:val="List Table 3 - Accent 21"/>
    <w:basedOn w:val="TableNormal"/>
    <w:uiPriority w:val="48"/>
    <w:semiHidden/>
    <w:rsid w:val="00A34D67"/>
    <w:pPr>
      <w:spacing w:line="240" w:lineRule="auto"/>
    </w:pPr>
    <w:tblPr>
      <w:tblStyleRowBandSize w:val="1"/>
      <w:tblStyleColBandSize w:val="1"/>
      <w:tblBorders>
        <w:top w:val="single" w:sz="4" w:space="0" w:color="C64E45" w:themeColor="accent2"/>
        <w:left w:val="single" w:sz="4" w:space="0" w:color="C64E45" w:themeColor="accent2"/>
        <w:bottom w:val="single" w:sz="4" w:space="0" w:color="C64E45" w:themeColor="accent2"/>
        <w:right w:val="single" w:sz="4" w:space="0" w:color="C64E45" w:themeColor="accent2"/>
      </w:tblBorders>
    </w:tblPr>
    <w:tblStylePr w:type="firstRow">
      <w:rPr>
        <w:b/>
        <w:bCs/>
        <w:color w:val="FFFFFF" w:themeColor="background1"/>
      </w:rPr>
      <w:tblPr/>
      <w:tcPr>
        <w:shd w:val="clear" w:color="auto" w:fill="C64E45" w:themeFill="accent2"/>
      </w:tcPr>
    </w:tblStylePr>
    <w:tblStylePr w:type="lastRow">
      <w:rPr>
        <w:b/>
        <w:bCs/>
      </w:rPr>
      <w:tblPr/>
      <w:tcPr>
        <w:tcBorders>
          <w:top w:val="double" w:sz="4" w:space="0" w:color="C64E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4E45" w:themeColor="accent2"/>
          <w:right w:val="single" w:sz="4" w:space="0" w:color="C64E45" w:themeColor="accent2"/>
        </w:tcBorders>
      </w:tcPr>
    </w:tblStylePr>
    <w:tblStylePr w:type="band1Horz">
      <w:tblPr/>
      <w:tcPr>
        <w:tcBorders>
          <w:top w:val="single" w:sz="4" w:space="0" w:color="C64E45" w:themeColor="accent2"/>
          <w:bottom w:val="single" w:sz="4" w:space="0" w:color="C64E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4E45" w:themeColor="accent2"/>
          <w:left w:val="nil"/>
        </w:tcBorders>
      </w:tcPr>
    </w:tblStylePr>
    <w:tblStylePr w:type="swCell">
      <w:tblPr/>
      <w:tcPr>
        <w:tcBorders>
          <w:top w:val="double" w:sz="4" w:space="0" w:color="C64E45" w:themeColor="accent2"/>
          <w:right w:val="nil"/>
        </w:tcBorders>
      </w:tcPr>
    </w:tblStylePr>
  </w:style>
  <w:style w:type="table" w:customStyle="1" w:styleId="ListTable3-Accent31">
    <w:name w:val="List Table 3 - Accent 31"/>
    <w:basedOn w:val="TableNormal"/>
    <w:uiPriority w:val="48"/>
    <w:semiHidden/>
    <w:rsid w:val="00A34D67"/>
    <w:pPr>
      <w:spacing w:line="240" w:lineRule="auto"/>
    </w:pPr>
    <w:tblPr>
      <w:tblStyleRowBandSize w:val="1"/>
      <w:tblStyleColBandSize w:val="1"/>
      <w:tblBorders>
        <w:top w:val="single" w:sz="4" w:space="0" w:color="F1873D" w:themeColor="accent3"/>
        <w:left w:val="single" w:sz="4" w:space="0" w:color="F1873D" w:themeColor="accent3"/>
        <w:bottom w:val="single" w:sz="4" w:space="0" w:color="F1873D" w:themeColor="accent3"/>
        <w:right w:val="single" w:sz="4" w:space="0" w:color="F1873D" w:themeColor="accent3"/>
      </w:tblBorders>
    </w:tblPr>
    <w:tblStylePr w:type="firstRow">
      <w:rPr>
        <w:b/>
        <w:bCs/>
        <w:color w:val="FFFFFF" w:themeColor="background1"/>
      </w:rPr>
      <w:tblPr/>
      <w:tcPr>
        <w:shd w:val="clear" w:color="auto" w:fill="F1873D" w:themeFill="accent3"/>
      </w:tcPr>
    </w:tblStylePr>
    <w:tblStylePr w:type="lastRow">
      <w:rPr>
        <w:b/>
        <w:bCs/>
      </w:rPr>
      <w:tblPr/>
      <w:tcPr>
        <w:tcBorders>
          <w:top w:val="double" w:sz="4" w:space="0" w:color="F187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873D" w:themeColor="accent3"/>
          <w:right w:val="single" w:sz="4" w:space="0" w:color="F1873D" w:themeColor="accent3"/>
        </w:tcBorders>
      </w:tcPr>
    </w:tblStylePr>
    <w:tblStylePr w:type="band1Horz">
      <w:tblPr/>
      <w:tcPr>
        <w:tcBorders>
          <w:top w:val="single" w:sz="4" w:space="0" w:color="F1873D" w:themeColor="accent3"/>
          <w:bottom w:val="single" w:sz="4" w:space="0" w:color="F187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73D" w:themeColor="accent3"/>
          <w:left w:val="nil"/>
        </w:tcBorders>
      </w:tcPr>
    </w:tblStylePr>
    <w:tblStylePr w:type="swCell">
      <w:tblPr/>
      <w:tcPr>
        <w:tcBorders>
          <w:top w:val="double" w:sz="4" w:space="0" w:color="F1873D" w:themeColor="accent3"/>
          <w:right w:val="nil"/>
        </w:tcBorders>
      </w:tcPr>
    </w:tblStylePr>
  </w:style>
  <w:style w:type="table" w:customStyle="1" w:styleId="ListTable3-Accent41">
    <w:name w:val="List Table 3 - Accent 41"/>
    <w:basedOn w:val="TableNormal"/>
    <w:uiPriority w:val="48"/>
    <w:semiHidden/>
    <w:rsid w:val="00A34D67"/>
    <w:pPr>
      <w:spacing w:line="240" w:lineRule="auto"/>
    </w:pPr>
    <w:tblPr>
      <w:tblStyleRowBandSize w:val="1"/>
      <w:tblStyleColBandSize w:val="1"/>
      <w:tblBorders>
        <w:top w:val="single" w:sz="4" w:space="0" w:color="FCC648" w:themeColor="accent4"/>
        <w:left w:val="single" w:sz="4" w:space="0" w:color="FCC648" w:themeColor="accent4"/>
        <w:bottom w:val="single" w:sz="4" w:space="0" w:color="FCC648" w:themeColor="accent4"/>
        <w:right w:val="single" w:sz="4" w:space="0" w:color="FCC648" w:themeColor="accent4"/>
      </w:tblBorders>
    </w:tblPr>
    <w:tblStylePr w:type="firstRow">
      <w:rPr>
        <w:b/>
        <w:bCs/>
        <w:color w:val="FFFFFF" w:themeColor="background1"/>
      </w:rPr>
      <w:tblPr/>
      <w:tcPr>
        <w:shd w:val="clear" w:color="auto" w:fill="FCC648" w:themeFill="accent4"/>
      </w:tcPr>
    </w:tblStylePr>
    <w:tblStylePr w:type="lastRow">
      <w:rPr>
        <w:b/>
        <w:bCs/>
      </w:rPr>
      <w:tblPr/>
      <w:tcPr>
        <w:tcBorders>
          <w:top w:val="double" w:sz="4" w:space="0" w:color="FCC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648" w:themeColor="accent4"/>
          <w:right w:val="single" w:sz="4" w:space="0" w:color="FCC648" w:themeColor="accent4"/>
        </w:tcBorders>
      </w:tcPr>
    </w:tblStylePr>
    <w:tblStylePr w:type="band1Horz">
      <w:tblPr/>
      <w:tcPr>
        <w:tcBorders>
          <w:top w:val="single" w:sz="4" w:space="0" w:color="FCC648" w:themeColor="accent4"/>
          <w:bottom w:val="single" w:sz="4" w:space="0" w:color="FCC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648" w:themeColor="accent4"/>
          <w:left w:val="nil"/>
        </w:tcBorders>
      </w:tcPr>
    </w:tblStylePr>
    <w:tblStylePr w:type="swCell">
      <w:tblPr/>
      <w:tcPr>
        <w:tcBorders>
          <w:top w:val="double" w:sz="4" w:space="0" w:color="FCC648" w:themeColor="accent4"/>
          <w:right w:val="nil"/>
        </w:tcBorders>
      </w:tcPr>
    </w:tblStylePr>
  </w:style>
  <w:style w:type="table" w:customStyle="1" w:styleId="ListTable3-Accent51">
    <w:name w:val="List Table 3 - Accent 51"/>
    <w:basedOn w:val="TableNormal"/>
    <w:uiPriority w:val="48"/>
    <w:semiHidden/>
    <w:rsid w:val="00A34D67"/>
    <w:pPr>
      <w:spacing w:line="240" w:lineRule="auto"/>
    </w:pPr>
    <w:tblPr>
      <w:tblStyleRowBandSize w:val="1"/>
      <w:tblStyleColBandSize w:val="1"/>
      <w:tblBorders>
        <w:top w:val="single" w:sz="4" w:space="0" w:color="86BE57" w:themeColor="accent5"/>
        <w:left w:val="single" w:sz="4" w:space="0" w:color="86BE57" w:themeColor="accent5"/>
        <w:bottom w:val="single" w:sz="4" w:space="0" w:color="86BE57" w:themeColor="accent5"/>
        <w:right w:val="single" w:sz="4" w:space="0" w:color="86BE57" w:themeColor="accent5"/>
      </w:tblBorders>
    </w:tblPr>
    <w:tblStylePr w:type="firstRow">
      <w:rPr>
        <w:b/>
        <w:bCs/>
        <w:color w:val="FFFFFF" w:themeColor="background1"/>
      </w:rPr>
      <w:tblPr/>
      <w:tcPr>
        <w:shd w:val="clear" w:color="auto" w:fill="86BE57" w:themeFill="accent5"/>
      </w:tcPr>
    </w:tblStylePr>
    <w:tblStylePr w:type="lastRow">
      <w:rPr>
        <w:b/>
        <w:bCs/>
      </w:rPr>
      <w:tblPr/>
      <w:tcPr>
        <w:tcBorders>
          <w:top w:val="double" w:sz="4" w:space="0" w:color="86BE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E57" w:themeColor="accent5"/>
          <w:right w:val="single" w:sz="4" w:space="0" w:color="86BE57" w:themeColor="accent5"/>
        </w:tcBorders>
      </w:tcPr>
    </w:tblStylePr>
    <w:tblStylePr w:type="band1Horz">
      <w:tblPr/>
      <w:tcPr>
        <w:tcBorders>
          <w:top w:val="single" w:sz="4" w:space="0" w:color="86BE57" w:themeColor="accent5"/>
          <w:bottom w:val="single" w:sz="4" w:space="0" w:color="86BE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E57" w:themeColor="accent5"/>
          <w:left w:val="nil"/>
        </w:tcBorders>
      </w:tcPr>
    </w:tblStylePr>
    <w:tblStylePr w:type="swCell">
      <w:tblPr/>
      <w:tcPr>
        <w:tcBorders>
          <w:top w:val="double" w:sz="4" w:space="0" w:color="86BE57" w:themeColor="accent5"/>
          <w:right w:val="nil"/>
        </w:tcBorders>
      </w:tcPr>
    </w:tblStylePr>
  </w:style>
  <w:style w:type="table" w:customStyle="1" w:styleId="ListTable3-Accent61">
    <w:name w:val="List Table 3 - Accent 61"/>
    <w:basedOn w:val="TableNormal"/>
    <w:uiPriority w:val="48"/>
    <w:semiHidden/>
    <w:rsid w:val="00A34D67"/>
    <w:pPr>
      <w:spacing w:line="240" w:lineRule="auto"/>
    </w:pPr>
    <w:tblPr>
      <w:tblStyleRowBandSize w:val="1"/>
      <w:tblStyleColBandSize w:val="1"/>
      <w:tblBorders>
        <w:top w:val="single" w:sz="4" w:space="0" w:color="788183" w:themeColor="accent6"/>
        <w:left w:val="single" w:sz="4" w:space="0" w:color="788183" w:themeColor="accent6"/>
        <w:bottom w:val="single" w:sz="4" w:space="0" w:color="788183" w:themeColor="accent6"/>
        <w:right w:val="single" w:sz="4" w:space="0" w:color="788183" w:themeColor="accent6"/>
      </w:tblBorders>
    </w:tblPr>
    <w:tblStylePr w:type="firstRow">
      <w:rPr>
        <w:b/>
        <w:bCs/>
        <w:color w:val="FFFFFF" w:themeColor="background1"/>
      </w:rPr>
      <w:tblPr/>
      <w:tcPr>
        <w:shd w:val="clear" w:color="auto" w:fill="788183" w:themeFill="accent6"/>
      </w:tcPr>
    </w:tblStylePr>
    <w:tblStylePr w:type="lastRow">
      <w:rPr>
        <w:b/>
        <w:bCs/>
      </w:rPr>
      <w:tblPr/>
      <w:tcPr>
        <w:tcBorders>
          <w:top w:val="double" w:sz="4" w:space="0" w:color="78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8183" w:themeColor="accent6"/>
          <w:right w:val="single" w:sz="4" w:space="0" w:color="788183" w:themeColor="accent6"/>
        </w:tcBorders>
      </w:tcPr>
    </w:tblStylePr>
    <w:tblStylePr w:type="band1Horz">
      <w:tblPr/>
      <w:tcPr>
        <w:tcBorders>
          <w:top w:val="single" w:sz="4" w:space="0" w:color="788183" w:themeColor="accent6"/>
          <w:bottom w:val="single" w:sz="4" w:space="0" w:color="78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8183" w:themeColor="accent6"/>
          <w:left w:val="nil"/>
        </w:tcBorders>
      </w:tcPr>
    </w:tblStylePr>
    <w:tblStylePr w:type="swCell">
      <w:tblPr/>
      <w:tcPr>
        <w:tcBorders>
          <w:top w:val="double" w:sz="4" w:space="0" w:color="788183" w:themeColor="accent6"/>
          <w:right w:val="nil"/>
        </w:tcBorders>
      </w:tcPr>
    </w:tblStylePr>
  </w:style>
  <w:style w:type="table" w:customStyle="1" w:styleId="ListTable41">
    <w:name w:val="List Table 41"/>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tcBorders>
        <w:shd w:val="clear" w:color="auto" w:fill="8D487F" w:themeFill="accent1"/>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4-Accent21">
    <w:name w:val="List Table 4 - Accent 21"/>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tcBorders>
        <w:shd w:val="clear" w:color="auto" w:fill="C64E45" w:themeFill="accent2"/>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4-Accent31">
    <w:name w:val="List Table 4 - Accent 31"/>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tcBorders>
        <w:shd w:val="clear" w:color="auto" w:fill="F1873D" w:themeFill="accent3"/>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4-Accent41">
    <w:name w:val="List Table 4 - Accent 41"/>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tcBorders>
        <w:shd w:val="clear" w:color="auto" w:fill="FCC648" w:themeFill="accent4"/>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4-Accent51">
    <w:name w:val="List Table 4 - Accent 51"/>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tcBorders>
        <w:shd w:val="clear" w:color="auto" w:fill="86BE57" w:themeFill="accent5"/>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4-Accent61">
    <w:name w:val="List Table 4 - Accent 61"/>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tcBorders>
        <w:shd w:val="clear" w:color="auto" w:fill="788183" w:themeFill="accent6"/>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5Dark1">
    <w:name w:val="List Table 5 Dark1"/>
    <w:basedOn w:val="TableNormal"/>
    <w:uiPriority w:val="50"/>
    <w:semiHidden/>
    <w:rsid w:val="00A34D6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D487F" w:themeColor="accent1"/>
        <w:left w:val="single" w:sz="24" w:space="0" w:color="8D487F" w:themeColor="accent1"/>
        <w:bottom w:val="single" w:sz="24" w:space="0" w:color="8D487F" w:themeColor="accent1"/>
        <w:right w:val="single" w:sz="24" w:space="0" w:color="8D487F" w:themeColor="accent1"/>
      </w:tblBorders>
    </w:tblPr>
    <w:tcPr>
      <w:shd w:val="clear" w:color="auto" w:fill="8D48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A34D67"/>
    <w:pPr>
      <w:spacing w:line="240" w:lineRule="auto"/>
    </w:pPr>
    <w:rPr>
      <w:color w:val="FFFFFF" w:themeColor="background1"/>
    </w:rPr>
    <w:tblPr>
      <w:tblStyleRowBandSize w:val="1"/>
      <w:tblStyleColBandSize w:val="1"/>
      <w:tblBorders>
        <w:top w:val="single" w:sz="24" w:space="0" w:color="C64E45" w:themeColor="accent2"/>
        <w:left w:val="single" w:sz="24" w:space="0" w:color="C64E45" w:themeColor="accent2"/>
        <w:bottom w:val="single" w:sz="24" w:space="0" w:color="C64E45" w:themeColor="accent2"/>
        <w:right w:val="single" w:sz="24" w:space="0" w:color="C64E45" w:themeColor="accent2"/>
      </w:tblBorders>
    </w:tblPr>
    <w:tcPr>
      <w:shd w:val="clear" w:color="auto" w:fill="C64E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A34D67"/>
    <w:pPr>
      <w:spacing w:line="240" w:lineRule="auto"/>
    </w:pPr>
    <w:rPr>
      <w:color w:val="FFFFFF" w:themeColor="background1"/>
    </w:rPr>
    <w:tblPr>
      <w:tblStyleRowBandSize w:val="1"/>
      <w:tblStyleColBandSize w:val="1"/>
      <w:tblBorders>
        <w:top w:val="single" w:sz="24" w:space="0" w:color="F1873D" w:themeColor="accent3"/>
        <w:left w:val="single" w:sz="24" w:space="0" w:color="F1873D" w:themeColor="accent3"/>
        <w:bottom w:val="single" w:sz="24" w:space="0" w:color="F1873D" w:themeColor="accent3"/>
        <w:right w:val="single" w:sz="24" w:space="0" w:color="F1873D" w:themeColor="accent3"/>
      </w:tblBorders>
    </w:tblPr>
    <w:tcPr>
      <w:shd w:val="clear" w:color="auto" w:fill="F187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A34D67"/>
    <w:pPr>
      <w:spacing w:line="240" w:lineRule="auto"/>
    </w:pPr>
    <w:rPr>
      <w:color w:val="FFFFFF" w:themeColor="background1"/>
    </w:rPr>
    <w:tblPr>
      <w:tblStyleRowBandSize w:val="1"/>
      <w:tblStyleColBandSize w:val="1"/>
      <w:tblBorders>
        <w:top w:val="single" w:sz="24" w:space="0" w:color="FCC648" w:themeColor="accent4"/>
        <w:left w:val="single" w:sz="24" w:space="0" w:color="FCC648" w:themeColor="accent4"/>
        <w:bottom w:val="single" w:sz="24" w:space="0" w:color="FCC648" w:themeColor="accent4"/>
        <w:right w:val="single" w:sz="24" w:space="0" w:color="FCC648" w:themeColor="accent4"/>
      </w:tblBorders>
    </w:tblPr>
    <w:tcPr>
      <w:shd w:val="clear" w:color="auto" w:fill="FCC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6BE57" w:themeColor="accent5"/>
        <w:left w:val="single" w:sz="24" w:space="0" w:color="86BE57" w:themeColor="accent5"/>
        <w:bottom w:val="single" w:sz="24" w:space="0" w:color="86BE57" w:themeColor="accent5"/>
        <w:right w:val="single" w:sz="24" w:space="0" w:color="86BE57" w:themeColor="accent5"/>
      </w:tblBorders>
    </w:tblPr>
    <w:tcPr>
      <w:shd w:val="clear" w:color="auto" w:fill="86BE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A34D67"/>
    <w:pPr>
      <w:spacing w:line="240" w:lineRule="auto"/>
    </w:pPr>
    <w:rPr>
      <w:color w:val="FFFFFF" w:themeColor="background1"/>
    </w:rPr>
    <w:tblPr>
      <w:tblStyleRowBandSize w:val="1"/>
      <w:tblStyleColBandSize w:val="1"/>
      <w:tblBorders>
        <w:top w:val="single" w:sz="24" w:space="0" w:color="788183" w:themeColor="accent6"/>
        <w:left w:val="single" w:sz="24" w:space="0" w:color="788183" w:themeColor="accent6"/>
        <w:bottom w:val="single" w:sz="24" w:space="0" w:color="788183" w:themeColor="accent6"/>
        <w:right w:val="single" w:sz="24" w:space="0" w:color="788183" w:themeColor="accent6"/>
      </w:tblBorders>
    </w:tblPr>
    <w:tcPr>
      <w:shd w:val="clear" w:color="auto" w:fill="7881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A34D6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8D487F" w:themeColor="accent1"/>
        <w:bottom w:val="single" w:sz="4" w:space="0" w:color="8D487F" w:themeColor="accent1"/>
      </w:tblBorders>
    </w:tblPr>
    <w:tblStylePr w:type="firstRow">
      <w:rPr>
        <w:b/>
        <w:bCs/>
      </w:rPr>
      <w:tblPr/>
      <w:tcPr>
        <w:tcBorders>
          <w:bottom w:val="single" w:sz="4" w:space="0" w:color="8D487F" w:themeColor="accent1"/>
        </w:tcBorders>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6Colorful-Accent21">
    <w:name w:val="List Table 6 Colorful - Accent 21"/>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C64E45" w:themeColor="accent2"/>
        <w:bottom w:val="single" w:sz="4" w:space="0" w:color="C64E45" w:themeColor="accent2"/>
      </w:tblBorders>
    </w:tblPr>
    <w:tblStylePr w:type="firstRow">
      <w:rPr>
        <w:b/>
        <w:bCs/>
      </w:rPr>
      <w:tblPr/>
      <w:tcPr>
        <w:tcBorders>
          <w:bottom w:val="single" w:sz="4" w:space="0" w:color="C64E45" w:themeColor="accent2"/>
        </w:tcBorders>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6Colorful-Accent31">
    <w:name w:val="List Table 6 Colorful - Accent 31"/>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1873D" w:themeColor="accent3"/>
        <w:bottom w:val="single" w:sz="4" w:space="0" w:color="F1873D" w:themeColor="accent3"/>
      </w:tblBorders>
    </w:tblPr>
    <w:tblStylePr w:type="firstRow">
      <w:rPr>
        <w:b/>
        <w:bCs/>
      </w:rPr>
      <w:tblPr/>
      <w:tcPr>
        <w:tcBorders>
          <w:bottom w:val="single" w:sz="4" w:space="0" w:color="F1873D" w:themeColor="accent3"/>
        </w:tcBorders>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6Colorful-Accent41">
    <w:name w:val="List Table 6 Colorful - Accent 41"/>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CC648" w:themeColor="accent4"/>
        <w:bottom w:val="single" w:sz="4" w:space="0" w:color="FCC648" w:themeColor="accent4"/>
      </w:tblBorders>
    </w:tblPr>
    <w:tblStylePr w:type="firstRow">
      <w:rPr>
        <w:b/>
        <w:bCs/>
      </w:rPr>
      <w:tblPr/>
      <w:tcPr>
        <w:tcBorders>
          <w:bottom w:val="single" w:sz="4" w:space="0" w:color="FCC648" w:themeColor="accent4"/>
        </w:tcBorders>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6Colorful-Accent51">
    <w:name w:val="List Table 6 Colorful - Accent 51"/>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86BE57" w:themeColor="accent5"/>
        <w:bottom w:val="single" w:sz="4" w:space="0" w:color="86BE57" w:themeColor="accent5"/>
      </w:tblBorders>
    </w:tblPr>
    <w:tblStylePr w:type="firstRow">
      <w:rPr>
        <w:b/>
        <w:bCs/>
      </w:rPr>
      <w:tblPr/>
      <w:tcPr>
        <w:tcBorders>
          <w:bottom w:val="single" w:sz="4" w:space="0" w:color="86BE57" w:themeColor="accent5"/>
        </w:tcBorders>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6Colorful-Accent61">
    <w:name w:val="List Table 6 Colorful - Accent 61"/>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788183" w:themeColor="accent6"/>
        <w:bottom w:val="single" w:sz="4" w:space="0" w:color="788183" w:themeColor="accent6"/>
      </w:tblBorders>
    </w:tblPr>
    <w:tblStylePr w:type="firstRow">
      <w:rPr>
        <w:b/>
        <w:bCs/>
      </w:rPr>
      <w:tblPr/>
      <w:tcPr>
        <w:tcBorders>
          <w:bottom w:val="single" w:sz="4" w:space="0" w:color="788183" w:themeColor="accent6"/>
        </w:tcBorders>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7Colorful1">
    <w:name w:val="List Table 7 Colorful1"/>
    <w:basedOn w:val="TableNormal"/>
    <w:uiPriority w:val="52"/>
    <w:semiHidden/>
    <w:rsid w:val="00A34D6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A34D67"/>
    <w:pPr>
      <w:spacing w:line="240" w:lineRule="auto"/>
    </w:pPr>
    <w:rPr>
      <w:color w:val="6936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48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48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48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487F" w:themeColor="accent1"/>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A34D67"/>
    <w:pPr>
      <w:spacing w:line="240" w:lineRule="auto"/>
    </w:pPr>
    <w:rPr>
      <w:color w:val="9836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4E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4E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4E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4E45" w:themeColor="accent2"/>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A34D67"/>
    <w:pPr>
      <w:spacing w:line="240" w:lineRule="auto"/>
    </w:pPr>
    <w:rPr>
      <w:color w:val="D25E0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87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87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87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873D" w:themeColor="accent3"/>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A34D67"/>
    <w:pPr>
      <w:spacing w:line="240" w:lineRule="auto"/>
    </w:pPr>
    <w:rPr>
      <w:color w:val="EEA70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648" w:themeColor="accent4"/>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A34D67"/>
    <w:pPr>
      <w:spacing w:line="240" w:lineRule="auto"/>
    </w:pPr>
    <w:rPr>
      <w:color w:val="63953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E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E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E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E57" w:themeColor="accent5"/>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A34D67"/>
    <w:pPr>
      <w:spacing w:line="240" w:lineRule="auto"/>
    </w:pPr>
    <w:rPr>
      <w:color w:val="5A60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81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81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81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8183" w:themeColor="accent6"/>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insideV w:val="single" w:sz="8" w:space="0" w:color="B36BA5" w:themeColor="accent1" w:themeTint="BF"/>
      </w:tblBorders>
    </w:tblPr>
    <w:tcPr>
      <w:shd w:val="clear" w:color="auto" w:fill="E6CEE1" w:themeFill="accent1" w:themeFillTint="3F"/>
    </w:tcPr>
    <w:tblStylePr w:type="firstRow">
      <w:rPr>
        <w:b/>
        <w:bCs/>
      </w:rPr>
    </w:tblStylePr>
    <w:tblStylePr w:type="lastRow">
      <w:rPr>
        <w:b/>
        <w:bCs/>
      </w:rPr>
      <w:tblPr/>
      <w:tcPr>
        <w:tcBorders>
          <w:top w:val="single" w:sz="18" w:space="0" w:color="B36BA5" w:themeColor="accent1" w:themeTint="BF"/>
        </w:tcBorders>
      </w:tcPr>
    </w:tblStylePr>
    <w:tblStylePr w:type="firstCol">
      <w:rPr>
        <w:b/>
        <w:bCs/>
      </w:rPr>
    </w:tblStylePr>
    <w:tblStylePr w:type="lastCol">
      <w:rPr>
        <w:b/>
        <w:bCs/>
      </w:r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MediumGrid1-Accent2">
    <w:name w:val="Medium Grid 1 Accent 2"/>
    <w:basedOn w:val="TableNormal"/>
    <w:uiPriority w:val="67"/>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insideV w:val="single" w:sz="8" w:space="0" w:color="D47973" w:themeColor="accent2" w:themeTint="BF"/>
      </w:tblBorders>
    </w:tblPr>
    <w:tcPr>
      <w:shd w:val="clear" w:color="auto" w:fill="F1D2D0" w:themeFill="accent2" w:themeFillTint="3F"/>
    </w:tcPr>
    <w:tblStylePr w:type="firstRow">
      <w:rPr>
        <w:b/>
        <w:bCs/>
      </w:rPr>
    </w:tblStylePr>
    <w:tblStylePr w:type="lastRow">
      <w:rPr>
        <w:b/>
        <w:bCs/>
      </w:rPr>
      <w:tblPr/>
      <w:tcPr>
        <w:tcBorders>
          <w:top w:val="single" w:sz="18" w:space="0" w:color="D47973" w:themeColor="accent2" w:themeTint="BF"/>
        </w:tcBorders>
      </w:tcPr>
    </w:tblStylePr>
    <w:tblStylePr w:type="firstCol">
      <w:rPr>
        <w:b/>
        <w:bCs/>
      </w:rPr>
    </w:tblStylePr>
    <w:tblStylePr w:type="lastCol">
      <w:rPr>
        <w:b/>
        <w:bCs/>
      </w:r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MediumGrid1-Accent3">
    <w:name w:val="Medium Grid 1 Accent 3"/>
    <w:basedOn w:val="TableNormal"/>
    <w:uiPriority w:val="67"/>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insideV w:val="single" w:sz="8" w:space="0" w:color="F4A46D" w:themeColor="accent3" w:themeTint="BF"/>
      </w:tblBorders>
    </w:tblPr>
    <w:tcPr>
      <w:shd w:val="clear" w:color="auto" w:fill="FBE1CE" w:themeFill="accent3" w:themeFillTint="3F"/>
    </w:tcPr>
    <w:tblStylePr w:type="firstRow">
      <w:rPr>
        <w:b/>
        <w:bCs/>
      </w:rPr>
    </w:tblStylePr>
    <w:tblStylePr w:type="lastRow">
      <w:rPr>
        <w:b/>
        <w:bCs/>
      </w:rPr>
      <w:tblPr/>
      <w:tcPr>
        <w:tcBorders>
          <w:top w:val="single" w:sz="18" w:space="0" w:color="F4A46D" w:themeColor="accent3" w:themeTint="BF"/>
        </w:tcBorders>
      </w:tcPr>
    </w:tblStylePr>
    <w:tblStylePr w:type="firstCol">
      <w:rPr>
        <w:b/>
        <w:bCs/>
      </w:rPr>
    </w:tblStylePr>
    <w:tblStylePr w:type="lastCol">
      <w:rPr>
        <w:b/>
        <w:bCs/>
      </w:r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MediumGrid1-Accent4">
    <w:name w:val="Medium Grid 1 Accent 4"/>
    <w:basedOn w:val="TableNormal"/>
    <w:uiPriority w:val="67"/>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insideV w:val="single" w:sz="8" w:space="0" w:color="FCD475" w:themeColor="accent4" w:themeTint="BF"/>
      </w:tblBorders>
    </w:tblPr>
    <w:tcPr>
      <w:shd w:val="clear" w:color="auto" w:fill="FEF0D1" w:themeFill="accent4" w:themeFillTint="3F"/>
    </w:tcPr>
    <w:tblStylePr w:type="firstRow">
      <w:rPr>
        <w:b/>
        <w:bCs/>
      </w:rPr>
    </w:tblStylePr>
    <w:tblStylePr w:type="lastRow">
      <w:rPr>
        <w:b/>
        <w:bCs/>
      </w:rPr>
      <w:tblPr/>
      <w:tcPr>
        <w:tcBorders>
          <w:top w:val="single" w:sz="18" w:space="0" w:color="FCD475" w:themeColor="accent4" w:themeTint="BF"/>
        </w:tcBorders>
      </w:tcPr>
    </w:tblStylePr>
    <w:tblStylePr w:type="firstCol">
      <w:rPr>
        <w:b/>
        <w:bCs/>
      </w:rPr>
    </w:tblStylePr>
    <w:tblStylePr w:type="lastCol">
      <w:rPr>
        <w:b/>
        <w:bCs/>
      </w:r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MediumGrid1-Accent5">
    <w:name w:val="Medium Grid 1 Accent 5"/>
    <w:basedOn w:val="TableNormal"/>
    <w:uiPriority w:val="67"/>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insideV w:val="single" w:sz="8" w:space="0" w:color="A4CE81" w:themeColor="accent5" w:themeTint="BF"/>
      </w:tblBorders>
    </w:tblPr>
    <w:tcPr>
      <w:shd w:val="clear" w:color="auto" w:fill="E1EFD5" w:themeFill="accent5" w:themeFillTint="3F"/>
    </w:tcPr>
    <w:tblStylePr w:type="firstRow">
      <w:rPr>
        <w:b/>
        <w:bCs/>
      </w:rPr>
    </w:tblStylePr>
    <w:tblStylePr w:type="lastRow">
      <w:rPr>
        <w:b/>
        <w:bCs/>
      </w:rPr>
      <w:tblPr/>
      <w:tcPr>
        <w:tcBorders>
          <w:top w:val="single" w:sz="18" w:space="0" w:color="A4CE81" w:themeColor="accent5" w:themeTint="BF"/>
        </w:tcBorders>
      </w:tcPr>
    </w:tblStylePr>
    <w:tblStylePr w:type="firstCol">
      <w:rPr>
        <w:b/>
        <w:bCs/>
      </w:rPr>
    </w:tblStylePr>
    <w:tblStylePr w:type="lastCol">
      <w:rPr>
        <w:b/>
        <w:bCs/>
      </w:r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MediumGrid1-Accent6">
    <w:name w:val="Medium Grid 1 Accent 6"/>
    <w:basedOn w:val="TableNormal"/>
    <w:uiPriority w:val="67"/>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insideV w:val="single" w:sz="8" w:space="0" w:color="99A0A2" w:themeColor="accent6" w:themeTint="BF"/>
      </w:tblBorders>
    </w:tblPr>
    <w:tcPr>
      <w:shd w:val="clear" w:color="auto" w:fill="DDDFE0" w:themeFill="accent6" w:themeFillTint="3F"/>
    </w:tcPr>
    <w:tblStylePr w:type="firstRow">
      <w:rPr>
        <w:b/>
        <w:bCs/>
      </w:rPr>
    </w:tblStylePr>
    <w:tblStylePr w:type="lastRow">
      <w:rPr>
        <w:b/>
        <w:bCs/>
      </w:rPr>
      <w:tblPr/>
      <w:tcPr>
        <w:tcBorders>
          <w:top w:val="single" w:sz="18" w:space="0" w:color="99A0A2" w:themeColor="accent6" w:themeTint="BF"/>
        </w:tcBorders>
      </w:tcPr>
    </w:tblStylePr>
    <w:tblStylePr w:type="firstCol">
      <w:rPr>
        <w:b/>
        <w:bCs/>
      </w:rPr>
    </w:tblStylePr>
    <w:tblStylePr w:type="lastCol">
      <w:rPr>
        <w:b/>
        <w:bCs/>
      </w:r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MediumGrid2">
    <w:name w:val="Medium Grid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cPr>
      <w:shd w:val="clear" w:color="auto" w:fill="E6CEE1" w:themeFill="accent1" w:themeFillTint="3F"/>
    </w:tcPr>
    <w:tblStylePr w:type="firstRow">
      <w:rPr>
        <w:b/>
        <w:bCs/>
        <w:color w:val="000000" w:themeColor="text1"/>
      </w:rPr>
      <w:tblPr/>
      <w:tcPr>
        <w:shd w:val="clear" w:color="auto" w:fill="F5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7E6" w:themeFill="accent1" w:themeFillTint="33"/>
      </w:tcPr>
    </w:tblStylePr>
    <w:tblStylePr w:type="band1Vert">
      <w:tblPr/>
      <w:tcPr>
        <w:shd w:val="clear" w:color="auto" w:fill="CD9DC3" w:themeFill="accent1" w:themeFillTint="7F"/>
      </w:tcPr>
    </w:tblStylePr>
    <w:tblStylePr w:type="band1Horz">
      <w:tblPr/>
      <w:tcPr>
        <w:tcBorders>
          <w:insideH w:val="single" w:sz="6" w:space="0" w:color="8D487F" w:themeColor="accent1"/>
          <w:insideV w:val="single" w:sz="6" w:space="0" w:color="8D487F" w:themeColor="accent1"/>
        </w:tcBorders>
        <w:shd w:val="clear" w:color="auto" w:fill="CD9D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cPr>
      <w:shd w:val="clear" w:color="auto" w:fill="F1D2D0" w:themeFill="accent2" w:themeFillTint="3F"/>
    </w:tcPr>
    <w:tblStylePr w:type="firstRow">
      <w:rPr>
        <w:b/>
        <w:bCs/>
        <w:color w:val="000000" w:themeColor="text1"/>
      </w:rPr>
      <w:tblPr/>
      <w:tcPr>
        <w:shd w:val="clear" w:color="auto" w:fill="F9ED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D9" w:themeFill="accent2" w:themeFillTint="33"/>
      </w:tcPr>
    </w:tblStylePr>
    <w:tblStylePr w:type="band1Vert">
      <w:tblPr/>
      <w:tcPr>
        <w:shd w:val="clear" w:color="auto" w:fill="E2A6A2" w:themeFill="accent2" w:themeFillTint="7F"/>
      </w:tcPr>
    </w:tblStylePr>
    <w:tblStylePr w:type="band1Horz">
      <w:tblPr/>
      <w:tcPr>
        <w:tcBorders>
          <w:insideH w:val="single" w:sz="6" w:space="0" w:color="C64E45" w:themeColor="accent2"/>
          <w:insideV w:val="single" w:sz="6" w:space="0" w:color="C64E45" w:themeColor="accent2"/>
        </w:tcBorders>
        <w:shd w:val="clear" w:color="auto" w:fill="E2A6A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cPr>
      <w:shd w:val="clear" w:color="auto" w:fill="FBE1CE" w:themeFill="accent3" w:themeFillTint="3F"/>
    </w:tcPr>
    <w:tblStylePr w:type="firstRow">
      <w:rPr>
        <w:b/>
        <w:bCs/>
        <w:color w:val="000000" w:themeColor="text1"/>
      </w:rPr>
      <w:tblPr/>
      <w:tcPr>
        <w:shd w:val="clear" w:color="auto" w:fill="FD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6D8" w:themeFill="accent3" w:themeFillTint="33"/>
      </w:tcPr>
    </w:tblStylePr>
    <w:tblStylePr w:type="band1Vert">
      <w:tblPr/>
      <w:tcPr>
        <w:shd w:val="clear" w:color="auto" w:fill="F8C29E" w:themeFill="accent3" w:themeFillTint="7F"/>
      </w:tcPr>
    </w:tblStylePr>
    <w:tblStylePr w:type="band1Horz">
      <w:tblPr/>
      <w:tcPr>
        <w:tcBorders>
          <w:insideH w:val="single" w:sz="6" w:space="0" w:color="F1873D" w:themeColor="accent3"/>
          <w:insideV w:val="single" w:sz="6" w:space="0" w:color="F1873D" w:themeColor="accent3"/>
        </w:tcBorders>
        <w:shd w:val="clear" w:color="auto" w:fill="F8C2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cPr>
      <w:shd w:val="clear" w:color="auto" w:fill="FEF0D1" w:themeFill="accent4" w:themeFillTint="3F"/>
    </w:tcPr>
    <w:tblStylePr w:type="firstRow">
      <w:rPr>
        <w:b/>
        <w:bCs/>
        <w:color w:val="000000" w:themeColor="text1"/>
      </w:rPr>
      <w:tblPr/>
      <w:tcPr>
        <w:shd w:val="clear" w:color="auto" w:fill="FEF9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A" w:themeFill="accent4" w:themeFillTint="33"/>
      </w:tcPr>
    </w:tblStylePr>
    <w:tblStylePr w:type="band1Vert">
      <w:tblPr/>
      <w:tcPr>
        <w:shd w:val="clear" w:color="auto" w:fill="FDE2A3" w:themeFill="accent4" w:themeFillTint="7F"/>
      </w:tcPr>
    </w:tblStylePr>
    <w:tblStylePr w:type="band1Horz">
      <w:tblPr/>
      <w:tcPr>
        <w:tcBorders>
          <w:insideH w:val="single" w:sz="6" w:space="0" w:color="FCC648" w:themeColor="accent4"/>
          <w:insideV w:val="single" w:sz="6" w:space="0" w:color="FCC648" w:themeColor="accent4"/>
        </w:tcBorders>
        <w:shd w:val="clear" w:color="auto" w:fill="FDE2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cPr>
      <w:shd w:val="clear" w:color="auto" w:fill="E1EFD5" w:themeFill="accent5" w:themeFillTint="3F"/>
    </w:tcPr>
    <w:tblStylePr w:type="firstRow">
      <w:rPr>
        <w:b/>
        <w:bCs/>
        <w:color w:val="000000" w:themeColor="text1"/>
      </w:rPr>
      <w:tblPr/>
      <w:tcPr>
        <w:shd w:val="clear" w:color="auto" w:fill="F3F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2DD" w:themeFill="accent5" w:themeFillTint="33"/>
      </w:tcPr>
    </w:tblStylePr>
    <w:tblStylePr w:type="band1Vert">
      <w:tblPr/>
      <w:tcPr>
        <w:shd w:val="clear" w:color="auto" w:fill="C2DEAB" w:themeFill="accent5" w:themeFillTint="7F"/>
      </w:tcPr>
    </w:tblStylePr>
    <w:tblStylePr w:type="band1Horz">
      <w:tblPr/>
      <w:tcPr>
        <w:tcBorders>
          <w:insideH w:val="single" w:sz="6" w:space="0" w:color="86BE57" w:themeColor="accent5"/>
          <w:insideV w:val="single" w:sz="6" w:space="0" w:color="86BE57" w:themeColor="accent5"/>
        </w:tcBorders>
        <w:shd w:val="clear" w:color="auto" w:fill="C2DE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cPr>
      <w:shd w:val="clear" w:color="auto" w:fill="DDDFE0" w:themeFill="accent6" w:themeFillTint="3F"/>
    </w:tcPr>
    <w:tblStylePr w:type="firstRow">
      <w:rPr>
        <w:b/>
        <w:bCs/>
        <w:color w:val="000000" w:themeColor="text1"/>
      </w:rPr>
      <w:tblPr/>
      <w:tcPr>
        <w:shd w:val="clear" w:color="auto" w:fill="F1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5E6" w:themeFill="accent6" w:themeFillTint="33"/>
      </w:tcPr>
    </w:tblStylePr>
    <w:tblStylePr w:type="band1Vert">
      <w:tblPr/>
      <w:tcPr>
        <w:shd w:val="clear" w:color="auto" w:fill="BBC0C1" w:themeFill="accent6" w:themeFillTint="7F"/>
      </w:tcPr>
    </w:tblStylePr>
    <w:tblStylePr w:type="band1Horz">
      <w:tblPr/>
      <w:tcPr>
        <w:tcBorders>
          <w:insideH w:val="single" w:sz="6" w:space="0" w:color="788183" w:themeColor="accent6"/>
          <w:insideV w:val="single" w:sz="6" w:space="0" w:color="788183" w:themeColor="accent6"/>
        </w:tcBorders>
        <w:shd w:val="clear" w:color="auto" w:fill="BBC0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CE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48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48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9D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9DC3" w:themeFill="accent1" w:themeFillTint="7F"/>
      </w:tcPr>
    </w:tblStylePr>
  </w:style>
  <w:style w:type="table" w:styleId="MediumGrid3-Accent2">
    <w:name w:val="Medium Grid 3 Accent 2"/>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2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4E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4E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6A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6A2" w:themeFill="accent2" w:themeFillTint="7F"/>
      </w:tcPr>
    </w:tblStylePr>
  </w:style>
  <w:style w:type="table" w:styleId="MediumGrid3-Accent3">
    <w:name w:val="Medium Grid 3 Accent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7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7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29E" w:themeFill="accent3" w:themeFillTint="7F"/>
      </w:tcPr>
    </w:tblStylePr>
  </w:style>
  <w:style w:type="table" w:styleId="MediumGrid3-Accent4">
    <w:name w:val="Medium Grid 3 Accent 4"/>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2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2A3" w:themeFill="accent4" w:themeFillTint="7F"/>
      </w:tcPr>
    </w:tblStylePr>
  </w:style>
  <w:style w:type="table" w:styleId="MediumGrid3-Accent5">
    <w:name w:val="Medium Grid 3 Accent 5"/>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E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E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E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EAB" w:themeFill="accent5" w:themeFillTint="7F"/>
      </w:tcPr>
    </w:tblStylePr>
  </w:style>
  <w:style w:type="table" w:styleId="MediumGrid3-Accent6">
    <w:name w:val="Medium Grid 3 Accent 6"/>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C0C1" w:themeFill="accent6" w:themeFillTint="7F"/>
      </w:tcPr>
    </w:tblStylePr>
  </w:style>
  <w:style w:type="table" w:styleId="MediumList1">
    <w:name w:val="Medium List 1"/>
    <w:basedOn w:val="TableNormal"/>
    <w:uiPriority w:val="65"/>
    <w:semiHidden/>
    <w:rsid w:val="00A34D6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78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34D67"/>
    <w:pPr>
      <w:spacing w:line="240" w:lineRule="auto"/>
    </w:pPr>
    <w:rPr>
      <w:color w:val="000000" w:themeColor="text1"/>
    </w:rPr>
    <w:tblPr>
      <w:tblStyleRowBandSize w:val="1"/>
      <w:tblStyleColBandSize w:val="1"/>
      <w:tblBorders>
        <w:top w:val="single" w:sz="8" w:space="0" w:color="8D487F" w:themeColor="accent1"/>
        <w:bottom w:val="single" w:sz="8" w:space="0" w:color="8D487F" w:themeColor="accent1"/>
      </w:tblBorders>
    </w:tblPr>
    <w:tblStylePr w:type="firstRow">
      <w:rPr>
        <w:rFonts w:asciiTheme="majorHAnsi" w:eastAsiaTheme="majorEastAsia" w:hAnsiTheme="majorHAnsi" w:cstheme="majorBidi"/>
      </w:rPr>
      <w:tblPr/>
      <w:tcPr>
        <w:tcBorders>
          <w:top w:val="nil"/>
          <w:bottom w:val="single" w:sz="8" w:space="0" w:color="8D487F" w:themeColor="accent1"/>
        </w:tcBorders>
      </w:tcPr>
    </w:tblStylePr>
    <w:tblStylePr w:type="lastRow">
      <w:rPr>
        <w:b/>
        <w:bCs/>
        <w:color w:val="9778B4" w:themeColor="text2"/>
      </w:rPr>
      <w:tblPr/>
      <w:tcPr>
        <w:tcBorders>
          <w:top w:val="single" w:sz="8" w:space="0" w:color="8D487F" w:themeColor="accent1"/>
          <w:bottom w:val="single" w:sz="8" w:space="0" w:color="8D487F" w:themeColor="accent1"/>
        </w:tcBorders>
      </w:tcPr>
    </w:tblStylePr>
    <w:tblStylePr w:type="firstCol">
      <w:rPr>
        <w:b/>
        <w:bCs/>
      </w:rPr>
    </w:tblStylePr>
    <w:tblStylePr w:type="lastCol">
      <w:rPr>
        <w:b/>
        <w:bCs/>
      </w:rPr>
      <w:tblPr/>
      <w:tcPr>
        <w:tcBorders>
          <w:top w:val="single" w:sz="8" w:space="0" w:color="8D487F" w:themeColor="accent1"/>
          <w:bottom w:val="single" w:sz="8" w:space="0" w:color="8D487F" w:themeColor="accent1"/>
        </w:tcBorders>
      </w:tcPr>
    </w:tblStylePr>
    <w:tblStylePr w:type="band1Vert">
      <w:tblPr/>
      <w:tcPr>
        <w:shd w:val="clear" w:color="auto" w:fill="E6CEE1" w:themeFill="accent1" w:themeFillTint="3F"/>
      </w:tcPr>
    </w:tblStylePr>
    <w:tblStylePr w:type="band1Horz">
      <w:tblPr/>
      <w:tcPr>
        <w:shd w:val="clear" w:color="auto" w:fill="E6CEE1" w:themeFill="accent1" w:themeFillTint="3F"/>
      </w:tcPr>
    </w:tblStylePr>
  </w:style>
  <w:style w:type="table" w:styleId="MediumList1-Accent2">
    <w:name w:val="Medium List 1 Accent 2"/>
    <w:basedOn w:val="TableNormal"/>
    <w:uiPriority w:val="65"/>
    <w:semiHidden/>
    <w:rsid w:val="00A34D67"/>
    <w:pPr>
      <w:spacing w:line="240" w:lineRule="auto"/>
    </w:pPr>
    <w:rPr>
      <w:color w:val="000000" w:themeColor="text1"/>
    </w:rPr>
    <w:tblPr>
      <w:tblStyleRowBandSize w:val="1"/>
      <w:tblStyleColBandSize w:val="1"/>
      <w:tblBorders>
        <w:top w:val="single" w:sz="8" w:space="0" w:color="C64E45" w:themeColor="accent2"/>
        <w:bottom w:val="single" w:sz="8" w:space="0" w:color="C64E45" w:themeColor="accent2"/>
      </w:tblBorders>
    </w:tblPr>
    <w:tblStylePr w:type="firstRow">
      <w:rPr>
        <w:rFonts w:asciiTheme="majorHAnsi" w:eastAsiaTheme="majorEastAsia" w:hAnsiTheme="majorHAnsi" w:cstheme="majorBidi"/>
      </w:rPr>
      <w:tblPr/>
      <w:tcPr>
        <w:tcBorders>
          <w:top w:val="nil"/>
          <w:bottom w:val="single" w:sz="8" w:space="0" w:color="C64E45" w:themeColor="accent2"/>
        </w:tcBorders>
      </w:tcPr>
    </w:tblStylePr>
    <w:tblStylePr w:type="lastRow">
      <w:rPr>
        <w:b/>
        <w:bCs/>
        <w:color w:val="9778B4" w:themeColor="text2"/>
      </w:rPr>
      <w:tblPr/>
      <w:tcPr>
        <w:tcBorders>
          <w:top w:val="single" w:sz="8" w:space="0" w:color="C64E45" w:themeColor="accent2"/>
          <w:bottom w:val="single" w:sz="8" w:space="0" w:color="C64E45" w:themeColor="accent2"/>
        </w:tcBorders>
      </w:tcPr>
    </w:tblStylePr>
    <w:tblStylePr w:type="firstCol">
      <w:rPr>
        <w:b/>
        <w:bCs/>
      </w:rPr>
    </w:tblStylePr>
    <w:tblStylePr w:type="lastCol">
      <w:rPr>
        <w:b/>
        <w:bCs/>
      </w:rPr>
      <w:tblPr/>
      <w:tcPr>
        <w:tcBorders>
          <w:top w:val="single" w:sz="8" w:space="0" w:color="C64E45" w:themeColor="accent2"/>
          <w:bottom w:val="single" w:sz="8" w:space="0" w:color="C64E45" w:themeColor="accent2"/>
        </w:tcBorders>
      </w:tcPr>
    </w:tblStylePr>
    <w:tblStylePr w:type="band1Vert">
      <w:tblPr/>
      <w:tcPr>
        <w:shd w:val="clear" w:color="auto" w:fill="F1D2D0" w:themeFill="accent2" w:themeFillTint="3F"/>
      </w:tcPr>
    </w:tblStylePr>
    <w:tblStylePr w:type="band1Horz">
      <w:tblPr/>
      <w:tcPr>
        <w:shd w:val="clear" w:color="auto" w:fill="F1D2D0" w:themeFill="accent2" w:themeFillTint="3F"/>
      </w:tcPr>
    </w:tblStylePr>
  </w:style>
  <w:style w:type="table" w:styleId="MediumList1-Accent3">
    <w:name w:val="Medium List 1 Accent 3"/>
    <w:basedOn w:val="TableNormal"/>
    <w:uiPriority w:val="65"/>
    <w:semiHidden/>
    <w:rsid w:val="00A34D67"/>
    <w:pPr>
      <w:spacing w:line="240" w:lineRule="auto"/>
    </w:pPr>
    <w:rPr>
      <w:color w:val="000000" w:themeColor="text1"/>
    </w:rPr>
    <w:tblPr>
      <w:tblStyleRowBandSize w:val="1"/>
      <w:tblStyleColBandSize w:val="1"/>
      <w:tblBorders>
        <w:top w:val="single" w:sz="8" w:space="0" w:color="F1873D" w:themeColor="accent3"/>
        <w:bottom w:val="single" w:sz="8" w:space="0" w:color="F1873D" w:themeColor="accent3"/>
      </w:tblBorders>
    </w:tblPr>
    <w:tblStylePr w:type="firstRow">
      <w:rPr>
        <w:rFonts w:asciiTheme="majorHAnsi" w:eastAsiaTheme="majorEastAsia" w:hAnsiTheme="majorHAnsi" w:cstheme="majorBidi"/>
      </w:rPr>
      <w:tblPr/>
      <w:tcPr>
        <w:tcBorders>
          <w:top w:val="nil"/>
          <w:bottom w:val="single" w:sz="8" w:space="0" w:color="F1873D" w:themeColor="accent3"/>
        </w:tcBorders>
      </w:tcPr>
    </w:tblStylePr>
    <w:tblStylePr w:type="lastRow">
      <w:rPr>
        <w:b/>
        <w:bCs/>
        <w:color w:val="9778B4" w:themeColor="text2"/>
      </w:rPr>
      <w:tblPr/>
      <w:tcPr>
        <w:tcBorders>
          <w:top w:val="single" w:sz="8" w:space="0" w:color="F1873D" w:themeColor="accent3"/>
          <w:bottom w:val="single" w:sz="8" w:space="0" w:color="F1873D" w:themeColor="accent3"/>
        </w:tcBorders>
      </w:tcPr>
    </w:tblStylePr>
    <w:tblStylePr w:type="firstCol">
      <w:rPr>
        <w:b/>
        <w:bCs/>
      </w:rPr>
    </w:tblStylePr>
    <w:tblStylePr w:type="lastCol">
      <w:rPr>
        <w:b/>
        <w:bCs/>
      </w:rPr>
      <w:tblPr/>
      <w:tcPr>
        <w:tcBorders>
          <w:top w:val="single" w:sz="8" w:space="0" w:color="F1873D" w:themeColor="accent3"/>
          <w:bottom w:val="single" w:sz="8" w:space="0" w:color="F1873D" w:themeColor="accent3"/>
        </w:tcBorders>
      </w:tcPr>
    </w:tblStylePr>
    <w:tblStylePr w:type="band1Vert">
      <w:tblPr/>
      <w:tcPr>
        <w:shd w:val="clear" w:color="auto" w:fill="FBE1CE" w:themeFill="accent3" w:themeFillTint="3F"/>
      </w:tcPr>
    </w:tblStylePr>
    <w:tblStylePr w:type="band1Horz">
      <w:tblPr/>
      <w:tcPr>
        <w:shd w:val="clear" w:color="auto" w:fill="FBE1CE" w:themeFill="accent3" w:themeFillTint="3F"/>
      </w:tcPr>
    </w:tblStylePr>
  </w:style>
  <w:style w:type="table" w:styleId="MediumList1-Accent4">
    <w:name w:val="Medium List 1 Accent 4"/>
    <w:basedOn w:val="TableNormal"/>
    <w:uiPriority w:val="65"/>
    <w:semiHidden/>
    <w:rsid w:val="00A34D67"/>
    <w:pPr>
      <w:spacing w:line="240" w:lineRule="auto"/>
    </w:pPr>
    <w:rPr>
      <w:color w:val="000000" w:themeColor="text1"/>
    </w:rPr>
    <w:tblPr>
      <w:tblStyleRowBandSize w:val="1"/>
      <w:tblStyleColBandSize w:val="1"/>
      <w:tblBorders>
        <w:top w:val="single" w:sz="8" w:space="0" w:color="FCC648" w:themeColor="accent4"/>
        <w:bottom w:val="single" w:sz="8" w:space="0" w:color="FCC648" w:themeColor="accent4"/>
      </w:tblBorders>
    </w:tblPr>
    <w:tblStylePr w:type="firstRow">
      <w:rPr>
        <w:rFonts w:asciiTheme="majorHAnsi" w:eastAsiaTheme="majorEastAsia" w:hAnsiTheme="majorHAnsi" w:cstheme="majorBidi"/>
      </w:rPr>
      <w:tblPr/>
      <w:tcPr>
        <w:tcBorders>
          <w:top w:val="nil"/>
          <w:bottom w:val="single" w:sz="8" w:space="0" w:color="FCC648" w:themeColor="accent4"/>
        </w:tcBorders>
      </w:tcPr>
    </w:tblStylePr>
    <w:tblStylePr w:type="lastRow">
      <w:rPr>
        <w:b/>
        <w:bCs/>
        <w:color w:val="9778B4" w:themeColor="text2"/>
      </w:rPr>
      <w:tblPr/>
      <w:tcPr>
        <w:tcBorders>
          <w:top w:val="single" w:sz="8" w:space="0" w:color="FCC648" w:themeColor="accent4"/>
          <w:bottom w:val="single" w:sz="8" w:space="0" w:color="FCC648" w:themeColor="accent4"/>
        </w:tcBorders>
      </w:tcPr>
    </w:tblStylePr>
    <w:tblStylePr w:type="firstCol">
      <w:rPr>
        <w:b/>
        <w:bCs/>
      </w:rPr>
    </w:tblStylePr>
    <w:tblStylePr w:type="lastCol">
      <w:rPr>
        <w:b/>
        <w:bCs/>
      </w:rPr>
      <w:tblPr/>
      <w:tcPr>
        <w:tcBorders>
          <w:top w:val="single" w:sz="8" w:space="0" w:color="FCC648" w:themeColor="accent4"/>
          <w:bottom w:val="single" w:sz="8" w:space="0" w:color="FCC648" w:themeColor="accent4"/>
        </w:tcBorders>
      </w:tcPr>
    </w:tblStylePr>
    <w:tblStylePr w:type="band1Vert">
      <w:tblPr/>
      <w:tcPr>
        <w:shd w:val="clear" w:color="auto" w:fill="FEF0D1" w:themeFill="accent4" w:themeFillTint="3F"/>
      </w:tcPr>
    </w:tblStylePr>
    <w:tblStylePr w:type="band1Horz">
      <w:tblPr/>
      <w:tcPr>
        <w:shd w:val="clear" w:color="auto" w:fill="FEF0D1" w:themeFill="accent4" w:themeFillTint="3F"/>
      </w:tcPr>
    </w:tblStylePr>
  </w:style>
  <w:style w:type="table" w:styleId="MediumList1-Accent5">
    <w:name w:val="Medium List 1 Accent 5"/>
    <w:basedOn w:val="TableNormal"/>
    <w:uiPriority w:val="65"/>
    <w:semiHidden/>
    <w:rsid w:val="00A34D67"/>
    <w:pPr>
      <w:spacing w:line="240" w:lineRule="auto"/>
    </w:pPr>
    <w:rPr>
      <w:color w:val="000000" w:themeColor="text1"/>
    </w:rPr>
    <w:tblPr>
      <w:tblStyleRowBandSize w:val="1"/>
      <w:tblStyleColBandSize w:val="1"/>
      <w:tblBorders>
        <w:top w:val="single" w:sz="8" w:space="0" w:color="86BE57" w:themeColor="accent5"/>
        <w:bottom w:val="single" w:sz="8" w:space="0" w:color="86BE57" w:themeColor="accent5"/>
      </w:tblBorders>
    </w:tblPr>
    <w:tblStylePr w:type="firstRow">
      <w:rPr>
        <w:rFonts w:asciiTheme="majorHAnsi" w:eastAsiaTheme="majorEastAsia" w:hAnsiTheme="majorHAnsi" w:cstheme="majorBidi"/>
      </w:rPr>
      <w:tblPr/>
      <w:tcPr>
        <w:tcBorders>
          <w:top w:val="nil"/>
          <w:bottom w:val="single" w:sz="8" w:space="0" w:color="86BE57" w:themeColor="accent5"/>
        </w:tcBorders>
      </w:tcPr>
    </w:tblStylePr>
    <w:tblStylePr w:type="lastRow">
      <w:rPr>
        <w:b/>
        <w:bCs/>
        <w:color w:val="9778B4" w:themeColor="text2"/>
      </w:rPr>
      <w:tblPr/>
      <w:tcPr>
        <w:tcBorders>
          <w:top w:val="single" w:sz="8" w:space="0" w:color="86BE57" w:themeColor="accent5"/>
          <w:bottom w:val="single" w:sz="8" w:space="0" w:color="86BE57" w:themeColor="accent5"/>
        </w:tcBorders>
      </w:tcPr>
    </w:tblStylePr>
    <w:tblStylePr w:type="firstCol">
      <w:rPr>
        <w:b/>
        <w:bCs/>
      </w:rPr>
    </w:tblStylePr>
    <w:tblStylePr w:type="lastCol">
      <w:rPr>
        <w:b/>
        <w:bCs/>
      </w:rPr>
      <w:tblPr/>
      <w:tcPr>
        <w:tcBorders>
          <w:top w:val="single" w:sz="8" w:space="0" w:color="86BE57" w:themeColor="accent5"/>
          <w:bottom w:val="single" w:sz="8" w:space="0" w:color="86BE57" w:themeColor="accent5"/>
        </w:tcBorders>
      </w:tcPr>
    </w:tblStylePr>
    <w:tblStylePr w:type="band1Vert">
      <w:tblPr/>
      <w:tcPr>
        <w:shd w:val="clear" w:color="auto" w:fill="E1EFD5" w:themeFill="accent5" w:themeFillTint="3F"/>
      </w:tcPr>
    </w:tblStylePr>
    <w:tblStylePr w:type="band1Horz">
      <w:tblPr/>
      <w:tcPr>
        <w:shd w:val="clear" w:color="auto" w:fill="E1EFD5" w:themeFill="accent5" w:themeFillTint="3F"/>
      </w:tcPr>
    </w:tblStylePr>
  </w:style>
  <w:style w:type="table" w:styleId="MediumList1-Accent6">
    <w:name w:val="Medium List 1 Accent 6"/>
    <w:basedOn w:val="TableNormal"/>
    <w:uiPriority w:val="65"/>
    <w:semiHidden/>
    <w:rsid w:val="00A34D67"/>
    <w:pPr>
      <w:spacing w:line="240" w:lineRule="auto"/>
    </w:pPr>
    <w:rPr>
      <w:color w:val="000000" w:themeColor="text1"/>
    </w:rPr>
    <w:tblPr>
      <w:tblStyleRowBandSize w:val="1"/>
      <w:tblStyleColBandSize w:val="1"/>
      <w:tblBorders>
        <w:top w:val="single" w:sz="8" w:space="0" w:color="788183" w:themeColor="accent6"/>
        <w:bottom w:val="single" w:sz="8" w:space="0" w:color="788183" w:themeColor="accent6"/>
      </w:tblBorders>
    </w:tblPr>
    <w:tblStylePr w:type="firstRow">
      <w:rPr>
        <w:rFonts w:asciiTheme="majorHAnsi" w:eastAsiaTheme="majorEastAsia" w:hAnsiTheme="majorHAnsi" w:cstheme="majorBidi"/>
      </w:rPr>
      <w:tblPr/>
      <w:tcPr>
        <w:tcBorders>
          <w:top w:val="nil"/>
          <w:bottom w:val="single" w:sz="8" w:space="0" w:color="788183" w:themeColor="accent6"/>
        </w:tcBorders>
      </w:tcPr>
    </w:tblStylePr>
    <w:tblStylePr w:type="lastRow">
      <w:rPr>
        <w:b/>
        <w:bCs/>
        <w:color w:val="9778B4" w:themeColor="text2"/>
      </w:rPr>
      <w:tblPr/>
      <w:tcPr>
        <w:tcBorders>
          <w:top w:val="single" w:sz="8" w:space="0" w:color="788183" w:themeColor="accent6"/>
          <w:bottom w:val="single" w:sz="8" w:space="0" w:color="788183" w:themeColor="accent6"/>
        </w:tcBorders>
      </w:tcPr>
    </w:tblStylePr>
    <w:tblStylePr w:type="firstCol">
      <w:rPr>
        <w:b/>
        <w:bCs/>
      </w:rPr>
    </w:tblStylePr>
    <w:tblStylePr w:type="lastCol">
      <w:rPr>
        <w:b/>
        <w:bCs/>
      </w:rPr>
      <w:tblPr/>
      <w:tcPr>
        <w:tcBorders>
          <w:top w:val="single" w:sz="8" w:space="0" w:color="788183" w:themeColor="accent6"/>
          <w:bottom w:val="single" w:sz="8" w:space="0" w:color="788183" w:themeColor="accent6"/>
        </w:tcBorders>
      </w:tcPr>
    </w:tblStylePr>
    <w:tblStylePr w:type="band1Vert">
      <w:tblPr/>
      <w:tcPr>
        <w:shd w:val="clear" w:color="auto" w:fill="DDDFE0" w:themeFill="accent6" w:themeFillTint="3F"/>
      </w:tcPr>
    </w:tblStylePr>
    <w:tblStylePr w:type="band1Horz">
      <w:tblPr/>
      <w:tcPr>
        <w:shd w:val="clear" w:color="auto" w:fill="DDDFE0" w:themeFill="accent6" w:themeFillTint="3F"/>
      </w:tcPr>
    </w:tblStylePr>
  </w:style>
  <w:style w:type="table" w:styleId="MediumList2">
    <w:name w:val="Medium Lis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rPr>
        <w:sz w:val="24"/>
        <w:szCs w:val="24"/>
      </w:rPr>
      <w:tblPr/>
      <w:tcPr>
        <w:tcBorders>
          <w:top w:val="nil"/>
          <w:left w:val="nil"/>
          <w:bottom w:val="single" w:sz="24" w:space="0" w:color="8D487F" w:themeColor="accent1"/>
          <w:right w:val="nil"/>
          <w:insideH w:val="nil"/>
          <w:insideV w:val="nil"/>
        </w:tcBorders>
        <w:shd w:val="clear" w:color="auto" w:fill="FFFFFF" w:themeFill="background1"/>
      </w:tcPr>
    </w:tblStylePr>
    <w:tblStylePr w:type="lastRow">
      <w:tblPr/>
      <w:tcPr>
        <w:tcBorders>
          <w:top w:val="single" w:sz="8" w:space="0" w:color="8D48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487F" w:themeColor="accent1"/>
          <w:insideH w:val="nil"/>
          <w:insideV w:val="nil"/>
        </w:tcBorders>
        <w:shd w:val="clear" w:color="auto" w:fill="FFFFFF" w:themeFill="background1"/>
      </w:tcPr>
    </w:tblStylePr>
    <w:tblStylePr w:type="lastCol">
      <w:tblPr/>
      <w:tcPr>
        <w:tcBorders>
          <w:top w:val="nil"/>
          <w:left w:val="single" w:sz="8" w:space="0" w:color="8D48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top w:val="nil"/>
          <w:bottom w:val="nil"/>
          <w:insideH w:val="nil"/>
          <w:insideV w:val="nil"/>
        </w:tcBorders>
        <w:shd w:val="clear" w:color="auto" w:fill="E6CE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rPr>
        <w:sz w:val="24"/>
        <w:szCs w:val="24"/>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tblPr/>
      <w:tcPr>
        <w:tcBorders>
          <w:top w:val="single" w:sz="8" w:space="0" w:color="C64E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4E45" w:themeColor="accent2"/>
          <w:insideH w:val="nil"/>
          <w:insideV w:val="nil"/>
        </w:tcBorders>
        <w:shd w:val="clear" w:color="auto" w:fill="FFFFFF" w:themeFill="background1"/>
      </w:tcPr>
    </w:tblStylePr>
    <w:tblStylePr w:type="lastCol">
      <w:tblPr/>
      <w:tcPr>
        <w:tcBorders>
          <w:top w:val="nil"/>
          <w:left w:val="single" w:sz="8" w:space="0" w:color="C64E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top w:val="nil"/>
          <w:bottom w:val="nil"/>
          <w:insideH w:val="nil"/>
          <w:insideV w:val="nil"/>
        </w:tcBorders>
        <w:shd w:val="clear" w:color="auto" w:fill="F1D2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rPr>
        <w:sz w:val="24"/>
        <w:szCs w:val="24"/>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tblPr/>
      <w:tcPr>
        <w:tcBorders>
          <w:top w:val="single" w:sz="8" w:space="0" w:color="F187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73D" w:themeColor="accent3"/>
          <w:insideH w:val="nil"/>
          <w:insideV w:val="nil"/>
        </w:tcBorders>
        <w:shd w:val="clear" w:color="auto" w:fill="FFFFFF" w:themeFill="background1"/>
      </w:tcPr>
    </w:tblStylePr>
    <w:tblStylePr w:type="lastCol">
      <w:tblPr/>
      <w:tcPr>
        <w:tcBorders>
          <w:top w:val="nil"/>
          <w:left w:val="single" w:sz="8" w:space="0" w:color="F187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top w:val="nil"/>
          <w:bottom w:val="nil"/>
          <w:insideH w:val="nil"/>
          <w:insideV w:val="nil"/>
        </w:tcBorders>
        <w:shd w:val="clear" w:color="auto" w:fill="FBE1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rPr>
        <w:sz w:val="24"/>
        <w:szCs w:val="24"/>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tblPr/>
      <w:tcPr>
        <w:tcBorders>
          <w:top w:val="single" w:sz="8" w:space="0" w:color="FCC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648" w:themeColor="accent4"/>
          <w:insideH w:val="nil"/>
          <w:insideV w:val="nil"/>
        </w:tcBorders>
        <w:shd w:val="clear" w:color="auto" w:fill="FFFFFF" w:themeFill="background1"/>
      </w:tcPr>
    </w:tblStylePr>
    <w:tblStylePr w:type="lastCol">
      <w:tblPr/>
      <w:tcPr>
        <w:tcBorders>
          <w:top w:val="nil"/>
          <w:left w:val="single" w:sz="8" w:space="0" w:color="FCC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top w:val="nil"/>
          <w:bottom w:val="nil"/>
          <w:insideH w:val="nil"/>
          <w:insideV w:val="nil"/>
        </w:tcBorders>
        <w:shd w:val="clear" w:color="auto" w:fill="FEF0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rPr>
        <w:sz w:val="24"/>
        <w:szCs w:val="24"/>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tblPr/>
      <w:tcPr>
        <w:tcBorders>
          <w:top w:val="single" w:sz="8" w:space="0" w:color="86BE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E57" w:themeColor="accent5"/>
          <w:insideH w:val="nil"/>
          <w:insideV w:val="nil"/>
        </w:tcBorders>
        <w:shd w:val="clear" w:color="auto" w:fill="FFFFFF" w:themeFill="background1"/>
      </w:tcPr>
    </w:tblStylePr>
    <w:tblStylePr w:type="lastCol">
      <w:tblPr/>
      <w:tcPr>
        <w:tcBorders>
          <w:top w:val="nil"/>
          <w:left w:val="single" w:sz="8" w:space="0" w:color="86BE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top w:val="nil"/>
          <w:bottom w:val="nil"/>
          <w:insideH w:val="nil"/>
          <w:insideV w:val="nil"/>
        </w:tcBorders>
        <w:shd w:val="clear" w:color="auto" w:fill="E1EF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rPr>
        <w:sz w:val="24"/>
        <w:szCs w:val="24"/>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tblPr/>
      <w:tcPr>
        <w:tcBorders>
          <w:top w:val="single" w:sz="8" w:space="0" w:color="78818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8183" w:themeColor="accent6"/>
          <w:insideH w:val="nil"/>
          <w:insideV w:val="nil"/>
        </w:tcBorders>
        <w:shd w:val="clear" w:color="auto" w:fill="FFFFFF" w:themeFill="background1"/>
      </w:tcPr>
    </w:tblStylePr>
    <w:tblStylePr w:type="lastCol">
      <w:tblPr/>
      <w:tcPr>
        <w:tcBorders>
          <w:top w:val="nil"/>
          <w:left w:val="single" w:sz="8" w:space="0" w:color="78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top w:val="nil"/>
          <w:bottom w:val="nil"/>
          <w:insideH w:val="nil"/>
          <w:insideV w:val="nil"/>
        </w:tcBorders>
        <w:shd w:val="clear" w:color="auto" w:fill="DDDF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tblBorders>
    </w:tblPr>
    <w:tblStylePr w:type="firstRow">
      <w:pPr>
        <w:spacing w:before="0" w:after="0" w:line="240" w:lineRule="auto"/>
      </w:pPr>
      <w:rPr>
        <w:b/>
        <w:bCs/>
        <w:color w:val="FFFFFF" w:themeColor="background1"/>
      </w:rPr>
      <w:tblPr/>
      <w:tcPr>
        <w:tc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shd w:val="clear" w:color="auto" w:fill="8D487F" w:themeFill="accent1"/>
      </w:tcPr>
    </w:tblStylePr>
    <w:tblStylePr w:type="lastRow">
      <w:pPr>
        <w:spacing w:before="0" w:after="0" w:line="240" w:lineRule="auto"/>
      </w:pPr>
      <w:rPr>
        <w:b/>
        <w:bCs/>
      </w:rPr>
      <w:tblPr/>
      <w:tcPr>
        <w:tcBorders>
          <w:top w:val="double" w:sz="6"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CEE1" w:themeFill="accent1" w:themeFillTint="3F"/>
      </w:tcPr>
    </w:tblStylePr>
    <w:tblStylePr w:type="band1Horz">
      <w:tblPr/>
      <w:tcPr>
        <w:tcBorders>
          <w:insideH w:val="nil"/>
          <w:insideV w:val="nil"/>
        </w:tcBorders>
        <w:shd w:val="clear" w:color="auto" w:fill="E6CE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tblBorders>
    </w:tblPr>
    <w:tblStylePr w:type="firstRow">
      <w:pPr>
        <w:spacing w:before="0" w:after="0" w:line="240" w:lineRule="auto"/>
      </w:pPr>
      <w:rPr>
        <w:b/>
        <w:bCs/>
        <w:color w:val="FFFFFF" w:themeColor="background1"/>
      </w:rPr>
      <w:tblPr/>
      <w:tcPr>
        <w:tc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shd w:val="clear" w:color="auto" w:fill="C64E45" w:themeFill="accent2"/>
      </w:tcPr>
    </w:tblStylePr>
    <w:tblStylePr w:type="lastRow">
      <w:pPr>
        <w:spacing w:before="0" w:after="0" w:line="240" w:lineRule="auto"/>
      </w:pPr>
      <w:rPr>
        <w:b/>
        <w:bCs/>
      </w:rPr>
      <w:tblPr/>
      <w:tcPr>
        <w:tcBorders>
          <w:top w:val="double" w:sz="6"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2D0" w:themeFill="accent2" w:themeFillTint="3F"/>
      </w:tcPr>
    </w:tblStylePr>
    <w:tblStylePr w:type="band1Horz">
      <w:tblPr/>
      <w:tcPr>
        <w:tcBorders>
          <w:insideH w:val="nil"/>
          <w:insideV w:val="nil"/>
        </w:tcBorders>
        <w:shd w:val="clear" w:color="auto" w:fill="F1D2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tblBorders>
    </w:tblPr>
    <w:tblStylePr w:type="firstRow">
      <w:pPr>
        <w:spacing w:before="0" w:after="0" w:line="240" w:lineRule="auto"/>
      </w:pPr>
      <w:rPr>
        <w:b/>
        <w:bCs/>
        <w:color w:val="FFFFFF" w:themeColor="background1"/>
      </w:rPr>
      <w:tblPr/>
      <w:tcPr>
        <w:tc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shd w:val="clear" w:color="auto" w:fill="F1873D" w:themeFill="accent3"/>
      </w:tcPr>
    </w:tblStylePr>
    <w:tblStylePr w:type="lastRow">
      <w:pPr>
        <w:spacing w:before="0" w:after="0" w:line="240" w:lineRule="auto"/>
      </w:pPr>
      <w:rPr>
        <w:b/>
        <w:bCs/>
      </w:rPr>
      <w:tblPr/>
      <w:tcPr>
        <w:tcBorders>
          <w:top w:val="double" w:sz="6"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1CE" w:themeFill="accent3" w:themeFillTint="3F"/>
      </w:tcPr>
    </w:tblStylePr>
    <w:tblStylePr w:type="band1Horz">
      <w:tblPr/>
      <w:tcPr>
        <w:tcBorders>
          <w:insideH w:val="nil"/>
          <w:insideV w:val="nil"/>
        </w:tcBorders>
        <w:shd w:val="clear" w:color="auto" w:fill="FBE1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tblBorders>
    </w:tblPr>
    <w:tblStylePr w:type="firstRow">
      <w:pPr>
        <w:spacing w:before="0" w:after="0" w:line="240" w:lineRule="auto"/>
      </w:pPr>
      <w:rPr>
        <w:b/>
        <w:bCs/>
        <w:color w:val="FFFFFF" w:themeColor="background1"/>
      </w:rPr>
      <w:tblPr/>
      <w:tcPr>
        <w:tc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shd w:val="clear" w:color="auto" w:fill="FCC648" w:themeFill="accent4"/>
      </w:tcPr>
    </w:tblStylePr>
    <w:tblStylePr w:type="lastRow">
      <w:pPr>
        <w:spacing w:before="0" w:after="0" w:line="240" w:lineRule="auto"/>
      </w:pPr>
      <w:rPr>
        <w:b/>
        <w:bCs/>
      </w:rPr>
      <w:tblPr/>
      <w:tcPr>
        <w:tcBorders>
          <w:top w:val="double" w:sz="6"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0D1" w:themeFill="accent4" w:themeFillTint="3F"/>
      </w:tcPr>
    </w:tblStylePr>
    <w:tblStylePr w:type="band1Horz">
      <w:tblPr/>
      <w:tcPr>
        <w:tcBorders>
          <w:insideH w:val="nil"/>
          <w:insideV w:val="nil"/>
        </w:tcBorders>
        <w:shd w:val="clear" w:color="auto" w:fill="FEF0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tblBorders>
    </w:tblPr>
    <w:tblStylePr w:type="firstRow">
      <w:pPr>
        <w:spacing w:before="0" w:after="0" w:line="240" w:lineRule="auto"/>
      </w:pPr>
      <w:rPr>
        <w:b/>
        <w:bCs/>
        <w:color w:val="FFFFFF" w:themeColor="background1"/>
      </w:rPr>
      <w:tblPr/>
      <w:tcPr>
        <w:tc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shd w:val="clear" w:color="auto" w:fill="86BE57" w:themeFill="accent5"/>
      </w:tcPr>
    </w:tblStylePr>
    <w:tblStylePr w:type="lastRow">
      <w:pPr>
        <w:spacing w:before="0" w:after="0" w:line="240" w:lineRule="auto"/>
      </w:pPr>
      <w:rPr>
        <w:b/>
        <w:bCs/>
      </w:rPr>
      <w:tblPr/>
      <w:tcPr>
        <w:tcBorders>
          <w:top w:val="double" w:sz="6"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FD5" w:themeFill="accent5" w:themeFillTint="3F"/>
      </w:tcPr>
    </w:tblStylePr>
    <w:tblStylePr w:type="band1Horz">
      <w:tblPr/>
      <w:tcPr>
        <w:tcBorders>
          <w:insideH w:val="nil"/>
          <w:insideV w:val="nil"/>
        </w:tcBorders>
        <w:shd w:val="clear" w:color="auto" w:fill="E1EF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tblBorders>
    </w:tblPr>
    <w:tblStylePr w:type="firstRow">
      <w:pPr>
        <w:spacing w:before="0" w:after="0" w:line="240" w:lineRule="auto"/>
      </w:pPr>
      <w:rPr>
        <w:b/>
        <w:bCs/>
        <w:color w:val="FFFFFF" w:themeColor="background1"/>
      </w:rPr>
      <w:tblPr/>
      <w:tcPr>
        <w:tc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shd w:val="clear" w:color="auto" w:fill="788183" w:themeFill="accent6"/>
      </w:tcPr>
    </w:tblStylePr>
    <w:tblStylePr w:type="lastRow">
      <w:pPr>
        <w:spacing w:before="0" w:after="0" w:line="240" w:lineRule="auto"/>
      </w:pPr>
      <w:rPr>
        <w:b/>
        <w:bCs/>
      </w:rPr>
      <w:tblPr/>
      <w:tcPr>
        <w:tcBorders>
          <w:top w:val="double" w:sz="6"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FE0" w:themeFill="accent6" w:themeFillTint="3F"/>
      </w:tcPr>
    </w:tblStylePr>
    <w:tblStylePr w:type="band1Horz">
      <w:tblPr/>
      <w:tcPr>
        <w:tcBorders>
          <w:insideH w:val="nil"/>
          <w:insideV w:val="nil"/>
        </w:tcBorders>
        <w:shd w:val="clear" w:color="auto" w:fill="DDDF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48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487F" w:themeFill="accent1"/>
      </w:tcPr>
    </w:tblStylePr>
    <w:tblStylePr w:type="lastCol">
      <w:rPr>
        <w:b/>
        <w:bCs/>
        <w:color w:val="FFFFFF" w:themeColor="background1"/>
      </w:rPr>
      <w:tblPr/>
      <w:tcPr>
        <w:tcBorders>
          <w:left w:val="nil"/>
          <w:right w:val="nil"/>
          <w:insideH w:val="nil"/>
          <w:insideV w:val="nil"/>
        </w:tcBorders>
        <w:shd w:val="clear" w:color="auto" w:fill="8D48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4E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4E45" w:themeFill="accent2"/>
      </w:tcPr>
    </w:tblStylePr>
    <w:tblStylePr w:type="lastCol">
      <w:rPr>
        <w:b/>
        <w:bCs/>
        <w:color w:val="FFFFFF" w:themeColor="background1"/>
      </w:rPr>
      <w:tblPr/>
      <w:tcPr>
        <w:tcBorders>
          <w:left w:val="nil"/>
          <w:right w:val="nil"/>
          <w:insideH w:val="nil"/>
          <w:insideV w:val="nil"/>
        </w:tcBorders>
        <w:shd w:val="clear" w:color="auto" w:fill="C64E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7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73D" w:themeFill="accent3"/>
      </w:tcPr>
    </w:tblStylePr>
    <w:tblStylePr w:type="lastCol">
      <w:rPr>
        <w:b/>
        <w:bCs/>
        <w:color w:val="FFFFFF" w:themeColor="background1"/>
      </w:rPr>
      <w:tblPr/>
      <w:tcPr>
        <w:tcBorders>
          <w:left w:val="nil"/>
          <w:right w:val="nil"/>
          <w:insideH w:val="nil"/>
          <w:insideV w:val="nil"/>
        </w:tcBorders>
        <w:shd w:val="clear" w:color="auto" w:fill="F187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C648" w:themeFill="accent4"/>
      </w:tcPr>
    </w:tblStylePr>
    <w:tblStylePr w:type="lastCol">
      <w:rPr>
        <w:b/>
        <w:bCs/>
        <w:color w:val="FFFFFF" w:themeColor="background1"/>
      </w:rPr>
      <w:tblPr/>
      <w:tcPr>
        <w:tcBorders>
          <w:left w:val="nil"/>
          <w:right w:val="nil"/>
          <w:insideH w:val="nil"/>
          <w:insideV w:val="nil"/>
        </w:tcBorders>
        <w:shd w:val="clear" w:color="auto" w:fill="FCC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E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E57" w:themeFill="accent5"/>
      </w:tcPr>
    </w:tblStylePr>
    <w:tblStylePr w:type="lastCol">
      <w:rPr>
        <w:b/>
        <w:bCs/>
        <w:color w:val="FFFFFF" w:themeColor="background1"/>
      </w:rPr>
      <w:tblPr/>
      <w:tcPr>
        <w:tcBorders>
          <w:left w:val="nil"/>
          <w:right w:val="nil"/>
          <w:insideH w:val="nil"/>
          <w:insideV w:val="nil"/>
        </w:tcBorders>
        <w:shd w:val="clear" w:color="auto" w:fill="86BE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8183" w:themeFill="accent6"/>
      </w:tcPr>
    </w:tblStylePr>
    <w:tblStylePr w:type="lastCol">
      <w:rPr>
        <w:b/>
        <w:bCs/>
        <w:color w:val="FFFFFF" w:themeColor="background1"/>
      </w:rPr>
      <w:tblPr/>
      <w:tcPr>
        <w:tcBorders>
          <w:left w:val="nil"/>
          <w:right w:val="nil"/>
          <w:insideH w:val="nil"/>
          <w:insideV w:val="nil"/>
        </w:tcBorders>
        <w:shd w:val="clear" w:color="auto" w:fill="78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A34D6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A34D6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A34D6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A34D6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A34D6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A34D6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ReducedSpace">
    <w:name w:val="Body Text Reduced Space"/>
    <w:basedOn w:val="BodyText"/>
    <w:next w:val="BodyText"/>
    <w:qFormat/>
    <w:rsid w:val="00C94C1C"/>
    <w:pPr>
      <w:spacing w:before="120"/>
    </w:pPr>
  </w:style>
  <w:style w:type="character" w:styleId="Hyperlink">
    <w:name w:val="Hyperlink"/>
    <w:basedOn w:val="DefaultParagraphFont"/>
    <w:unhideWhenUsed/>
    <w:rsid w:val="00107FBD"/>
    <w:rPr>
      <w:color w:val="000000" w:themeColor="hyperlink"/>
      <w:u w:val="single"/>
    </w:rPr>
  </w:style>
  <w:style w:type="paragraph" w:styleId="TOCHeading">
    <w:name w:val="TOC Heading"/>
    <w:basedOn w:val="Heading1"/>
    <w:next w:val="Normal"/>
    <w:uiPriority w:val="39"/>
    <w:semiHidden/>
    <w:unhideWhenUsed/>
    <w:qFormat/>
    <w:rsid w:val="002F45FA"/>
    <w:pPr>
      <w:keepLines/>
      <w:spacing w:before="240" w:after="0" w:line="300" w:lineRule="atLeast"/>
      <w:outlineLvl w:val="9"/>
    </w:pPr>
    <w:rPr>
      <w:rFonts w:asciiTheme="majorHAnsi" w:eastAsiaTheme="majorEastAsia" w:hAnsiTheme="majorHAnsi" w:cstheme="majorBidi"/>
      <w:sz w:val="32"/>
      <w:szCs w:val="32"/>
    </w:rPr>
  </w:style>
  <w:style w:type="character" w:styleId="IntenseReference">
    <w:name w:val="Intense Reference"/>
    <w:basedOn w:val="DefaultParagraphFont"/>
    <w:uiPriority w:val="32"/>
    <w:rsid w:val="002F45FA"/>
    <w:rPr>
      <w:b/>
      <w:bCs/>
      <w:smallCaps/>
      <w:color w:val="3D4D7D" w:themeColor="background2"/>
      <w:spacing w:val="5"/>
    </w:rPr>
  </w:style>
  <w:style w:type="paragraph" w:customStyle="1" w:styleId="Heading2NoNumbering">
    <w:name w:val="Heading 2 No Numbering"/>
    <w:basedOn w:val="Heading2"/>
    <w:qFormat/>
    <w:rsid w:val="00DB1F9B"/>
    <w:pPr>
      <w:keepLines/>
      <w:tabs>
        <w:tab w:val="left" w:pos="1418"/>
        <w:tab w:val="left" w:pos="1701"/>
        <w:tab w:val="left" w:pos="1985"/>
      </w:tabs>
      <w:spacing w:before="330" w:after="80" w:line="240" w:lineRule="auto"/>
    </w:pPr>
    <w:rPr>
      <w:rFonts w:asciiTheme="majorHAnsi" w:eastAsiaTheme="minorHAnsi" w:hAnsiTheme="majorHAnsi" w:cstheme="minorBidi"/>
      <w:bCs/>
      <w:iCs/>
      <w:kern w:val="20"/>
      <w:szCs w:val="28"/>
      <w:lang w:eastAsia="en-US"/>
    </w:rPr>
  </w:style>
  <w:style w:type="paragraph" w:styleId="FootnoteText">
    <w:name w:val="footnote text"/>
    <w:basedOn w:val="Normal"/>
    <w:link w:val="FootnoteTextChar"/>
    <w:uiPriority w:val="2"/>
    <w:rsid w:val="008F3496"/>
    <w:pPr>
      <w:tabs>
        <w:tab w:val="left" w:pos="425"/>
      </w:tabs>
      <w:spacing w:before="60" w:line="240" w:lineRule="exact"/>
      <w:ind w:left="284" w:hanging="284"/>
    </w:pPr>
    <w:rPr>
      <w:rFonts w:eastAsiaTheme="minorHAnsi" w:cstheme="minorBidi"/>
      <w:kern w:val="16"/>
      <w:sz w:val="18"/>
      <w:lang w:eastAsia="en-US"/>
    </w:rPr>
  </w:style>
  <w:style w:type="character" w:customStyle="1" w:styleId="FootnoteTextChar">
    <w:name w:val="Footnote Text Char"/>
    <w:basedOn w:val="DefaultParagraphFont"/>
    <w:link w:val="FootnoteText"/>
    <w:uiPriority w:val="2"/>
    <w:rsid w:val="008F3496"/>
    <w:rPr>
      <w:rFonts w:eastAsiaTheme="minorHAnsi" w:cstheme="minorBidi"/>
      <w:kern w:val="16"/>
      <w:sz w:val="18"/>
      <w:lang w:eastAsia="en-US"/>
    </w:rPr>
  </w:style>
  <w:style w:type="character" w:styleId="FootnoteReference">
    <w:name w:val="footnote reference"/>
    <w:basedOn w:val="DefaultParagraphFont"/>
    <w:uiPriority w:val="2"/>
    <w:rsid w:val="008F3496"/>
    <w:rPr>
      <w:rFonts w:asciiTheme="minorHAnsi" w:hAnsiTheme="minorHAnsi"/>
      <w:color w:val="auto"/>
      <w:vertAlign w:val="superscript"/>
    </w:rPr>
  </w:style>
  <w:style w:type="paragraph" w:styleId="Revision">
    <w:name w:val="Revision"/>
    <w:hidden/>
    <w:uiPriority w:val="99"/>
    <w:semiHidden/>
    <w:rsid w:val="00201E99"/>
    <w:pPr>
      <w:spacing w:line="240" w:lineRule="auto"/>
    </w:pPr>
  </w:style>
  <w:style w:type="paragraph" w:customStyle="1" w:styleId="FooterRight">
    <w:name w:val="Footer Right"/>
    <w:basedOn w:val="Normal"/>
    <w:next w:val="Footer"/>
    <w:uiPriority w:val="99"/>
    <w:rsid w:val="008A690A"/>
    <w:pPr>
      <w:spacing w:line="240" w:lineRule="auto"/>
      <w:jc w:val="right"/>
    </w:pPr>
    <w:rPr>
      <w:rFonts w:cs="Arial"/>
      <w:caps/>
      <w:noProof/>
      <w:color w:val="000000" w:themeColor="text1"/>
      <w:spacing w:val="5"/>
      <w:sz w:val="16"/>
    </w:rPr>
  </w:style>
  <w:style w:type="paragraph" w:customStyle="1" w:styleId="FooterRightPageNumber">
    <w:name w:val="Footer Right Page Number"/>
    <w:basedOn w:val="Normal"/>
    <w:uiPriority w:val="99"/>
    <w:rsid w:val="008A690A"/>
    <w:pPr>
      <w:spacing w:line="240" w:lineRule="auto"/>
      <w:ind w:right="652"/>
      <w:jc w:val="right"/>
    </w:pPr>
    <w:rPr>
      <w:rFonts w:cs="Arial"/>
      <w:b/>
      <w:noProof/>
      <w:color w:val="000000" w:themeColor="text1"/>
      <w:sz w:val="16"/>
    </w:rPr>
  </w:style>
  <w:style w:type="paragraph" w:customStyle="1" w:styleId="PullOutBoxBullet">
    <w:name w:val="Pull Out Box Bullet"/>
    <w:basedOn w:val="Normal"/>
    <w:qFormat/>
    <w:rsid w:val="008A690A"/>
    <w:pPr>
      <w:numPr>
        <w:numId w:val="35"/>
      </w:numPr>
      <w:spacing w:before="60" w:after="60" w:line="320" w:lineRule="atLeast"/>
      <w:ind w:right="284"/>
    </w:pPr>
    <w:rPr>
      <w:rFonts w:cs="Arial"/>
      <w:b/>
      <w:i/>
      <w:color w:val="3D4D7D" w:themeColor="background2"/>
      <w:spacing w:val="-1"/>
    </w:rPr>
  </w:style>
  <w:style w:type="paragraph" w:customStyle="1" w:styleId="PullOutBoxBullet2">
    <w:name w:val="Pull Out Box Bullet 2"/>
    <w:basedOn w:val="Normal"/>
    <w:qFormat/>
    <w:rsid w:val="008A690A"/>
    <w:pPr>
      <w:numPr>
        <w:ilvl w:val="1"/>
        <w:numId w:val="35"/>
      </w:numPr>
      <w:spacing w:before="60" w:after="60" w:line="320" w:lineRule="atLeast"/>
      <w:ind w:right="284"/>
    </w:pPr>
    <w:rPr>
      <w:rFonts w:cs="Arial"/>
      <w:b/>
      <w:i/>
      <w:color w:val="3D4D7D" w:themeColor="background2"/>
      <w:spacing w:val="-1"/>
    </w:rPr>
  </w:style>
  <w:style w:type="paragraph" w:customStyle="1" w:styleId="PullOutBoxBullet3">
    <w:name w:val="Pull Out Box Bullet 3"/>
    <w:basedOn w:val="Normal"/>
    <w:semiHidden/>
    <w:qFormat/>
    <w:rsid w:val="008A690A"/>
    <w:pPr>
      <w:numPr>
        <w:ilvl w:val="2"/>
        <w:numId w:val="35"/>
      </w:numPr>
      <w:spacing w:before="60" w:after="60" w:line="320" w:lineRule="atLeast"/>
      <w:ind w:right="284"/>
    </w:pPr>
    <w:rPr>
      <w:rFonts w:cs="Arial"/>
      <w:b/>
      <w:i/>
      <w:color w:val="3D4D7D" w:themeColor="background2"/>
      <w:spacing w:val="-1"/>
    </w:rPr>
  </w:style>
  <w:style w:type="table" w:customStyle="1" w:styleId="FooterPlaceholder">
    <w:name w:val="Footer Placeholder"/>
    <w:basedOn w:val="TableNormal"/>
    <w:uiPriority w:val="99"/>
    <w:rsid w:val="008A690A"/>
    <w:pPr>
      <w:spacing w:line="240" w:lineRule="auto"/>
    </w:pPr>
    <w:rPr>
      <w:rFonts w:eastAsiaTheme="minorHAnsi" w:cstheme="minorBidi"/>
      <w:sz w:val="16"/>
      <w:lang w:eastAsia="en-US"/>
    </w:rPr>
    <w:tblPr>
      <w:tblCellMar>
        <w:left w:w="0" w:type="dxa"/>
        <w:right w:w="0" w:type="dxa"/>
      </w:tblCellMar>
    </w:tblPr>
  </w:style>
  <w:style w:type="paragraph" w:customStyle="1" w:styleId="FooterLeft">
    <w:name w:val="Footer Left"/>
    <w:basedOn w:val="Footer"/>
    <w:uiPriority w:val="99"/>
    <w:rsid w:val="008A690A"/>
    <w:pPr>
      <w:tabs>
        <w:tab w:val="clear" w:pos="4536"/>
        <w:tab w:val="clear" w:pos="10490"/>
      </w:tabs>
      <w:spacing w:line="240" w:lineRule="auto"/>
      <w:jc w:val="left"/>
    </w:pPr>
    <w:rPr>
      <w:rFonts w:eastAsiaTheme="minorHAnsi" w:cstheme="minorBidi"/>
      <w:caps/>
      <w:color w:val="000000" w:themeColor="text1"/>
      <w:spacing w:val="5"/>
      <w:sz w:val="16"/>
      <w:lang w:eastAsia="en-US"/>
    </w:rPr>
  </w:style>
  <w:style w:type="paragraph" w:customStyle="1" w:styleId="FooterLeftPageNumber">
    <w:name w:val="Footer Left Page Number"/>
    <w:basedOn w:val="Footer"/>
    <w:uiPriority w:val="99"/>
    <w:rsid w:val="008A690A"/>
    <w:pPr>
      <w:tabs>
        <w:tab w:val="clear" w:pos="4536"/>
        <w:tab w:val="clear" w:pos="10490"/>
      </w:tabs>
      <w:spacing w:line="240" w:lineRule="auto"/>
      <w:ind w:left="652"/>
      <w:jc w:val="left"/>
    </w:pPr>
    <w:rPr>
      <w:rFonts w:eastAsiaTheme="minorHAnsi" w:cstheme="minorBidi"/>
      <w:b/>
      <w:color w:val="000000" w:themeColor="text1"/>
      <w:sz w:val="16"/>
      <w:lang w:eastAsia="en-US"/>
    </w:rPr>
  </w:style>
  <w:style w:type="character" w:customStyle="1" w:styleId="Heading4Char">
    <w:name w:val="Heading 4 Char"/>
    <w:basedOn w:val="DefaultParagraphFont"/>
    <w:link w:val="Heading4"/>
    <w:semiHidden/>
    <w:rsid w:val="00091B6C"/>
    <w:rPr>
      <w:bCs/>
      <w:i/>
      <w:szCs w:val="28"/>
    </w:rPr>
  </w:style>
  <w:style w:type="paragraph" w:customStyle="1" w:styleId="Captionheading1">
    <w:name w:val="Caption heading 1"/>
    <w:basedOn w:val="Caption"/>
    <w:link w:val="Captionheading1Char"/>
    <w:qFormat/>
    <w:rsid w:val="00044FA3"/>
    <w:pPr>
      <w:spacing w:line="240" w:lineRule="auto"/>
      <w:jc w:val="center"/>
    </w:pPr>
    <w:rPr>
      <w:rFonts w:eastAsiaTheme="minorHAnsi" w:cstheme="minorBidi"/>
      <w:color w:val="69365E" w:themeColor="accent1" w:themeShade="BF"/>
      <w:lang w:eastAsia="en-US"/>
    </w:rPr>
  </w:style>
  <w:style w:type="character" w:customStyle="1" w:styleId="Captionheading1Char">
    <w:name w:val="Caption heading 1 Char"/>
    <w:basedOn w:val="DefaultParagraphFont"/>
    <w:link w:val="Captionheading1"/>
    <w:rsid w:val="00044FA3"/>
    <w:rPr>
      <w:rFonts w:eastAsiaTheme="minorHAnsi" w:cstheme="minorBidi"/>
      <w:b/>
      <w:bCs/>
      <w:color w:val="69365E" w:themeColor="accent1" w:themeShade="BF"/>
      <w:lang w:eastAsia="en-US"/>
    </w:rPr>
  </w:style>
  <w:style w:type="character" w:styleId="FollowedHyperlink">
    <w:name w:val="FollowedHyperlink"/>
    <w:basedOn w:val="DefaultParagraphFont"/>
    <w:semiHidden/>
    <w:unhideWhenUsed/>
    <w:rsid w:val="00C330A4"/>
    <w:rPr>
      <w:color w:val="3D4D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977">
      <w:bodyDiv w:val="1"/>
      <w:marLeft w:val="0"/>
      <w:marRight w:val="0"/>
      <w:marTop w:val="0"/>
      <w:marBottom w:val="0"/>
      <w:divBdr>
        <w:top w:val="none" w:sz="0" w:space="0" w:color="auto"/>
        <w:left w:val="none" w:sz="0" w:space="0" w:color="auto"/>
        <w:bottom w:val="none" w:sz="0" w:space="0" w:color="auto"/>
        <w:right w:val="none" w:sz="0" w:space="0" w:color="auto"/>
      </w:divBdr>
    </w:div>
    <w:div w:id="96022178">
      <w:bodyDiv w:val="1"/>
      <w:marLeft w:val="0"/>
      <w:marRight w:val="0"/>
      <w:marTop w:val="0"/>
      <w:marBottom w:val="0"/>
      <w:divBdr>
        <w:top w:val="none" w:sz="0" w:space="0" w:color="auto"/>
        <w:left w:val="none" w:sz="0" w:space="0" w:color="auto"/>
        <w:bottom w:val="none" w:sz="0" w:space="0" w:color="auto"/>
        <w:right w:val="none" w:sz="0" w:space="0" w:color="auto"/>
      </w:divBdr>
    </w:div>
    <w:div w:id="1242837862">
      <w:bodyDiv w:val="1"/>
      <w:marLeft w:val="0"/>
      <w:marRight w:val="0"/>
      <w:marTop w:val="0"/>
      <w:marBottom w:val="0"/>
      <w:divBdr>
        <w:top w:val="none" w:sz="0" w:space="0" w:color="auto"/>
        <w:left w:val="none" w:sz="0" w:space="0" w:color="auto"/>
        <w:bottom w:val="none" w:sz="0" w:space="0" w:color="auto"/>
        <w:right w:val="none" w:sz="0" w:space="0" w:color="auto"/>
      </w:divBdr>
    </w:div>
    <w:div w:id="1282493837">
      <w:bodyDiv w:val="1"/>
      <w:marLeft w:val="0"/>
      <w:marRight w:val="0"/>
      <w:marTop w:val="0"/>
      <w:marBottom w:val="0"/>
      <w:divBdr>
        <w:top w:val="none" w:sz="0" w:space="0" w:color="auto"/>
        <w:left w:val="none" w:sz="0" w:space="0" w:color="auto"/>
        <w:bottom w:val="none" w:sz="0" w:space="0" w:color="auto"/>
        <w:right w:val="none" w:sz="0" w:space="0" w:color="auto"/>
      </w:divBdr>
    </w:div>
    <w:div w:id="1815373052">
      <w:bodyDiv w:val="1"/>
      <w:marLeft w:val="0"/>
      <w:marRight w:val="0"/>
      <w:marTop w:val="0"/>
      <w:marBottom w:val="0"/>
      <w:divBdr>
        <w:top w:val="none" w:sz="0" w:space="0" w:color="auto"/>
        <w:left w:val="none" w:sz="0" w:space="0" w:color="auto"/>
        <w:bottom w:val="none" w:sz="0" w:space="0" w:color="auto"/>
        <w:right w:val="none" w:sz="0" w:space="0" w:color="auto"/>
      </w:divBdr>
    </w:div>
    <w:div w:id="182631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hyperlink" Target="https://www.aph.gov.au/About_Parliament/Parliamentary_Departments/Parliamentary_Budget_Office/Publications/Research_reports/National_fiscal_outlook" TargetMode="External"/><Relationship Id="rId13" Type="http://schemas.openxmlformats.org/officeDocument/2006/relationships/hyperlink" Target="https://budget.qld.gov.au/files/Budget_Strategy_and_Outlook_2.pdf" TargetMode="External"/><Relationship Id="rId18" Type="http://schemas.openxmlformats.org/officeDocument/2006/relationships/hyperlink" Target="https://s3-ap-southeast-2.amazonaws.com/budgetfiles202021.budget.vic.gov.au/2020-21+State+Budget+-+Strategy+and+Outlook.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ph.gov.au/About_Parliament/Parliamentary_Departments/Parliamentary_Budget_Office/Data_portal" TargetMode="External"/><Relationship Id="rId7" Type="http://schemas.openxmlformats.org/officeDocument/2006/relationships/endnotes" Target="endnotes.xml"/><Relationship Id="rId12" Type="http://schemas.openxmlformats.org/officeDocument/2006/relationships/hyperlink" Target="https://budget.nt.gov.au/__data/assets/pdf_file/0005/946715/2020-21-budget-book2.pdf" TargetMode="External"/><Relationship Id="rId17" Type="http://schemas.openxmlformats.org/officeDocument/2006/relationships/hyperlink" Target="http://www.premier.tas.gov.au/__data/assets/pdf_file/0005/563720/Tasmanian_Budget_2020-21.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reasury.tas.gov.au/Documents/2020-21-Budget-Paper-No-1.pdf" TargetMode="External"/><Relationship Id="rId20" Type="http://schemas.openxmlformats.org/officeDocument/2006/relationships/hyperlink" Target="https://www.wa.gov.au/sites/default/files/2020-07/WA-Recovery-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dget.nsw.gov.au/system/files/budget-2021-03/The%20NSW%20Budget%202020-2021%20Half-Yearly%20Review.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atebudget.sa.gov.au/budget-docs/2020-21_budget_statement.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covid19.act.gov.au/__data/assets/pdf_file/0007/1561903/CV_Economic-Recovery-Plan_0.2_Accessible.pdf" TargetMode="External"/><Relationship Id="rId19" Type="http://schemas.openxmlformats.org/officeDocument/2006/relationships/hyperlink" Target="https://www.ourstatebudget.wa.gov.au/2020-21/budget-papers/bp3/2020-21-wa-state-budget-bp3.pdf?" TargetMode="External"/><Relationship Id="rId4" Type="http://schemas.openxmlformats.org/officeDocument/2006/relationships/settings" Target="settings.xml"/><Relationship Id="rId9" Type="http://schemas.openxmlformats.org/officeDocument/2006/relationships/hyperlink" Target="https://budget.gov.au/2020-21/content/myefo/download/myefo-2020-21.pdf" TargetMode="External"/><Relationship Id="rId14" Type="http://schemas.openxmlformats.org/officeDocument/2006/relationships/hyperlink" Target="https://www.covid19.qld.gov.au/__data/assets/pdf_file/0025/128194/economic-recovery-plan.pdf"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treasury.gov.au/publication/p2019-t365789" TargetMode="External"/><Relationship Id="rId1" Type="http://schemas.openxmlformats.org/officeDocument/2006/relationships/hyperlink" Target="https://www.aph.gov.au/About_Parliament/Parliamentary_Departments/Parliamentary_Budget_Office/online_budget_glossa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A866906894477AA0A6AFB5DF0C6734"/>
        <w:category>
          <w:name w:val="General"/>
          <w:gallery w:val="placeholder"/>
        </w:category>
        <w:types>
          <w:type w:val="bbPlcHdr"/>
        </w:types>
        <w:behaviors>
          <w:behavior w:val="content"/>
        </w:behaviors>
        <w:guid w:val="{911AF9A1-4041-4E74-9904-758B6A0EF95C}"/>
      </w:docPartPr>
      <w:docPartBody>
        <w:p w:rsidR="0069642B" w:rsidRDefault="00544893" w:rsidP="00544893">
          <w:pPr>
            <w:pStyle w:val="CFA866906894477AA0A6AFB5DF0C6734"/>
          </w:pPr>
          <w:r w:rsidRPr="001108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93"/>
    <w:rsid w:val="001D4918"/>
    <w:rsid w:val="00373BA4"/>
    <w:rsid w:val="004F514E"/>
    <w:rsid w:val="00544893"/>
    <w:rsid w:val="0069642B"/>
    <w:rsid w:val="008676EA"/>
    <w:rsid w:val="00AC1C9C"/>
    <w:rsid w:val="00E4513F"/>
    <w:rsid w:val="00FE2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893"/>
    <w:rPr>
      <w:color w:val="808080"/>
    </w:rPr>
  </w:style>
  <w:style w:type="paragraph" w:customStyle="1" w:styleId="8C3F4298D9274388A23CF6D1D5B41916">
    <w:name w:val="8C3F4298D9274388A23CF6D1D5B41916"/>
  </w:style>
  <w:style w:type="paragraph" w:customStyle="1" w:styleId="CFA866906894477AA0A6AFB5DF0C6734">
    <w:name w:val="CFA866906894477AA0A6AFB5DF0C6734"/>
    <w:rsid w:val="00544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BO v2">
  <a:themeElements>
    <a:clrScheme name="PBO 2018">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PBO v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5812D-212B-4D78-942C-BA26C60C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7</Pages>
  <Words>2202</Words>
  <Characters>13795</Characters>
  <Application>Microsoft Office Word</Application>
  <DocSecurity>0</DocSecurity>
  <Lines>250</Lines>
  <Paragraphs>79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PBO@pbo.gov.au</dc:creator>
  <cp:lastModifiedBy>Kuo, Suzy (PBO)</cp:lastModifiedBy>
  <cp:revision>231</cp:revision>
  <cp:lastPrinted>2021-03-03T23:04:00Z</cp:lastPrinted>
  <dcterms:created xsi:type="dcterms:W3CDTF">2021-01-12T23:30:00Z</dcterms:created>
  <dcterms:modified xsi:type="dcterms:W3CDTF">2021-03-03T23:31:00Z</dcterms:modified>
</cp:coreProperties>
</file>